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231"/>
        <w:gridCol w:w="1907"/>
        <w:gridCol w:w="3660"/>
        <w:gridCol w:w="99"/>
      </w:tblGrid>
      <w:tr w:rsidR="00D56D8C" w:rsidRPr="00AD2F53" w14:paraId="618C5169" w14:textId="77777777" w:rsidTr="000B519B">
        <w:trPr>
          <w:gridAfter w:val="1"/>
          <w:wAfter w:w="99" w:type="dxa"/>
          <w:trHeight w:hRule="exact" w:val="418"/>
          <w:jc w:val="center"/>
        </w:trPr>
        <w:tc>
          <w:tcPr>
            <w:tcW w:w="8721" w:type="dxa"/>
            <w:gridSpan w:val="4"/>
          </w:tcPr>
          <w:p w14:paraId="58C03A60" w14:textId="77777777" w:rsidR="00D56D8C" w:rsidRPr="00AD2F53" w:rsidRDefault="00D56D8C" w:rsidP="008B4AEC">
            <w:pPr>
              <w:pStyle w:val="a3"/>
              <w:jc w:val="center"/>
              <w:rPr>
                <w:rFonts w:ascii="Tahoma" w:hAnsi="Tahoma" w:cs="Tahoma"/>
                <w:color w:val="000080"/>
                <w:rtl/>
              </w:rPr>
            </w:pPr>
            <w:bookmarkStart w:id="0" w:name="LastJudge"/>
            <w:r w:rsidRPr="00AD2F53">
              <w:rPr>
                <w:rFonts w:ascii="Tahoma" w:hAnsi="Tahoma" w:cs="Tahoma"/>
                <w:b/>
                <w:bCs/>
                <w:color w:val="000080"/>
                <w:rtl/>
              </w:rPr>
              <w:t>בית המשפט המחוזי בירושלים</w:t>
            </w:r>
          </w:p>
        </w:tc>
      </w:tr>
      <w:tr w:rsidR="00D56D8C" w:rsidRPr="00AD2F53" w14:paraId="008A7C63" w14:textId="77777777" w:rsidTr="000B519B">
        <w:trPr>
          <w:gridAfter w:val="1"/>
          <w:wAfter w:w="99" w:type="dxa"/>
          <w:trHeight w:val="337"/>
          <w:jc w:val="center"/>
        </w:trPr>
        <w:tc>
          <w:tcPr>
            <w:tcW w:w="5061" w:type="dxa"/>
            <w:gridSpan w:val="3"/>
          </w:tcPr>
          <w:p w14:paraId="5F1C0F7F" w14:textId="77777777" w:rsidR="00D56D8C" w:rsidRPr="00AD2F53" w:rsidRDefault="00D56D8C" w:rsidP="008B4AEC">
            <w:pPr>
              <w:rPr>
                <w:rFonts w:cs="FrankRuehl"/>
                <w:sz w:val="28"/>
                <w:szCs w:val="28"/>
                <w:rtl/>
              </w:rPr>
            </w:pPr>
            <w:r w:rsidRPr="00AD2F53">
              <w:rPr>
                <w:rFonts w:cs="FrankRuehl"/>
                <w:sz w:val="28"/>
                <w:szCs w:val="28"/>
                <w:rtl/>
              </w:rPr>
              <w:t>ת"פ</w:t>
            </w:r>
            <w:r w:rsidRPr="00AD2F53">
              <w:rPr>
                <w:rFonts w:cs="FrankRuehl" w:hint="cs"/>
                <w:sz w:val="28"/>
                <w:szCs w:val="28"/>
                <w:rtl/>
              </w:rPr>
              <w:t xml:space="preserve"> </w:t>
            </w:r>
            <w:r w:rsidRPr="00AD2F53">
              <w:rPr>
                <w:rFonts w:cs="FrankRuehl"/>
                <w:sz w:val="28"/>
                <w:szCs w:val="28"/>
                <w:rtl/>
              </w:rPr>
              <w:t>30546-10-23</w:t>
            </w:r>
            <w:r w:rsidRPr="00AD2F53">
              <w:rPr>
                <w:rFonts w:cs="FrankRuehl" w:hint="cs"/>
                <w:sz w:val="28"/>
                <w:szCs w:val="28"/>
                <w:rtl/>
              </w:rPr>
              <w:t xml:space="preserve"> </w:t>
            </w:r>
            <w:r w:rsidRPr="00AD2F53">
              <w:rPr>
                <w:rFonts w:cs="FrankRuehl"/>
                <w:sz w:val="28"/>
                <w:szCs w:val="28"/>
                <w:rtl/>
              </w:rPr>
              <w:t>מדינת ישראל נ' עדני(אחר/נוסף)</w:t>
            </w:r>
          </w:p>
          <w:p w14:paraId="528B599F" w14:textId="77777777" w:rsidR="00D56D8C" w:rsidRPr="00AD2F53" w:rsidRDefault="00D56D8C" w:rsidP="008B4AEC">
            <w:pPr>
              <w:pStyle w:val="a3"/>
              <w:rPr>
                <w:rFonts w:cs="FrankRuehl"/>
                <w:sz w:val="28"/>
                <w:szCs w:val="28"/>
                <w:rtl/>
              </w:rPr>
            </w:pPr>
          </w:p>
        </w:tc>
        <w:tc>
          <w:tcPr>
            <w:tcW w:w="3660" w:type="dxa"/>
          </w:tcPr>
          <w:p w14:paraId="46FA0479" w14:textId="77777777" w:rsidR="00D56D8C" w:rsidRPr="00AD2F53" w:rsidRDefault="00D56D8C" w:rsidP="008B4AEC">
            <w:pPr>
              <w:pStyle w:val="a3"/>
              <w:jc w:val="right"/>
              <w:rPr>
                <w:rFonts w:cs="FrankRuehl"/>
                <w:sz w:val="28"/>
                <w:szCs w:val="28"/>
                <w:rtl/>
              </w:rPr>
            </w:pPr>
          </w:p>
        </w:tc>
      </w:tr>
      <w:tr w:rsidR="00D56D8C" w:rsidRPr="00AD2F53" w14:paraId="1F19CA74" w14:textId="77777777" w:rsidTr="000B51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BD2A10E" w14:textId="77777777" w:rsidR="00D56D8C" w:rsidRPr="00AD2F53" w:rsidRDefault="00D56D8C" w:rsidP="00D56D8C">
            <w:pPr>
              <w:jc w:val="both"/>
              <w:rPr>
                <w:rFonts w:ascii="David" w:hAnsi="David"/>
                <w:sz w:val="26"/>
                <w:szCs w:val="26"/>
              </w:rPr>
            </w:pPr>
            <w:r w:rsidRPr="00AD2F53">
              <w:rPr>
                <w:rFonts w:ascii="David" w:hAnsi="David" w:hint="cs"/>
                <w:sz w:val="26"/>
                <w:szCs w:val="26"/>
                <w:rtl/>
              </w:rPr>
              <w:t>ל</w:t>
            </w:r>
            <w:r w:rsidRPr="00AD2F53">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A796DAE" w14:textId="77777777" w:rsidR="00D56D8C" w:rsidRPr="00AD2F53" w:rsidRDefault="00D56D8C" w:rsidP="008B4AEC">
            <w:pPr>
              <w:rPr>
                <w:rFonts w:ascii="David" w:hAnsi="David"/>
                <w:b/>
                <w:bCs/>
                <w:sz w:val="26"/>
                <w:szCs w:val="26"/>
                <w:rtl/>
              </w:rPr>
            </w:pPr>
            <w:r w:rsidRPr="00AD2F53">
              <w:rPr>
                <w:rFonts w:ascii="David" w:hAnsi="David"/>
                <w:b/>
                <w:bCs/>
                <w:sz w:val="26"/>
                <w:szCs w:val="26"/>
                <w:rtl/>
              </w:rPr>
              <w:t>כבוד השופט  מרדכי כדורי</w:t>
            </w:r>
          </w:p>
          <w:p w14:paraId="5F71781D" w14:textId="77777777" w:rsidR="00D56D8C" w:rsidRPr="00AD2F53" w:rsidRDefault="00D56D8C" w:rsidP="00D56D8C">
            <w:pPr>
              <w:jc w:val="both"/>
              <w:rPr>
                <w:rFonts w:ascii="David" w:hAnsi="David"/>
                <w:sz w:val="26"/>
                <w:szCs w:val="26"/>
              </w:rPr>
            </w:pPr>
          </w:p>
        </w:tc>
      </w:tr>
      <w:tr w:rsidR="00D56D8C" w:rsidRPr="00AD2F53" w14:paraId="37911434" w14:textId="77777777" w:rsidTr="000B51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B78766B" w14:textId="77777777" w:rsidR="00D56D8C" w:rsidRPr="00AD2F53" w:rsidRDefault="00D56D8C" w:rsidP="00D56D8C">
            <w:pPr>
              <w:jc w:val="both"/>
              <w:rPr>
                <w:rFonts w:ascii="David" w:hAnsi="David"/>
                <w:sz w:val="26"/>
                <w:szCs w:val="26"/>
              </w:rPr>
            </w:pPr>
            <w:bookmarkStart w:id="1" w:name="FirstAppellant"/>
            <w:bookmarkStart w:id="2" w:name="FirstLawyer"/>
            <w:r w:rsidRPr="00AD2F53">
              <w:rPr>
                <w:rFonts w:ascii="David" w:hAnsi="David"/>
                <w:sz w:val="26"/>
                <w:szCs w:val="26"/>
                <w:rtl/>
              </w:rPr>
              <w:t>בעניין:</w:t>
            </w:r>
          </w:p>
        </w:tc>
        <w:tc>
          <w:tcPr>
            <w:tcW w:w="2231" w:type="dxa"/>
            <w:tcBorders>
              <w:top w:val="nil"/>
              <w:left w:val="nil"/>
              <w:bottom w:val="nil"/>
              <w:right w:val="nil"/>
            </w:tcBorders>
            <w:shd w:val="clear" w:color="auto" w:fill="auto"/>
          </w:tcPr>
          <w:p w14:paraId="1763BC24" w14:textId="77777777" w:rsidR="00D56D8C" w:rsidRPr="00AD2F53" w:rsidRDefault="00D56D8C" w:rsidP="00D56D8C">
            <w:pPr>
              <w:suppressLineNumbers/>
              <w:rPr>
                <w:rFonts w:ascii="David" w:hAnsi="David"/>
                <w:sz w:val="26"/>
                <w:szCs w:val="26"/>
              </w:rPr>
            </w:pPr>
          </w:p>
        </w:tc>
        <w:tc>
          <w:tcPr>
            <w:tcW w:w="5666" w:type="dxa"/>
            <w:gridSpan w:val="3"/>
            <w:tcBorders>
              <w:top w:val="nil"/>
              <w:left w:val="nil"/>
              <w:bottom w:val="nil"/>
              <w:right w:val="nil"/>
            </w:tcBorders>
            <w:shd w:val="clear" w:color="auto" w:fill="auto"/>
            <w:vAlign w:val="center"/>
          </w:tcPr>
          <w:p w14:paraId="68357FAD" w14:textId="77777777" w:rsidR="00D56D8C" w:rsidRPr="00AD2F53" w:rsidRDefault="00D56D8C" w:rsidP="00D56D8C">
            <w:pPr>
              <w:suppressLineNumbers/>
              <w:rPr>
                <w:rFonts w:ascii="Arial" w:hAnsi="Arial"/>
                <w:b/>
                <w:bCs/>
                <w:sz w:val="26"/>
                <w:szCs w:val="26"/>
                <w:rtl/>
              </w:rPr>
            </w:pPr>
            <w:r w:rsidRPr="00AD2F53">
              <w:rPr>
                <w:rFonts w:ascii="Arial" w:hAnsi="Arial"/>
                <w:b/>
                <w:bCs/>
                <w:sz w:val="26"/>
                <w:szCs w:val="26"/>
                <w:rtl/>
              </w:rPr>
              <w:t>מדינת ישראל</w:t>
            </w:r>
          </w:p>
          <w:p w14:paraId="676FFE71" w14:textId="77777777" w:rsidR="00D56D8C" w:rsidRPr="00AD2F53" w:rsidRDefault="00D56D8C" w:rsidP="00D56D8C">
            <w:pPr>
              <w:suppressLineNumbers/>
              <w:rPr>
                <w:rFonts w:ascii="Arial" w:hAnsi="Arial"/>
                <w:sz w:val="26"/>
                <w:szCs w:val="26"/>
                <w:rtl/>
              </w:rPr>
            </w:pPr>
            <w:r w:rsidRPr="00AD2F53">
              <w:rPr>
                <w:rFonts w:ascii="Arial" w:hAnsi="Arial"/>
                <w:sz w:val="26"/>
                <w:szCs w:val="26"/>
                <w:rtl/>
              </w:rPr>
              <w:t>ע"י ב"כ עוה"ד</w:t>
            </w:r>
            <w:r w:rsidRPr="00AD2F53">
              <w:rPr>
                <w:rFonts w:ascii="Arial" w:hAnsi="Arial" w:hint="cs"/>
                <w:sz w:val="26"/>
                <w:szCs w:val="26"/>
                <w:rtl/>
              </w:rPr>
              <w:t xml:space="preserve"> אביעד דואק, נדב שחם</w:t>
            </w:r>
          </w:p>
          <w:p w14:paraId="4E8112C9" w14:textId="77777777" w:rsidR="00D56D8C" w:rsidRPr="00AD2F53" w:rsidRDefault="00D56D8C" w:rsidP="00D56D8C">
            <w:pPr>
              <w:suppressLineNumbers/>
              <w:rPr>
                <w:sz w:val="26"/>
                <w:szCs w:val="26"/>
              </w:rPr>
            </w:pPr>
            <w:r w:rsidRPr="00AD2F53">
              <w:rPr>
                <w:rFonts w:hint="cs"/>
                <w:sz w:val="26"/>
                <w:szCs w:val="26"/>
                <w:rtl/>
              </w:rPr>
              <w:t>מפרקליטות מחוז ירושלים (פלילי)</w:t>
            </w:r>
          </w:p>
          <w:p w14:paraId="48BA8BC6" w14:textId="77777777" w:rsidR="00D56D8C" w:rsidRPr="00AD2F53" w:rsidRDefault="00D56D8C" w:rsidP="00D56D8C">
            <w:pPr>
              <w:suppressLineNumbers/>
              <w:jc w:val="right"/>
              <w:rPr>
                <w:rFonts w:ascii="David" w:hAnsi="David"/>
                <w:sz w:val="26"/>
                <w:szCs w:val="26"/>
              </w:rPr>
            </w:pPr>
            <w:r w:rsidRPr="00AD2F53">
              <w:rPr>
                <w:rFonts w:ascii="Arial" w:hAnsi="Arial" w:hint="cs"/>
                <w:b/>
                <w:bCs/>
                <w:sz w:val="26"/>
                <w:szCs w:val="26"/>
                <w:rtl/>
              </w:rPr>
              <w:t>ה</w:t>
            </w:r>
            <w:r w:rsidRPr="00AD2F53">
              <w:rPr>
                <w:rFonts w:ascii="Arial" w:hAnsi="Arial"/>
                <w:b/>
                <w:bCs/>
                <w:sz w:val="26"/>
                <w:szCs w:val="26"/>
                <w:rtl/>
              </w:rPr>
              <w:t>מאשימה</w:t>
            </w:r>
          </w:p>
        </w:tc>
      </w:tr>
      <w:bookmarkEnd w:id="1"/>
      <w:bookmarkEnd w:id="2"/>
      <w:tr w:rsidR="00D56D8C" w:rsidRPr="00AD2F53" w14:paraId="534DE21C" w14:textId="77777777" w:rsidTr="000B51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C0F099" w14:textId="77777777" w:rsidR="00D56D8C" w:rsidRPr="00AD2F53" w:rsidRDefault="00D56D8C" w:rsidP="00D56D8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BDAF207" w14:textId="77777777" w:rsidR="00D56D8C" w:rsidRPr="00AD2F53" w:rsidRDefault="00D56D8C" w:rsidP="00D56D8C">
            <w:pPr>
              <w:jc w:val="center"/>
              <w:rPr>
                <w:rFonts w:ascii="David" w:hAnsi="David"/>
                <w:b/>
                <w:bCs/>
                <w:sz w:val="26"/>
                <w:szCs w:val="26"/>
                <w:rtl/>
              </w:rPr>
            </w:pPr>
          </w:p>
          <w:p w14:paraId="0983C539" w14:textId="77777777" w:rsidR="00D56D8C" w:rsidRPr="00AD2F53" w:rsidRDefault="00D56D8C" w:rsidP="00D56D8C">
            <w:pPr>
              <w:jc w:val="center"/>
              <w:rPr>
                <w:rFonts w:ascii="David" w:hAnsi="David"/>
                <w:b/>
                <w:bCs/>
                <w:sz w:val="26"/>
                <w:szCs w:val="26"/>
                <w:rtl/>
              </w:rPr>
            </w:pPr>
            <w:r w:rsidRPr="00AD2F53">
              <w:rPr>
                <w:rFonts w:ascii="David" w:hAnsi="David"/>
                <w:b/>
                <w:bCs/>
                <w:sz w:val="26"/>
                <w:szCs w:val="26"/>
                <w:rtl/>
              </w:rPr>
              <w:t>נגד</w:t>
            </w:r>
          </w:p>
          <w:p w14:paraId="1F31C48C" w14:textId="77777777" w:rsidR="00D56D8C" w:rsidRPr="00AD2F53" w:rsidRDefault="00D56D8C" w:rsidP="00D56D8C">
            <w:pPr>
              <w:jc w:val="both"/>
              <w:rPr>
                <w:rFonts w:ascii="David" w:hAnsi="David"/>
                <w:sz w:val="26"/>
                <w:szCs w:val="26"/>
              </w:rPr>
            </w:pPr>
          </w:p>
        </w:tc>
      </w:tr>
      <w:tr w:rsidR="00D56D8C" w:rsidRPr="00AD2F53" w14:paraId="38A2CCA1" w14:textId="77777777" w:rsidTr="000B51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E82F4D" w14:textId="77777777" w:rsidR="00D56D8C" w:rsidRPr="00AD2F53" w:rsidRDefault="00D56D8C" w:rsidP="008B4AEC">
            <w:pPr>
              <w:rPr>
                <w:rFonts w:ascii="David" w:hAnsi="David"/>
                <w:sz w:val="26"/>
                <w:szCs w:val="26"/>
                <w:rtl/>
              </w:rPr>
            </w:pPr>
          </w:p>
        </w:tc>
        <w:tc>
          <w:tcPr>
            <w:tcW w:w="2231" w:type="dxa"/>
            <w:tcBorders>
              <w:top w:val="nil"/>
              <w:left w:val="nil"/>
              <w:bottom w:val="nil"/>
              <w:right w:val="nil"/>
            </w:tcBorders>
            <w:shd w:val="clear" w:color="auto" w:fill="auto"/>
          </w:tcPr>
          <w:p w14:paraId="7F6B82B9" w14:textId="77777777" w:rsidR="00D56D8C" w:rsidRPr="00AD2F53" w:rsidRDefault="00D56D8C" w:rsidP="008B4AEC">
            <w:pPr>
              <w:rPr>
                <w:rFonts w:ascii="Arial" w:hAnsi="Arial"/>
                <w:b/>
                <w:bCs/>
                <w:sz w:val="26"/>
                <w:szCs w:val="26"/>
                <w:rtl/>
              </w:rPr>
            </w:pPr>
          </w:p>
        </w:tc>
        <w:tc>
          <w:tcPr>
            <w:tcW w:w="5666" w:type="dxa"/>
            <w:gridSpan w:val="3"/>
            <w:tcBorders>
              <w:top w:val="nil"/>
              <w:left w:val="nil"/>
              <w:bottom w:val="nil"/>
              <w:right w:val="nil"/>
            </w:tcBorders>
            <w:shd w:val="clear" w:color="auto" w:fill="auto"/>
            <w:vAlign w:val="center"/>
          </w:tcPr>
          <w:p w14:paraId="5A82E6D2" w14:textId="77777777" w:rsidR="00D56D8C" w:rsidRPr="00AD2F53" w:rsidRDefault="00D56D8C" w:rsidP="00D56D8C">
            <w:pPr>
              <w:suppressLineNumbers/>
              <w:rPr>
                <w:rFonts w:ascii="Arial" w:hAnsi="Arial"/>
                <w:b/>
                <w:bCs/>
                <w:sz w:val="26"/>
                <w:szCs w:val="26"/>
                <w:rtl/>
              </w:rPr>
            </w:pPr>
            <w:r w:rsidRPr="00AD2F53">
              <w:rPr>
                <w:rFonts w:ascii="Arial" w:hAnsi="Arial"/>
                <w:b/>
                <w:bCs/>
                <w:sz w:val="26"/>
                <w:szCs w:val="26"/>
                <w:rtl/>
              </w:rPr>
              <w:t>שמעון עדני</w:t>
            </w:r>
          </w:p>
          <w:p w14:paraId="6ADDEA9E" w14:textId="77777777" w:rsidR="00D56D8C" w:rsidRPr="00AD2F53" w:rsidRDefault="00D56D8C" w:rsidP="00D56D8C">
            <w:pPr>
              <w:suppressLineNumbers/>
            </w:pPr>
            <w:r w:rsidRPr="00AD2F53">
              <w:rPr>
                <w:rFonts w:ascii="Arial" w:hAnsi="Arial"/>
                <w:sz w:val="26"/>
                <w:szCs w:val="26"/>
                <w:rtl/>
              </w:rPr>
              <w:t>ע"י ב"כ עו"ד</w:t>
            </w:r>
            <w:r w:rsidRPr="00AD2F53">
              <w:rPr>
                <w:rFonts w:ascii="Arial" w:hAnsi="Arial" w:hint="cs"/>
                <w:sz w:val="26"/>
                <w:szCs w:val="26"/>
                <w:rtl/>
              </w:rPr>
              <w:t xml:space="preserve"> רועי אטיאס</w:t>
            </w:r>
          </w:p>
          <w:p w14:paraId="5E7E918E" w14:textId="77777777" w:rsidR="00D56D8C" w:rsidRPr="00AD2F53" w:rsidRDefault="00D56D8C" w:rsidP="00D56D8C">
            <w:pPr>
              <w:jc w:val="right"/>
              <w:rPr>
                <w:rFonts w:ascii="David" w:hAnsi="David"/>
                <w:sz w:val="26"/>
                <w:szCs w:val="26"/>
              </w:rPr>
            </w:pPr>
            <w:r w:rsidRPr="00AD2F53">
              <w:rPr>
                <w:rFonts w:ascii="Arial" w:hAnsi="Arial"/>
                <w:b/>
                <w:bCs/>
                <w:sz w:val="26"/>
                <w:szCs w:val="26"/>
                <w:rtl/>
              </w:rPr>
              <w:t>הנאשם</w:t>
            </w:r>
          </w:p>
        </w:tc>
      </w:tr>
    </w:tbl>
    <w:p w14:paraId="5891005F" w14:textId="77777777" w:rsidR="000B519B" w:rsidRPr="000B519B" w:rsidRDefault="000B519B" w:rsidP="000B519B">
      <w:pPr>
        <w:spacing w:before="120" w:after="120" w:line="240" w:lineRule="exact"/>
        <w:ind w:left="283" w:hanging="283"/>
        <w:jc w:val="both"/>
        <w:rPr>
          <w:rFonts w:ascii="FrankRuehl" w:eastAsia="Calibri" w:hAnsi="FrankRuehl" w:cs="FrankRuehl"/>
          <w:rtl/>
        </w:rPr>
      </w:pPr>
      <w:bookmarkStart w:id="3" w:name="LawTable"/>
      <w:bookmarkEnd w:id="3"/>
    </w:p>
    <w:p w14:paraId="4DC82C14" w14:textId="77777777" w:rsidR="000B519B" w:rsidRPr="000B519B" w:rsidRDefault="000B519B" w:rsidP="000B519B">
      <w:pPr>
        <w:spacing w:before="120" w:after="120" w:line="240" w:lineRule="exact"/>
        <w:ind w:left="283" w:hanging="283"/>
        <w:jc w:val="both"/>
        <w:rPr>
          <w:rFonts w:ascii="FrankRuehl" w:eastAsia="Calibri" w:hAnsi="FrankRuehl" w:cs="FrankRuehl"/>
          <w:rtl/>
        </w:rPr>
      </w:pPr>
      <w:r w:rsidRPr="000B519B">
        <w:rPr>
          <w:rFonts w:ascii="FrankRuehl" w:eastAsia="Calibri" w:hAnsi="FrankRuehl" w:cs="FrankRuehl"/>
          <w:rtl/>
        </w:rPr>
        <w:t xml:space="preserve">חקיקה שאוזכרה: </w:t>
      </w:r>
    </w:p>
    <w:p w14:paraId="134FE6DE" w14:textId="77777777" w:rsidR="000B519B" w:rsidRPr="000B519B" w:rsidRDefault="000B519B" w:rsidP="000B519B">
      <w:pPr>
        <w:spacing w:before="120" w:after="120" w:line="240" w:lineRule="exact"/>
        <w:ind w:left="283" w:hanging="283"/>
        <w:jc w:val="both"/>
        <w:rPr>
          <w:rFonts w:ascii="FrankRuehl" w:eastAsia="Calibri" w:hAnsi="FrankRuehl" w:cs="FrankRuehl"/>
          <w:color w:val="0000FF"/>
          <w:rtl/>
        </w:rPr>
      </w:pPr>
      <w:hyperlink r:id="rId6" w:history="1">
        <w:r w:rsidRPr="000B519B">
          <w:rPr>
            <w:rStyle w:val="Hyperlink"/>
            <w:rFonts w:ascii="FrankRuehl" w:hAnsi="FrankRuehl" w:cs="FrankRuehl"/>
            <w:u w:val="none"/>
            <w:rtl/>
          </w:rPr>
          <w:t>חוק העונשין, תשל"ז-1977</w:t>
        </w:r>
      </w:hyperlink>
      <w:r w:rsidRPr="000B519B">
        <w:rPr>
          <w:rFonts w:ascii="FrankRuehl" w:eastAsia="Calibri" w:hAnsi="FrankRuehl" w:cs="FrankRuehl"/>
          <w:color w:val="0000FF"/>
          <w:rtl/>
        </w:rPr>
        <w:t xml:space="preserve">: סע'  </w:t>
      </w:r>
      <w:hyperlink r:id="rId7" w:history="1">
        <w:r w:rsidRPr="000B519B">
          <w:rPr>
            <w:rStyle w:val="Hyperlink"/>
            <w:rFonts w:ascii="FrankRuehl" w:hAnsi="FrankRuehl" w:cs="FrankRuehl"/>
            <w:u w:val="none"/>
          </w:rPr>
          <w:t>144</w:t>
        </w:r>
      </w:hyperlink>
      <w:r w:rsidRPr="000B519B">
        <w:rPr>
          <w:rFonts w:ascii="FrankRuehl" w:eastAsia="Calibri" w:hAnsi="FrankRuehl" w:cs="FrankRuehl"/>
          <w:color w:val="0000FF"/>
          <w:rtl/>
        </w:rPr>
        <w:t xml:space="preserve">, </w:t>
      </w:r>
      <w:hyperlink r:id="rId8" w:history="1">
        <w:r w:rsidRPr="000B519B">
          <w:rPr>
            <w:rStyle w:val="Hyperlink"/>
            <w:rFonts w:ascii="FrankRuehl" w:hAnsi="FrankRuehl" w:cs="FrankRuehl"/>
            <w:u w:val="none"/>
          </w:rPr>
          <w:t>144</w:t>
        </w:r>
      </w:hyperlink>
      <w:r w:rsidRPr="000B519B">
        <w:rPr>
          <w:rFonts w:ascii="FrankRuehl" w:eastAsia="Calibri" w:hAnsi="FrankRuehl" w:cs="FrankRuehl"/>
          <w:color w:val="0000FF"/>
          <w:rtl/>
        </w:rPr>
        <w:t xml:space="preserve">(ב), </w:t>
      </w:r>
      <w:hyperlink r:id="rId9" w:history="1">
        <w:r w:rsidRPr="000B519B">
          <w:rPr>
            <w:rStyle w:val="Hyperlink"/>
            <w:rFonts w:ascii="FrankRuehl" w:hAnsi="FrankRuehl" w:cs="FrankRuehl"/>
            <w:u w:val="none"/>
          </w:rPr>
          <w:t>144</w:t>
        </w:r>
      </w:hyperlink>
      <w:r w:rsidRPr="000B519B">
        <w:rPr>
          <w:rFonts w:ascii="FrankRuehl" w:eastAsia="Calibri" w:hAnsi="FrankRuehl" w:cs="FrankRuehl"/>
          <w:color w:val="0000FF"/>
          <w:rtl/>
        </w:rPr>
        <w:t>(ז)</w:t>
      </w:r>
    </w:p>
    <w:p w14:paraId="7B587FD4" w14:textId="77777777" w:rsidR="00D56D8C" w:rsidRPr="000B519B" w:rsidRDefault="00D56D8C" w:rsidP="000B519B">
      <w:pPr>
        <w:spacing w:line="360" w:lineRule="auto"/>
        <w:jc w:val="both"/>
        <w:rPr>
          <w:rFonts w:ascii="Calibri" w:eastAsia="Calibri" w:hAnsi="Calibri"/>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56D8C" w14:paraId="5F0C48EF" w14:textId="77777777" w:rsidTr="00D56D8C">
        <w:trPr>
          <w:trHeight w:val="355"/>
          <w:jc w:val="center"/>
        </w:trPr>
        <w:tc>
          <w:tcPr>
            <w:tcW w:w="8820" w:type="dxa"/>
            <w:tcBorders>
              <w:top w:val="nil"/>
              <w:left w:val="nil"/>
              <w:bottom w:val="nil"/>
              <w:right w:val="nil"/>
            </w:tcBorders>
            <w:shd w:val="clear" w:color="auto" w:fill="auto"/>
          </w:tcPr>
          <w:p w14:paraId="0D2CD62A" w14:textId="77777777" w:rsidR="00AD2F53" w:rsidRPr="00AD2F53" w:rsidRDefault="00AD2F53" w:rsidP="00AD2F53">
            <w:pPr>
              <w:jc w:val="center"/>
              <w:rPr>
                <w:rFonts w:ascii="David" w:hAnsi="David"/>
                <w:b/>
                <w:bCs/>
                <w:sz w:val="32"/>
                <w:szCs w:val="32"/>
                <w:u w:val="single"/>
                <w:rtl/>
              </w:rPr>
            </w:pPr>
            <w:bookmarkStart w:id="5" w:name="PsakDin" w:colFirst="0" w:colLast="0"/>
            <w:bookmarkEnd w:id="0"/>
            <w:r w:rsidRPr="00AD2F53">
              <w:rPr>
                <w:rFonts w:ascii="David" w:hAnsi="David"/>
                <w:b/>
                <w:bCs/>
                <w:sz w:val="32"/>
                <w:szCs w:val="32"/>
                <w:u w:val="single"/>
                <w:rtl/>
              </w:rPr>
              <w:t>גזר דין</w:t>
            </w:r>
          </w:p>
          <w:p w14:paraId="0C20BD56" w14:textId="77777777" w:rsidR="00D56D8C" w:rsidRPr="00AD2F53" w:rsidRDefault="00D56D8C" w:rsidP="00AD2F53">
            <w:pPr>
              <w:jc w:val="center"/>
              <w:rPr>
                <w:rFonts w:ascii="David" w:hAnsi="David"/>
                <w:bCs/>
                <w:sz w:val="32"/>
                <w:szCs w:val="32"/>
                <w:u w:val="single"/>
                <w:rtl/>
              </w:rPr>
            </w:pPr>
          </w:p>
        </w:tc>
      </w:tr>
      <w:bookmarkEnd w:id="5"/>
    </w:tbl>
    <w:p w14:paraId="7556D79B" w14:textId="77777777" w:rsidR="00D56D8C" w:rsidRDefault="00D56D8C" w:rsidP="00D56D8C">
      <w:pPr>
        <w:spacing w:line="360" w:lineRule="auto"/>
        <w:jc w:val="both"/>
        <w:rPr>
          <w:rFonts w:ascii="Calibri" w:eastAsia="Calibri" w:hAnsi="Calibri"/>
          <w:rtl/>
        </w:rPr>
      </w:pPr>
    </w:p>
    <w:p w14:paraId="1F9A4CE5" w14:textId="77777777" w:rsidR="00D56D8C" w:rsidRPr="009128A2" w:rsidRDefault="00D56D8C" w:rsidP="00D56D8C">
      <w:pPr>
        <w:spacing w:line="360" w:lineRule="auto"/>
        <w:jc w:val="both"/>
        <w:rPr>
          <w:rFonts w:ascii="Calibri" w:eastAsia="Calibri" w:hAnsi="Calibri"/>
          <w:rtl/>
        </w:rPr>
      </w:pPr>
    </w:p>
    <w:p w14:paraId="7D84C321" w14:textId="77777777" w:rsidR="00D56D8C" w:rsidRPr="009128A2" w:rsidRDefault="00D56D8C" w:rsidP="00D56D8C">
      <w:pPr>
        <w:spacing w:line="360" w:lineRule="auto"/>
        <w:jc w:val="both"/>
        <w:outlineLvl w:val="0"/>
        <w:rPr>
          <w:rFonts w:ascii="Calibri" w:eastAsia="Calibri" w:hAnsi="Calibri"/>
          <w:b/>
          <w:bCs/>
          <w:u w:val="single"/>
          <w:rtl/>
        </w:rPr>
      </w:pPr>
      <w:r w:rsidRPr="009128A2">
        <w:rPr>
          <w:rFonts w:ascii="Calibri" w:eastAsia="Calibri" w:hAnsi="Calibri"/>
          <w:b/>
          <w:bCs/>
          <w:u w:val="single"/>
          <w:rtl/>
        </w:rPr>
        <w:t>הרקע:</w:t>
      </w:r>
    </w:p>
    <w:p w14:paraId="693ED64D" w14:textId="77777777" w:rsidR="00D56D8C" w:rsidRPr="009128A2" w:rsidRDefault="00D56D8C" w:rsidP="00D56D8C">
      <w:pPr>
        <w:spacing w:line="360" w:lineRule="auto"/>
        <w:ind w:left="680" w:hanging="680"/>
        <w:jc w:val="both"/>
        <w:rPr>
          <w:rFonts w:ascii="David" w:eastAsia="Calibri" w:hAnsi="David"/>
          <w:rtl/>
        </w:rPr>
      </w:pPr>
      <w:r w:rsidRPr="009128A2">
        <w:rPr>
          <w:rFonts w:ascii="David" w:hAnsi="David"/>
          <w:rtl/>
        </w:rPr>
        <w:t>1.</w:t>
      </w:r>
      <w:r w:rsidRPr="009128A2">
        <w:rPr>
          <w:rFonts w:ascii="David" w:hAnsi="David"/>
          <w:rtl/>
        </w:rPr>
        <w:tab/>
      </w:r>
      <w:bookmarkStart w:id="6" w:name="ABSTRACT_START"/>
      <w:bookmarkEnd w:id="6"/>
      <w:r w:rsidRPr="009128A2">
        <w:rPr>
          <w:rFonts w:ascii="David" w:hAnsi="David"/>
          <w:rtl/>
        </w:rPr>
        <w:t xml:space="preserve">הנאשם הורשע על פי הודאתו שניתנה במסגרת הסדר טיעון, בעבירה של </w:t>
      </w:r>
      <w:r w:rsidRPr="009128A2">
        <w:rPr>
          <w:rFonts w:ascii="David" w:hAnsi="David"/>
          <w:b/>
          <w:bCs/>
          <w:rtl/>
        </w:rPr>
        <w:t>נשיאת נשק</w:t>
      </w:r>
      <w:r w:rsidRPr="009128A2">
        <w:rPr>
          <w:rFonts w:ascii="David" w:hAnsi="David"/>
          <w:rtl/>
        </w:rPr>
        <w:t xml:space="preserve">, לפי </w:t>
      </w:r>
      <w:hyperlink r:id="rId10" w:history="1">
        <w:r w:rsidR="000B519B" w:rsidRPr="000B519B">
          <w:rPr>
            <w:rStyle w:val="Hyperlink"/>
            <w:rFonts w:ascii="David" w:hAnsi="David"/>
            <w:color w:val="0000FF"/>
            <w:rtl/>
          </w:rPr>
          <w:t>סעיף 144(ב)</w:t>
        </w:r>
      </w:hyperlink>
      <w:r w:rsidRPr="009128A2">
        <w:rPr>
          <w:rFonts w:ascii="David" w:hAnsi="David"/>
          <w:rtl/>
        </w:rPr>
        <w:t xml:space="preserve"> ב</w:t>
      </w:r>
      <w:hyperlink r:id="rId11" w:history="1">
        <w:r w:rsidR="00AD2F53" w:rsidRPr="00AD2F53">
          <w:rPr>
            <w:rFonts w:ascii="David" w:hAnsi="David"/>
            <w:color w:val="0000FF"/>
            <w:u w:val="single"/>
            <w:rtl/>
          </w:rPr>
          <w:t>חוק העונשין</w:t>
        </w:r>
      </w:hyperlink>
      <w:r w:rsidRPr="009128A2">
        <w:rPr>
          <w:rFonts w:ascii="David" w:hAnsi="David"/>
          <w:rtl/>
        </w:rPr>
        <w:t xml:space="preserve"> תשל"ז-1977.</w:t>
      </w:r>
    </w:p>
    <w:p w14:paraId="2AB037FE" w14:textId="77777777" w:rsidR="00D56D8C" w:rsidRPr="009128A2" w:rsidRDefault="00D56D8C" w:rsidP="00D56D8C">
      <w:pPr>
        <w:spacing w:line="360" w:lineRule="auto"/>
        <w:ind w:left="680" w:hanging="680"/>
        <w:jc w:val="both"/>
        <w:rPr>
          <w:rFonts w:ascii="David" w:hAnsi="David"/>
          <w:rtl/>
        </w:rPr>
      </w:pPr>
    </w:p>
    <w:p w14:paraId="4560D3F4"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t>2.</w:t>
      </w:r>
      <w:r w:rsidRPr="009128A2">
        <w:rPr>
          <w:rFonts w:ascii="David" w:hAnsi="David"/>
          <w:rtl/>
        </w:rPr>
        <w:tab/>
        <w:t>הסדר הטיעון כלל הסכמה לפיה המאשימה תבקש לגזור על הנאשם מאסר בפועל למשך 26 חודשים ורכיבי ענישה נוספים, בעוד ההגנה תהיה חופשית בטיעוניה. עוד הוסכם כי המאשימה לא תבקש לחלט את רכב הנאשם, וכי ההגנה תהיה רשאית לטעון שהנאשם נשא את הנשק לנוכח אירועי יום השבעה באוקטובר 2023 והחשש הנובע מכך.</w:t>
      </w:r>
    </w:p>
    <w:p w14:paraId="2EB018D3" w14:textId="77777777" w:rsidR="00D56D8C" w:rsidRPr="009128A2" w:rsidRDefault="00D56D8C" w:rsidP="00D56D8C">
      <w:pPr>
        <w:spacing w:line="360" w:lineRule="auto"/>
        <w:ind w:left="680" w:hanging="680"/>
        <w:jc w:val="both"/>
        <w:rPr>
          <w:rFonts w:ascii="David" w:hAnsi="David"/>
          <w:rtl/>
        </w:rPr>
      </w:pPr>
    </w:p>
    <w:p w14:paraId="34B520AF" w14:textId="77777777" w:rsidR="00D56D8C" w:rsidRPr="009128A2" w:rsidRDefault="00D56D8C" w:rsidP="00D56D8C">
      <w:pPr>
        <w:spacing w:line="360" w:lineRule="auto"/>
        <w:jc w:val="both"/>
        <w:outlineLvl w:val="1"/>
        <w:rPr>
          <w:rFonts w:ascii="Calibri" w:hAnsi="Calibri"/>
          <w:u w:val="single"/>
          <w:rtl/>
        </w:rPr>
      </w:pPr>
      <w:bookmarkStart w:id="7" w:name="ABSTRACT_END"/>
      <w:bookmarkEnd w:id="7"/>
      <w:r w:rsidRPr="009128A2">
        <w:rPr>
          <w:rFonts w:ascii="Calibri" w:hAnsi="Calibri"/>
          <w:u w:val="single"/>
          <w:rtl/>
        </w:rPr>
        <w:t>עובדות כתב האישום המתוקן:</w:t>
      </w:r>
    </w:p>
    <w:p w14:paraId="23B39EBC"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t>3.</w:t>
      </w:r>
      <w:r w:rsidRPr="009128A2">
        <w:rPr>
          <w:rFonts w:ascii="David" w:hAnsi="David"/>
          <w:rtl/>
        </w:rPr>
        <w:tab/>
        <w:t xml:space="preserve">על פי עובדות כתב האישום המתוקן, עובר ליום 9/10/2023 הנאשם, שמעולם לא החזיק ברישיון לנשק, החזיק אקדח הזנקה חצי אוטומטי מסוג </w:t>
      </w:r>
      <w:r w:rsidRPr="009128A2">
        <w:rPr>
          <w:rFonts w:cs="Times New Roman"/>
          <w:sz w:val="22"/>
          <w:szCs w:val="22"/>
        </w:rPr>
        <w:t>Kuzey</w:t>
      </w:r>
      <w:r w:rsidRPr="009128A2">
        <w:rPr>
          <w:rFonts w:ascii="David" w:hAnsi="David"/>
          <w:rtl/>
        </w:rPr>
        <w:t xml:space="preserve">, מודל </w:t>
      </w:r>
      <w:r w:rsidRPr="009128A2">
        <w:rPr>
          <w:rFonts w:cs="Times New Roman"/>
          <w:sz w:val="22"/>
          <w:szCs w:val="22"/>
        </w:rPr>
        <w:t>GN</w:t>
      </w:r>
      <w:r w:rsidRPr="009128A2">
        <w:rPr>
          <w:rFonts w:ascii="David" w:hAnsi="David"/>
        </w:rPr>
        <w:t>19</w:t>
      </w:r>
      <w:r w:rsidRPr="009128A2">
        <w:rPr>
          <w:rFonts w:ascii="David" w:hAnsi="David"/>
          <w:rtl/>
        </w:rPr>
        <w:t xml:space="preserve"> קליבר </w:t>
      </w:r>
      <w:r w:rsidRPr="009128A2">
        <w:rPr>
          <w:rFonts w:cs="Times New Roman"/>
          <w:sz w:val="22"/>
          <w:szCs w:val="22"/>
        </w:rPr>
        <w:t>P.A.K</w:t>
      </w:r>
      <w:r w:rsidRPr="009128A2">
        <w:rPr>
          <w:rFonts w:ascii="David" w:hAnsi="David"/>
          <w:sz w:val="22"/>
          <w:szCs w:val="22"/>
          <w:rtl/>
        </w:rPr>
        <w:t xml:space="preserve"> </w:t>
      </w:r>
      <w:r w:rsidRPr="009128A2">
        <w:rPr>
          <w:rFonts w:ascii="David" w:hAnsi="David"/>
          <w:rtl/>
        </w:rPr>
        <w:t>תשעה מילימטר, אשר הוסב לירי תחמושת קליעית, כך שהאקדח יורה ובכוחו להמית (להלן: "</w:t>
      </w:r>
      <w:r w:rsidRPr="009128A2">
        <w:rPr>
          <w:rFonts w:ascii="David" w:hAnsi="David"/>
          <w:b/>
          <w:bCs/>
          <w:rtl/>
        </w:rPr>
        <w:t>האקדח</w:t>
      </w:r>
      <w:r w:rsidRPr="009128A2">
        <w:rPr>
          <w:rFonts w:ascii="David" w:hAnsi="David"/>
          <w:rtl/>
        </w:rPr>
        <w:t xml:space="preserve">"). </w:t>
      </w:r>
    </w:p>
    <w:p w14:paraId="3CDD5EE0" w14:textId="77777777" w:rsidR="00D56D8C" w:rsidRPr="009128A2" w:rsidRDefault="00D56D8C" w:rsidP="00D56D8C">
      <w:pPr>
        <w:spacing w:line="360" w:lineRule="auto"/>
        <w:ind w:left="680" w:hanging="680"/>
        <w:jc w:val="both"/>
        <w:rPr>
          <w:rFonts w:ascii="David" w:hAnsi="David"/>
          <w:rtl/>
        </w:rPr>
      </w:pPr>
    </w:p>
    <w:p w14:paraId="138D8348"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lastRenderedPageBreak/>
        <w:t>4.</w:t>
      </w:r>
      <w:r w:rsidRPr="009128A2">
        <w:rPr>
          <w:rFonts w:ascii="David" w:hAnsi="David"/>
          <w:rtl/>
        </w:rPr>
        <w:tab/>
        <w:t>ביום 9/10/2023 בשעה 22:00 לערך, הנאשם נהג ברכבו, לאחר שהסליק את האקדח מתחת למושב הנהג ברכב, כשהוא עטוף בבד ובתוך שקית. בנוסף, הנאשם החזיק בתושבת הכוסות ברכב מחסנית תואמת לאקדח, ובה כדור תחמושת בקוטר תשעה מילימטר.</w:t>
      </w:r>
    </w:p>
    <w:p w14:paraId="36F214B5" w14:textId="77777777" w:rsidR="00D56D8C" w:rsidRPr="009128A2" w:rsidRDefault="00D56D8C" w:rsidP="00D56D8C">
      <w:pPr>
        <w:spacing w:line="360" w:lineRule="auto"/>
        <w:ind w:left="680" w:hanging="680"/>
        <w:jc w:val="both"/>
        <w:rPr>
          <w:rFonts w:ascii="David" w:hAnsi="David"/>
          <w:rtl/>
        </w:rPr>
      </w:pPr>
    </w:p>
    <w:p w14:paraId="00113C66"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t>5.</w:t>
      </w:r>
      <w:r w:rsidRPr="009128A2">
        <w:rPr>
          <w:rFonts w:ascii="David" w:hAnsi="David"/>
          <w:rtl/>
        </w:rPr>
        <w:tab/>
        <w:t>במועד הטיעונים לעונש המאשימה אישרה כי הנאשם החזיק באקדח במשך יום אחד.</w:t>
      </w:r>
    </w:p>
    <w:p w14:paraId="3046C3F6" w14:textId="77777777" w:rsidR="00D56D8C" w:rsidRPr="009128A2" w:rsidRDefault="00D56D8C" w:rsidP="00D56D8C">
      <w:pPr>
        <w:spacing w:line="360" w:lineRule="auto"/>
        <w:ind w:left="680" w:hanging="680"/>
        <w:jc w:val="both"/>
        <w:rPr>
          <w:rFonts w:ascii="David" w:hAnsi="David"/>
        </w:rPr>
      </w:pPr>
    </w:p>
    <w:p w14:paraId="25D882F8" w14:textId="77777777" w:rsidR="00D56D8C" w:rsidRPr="009128A2" w:rsidRDefault="00D56D8C" w:rsidP="00D56D8C">
      <w:pPr>
        <w:spacing w:line="360" w:lineRule="auto"/>
        <w:jc w:val="both"/>
        <w:outlineLvl w:val="0"/>
        <w:rPr>
          <w:rFonts w:ascii="Calibri" w:eastAsia="Calibri" w:hAnsi="Calibri"/>
          <w:b/>
          <w:bCs/>
          <w:u w:val="single"/>
          <w:rtl/>
        </w:rPr>
      </w:pPr>
      <w:r w:rsidRPr="009128A2">
        <w:rPr>
          <w:rFonts w:ascii="Calibri" w:eastAsia="Calibri" w:hAnsi="Calibri"/>
          <w:b/>
          <w:bCs/>
          <w:u w:val="single"/>
          <w:rtl/>
        </w:rPr>
        <w:t>תסקירי שירות המבחן:</w:t>
      </w:r>
    </w:p>
    <w:p w14:paraId="7E2539F5" w14:textId="77777777" w:rsidR="00D56D8C" w:rsidRPr="009128A2" w:rsidRDefault="00D56D8C" w:rsidP="00D56D8C">
      <w:pPr>
        <w:spacing w:line="360" w:lineRule="auto"/>
        <w:ind w:left="680" w:hanging="680"/>
        <w:jc w:val="both"/>
        <w:rPr>
          <w:rFonts w:ascii="David" w:eastAsia="Calibri" w:hAnsi="David"/>
          <w:rtl/>
        </w:rPr>
      </w:pPr>
      <w:r w:rsidRPr="009128A2">
        <w:rPr>
          <w:rFonts w:ascii="David" w:hAnsi="David"/>
          <w:rtl/>
        </w:rPr>
        <w:t>6.</w:t>
      </w:r>
      <w:r w:rsidRPr="009128A2">
        <w:rPr>
          <w:rFonts w:ascii="David" w:hAnsi="David"/>
          <w:rtl/>
        </w:rPr>
        <w:tab/>
        <w:t>שירות המבחן ערך שלושה תסקירים בעניינו של הנאשם. שירות המבחן פירט כי הנאשם כבן 27, רווק, ללא עבר פלילי, עד מעצרו גר בגפו בהר אדר ועבד כעצמאי. הנאשם שולב בילדותו במוסדות חינוך של המגזר החרדי. בשל קשיי קשב וריכוז מהם סבל, כיוון שהתקשה בלימודים ופרץ גבולות ומאחר שהוריו התקשו להתמודד עם קשייו, הנאשם שולב במסגרת חוץ ביתית עוד בהיותו בן עשר. בהמשך, סיים 12 שנות לימוד ללא תעודת בגרות. לדבריו, הקשר עם הוריו היה מרוחק כיוון שלא עמד בציפיותיהם הדתיות. הנאשם קיבל פטור משירות בצה"ל על רקע בעיה בריאותית, ובמהלך השנים עבד במגוון עבודות לתקופות קצרות כעצמאי וכשכיר, מאחר שהתקשה להתמיד במסגרות לתקופות ארוכות.</w:t>
      </w:r>
    </w:p>
    <w:p w14:paraId="752D7259" w14:textId="77777777" w:rsidR="00D56D8C" w:rsidRPr="009128A2" w:rsidRDefault="00D56D8C" w:rsidP="00D56D8C">
      <w:pPr>
        <w:spacing w:line="360" w:lineRule="auto"/>
        <w:ind w:left="680" w:hanging="680"/>
        <w:jc w:val="both"/>
        <w:rPr>
          <w:rFonts w:ascii="David" w:hAnsi="David"/>
          <w:rtl/>
        </w:rPr>
      </w:pPr>
    </w:p>
    <w:p w14:paraId="6B88B465"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t>7.</w:t>
      </w:r>
      <w:r w:rsidRPr="009128A2">
        <w:rPr>
          <w:rFonts w:ascii="David" w:hAnsi="David"/>
          <w:rtl/>
        </w:rPr>
        <w:tab/>
        <w:t>הנאשם טען לפני קצינת המבחן כי במהלך מבצע שומר החומות, בעת שעבד כנהג משאית, נקלע למהומות בהן יודו לעברו אבנים שגרמו לכך שהוא נפצע והובהל לבית חולים. בהמשך, סבל כתוצאה מכך מחרדות ופחדים, אך לא פנה לטיפול עד לביצוע העבירה. מסמכים שהציג לפני שירות המבחן מלמדים כי לאחר מעצרו פנה לטיפול פסיכיאטרי, אובחן כסובל מתסמינים העשויים להעיד על פוסט-טראומה והומלץ לו על טיפול תרופתי. לדבריו, הוא לא נוטל את התרופות עליהן הומלץ בשל חששו מהתמכרות לכדורים. בהמשך, הנאשם פנה מיוזמתו לטיפול פרטי אצל פסיכולוג קליני מוסמך. הפסיכולוג המטפל מסר לשירות המבחן כי לנאשם נגרמו טראומות מהעבר, הוא משתף פעולה עם הטיפול וצפוי לטיפול ארוך טווח. בנוסף, הנאשם שולב בקבוצה טיפולית לעצורי בית, שיתף פעולה באופן מלא עם הטיפול, הגיע לכל הפגישות בזמן והשתתף באופן פעיל ודומיננטי. בתסקיר משלים שהוגש פורט כי בחודש ינואר 2025 הנאשם השתלב בקבוצת צעירים בשירות המבחן, המצויה בשלב ראשוני והתחלתי. עד כה הנאשם משתף פעולה, מעורר שיח פתוח ונראה כי המשך השתתפותו בקבוצה עשוי לקדם אותו.</w:t>
      </w:r>
    </w:p>
    <w:p w14:paraId="767D6E77" w14:textId="77777777" w:rsidR="00D56D8C" w:rsidRPr="009128A2" w:rsidRDefault="00D56D8C" w:rsidP="00D56D8C">
      <w:pPr>
        <w:spacing w:line="360" w:lineRule="auto"/>
        <w:ind w:left="680" w:hanging="680"/>
        <w:jc w:val="both"/>
        <w:rPr>
          <w:rFonts w:ascii="David" w:hAnsi="David"/>
        </w:rPr>
      </w:pPr>
    </w:p>
    <w:p w14:paraId="4503BB19" w14:textId="77777777" w:rsidR="00D56D8C" w:rsidRPr="009128A2" w:rsidRDefault="00D56D8C" w:rsidP="00D56D8C">
      <w:pPr>
        <w:spacing w:line="360" w:lineRule="auto"/>
        <w:ind w:left="720" w:hanging="720"/>
        <w:jc w:val="both"/>
        <w:rPr>
          <w:rFonts w:ascii="David" w:hAnsi="David"/>
          <w:rtl/>
        </w:rPr>
      </w:pPr>
      <w:r w:rsidRPr="009128A2">
        <w:rPr>
          <w:rFonts w:ascii="David" w:hAnsi="David"/>
          <w:rtl/>
        </w:rPr>
        <w:t>8.</w:t>
      </w:r>
      <w:r w:rsidRPr="009128A2">
        <w:rPr>
          <w:rFonts w:ascii="David" w:hAnsi="David"/>
          <w:rtl/>
        </w:rPr>
        <w:tab/>
        <w:t xml:space="preserve">הנאשם הודה בעובדות כתב האישום, קיבל על עצמו אחריות למעשיו וביטא הבנה לכך שעליו לשאת בהשלכותיהם. לדבריו לפני שירות המבחן, לאחר אירועי יום השבעה באוקטובר 2023 הוא חש תחושות של אובדן הביטחון האישי, חוסר הגנה וצורך להגן על עצמו לשם הישרדותו. בשל כך, מתוך צורך להגן על עצמו במקרה של הסלמה ביטחונית ותחת שיקול דעת לקוי שנבע מפחד, חרדה ואימפולסיביות, רכש נשק באמצעות אחת </w:t>
      </w:r>
      <w:r w:rsidRPr="009128A2">
        <w:rPr>
          <w:rFonts w:ascii="David" w:hAnsi="David"/>
          <w:rtl/>
        </w:rPr>
        <w:lastRenderedPageBreak/>
        <w:t xml:space="preserve">הרשתות החברתיות, למרות שאינו מחזיק ברישיון לכך. כיום, הוא מודע לכך שהתנהלותו הייתה שגויה, בעייתית, מסוכנת וחמורה. </w:t>
      </w:r>
    </w:p>
    <w:p w14:paraId="3B2D8F44" w14:textId="77777777" w:rsidR="00D56D8C" w:rsidRPr="009128A2" w:rsidRDefault="00D56D8C" w:rsidP="00D56D8C">
      <w:pPr>
        <w:spacing w:line="360" w:lineRule="auto"/>
        <w:ind w:left="720" w:hanging="720"/>
        <w:jc w:val="both"/>
        <w:rPr>
          <w:rFonts w:ascii="David" w:hAnsi="David"/>
          <w:rtl/>
        </w:rPr>
      </w:pPr>
    </w:p>
    <w:p w14:paraId="5DDDEDBB" w14:textId="77777777" w:rsidR="00D56D8C" w:rsidRPr="009128A2" w:rsidRDefault="00D56D8C" w:rsidP="00D56D8C">
      <w:pPr>
        <w:spacing w:line="360" w:lineRule="auto"/>
        <w:ind w:left="720" w:hanging="720"/>
        <w:jc w:val="both"/>
        <w:rPr>
          <w:rFonts w:ascii="David" w:hAnsi="David"/>
          <w:rtl/>
        </w:rPr>
      </w:pPr>
      <w:r w:rsidRPr="009128A2">
        <w:rPr>
          <w:rFonts w:ascii="David" w:hAnsi="David"/>
          <w:rtl/>
        </w:rPr>
        <w:t>9.</w:t>
      </w:r>
      <w:r w:rsidRPr="009128A2">
        <w:rPr>
          <w:rFonts w:ascii="David" w:hAnsi="David"/>
          <w:rtl/>
        </w:rPr>
        <w:tab/>
        <w:t>כגורמי סיכון מנה שירות המבחן את: ניתוק הקשר של הנאשם ממשפחתו; התבגרותו בתחושת בדידות, ללא גורמי תמיכה וביטחון שיוכלו לספק לו מענה רגשי וביטחון; התנהלותו על פי דפוס הישרדותי, תוך אמונה שאינו יכול להסתמך על עזרת הסביבה ושעליו לדאוג לעצמו; הימנעותו מלפנות לקבלת טיפול לאחר האירוע הטראומתי שחווה; קושי לשמור על יציבות במסגרות; קושי ביכולת הוויסות הרגשי; ונטייתו לאימפולסיביות כאשר חש איום על בטחונו האישי. כגורמי סיכוי מנה את: עברו הפלילי הנקי; הודאתו בביצוע העבירה, האחריות שקיבל על עצמו, החרטה שהביע וההבנה למחיר שעליו לשלם בשל מעשיו; ההערכה כי הוא נעדר קווים עברייניים מגובשים באישיותו; מאמציו לתפקד והצלחתו להשלים 12 שנות לימוד, לדאוג למגורים ולפרנסה עבורו; אורח החיים הנורמטיבי ושומר החוק שניהל עד האירוע; שילובו בקבוצה טיפולית והאחריות שמבטא להשתתפותו בה; יציבותו בטיפול הפרטני; והעובדה שההליך המשפטי משמש כגורם מרתיע ומחדד גבול עבורו.</w:t>
      </w:r>
    </w:p>
    <w:p w14:paraId="25F60A75" w14:textId="77777777" w:rsidR="00D56D8C" w:rsidRPr="009128A2" w:rsidRDefault="00D56D8C" w:rsidP="00D56D8C">
      <w:pPr>
        <w:spacing w:line="360" w:lineRule="auto"/>
        <w:ind w:left="720" w:hanging="720"/>
        <w:jc w:val="both"/>
        <w:rPr>
          <w:rFonts w:ascii="David" w:hAnsi="David"/>
          <w:rtl/>
        </w:rPr>
      </w:pPr>
    </w:p>
    <w:p w14:paraId="6AFBF714" w14:textId="77777777" w:rsidR="00D56D8C" w:rsidRPr="009128A2" w:rsidRDefault="00D56D8C" w:rsidP="00D56D8C">
      <w:pPr>
        <w:spacing w:line="360" w:lineRule="auto"/>
        <w:ind w:left="720" w:hanging="720"/>
        <w:jc w:val="both"/>
        <w:rPr>
          <w:rFonts w:ascii="David" w:hAnsi="David"/>
          <w:rtl/>
        </w:rPr>
      </w:pPr>
      <w:r w:rsidRPr="009128A2">
        <w:rPr>
          <w:rFonts w:ascii="David" w:hAnsi="David"/>
          <w:rtl/>
        </w:rPr>
        <w:t>10.</w:t>
      </w:r>
      <w:r w:rsidRPr="009128A2">
        <w:rPr>
          <w:rFonts w:ascii="David" w:hAnsi="David"/>
          <w:rtl/>
        </w:rPr>
        <w:tab/>
        <w:t xml:space="preserve">לאור האמור לעיל, ולנוכח הערכת שירות המבחן כי לעונש של מאסר בפועל עלולות להיות השלכות קשות על חייו ומצבו הרגשי של הנאשם, המליץ להטיל עליו מאסר בדרך של עבודות שירות וצו מבחן למשך שנה. </w:t>
      </w:r>
    </w:p>
    <w:p w14:paraId="5F42AC88" w14:textId="77777777" w:rsidR="00D56D8C" w:rsidRPr="009128A2" w:rsidRDefault="00D56D8C" w:rsidP="00D56D8C">
      <w:pPr>
        <w:spacing w:line="360" w:lineRule="auto"/>
        <w:ind w:left="680" w:hanging="680"/>
        <w:jc w:val="both"/>
        <w:rPr>
          <w:rFonts w:ascii="David" w:hAnsi="David"/>
          <w:rtl/>
        </w:rPr>
      </w:pPr>
    </w:p>
    <w:p w14:paraId="1BE1B766" w14:textId="77777777" w:rsidR="00D56D8C" w:rsidRPr="009128A2" w:rsidRDefault="00D56D8C" w:rsidP="00D56D8C">
      <w:pPr>
        <w:spacing w:line="360" w:lineRule="auto"/>
        <w:jc w:val="both"/>
        <w:outlineLvl w:val="0"/>
        <w:rPr>
          <w:rFonts w:ascii="Calibri" w:eastAsia="Calibri" w:hAnsi="Calibri"/>
          <w:b/>
          <w:bCs/>
          <w:u w:val="single"/>
          <w:rtl/>
        </w:rPr>
      </w:pPr>
      <w:r w:rsidRPr="009128A2">
        <w:rPr>
          <w:rFonts w:ascii="Calibri" w:eastAsia="Calibri" w:hAnsi="Calibri"/>
          <w:b/>
          <w:bCs/>
          <w:u w:val="single"/>
          <w:rtl/>
        </w:rPr>
        <w:t>הראיות לעונש:</w:t>
      </w:r>
    </w:p>
    <w:p w14:paraId="3D457D4D" w14:textId="77777777" w:rsidR="00D56D8C" w:rsidRPr="009128A2" w:rsidRDefault="00D56D8C" w:rsidP="00D56D8C">
      <w:pPr>
        <w:spacing w:line="360" w:lineRule="auto"/>
        <w:ind w:left="680" w:hanging="680"/>
        <w:jc w:val="both"/>
        <w:rPr>
          <w:rFonts w:ascii="David" w:eastAsia="Calibri" w:hAnsi="David"/>
          <w:rtl/>
        </w:rPr>
      </w:pPr>
      <w:r w:rsidRPr="009128A2">
        <w:rPr>
          <w:rFonts w:ascii="David" w:hAnsi="David"/>
          <w:rtl/>
        </w:rPr>
        <w:t>11.</w:t>
      </w:r>
      <w:r w:rsidRPr="009128A2">
        <w:rPr>
          <w:rFonts w:ascii="David" w:hAnsi="David"/>
          <w:rtl/>
        </w:rPr>
        <w:tab/>
        <w:t>הצדדים לא הגישו ראיות לעונש.</w:t>
      </w:r>
    </w:p>
    <w:p w14:paraId="2DE4C41F" w14:textId="77777777" w:rsidR="00D56D8C" w:rsidRPr="009128A2" w:rsidRDefault="00D56D8C" w:rsidP="00D56D8C">
      <w:pPr>
        <w:spacing w:line="360" w:lineRule="auto"/>
        <w:jc w:val="both"/>
        <w:rPr>
          <w:rFonts w:ascii="Calibri" w:eastAsia="Calibri" w:hAnsi="Calibri"/>
          <w:rtl/>
        </w:rPr>
      </w:pPr>
    </w:p>
    <w:p w14:paraId="3C44A83D" w14:textId="77777777" w:rsidR="00D56D8C" w:rsidRPr="009128A2" w:rsidRDefault="00D56D8C" w:rsidP="00D56D8C">
      <w:pPr>
        <w:spacing w:line="360" w:lineRule="auto"/>
        <w:jc w:val="both"/>
        <w:outlineLvl w:val="0"/>
        <w:rPr>
          <w:rFonts w:ascii="Calibri" w:eastAsia="Calibri" w:hAnsi="Calibri"/>
          <w:b/>
          <w:bCs/>
          <w:u w:val="single"/>
          <w:rtl/>
        </w:rPr>
      </w:pPr>
      <w:r w:rsidRPr="009128A2">
        <w:rPr>
          <w:rFonts w:ascii="Calibri" w:eastAsia="Calibri" w:hAnsi="Calibri"/>
          <w:b/>
          <w:bCs/>
          <w:u w:val="single"/>
          <w:rtl/>
        </w:rPr>
        <w:t>תמצית טיעוני הצדדים לעונש:</w:t>
      </w:r>
    </w:p>
    <w:p w14:paraId="30F6F0DF" w14:textId="77777777" w:rsidR="00D56D8C" w:rsidRPr="009128A2" w:rsidRDefault="00D56D8C" w:rsidP="00D56D8C">
      <w:pPr>
        <w:spacing w:line="360" w:lineRule="auto"/>
        <w:jc w:val="both"/>
        <w:outlineLvl w:val="1"/>
        <w:rPr>
          <w:rFonts w:ascii="Calibri" w:hAnsi="Calibri"/>
          <w:u w:val="single"/>
          <w:rtl/>
        </w:rPr>
      </w:pPr>
      <w:r w:rsidRPr="009128A2">
        <w:rPr>
          <w:rFonts w:ascii="Calibri" w:hAnsi="Calibri"/>
          <w:u w:val="single"/>
          <w:rtl/>
        </w:rPr>
        <w:t>תמצית טיעוני המאשימה:</w:t>
      </w:r>
    </w:p>
    <w:p w14:paraId="0C836425"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t>12.</w:t>
      </w:r>
      <w:r w:rsidRPr="009128A2">
        <w:rPr>
          <w:rFonts w:ascii="David" w:hAnsi="David"/>
          <w:rtl/>
        </w:rPr>
        <w:tab/>
        <w:t>המאשימה ביקשה להטיל על הנאשם עונש מאסר בפועל למשך 26 חודשים, מאסר על תנאי וקנס.</w:t>
      </w:r>
    </w:p>
    <w:p w14:paraId="27A59DB5" w14:textId="77777777" w:rsidR="00D56D8C" w:rsidRPr="009128A2" w:rsidRDefault="00D56D8C" w:rsidP="00D56D8C">
      <w:pPr>
        <w:spacing w:line="360" w:lineRule="auto"/>
        <w:ind w:left="680" w:hanging="680"/>
        <w:jc w:val="both"/>
        <w:rPr>
          <w:rFonts w:ascii="David" w:hAnsi="David"/>
          <w:rtl/>
        </w:rPr>
      </w:pPr>
    </w:p>
    <w:p w14:paraId="17A0006C"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t>13.</w:t>
      </w:r>
      <w:r w:rsidRPr="009128A2">
        <w:rPr>
          <w:rFonts w:ascii="David" w:hAnsi="David"/>
          <w:rtl/>
        </w:rPr>
        <w:tab/>
        <w:t xml:space="preserve">המאשימה לא התעלמה בטיעוניה מכך שפוטנציאל הנזק הטמון בנשק מוסב שאינו תקני אינו זהה לזה הטמון בנשק תקני, ולא מכך שהנאשם החזיק את הנשק על רקע אירועי השבעה באוקטובר 2023. יחד עם זאת, הדגישה כי מדובר באקדח חצי אוטומטי </w:t>
      </w:r>
      <w:r>
        <w:rPr>
          <w:rFonts w:ascii="David" w:hAnsi="David" w:hint="cs"/>
          <w:rtl/>
        </w:rPr>
        <w:t>ש</w:t>
      </w:r>
      <w:r w:rsidRPr="009128A2">
        <w:rPr>
          <w:rFonts w:ascii="David" w:hAnsi="David"/>
          <w:rtl/>
        </w:rPr>
        <w:t xml:space="preserve">לצדו נתפסו גם מחסנית ותחמושת, כך שהנשק היה זמין עבור הנאשם. עוד טענה, כי יש בעובדה שהעבירה נעברה באמצעות נשק מוסב שאינו תקני כדי לשמש גם נסיבה מחמירה, כיוון שיש בה כדי לפתוח את השוק לכלי נשק קטלניים נוספים, וכי מטרת החזקת הנשק – הגנה עצמית – אינה מפחיתה את פוטנציאל הסיכון הנובע ממנו ולכן לא משמשת נסיבה מקלה. </w:t>
      </w:r>
    </w:p>
    <w:p w14:paraId="703CF6A3" w14:textId="77777777" w:rsidR="00D56D8C" w:rsidRPr="009128A2" w:rsidRDefault="00D56D8C" w:rsidP="00D56D8C">
      <w:pPr>
        <w:spacing w:line="360" w:lineRule="auto"/>
        <w:ind w:left="680" w:hanging="680"/>
        <w:jc w:val="both"/>
        <w:rPr>
          <w:rFonts w:ascii="David" w:hAnsi="David"/>
          <w:rtl/>
        </w:rPr>
      </w:pPr>
    </w:p>
    <w:p w14:paraId="6DCECF63"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t>14.</w:t>
      </w:r>
      <w:r w:rsidRPr="009128A2">
        <w:rPr>
          <w:rFonts w:ascii="David" w:hAnsi="David"/>
          <w:rtl/>
        </w:rPr>
        <w:tab/>
        <w:t>המאשימה הבהירה כי עמדתה העונשית במקרה זה נמוכה ממתחמי הענישה שנקבעו על פי רוב לעבירה של נשיאת נשק. עמדה זו, כך טענה, הולמת את מעשה העבירה שהנאשם עבר, ומביאה בחשבון גם את השיקולים הנדרשים לצורך קביעת העונש בתוך מתחם הענישה, ובהם:</w:t>
      </w:r>
      <w:r w:rsidRPr="009128A2">
        <w:rPr>
          <w:rFonts w:ascii="David" w:hAnsi="David" w:hint="cs"/>
        </w:rPr>
        <w:t xml:space="preserve"> </w:t>
      </w:r>
      <w:r w:rsidRPr="009128A2">
        <w:rPr>
          <w:rFonts w:ascii="David" w:hAnsi="David"/>
          <w:rtl/>
        </w:rPr>
        <w:t xml:space="preserve">הודאתו של הנאשם, עברו הפלילי הנקי, השתתפותו בקבוצה טיפולית, הימנעותו מליטול את הטיפול התרופתי שהומלץ לו וגורמי הסיכון שנמנו בעניינו. </w:t>
      </w:r>
    </w:p>
    <w:p w14:paraId="31F6F2B1" w14:textId="77777777" w:rsidR="00D56D8C" w:rsidRPr="009128A2" w:rsidRDefault="00D56D8C" w:rsidP="00D56D8C">
      <w:pPr>
        <w:spacing w:line="360" w:lineRule="auto"/>
        <w:ind w:left="680" w:hanging="680"/>
        <w:jc w:val="both"/>
        <w:rPr>
          <w:rFonts w:ascii="David" w:hAnsi="David"/>
          <w:rtl/>
        </w:rPr>
      </w:pPr>
    </w:p>
    <w:p w14:paraId="69C92F2A" w14:textId="77777777" w:rsidR="00D56D8C" w:rsidRPr="009128A2" w:rsidRDefault="00D56D8C" w:rsidP="00D56D8C">
      <w:pPr>
        <w:spacing w:line="360" w:lineRule="auto"/>
        <w:jc w:val="both"/>
        <w:outlineLvl w:val="1"/>
        <w:rPr>
          <w:rFonts w:ascii="Calibri" w:hAnsi="Calibri"/>
          <w:u w:val="single"/>
          <w:rtl/>
        </w:rPr>
      </w:pPr>
      <w:r w:rsidRPr="009128A2">
        <w:rPr>
          <w:rFonts w:ascii="Calibri" w:hAnsi="Calibri"/>
          <w:u w:val="single"/>
          <w:rtl/>
        </w:rPr>
        <w:t>תמצית טיעוני ההגנה:</w:t>
      </w:r>
    </w:p>
    <w:p w14:paraId="6623474E"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t>15.</w:t>
      </w:r>
      <w:r w:rsidRPr="009128A2">
        <w:rPr>
          <w:rFonts w:ascii="David" w:hAnsi="David"/>
          <w:rtl/>
        </w:rPr>
        <w:tab/>
        <w:t>ההגנה ביקשה לאמץ את המלצת שירות המבחן, לסטות ממתחמי הענישה שנקבעו בעבירה של נשיאת נשק ולהטיל על הנאשם מאסר בדרך של עבודות שירות וצו מבחן.</w:t>
      </w:r>
    </w:p>
    <w:p w14:paraId="72736E7F" w14:textId="77777777" w:rsidR="00D56D8C" w:rsidRPr="009128A2" w:rsidRDefault="00D56D8C" w:rsidP="00D56D8C">
      <w:pPr>
        <w:spacing w:line="360" w:lineRule="auto"/>
        <w:ind w:left="680" w:hanging="680"/>
        <w:jc w:val="both"/>
        <w:rPr>
          <w:rFonts w:ascii="David" w:hAnsi="David"/>
          <w:rtl/>
        </w:rPr>
      </w:pPr>
    </w:p>
    <w:p w14:paraId="5163054E"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t>16.</w:t>
      </w:r>
      <w:r w:rsidRPr="009128A2">
        <w:rPr>
          <w:rFonts w:ascii="David" w:hAnsi="David"/>
          <w:rtl/>
        </w:rPr>
        <w:tab/>
        <w:t>לטענת הסנגור, הנסיבות במקרה זה חריגות במיוחד. כלשונו: "</w:t>
      </w:r>
      <w:r w:rsidRPr="009128A2">
        <w:rPr>
          <w:rFonts w:ascii="David" w:hAnsi="David"/>
          <w:b/>
          <w:bCs/>
          <w:rtl/>
        </w:rPr>
        <w:t>המקרה הזה הוא מקרה קיצוני מאוד בחריגותו והוא לא דומה לשום מקרה</w:t>
      </w:r>
      <w:r w:rsidRPr="009128A2">
        <w:rPr>
          <w:rFonts w:ascii="David" w:hAnsi="David"/>
          <w:rtl/>
        </w:rPr>
        <w:t>". לטענתו, דברי המאשימה בדיון ביום 1/1/2024, כי היא מסכימה לכך שהנאשם ישוחרר מהמעצר בפיקוח אלקטרוני בו היה נתון</w:t>
      </w:r>
      <w:r w:rsidRPr="009128A2">
        <w:rPr>
          <w:rFonts w:ascii="David" w:hAnsi="David"/>
          <w:rtl/>
        </w:rPr>
        <w:br/>
        <w:t>"</w:t>
      </w:r>
      <w:r w:rsidRPr="009128A2">
        <w:rPr>
          <w:rFonts w:ascii="David" w:hAnsi="David"/>
          <w:b/>
          <w:bCs/>
          <w:rtl/>
        </w:rPr>
        <w:t>בנסיבות המיוחדות בתיק זה</w:t>
      </w:r>
      <w:r w:rsidRPr="009128A2">
        <w:rPr>
          <w:rFonts w:ascii="David" w:hAnsi="David"/>
          <w:rtl/>
        </w:rPr>
        <w:t>", מלמדים כי המאשימה קובעת ש"</w:t>
      </w:r>
      <w:r w:rsidRPr="009128A2">
        <w:rPr>
          <w:rFonts w:ascii="David" w:hAnsi="David"/>
          <w:b/>
          <w:bCs/>
          <w:rtl/>
        </w:rPr>
        <w:t>מדובר בתיק עם נסיבות חריגות ומיוחדות מאוד</w:t>
      </w:r>
      <w:r w:rsidRPr="009128A2">
        <w:rPr>
          <w:rFonts w:ascii="David" w:hAnsi="David"/>
          <w:rtl/>
        </w:rPr>
        <w:t>" ו"</w:t>
      </w:r>
      <w:r w:rsidRPr="009128A2">
        <w:rPr>
          <w:rFonts w:ascii="David" w:hAnsi="David"/>
          <w:b/>
          <w:bCs/>
          <w:rtl/>
        </w:rPr>
        <w:t>במקרה חריג במיוחד</w:t>
      </w:r>
      <w:r w:rsidRPr="009128A2">
        <w:rPr>
          <w:rFonts w:ascii="David" w:hAnsi="David"/>
          <w:rtl/>
        </w:rPr>
        <w:t>", כלשונו. לעניין זה עמד על כך שהנאשם נשא את הנשק לנוכח אירועי יום השבעה באוקטובר 2023 והחשש הנובע מכך, ושמדיניות המשרד לביטחון פנים שונתה בעקבות האירועים, והוענקו על ידו רישיונות לנשיאת כלי נשק במספרים שלא נראו קודם לכן. הסנגור הוסיף וטען כי הנאשם, הסובל מפוסט-טראומה לאחר שנפגע באירוע חבלני לאומני, מתגורר בסמוך לכפר עוין. במהלך יום השבעה באוקטובר 2023, כך נטען, הנאשם שמע קריאות של מואזינים לצאת ולתקוף יהודים. לעמדתו, בכך עניינו של הנאשם שונה ממקרים בהם מדובר היה בעבריינים שביקשו להגן על עצמם, או שבני אדם ביקשו להחזיק נשק להגנה עצמית ללא סיבה, ובהם נקבע שהגנה עצמית לא מצדיקה סטייה חריגה ממתחם הענישה.</w:t>
      </w:r>
    </w:p>
    <w:p w14:paraId="5ECF7540" w14:textId="77777777" w:rsidR="00D56D8C" w:rsidRPr="009128A2" w:rsidRDefault="00D56D8C" w:rsidP="00D56D8C">
      <w:pPr>
        <w:spacing w:line="360" w:lineRule="auto"/>
        <w:ind w:left="680" w:hanging="680"/>
        <w:jc w:val="both"/>
        <w:rPr>
          <w:rFonts w:ascii="David" w:hAnsi="David"/>
          <w:rtl/>
        </w:rPr>
      </w:pPr>
    </w:p>
    <w:p w14:paraId="57D1F203"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t>17.</w:t>
      </w:r>
      <w:r w:rsidRPr="009128A2">
        <w:rPr>
          <w:rFonts w:ascii="David" w:hAnsi="David"/>
          <w:rtl/>
        </w:rPr>
        <w:tab/>
        <w:t xml:space="preserve">הסנגור הדגיש כי מדובר באקדח הזנקה בו הנאשם החזיק למשך 24 שעות בלבד, וכי היה ברשות הנאשם כדור אחד בלבד. </w:t>
      </w:r>
    </w:p>
    <w:p w14:paraId="2C3E4E28" w14:textId="77777777" w:rsidR="00D56D8C" w:rsidRPr="009128A2" w:rsidRDefault="00D56D8C" w:rsidP="00D56D8C">
      <w:pPr>
        <w:spacing w:line="360" w:lineRule="auto"/>
        <w:ind w:left="680" w:hanging="680"/>
        <w:jc w:val="both"/>
        <w:rPr>
          <w:rFonts w:ascii="David" w:hAnsi="David"/>
          <w:rtl/>
        </w:rPr>
      </w:pPr>
    </w:p>
    <w:p w14:paraId="6D49320A"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t>18.</w:t>
      </w:r>
      <w:r w:rsidRPr="009128A2">
        <w:rPr>
          <w:rFonts w:ascii="David" w:hAnsi="David"/>
          <w:rtl/>
        </w:rPr>
        <w:tab/>
        <w:t>הסנגור טען כי יש לזקוף לטובת הנאשם את הודאתו, האחריות שקיבל על מעשיו, אורח חייו הנורמטיבי, עברו הפלילי הנקי, נסיבותיו האישיות, מעצרו מאחורי סורג ובריח למשך חודשיים, פרק הזמן הארוך בו הוא נתון בתנאים מגבילים, ההליך השיקומי שעבר והשתלבותו בטיפול פרטני בפוסט-טראומה ממנה הוא סובל. לאור זאת, ועל מנת שלא לעצור את הטיפול ושלא לגרום לרגרסיה במצבו, ביקש שלא להטיל עליו עונש מאסר מאחורי סורג ובריח.</w:t>
      </w:r>
    </w:p>
    <w:p w14:paraId="2C119DD9" w14:textId="77777777" w:rsidR="00D56D8C" w:rsidRPr="009128A2" w:rsidRDefault="00D56D8C" w:rsidP="00D56D8C">
      <w:pPr>
        <w:spacing w:line="360" w:lineRule="auto"/>
        <w:ind w:left="680" w:hanging="680"/>
        <w:jc w:val="both"/>
        <w:rPr>
          <w:rFonts w:ascii="David" w:hAnsi="David"/>
          <w:rtl/>
        </w:rPr>
      </w:pPr>
    </w:p>
    <w:p w14:paraId="3AE15D2F"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t>19.</w:t>
      </w:r>
      <w:r w:rsidRPr="009128A2">
        <w:rPr>
          <w:rFonts w:ascii="David" w:hAnsi="David"/>
          <w:rtl/>
        </w:rPr>
        <w:tab/>
        <w:t>הנאשם בדבריו לפני בית המשפט הביע בושה על מעשיו. לדבריו, הוא לא יודע איך הגיע למצב זה, לאחר שכל חייו התרחק מבעיות. הנאשם העיד על עצמו כי הוא אדם טוב השואף לעשות טוב ולא רע בעולם, ושיתף כי ברצונו לצאת מההליך חזק ולהמשיך בחייו.</w:t>
      </w:r>
    </w:p>
    <w:p w14:paraId="72C09542" w14:textId="77777777" w:rsidR="00D56D8C" w:rsidRPr="009128A2" w:rsidRDefault="00D56D8C" w:rsidP="00D56D8C">
      <w:pPr>
        <w:spacing w:line="360" w:lineRule="auto"/>
        <w:ind w:left="1360" w:hanging="680"/>
        <w:jc w:val="both"/>
        <w:rPr>
          <w:rFonts w:ascii="Calibri" w:hAnsi="Calibri"/>
          <w:rtl/>
        </w:rPr>
      </w:pPr>
    </w:p>
    <w:p w14:paraId="612B063A" w14:textId="77777777" w:rsidR="00D56D8C" w:rsidRPr="009128A2" w:rsidRDefault="00D56D8C" w:rsidP="00D56D8C">
      <w:pPr>
        <w:spacing w:line="360" w:lineRule="auto"/>
        <w:jc w:val="both"/>
        <w:outlineLvl w:val="0"/>
        <w:rPr>
          <w:rFonts w:ascii="Calibri" w:eastAsia="Calibri" w:hAnsi="Calibri"/>
          <w:b/>
          <w:bCs/>
          <w:u w:val="single"/>
          <w:rtl/>
        </w:rPr>
      </w:pPr>
      <w:r w:rsidRPr="009128A2">
        <w:rPr>
          <w:rFonts w:ascii="Calibri" w:eastAsia="Calibri" w:hAnsi="Calibri"/>
          <w:b/>
          <w:bCs/>
          <w:u w:val="single"/>
          <w:rtl/>
        </w:rPr>
        <w:t>דיון ומסקנות:</w:t>
      </w:r>
    </w:p>
    <w:p w14:paraId="4A9AC5A6" w14:textId="77777777" w:rsidR="00D56D8C" w:rsidRPr="009128A2" w:rsidRDefault="00D56D8C" w:rsidP="00D56D8C">
      <w:pPr>
        <w:spacing w:line="360" w:lineRule="auto"/>
        <w:jc w:val="both"/>
        <w:outlineLvl w:val="0"/>
        <w:rPr>
          <w:rFonts w:ascii="Calibri" w:eastAsia="Calibri" w:hAnsi="Calibri"/>
          <w:u w:val="single"/>
          <w:rtl/>
        </w:rPr>
      </w:pPr>
      <w:r w:rsidRPr="009128A2">
        <w:rPr>
          <w:rFonts w:ascii="Calibri" w:eastAsia="Calibri" w:hAnsi="Calibri"/>
          <w:u w:val="single"/>
          <w:rtl/>
        </w:rPr>
        <w:t>מתחם העונש ההולם:</w:t>
      </w:r>
    </w:p>
    <w:p w14:paraId="2E9D3E55" w14:textId="77777777" w:rsidR="00D56D8C" w:rsidRPr="009128A2" w:rsidRDefault="00D56D8C" w:rsidP="00D56D8C">
      <w:pPr>
        <w:spacing w:line="360" w:lineRule="auto"/>
        <w:ind w:left="720" w:hanging="720"/>
        <w:jc w:val="both"/>
        <w:rPr>
          <w:rFonts w:ascii="Calibri" w:eastAsia="Calibri" w:hAnsi="Calibri"/>
          <w:rtl/>
        </w:rPr>
      </w:pPr>
      <w:r w:rsidRPr="009128A2">
        <w:rPr>
          <w:rFonts w:ascii="Calibri" w:eastAsia="Calibri" w:hAnsi="Calibri"/>
          <w:rtl/>
        </w:rPr>
        <w:t>20.</w:t>
      </w:r>
      <w:r w:rsidRPr="009128A2">
        <w:rPr>
          <w:rFonts w:ascii="Calibri" w:eastAsia="Calibri" w:hAnsi="Calibri"/>
          <w:rtl/>
        </w:rPr>
        <w:tab/>
        <w:t>הפסיקה חזרה ועמדה על כך שעבירות הנשק פוגעות בערכים חברתיים רמי מעלה, ובהם: שלום הציבור וביטחונו, והשמירה על סדרי חיים תקינים ושלווים שאינם מופרעים על ידי אדם האוחז נשק בידיו. מדובר בעבירות שהפכו זה מכבר למכת מדינה, ואשר על החברה להילחם בהן כחלק ממלחמתה הבלתי מתפשרת בנגע של זילות חיי אדם והקלות הבלתי נסבלת של הלחיצה על ההדק. החזקת נשק שלא כדין משמשת תשתית למגוון רחב של עבירות אלימות, וזמינותו מעודדת את השימוש בו לצורכי עבירה. יש בסיס להנחה כי מי שמחזיק ונושא כלי בו גלום פוטנציאל קטלני, ללא פיקוח מטעם רשויות המדינה ומבלי שנבחנו מיומנותו לעשות בו שימוש וכשירותו להחזיק בו, עושה זאת למטרות לא כשרות (</w:t>
      </w:r>
      <w:hyperlink r:id="rId12" w:history="1">
        <w:r w:rsidR="00AD2F53" w:rsidRPr="00AD2F53">
          <w:rPr>
            <w:rFonts w:ascii="Calibri" w:eastAsia="Calibri" w:hAnsi="Calibri" w:hint="cs"/>
            <w:color w:val="0000FF"/>
            <w:u w:val="single"/>
            <w:rtl/>
          </w:rPr>
          <w:t>ע</w:t>
        </w:r>
        <w:r w:rsidR="00AD2F53" w:rsidRPr="00AD2F53">
          <w:rPr>
            <w:rFonts w:ascii="Calibri" w:eastAsia="Calibri" w:hAnsi="Calibri"/>
            <w:color w:val="0000FF"/>
            <w:u w:val="single"/>
            <w:rtl/>
          </w:rPr>
          <w:t>"</w:t>
        </w:r>
        <w:r w:rsidR="00AD2F53" w:rsidRPr="00AD2F53">
          <w:rPr>
            <w:rFonts w:ascii="Calibri" w:eastAsia="Calibri" w:hAnsi="Calibri" w:hint="cs"/>
            <w:color w:val="0000FF"/>
            <w:u w:val="single"/>
            <w:rtl/>
          </w:rPr>
          <w:t>פ</w:t>
        </w:r>
        <w:r w:rsidR="00AD2F53" w:rsidRPr="00AD2F53">
          <w:rPr>
            <w:rFonts w:ascii="Calibri" w:eastAsia="Calibri" w:hAnsi="Calibri"/>
            <w:color w:val="0000FF"/>
            <w:u w:val="single"/>
            <w:rtl/>
          </w:rPr>
          <w:t xml:space="preserve"> 147/21</w:t>
        </w:r>
      </w:hyperlink>
      <w:r w:rsidRPr="009128A2">
        <w:rPr>
          <w:rFonts w:ascii="Calibri" w:eastAsia="Calibri" w:hAnsi="Calibri"/>
          <w:rtl/>
        </w:rPr>
        <w:t xml:space="preserve"> </w:t>
      </w:r>
      <w:r w:rsidRPr="009128A2">
        <w:rPr>
          <w:rFonts w:ascii="Calibri" w:eastAsia="Calibri" w:hAnsi="Calibri"/>
          <w:b/>
          <w:bCs/>
          <w:rtl/>
        </w:rPr>
        <w:t xml:space="preserve">מדינת ישראל נ' ביטון, </w:t>
      </w:r>
      <w:r w:rsidRPr="009128A2">
        <w:rPr>
          <w:rFonts w:ascii="Calibri" w:eastAsia="Calibri" w:hAnsi="Calibri"/>
          <w:rtl/>
        </w:rPr>
        <w:t xml:space="preserve">14/2/2021; </w:t>
      </w:r>
      <w:hyperlink r:id="rId13" w:history="1">
        <w:r w:rsidR="00AD2F53" w:rsidRPr="00AD2F53">
          <w:rPr>
            <w:rFonts w:ascii="Calibri" w:eastAsia="Calibri" w:hAnsi="Calibri" w:hint="cs"/>
            <w:color w:val="0000FF"/>
            <w:u w:val="single"/>
            <w:rtl/>
          </w:rPr>
          <w:t>ע</w:t>
        </w:r>
        <w:r w:rsidR="00AD2F53" w:rsidRPr="00AD2F53">
          <w:rPr>
            <w:rFonts w:ascii="Calibri" w:eastAsia="Calibri" w:hAnsi="Calibri"/>
            <w:color w:val="0000FF"/>
            <w:u w:val="single"/>
            <w:rtl/>
          </w:rPr>
          <w:t>"</w:t>
        </w:r>
        <w:r w:rsidR="00AD2F53" w:rsidRPr="00AD2F53">
          <w:rPr>
            <w:rFonts w:ascii="Calibri" w:eastAsia="Calibri" w:hAnsi="Calibri" w:hint="cs"/>
            <w:color w:val="0000FF"/>
            <w:u w:val="single"/>
            <w:rtl/>
          </w:rPr>
          <w:t>פ</w:t>
        </w:r>
        <w:r w:rsidR="00AD2F53" w:rsidRPr="00AD2F53">
          <w:rPr>
            <w:rFonts w:ascii="Calibri" w:eastAsia="Calibri" w:hAnsi="Calibri"/>
            <w:color w:val="0000FF"/>
            <w:u w:val="single"/>
            <w:rtl/>
          </w:rPr>
          <w:t xml:space="preserve"> 4406/19</w:t>
        </w:r>
      </w:hyperlink>
      <w:r w:rsidR="00AD2F53">
        <w:rPr>
          <w:rFonts w:ascii="Calibri" w:eastAsia="Calibri" w:hAnsi="Calibri"/>
          <w:rtl/>
        </w:rPr>
        <w:t xml:space="preserve"> </w:t>
      </w:r>
      <w:r w:rsidRPr="009128A2">
        <w:rPr>
          <w:rFonts w:ascii="Calibri" w:eastAsia="Calibri" w:hAnsi="Calibri"/>
          <w:b/>
          <w:bCs/>
          <w:rtl/>
        </w:rPr>
        <w:t>מדינת ישראל נ' סובח</w:t>
      </w:r>
      <w:r w:rsidRPr="009128A2">
        <w:rPr>
          <w:rFonts w:ascii="Calibri" w:eastAsia="Calibri" w:hAnsi="Calibri"/>
          <w:rtl/>
        </w:rPr>
        <w:t xml:space="preserve">, 5/11/2019; </w:t>
      </w:r>
      <w:hyperlink r:id="rId14" w:history="1">
        <w:r w:rsidR="00AD2F53" w:rsidRPr="00AD2F53">
          <w:rPr>
            <w:rFonts w:ascii="Calibri" w:eastAsia="Calibri" w:hAnsi="Calibri" w:hint="cs"/>
            <w:color w:val="0000FF"/>
            <w:u w:val="single"/>
            <w:rtl/>
          </w:rPr>
          <w:t>ע</w:t>
        </w:r>
        <w:r w:rsidR="00AD2F53" w:rsidRPr="00AD2F53">
          <w:rPr>
            <w:rFonts w:ascii="Calibri" w:eastAsia="Calibri" w:hAnsi="Calibri"/>
            <w:color w:val="0000FF"/>
            <w:u w:val="single"/>
            <w:rtl/>
          </w:rPr>
          <w:t>"</w:t>
        </w:r>
        <w:r w:rsidR="00AD2F53" w:rsidRPr="00AD2F53">
          <w:rPr>
            <w:rFonts w:ascii="Calibri" w:eastAsia="Calibri" w:hAnsi="Calibri" w:hint="cs"/>
            <w:color w:val="0000FF"/>
            <w:u w:val="single"/>
            <w:rtl/>
          </w:rPr>
          <w:t>פ</w:t>
        </w:r>
        <w:r w:rsidR="00AD2F53" w:rsidRPr="00AD2F53">
          <w:rPr>
            <w:rFonts w:ascii="Calibri" w:eastAsia="Calibri" w:hAnsi="Calibri"/>
            <w:color w:val="0000FF"/>
            <w:u w:val="single"/>
            <w:rtl/>
          </w:rPr>
          <w:t xml:space="preserve"> 761/07</w:t>
        </w:r>
      </w:hyperlink>
      <w:r w:rsidR="00AD2F53">
        <w:rPr>
          <w:rFonts w:ascii="Calibri" w:eastAsia="Calibri" w:hAnsi="Calibri"/>
          <w:rtl/>
        </w:rPr>
        <w:t xml:space="preserve"> </w:t>
      </w:r>
      <w:r w:rsidRPr="009128A2">
        <w:rPr>
          <w:rFonts w:ascii="Calibri" w:eastAsia="Calibri" w:hAnsi="Calibri"/>
          <w:b/>
          <w:bCs/>
          <w:rtl/>
        </w:rPr>
        <w:t>מדינת ישראל נ' אדרי</w:t>
      </w:r>
      <w:r w:rsidRPr="009128A2">
        <w:rPr>
          <w:rFonts w:ascii="Calibri" w:eastAsia="Calibri" w:hAnsi="Calibri"/>
          <w:rtl/>
        </w:rPr>
        <w:t xml:space="preserve">, 22/2/2007). </w:t>
      </w:r>
    </w:p>
    <w:p w14:paraId="616D123A" w14:textId="77777777" w:rsidR="00D56D8C" w:rsidRPr="009128A2" w:rsidRDefault="00D56D8C" w:rsidP="00D56D8C">
      <w:pPr>
        <w:spacing w:line="360" w:lineRule="auto"/>
        <w:jc w:val="both"/>
        <w:rPr>
          <w:rFonts w:ascii="Calibri" w:eastAsia="Calibri" w:hAnsi="Calibri"/>
          <w:rtl/>
        </w:rPr>
      </w:pPr>
    </w:p>
    <w:p w14:paraId="3061229F" w14:textId="77777777" w:rsidR="00D56D8C" w:rsidRPr="009128A2" w:rsidRDefault="00D56D8C" w:rsidP="00D56D8C">
      <w:pPr>
        <w:spacing w:line="360" w:lineRule="auto"/>
        <w:jc w:val="both"/>
        <w:rPr>
          <w:rFonts w:ascii="Calibri" w:eastAsia="Calibri" w:hAnsi="Calibri"/>
          <w:rtl/>
        </w:rPr>
      </w:pPr>
      <w:r w:rsidRPr="009128A2">
        <w:rPr>
          <w:rFonts w:ascii="Calibri" w:eastAsia="Calibri" w:hAnsi="Calibri"/>
          <w:rtl/>
        </w:rPr>
        <w:t>21.</w:t>
      </w:r>
      <w:r w:rsidRPr="009128A2">
        <w:rPr>
          <w:rFonts w:ascii="Calibri" w:eastAsia="Calibri" w:hAnsi="Calibri"/>
          <w:rtl/>
        </w:rPr>
        <w:tab/>
        <w:t>בית המשפט העליון חזר וקבע:</w:t>
      </w:r>
    </w:p>
    <w:p w14:paraId="197A08A7" w14:textId="77777777" w:rsidR="00D56D8C" w:rsidRPr="009128A2" w:rsidRDefault="00D56D8C" w:rsidP="00D56D8C">
      <w:pPr>
        <w:spacing w:line="360" w:lineRule="auto"/>
        <w:ind w:left="1785" w:right="864"/>
        <w:jc w:val="both"/>
        <w:rPr>
          <w:rFonts w:ascii="Calibri" w:eastAsia="Calibri" w:hAnsi="Calibri"/>
          <w:b/>
          <w:bCs/>
          <w:rtl/>
        </w:rPr>
      </w:pPr>
      <w:r w:rsidRPr="009128A2">
        <w:rPr>
          <w:rFonts w:ascii="Calibri" w:eastAsia="Calibri" w:hAnsi="Calibri"/>
          <w:b/>
          <w:bCs/>
          <w:rtl/>
        </w:rPr>
        <w:t xml:space="preserve">"עבירות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ענישה זו כוללת לרוב עונשי מאסר ממושכים לריצוי בפועל, המושתים גם על נאשמים צעירים נעדרי עבר פלילי ...." </w:t>
      </w:r>
    </w:p>
    <w:p w14:paraId="79AAAECE" w14:textId="77777777" w:rsidR="00D56D8C" w:rsidRPr="009128A2" w:rsidRDefault="00D56D8C" w:rsidP="00D56D8C">
      <w:pPr>
        <w:spacing w:line="360" w:lineRule="auto"/>
        <w:ind w:left="1785" w:right="864"/>
        <w:jc w:val="both"/>
        <w:rPr>
          <w:rFonts w:ascii="Calibri" w:eastAsia="Calibri" w:hAnsi="Calibri"/>
          <w:rtl/>
        </w:rPr>
      </w:pPr>
      <w:r w:rsidRPr="009128A2">
        <w:rPr>
          <w:rFonts w:ascii="Calibri" w:eastAsia="Calibri" w:hAnsi="Calibri"/>
          <w:rtl/>
        </w:rPr>
        <w:t>(</w:t>
      </w:r>
      <w:hyperlink r:id="rId15" w:history="1">
        <w:r w:rsidR="00AD2F53" w:rsidRPr="00AD2F53">
          <w:rPr>
            <w:rFonts w:ascii="Calibri" w:eastAsia="Calibri" w:hAnsi="Calibri" w:hint="cs"/>
            <w:color w:val="0000FF"/>
            <w:u w:val="single"/>
            <w:rtl/>
          </w:rPr>
          <w:t>ע</w:t>
        </w:r>
        <w:r w:rsidR="00AD2F53" w:rsidRPr="00AD2F53">
          <w:rPr>
            <w:rFonts w:ascii="Calibri" w:eastAsia="Calibri" w:hAnsi="Calibri"/>
            <w:color w:val="0000FF"/>
            <w:u w:val="single"/>
            <w:rtl/>
          </w:rPr>
          <w:t>"</w:t>
        </w:r>
        <w:r w:rsidR="00AD2F53" w:rsidRPr="00AD2F53">
          <w:rPr>
            <w:rFonts w:ascii="Calibri" w:eastAsia="Calibri" w:hAnsi="Calibri" w:hint="cs"/>
            <w:color w:val="0000FF"/>
            <w:u w:val="single"/>
            <w:rtl/>
          </w:rPr>
          <w:t>פ</w:t>
        </w:r>
        <w:r w:rsidR="00AD2F53" w:rsidRPr="00AD2F53">
          <w:rPr>
            <w:rFonts w:ascii="Calibri" w:eastAsia="Calibri" w:hAnsi="Calibri"/>
            <w:color w:val="0000FF"/>
            <w:u w:val="single"/>
            <w:rtl/>
          </w:rPr>
          <w:t xml:space="preserve"> 7971/23</w:t>
        </w:r>
      </w:hyperlink>
      <w:r w:rsidRPr="009128A2">
        <w:rPr>
          <w:rFonts w:ascii="Calibri" w:eastAsia="Calibri" w:hAnsi="Calibri"/>
          <w:rtl/>
        </w:rPr>
        <w:t xml:space="preserve"> </w:t>
      </w:r>
      <w:r w:rsidRPr="009128A2">
        <w:rPr>
          <w:rFonts w:ascii="Calibri" w:eastAsia="Calibri" w:hAnsi="Calibri"/>
          <w:b/>
          <w:bCs/>
          <w:rtl/>
        </w:rPr>
        <w:t>אגבאריה נ' מדינת ישראל</w:t>
      </w:r>
      <w:r w:rsidRPr="009128A2">
        <w:rPr>
          <w:rFonts w:ascii="Calibri" w:eastAsia="Calibri" w:hAnsi="Calibri"/>
          <w:rtl/>
        </w:rPr>
        <w:t>, 26/5/2024; להלן:</w:t>
      </w:r>
      <w:r w:rsidRPr="009128A2">
        <w:rPr>
          <w:rFonts w:ascii="Calibri" w:eastAsia="Calibri" w:hAnsi="Calibri" w:hint="cs"/>
        </w:rPr>
        <w:t xml:space="preserve"> </w:t>
      </w:r>
      <w:r w:rsidRPr="009128A2">
        <w:rPr>
          <w:rFonts w:ascii="Calibri" w:eastAsia="Calibri" w:hAnsi="Calibri"/>
          <w:rtl/>
        </w:rPr>
        <w:t>"</w:t>
      </w:r>
      <w:r w:rsidRPr="009128A2">
        <w:rPr>
          <w:rFonts w:ascii="Calibri" w:eastAsia="Calibri" w:hAnsi="Calibri"/>
          <w:b/>
          <w:bCs/>
          <w:rtl/>
        </w:rPr>
        <w:t>עניין אגבאריה</w:t>
      </w:r>
      <w:r w:rsidRPr="009128A2">
        <w:rPr>
          <w:rFonts w:ascii="Calibri" w:eastAsia="Calibri" w:hAnsi="Calibri"/>
          <w:rtl/>
        </w:rPr>
        <w:t>")</w:t>
      </w:r>
    </w:p>
    <w:p w14:paraId="24010142" w14:textId="77777777" w:rsidR="00D56D8C" w:rsidRPr="009128A2" w:rsidRDefault="00D56D8C" w:rsidP="00D56D8C">
      <w:pPr>
        <w:spacing w:line="360" w:lineRule="auto"/>
        <w:jc w:val="both"/>
        <w:rPr>
          <w:rFonts w:ascii="Calibri" w:eastAsia="Calibri" w:hAnsi="Calibri"/>
          <w:rtl/>
        </w:rPr>
      </w:pPr>
    </w:p>
    <w:p w14:paraId="559A1485" w14:textId="77777777" w:rsidR="00D56D8C" w:rsidRPr="009128A2" w:rsidRDefault="00D56D8C" w:rsidP="00D56D8C">
      <w:pPr>
        <w:spacing w:line="360" w:lineRule="auto"/>
        <w:ind w:left="720" w:hanging="720"/>
        <w:jc w:val="both"/>
        <w:rPr>
          <w:rFonts w:ascii="Calibri" w:eastAsia="Calibri" w:hAnsi="Calibri"/>
          <w:rtl/>
        </w:rPr>
      </w:pPr>
      <w:r w:rsidRPr="009128A2">
        <w:rPr>
          <w:rFonts w:ascii="Calibri" w:eastAsia="Calibri" w:hAnsi="Calibri"/>
          <w:rtl/>
        </w:rPr>
        <w:t>22.</w:t>
      </w:r>
      <w:r w:rsidRPr="009128A2">
        <w:rPr>
          <w:rFonts w:ascii="Calibri" w:eastAsia="Calibri" w:hAnsi="Calibri"/>
          <w:rtl/>
        </w:rPr>
        <w:tab/>
        <w:t>הצורך להיאבק בעבירות הנשק בדרך של החמרת הענישה עולה גם מהוראת השעה (</w:t>
      </w:r>
      <w:r w:rsidR="00AD2F53" w:rsidRPr="000B519B">
        <w:rPr>
          <w:rFonts w:ascii="Calibri" w:eastAsia="Calibri" w:hAnsi="Calibri" w:hint="cs"/>
          <w:rtl/>
        </w:rPr>
        <w:t>חוק</w:t>
      </w:r>
      <w:r w:rsidR="00AD2F53" w:rsidRPr="000B519B">
        <w:rPr>
          <w:rFonts w:ascii="Calibri" w:eastAsia="Calibri" w:hAnsi="Calibri"/>
          <w:rtl/>
        </w:rPr>
        <w:t xml:space="preserve"> </w:t>
      </w:r>
      <w:r w:rsidR="00AD2F53" w:rsidRPr="000B519B">
        <w:rPr>
          <w:rFonts w:ascii="Calibri" w:eastAsia="Calibri" w:hAnsi="Calibri" w:hint="cs"/>
          <w:rtl/>
        </w:rPr>
        <w:t>העונשין</w:t>
      </w:r>
      <w:r w:rsidRPr="009128A2">
        <w:rPr>
          <w:rFonts w:ascii="Calibri" w:eastAsia="Calibri" w:hAnsi="Calibri"/>
          <w:rtl/>
        </w:rPr>
        <w:t xml:space="preserve"> (תיקון מס' 140 – הוראת שעה), התשפ"ב-2021) שעמדה בתוקף מיום 8/12/2021 ועד ליום 7/12/2024, וחודשה ביום 9/1/2025 (חוק העונשין (תיקון מס' 140 – הוראת שעה) (תיקון), תשפ"ה-2025), בה נקבע עונש מינימום של 30 חודשי מאסר לעבירה של נשיאת נשק (</w:t>
      </w:r>
      <w:hyperlink r:id="rId16" w:history="1">
        <w:r w:rsidR="000B519B" w:rsidRPr="000B519B">
          <w:rPr>
            <w:rStyle w:val="Hyperlink"/>
            <w:rFonts w:ascii="Calibri" w:eastAsia="Calibri" w:hAnsi="Calibri"/>
            <w:color w:val="0000FF"/>
            <w:rtl/>
          </w:rPr>
          <w:t>סעיף 144(ז)</w:t>
        </w:r>
      </w:hyperlink>
      <w:r w:rsidRPr="009128A2">
        <w:rPr>
          <w:rFonts w:ascii="Calibri" w:eastAsia="Calibri" w:hAnsi="Calibri"/>
          <w:rtl/>
        </w:rPr>
        <w:t xml:space="preserve"> בחוק העונשין), אלא אם כן החליט בית המשפט, מטעמים מיוחדים שיירשמו, להקל בעונשו.</w:t>
      </w:r>
    </w:p>
    <w:p w14:paraId="13122077" w14:textId="77777777" w:rsidR="00D56D8C" w:rsidRPr="009128A2" w:rsidRDefault="00D56D8C" w:rsidP="00D56D8C">
      <w:pPr>
        <w:spacing w:line="360" w:lineRule="auto"/>
        <w:ind w:left="720" w:hanging="720"/>
        <w:jc w:val="both"/>
        <w:rPr>
          <w:rFonts w:ascii="Calibri" w:eastAsia="Calibri" w:hAnsi="Calibri"/>
          <w:rtl/>
        </w:rPr>
      </w:pPr>
    </w:p>
    <w:p w14:paraId="39742928" w14:textId="77777777" w:rsidR="00D56D8C" w:rsidRPr="009128A2" w:rsidRDefault="00D56D8C" w:rsidP="00D56D8C">
      <w:pPr>
        <w:spacing w:line="360" w:lineRule="auto"/>
        <w:ind w:left="720" w:hanging="720"/>
        <w:jc w:val="both"/>
        <w:rPr>
          <w:rFonts w:ascii="Calibri" w:eastAsia="Calibri" w:hAnsi="Calibri"/>
          <w:rtl/>
        </w:rPr>
      </w:pPr>
      <w:r w:rsidRPr="009128A2">
        <w:rPr>
          <w:rFonts w:ascii="Calibri" w:eastAsia="Calibri" w:hAnsi="Calibri"/>
          <w:rtl/>
        </w:rPr>
        <w:t>23.</w:t>
      </w:r>
      <w:r w:rsidRPr="009128A2">
        <w:rPr>
          <w:rFonts w:ascii="Calibri" w:eastAsia="Calibri" w:hAnsi="Calibri"/>
          <w:rtl/>
        </w:rPr>
        <w:tab/>
        <w:t>לעניין העבירה בה הנאשם הורשע קבע בית המשפט העליון, כי מתחם העונש ההולם לנאשם בגיר בעבירה של נשיאה בלתי חוקית של נשק חם במרחב הציבורי נע בין 30 לבין 42 חודשי מאסר בפועל, וכי בהיעדר נסיבות מיוחדות לחומרה או לקולה, יהא זה סביר להטיל על נאשם כאמור עונש של 36 חודשי מאסר לריצוי בפועל (</w:t>
      </w:r>
      <w:hyperlink r:id="rId17" w:history="1">
        <w:r w:rsidR="00AD2F53" w:rsidRPr="00AD2F53">
          <w:rPr>
            <w:rFonts w:ascii="Calibri" w:eastAsia="Calibri" w:hAnsi="Calibri" w:hint="cs"/>
            <w:color w:val="0000FF"/>
            <w:u w:val="single"/>
            <w:rtl/>
          </w:rPr>
          <w:t>ע</w:t>
        </w:r>
        <w:r w:rsidR="00AD2F53" w:rsidRPr="00AD2F53">
          <w:rPr>
            <w:rFonts w:ascii="Calibri" w:eastAsia="Calibri" w:hAnsi="Calibri"/>
            <w:color w:val="0000FF"/>
            <w:u w:val="single"/>
            <w:rtl/>
          </w:rPr>
          <w:t>"</w:t>
        </w:r>
        <w:r w:rsidR="00AD2F53" w:rsidRPr="00AD2F53">
          <w:rPr>
            <w:rFonts w:ascii="Calibri" w:eastAsia="Calibri" w:hAnsi="Calibri" w:hint="cs"/>
            <w:color w:val="0000FF"/>
            <w:u w:val="single"/>
            <w:rtl/>
          </w:rPr>
          <w:t>פ</w:t>
        </w:r>
        <w:r w:rsidR="00AD2F53" w:rsidRPr="00AD2F53">
          <w:rPr>
            <w:rFonts w:ascii="Calibri" w:eastAsia="Calibri" w:hAnsi="Calibri"/>
            <w:color w:val="0000FF"/>
            <w:u w:val="single"/>
            <w:rtl/>
          </w:rPr>
          <w:t xml:space="preserve"> 5602/22</w:t>
        </w:r>
      </w:hyperlink>
      <w:r w:rsidR="00AD2F53">
        <w:rPr>
          <w:rFonts w:ascii="Calibri" w:eastAsia="Calibri" w:hAnsi="Calibri"/>
          <w:rtl/>
        </w:rPr>
        <w:t xml:space="preserve"> </w:t>
      </w:r>
      <w:r w:rsidRPr="009128A2">
        <w:rPr>
          <w:rFonts w:ascii="Calibri" w:eastAsia="Calibri" w:hAnsi="Calibri"/>
          <w:b/>
          <w:bCs/>
          <w:rtl/>
        </w:rPr>
        <w:t>מדינת ישראל נ' פלוני</w:t>
      </w:r>
      <w:r w:rsidRPr="009128A2">
        <w:rPr>
          <w:rFonts w:ascii="Calibri" w:eastAsia="Calibri" w:hAnsi="Calibri"/>
          <w:rtl/>
        </w:rPr>
        <w:t xml:space="preserve">, 14/9/2022; </w:t>
      </w:r>
      <w:r w:rsidRPr="009128A2">
        <w:rPr>
          <w:rFonts w:ascii="Calibri" w:eastAsia="Calibri" w:hAnsi="Calibri"/>
          <w:b/>
          <w:bCs/>
          <w:rtl/>
        </w:rPr>
        <w:t>עניין אגבאריה</w:t>
      </w:r>
      <w:r w:rsidRPr="009128A2">
        <w:rPr>
          <w:rFonts w:ascii="Calibri" w:eastAsia="Calibri" w:hAnsi="Calibri"/>
          <w:rtl/>
        </w:rPr>
        <w:t>)</w:t>
      </w:r>
    </w:p>
    <w:p w14:paraId="385BB8A7" w14:textId="77777777" w:rsidR="00D56D8C" w:rsidRPr="009128A2" w:rsidRDefault="00D56D8C" w:rsidP="00D56D8C">
      <w:pPr>
        <w:spacing w:line="360" w:lineRule="auto"/>
        <w:ind w:left="720" w:hanging="720"/>
        <w:jc w:val="both"/>
        <w:rPr>
          <w:rFonts w:ascii="Calibri" w:eastAsia="Calibri" w:hAnsi="Calibri"/>
          <w:rtl/>
        </w:rPr>
      </w:pPr>
    </w:p>
    <w:p w14:paraId="31C79F55" w14:textId="77777777" w:rsidR="00D56D8C" w:rsidRPr="009128A2" w:rsidRDefault="00D56D8C" w:rsidP="00D56D8C">
      <w:pPr>
        <w:spacing w:line="360" w:lineRule="auto"/>
        <w:ind w:left="720" w:hanging="720"/>
        <w:jc w:val="both"/>
        <w:rPr>
          <w:rFonts w:ascii="Calibri" w:eastAsia="Calibri" w:hAnsi="Calibri"/>
          <w:rtl/>
        </w:rPr>
      </w:pPr>
      <w:r w:rsidRPr="009128A2">
        <w:rPr>
          <w:rFonts w:ascii="Calibri" w:eastAsia="Calibri" w:hAnsi="Calibri"/>
          <w:rtl/>
        </w:rPr>
        <w:t>24.</w:t>
      </w:r>
      <w:r w:rsidRPr="009128A2">
        <w:rPr>
          <w:rFonts w:ascii="Calibri" w:eastAsia="Calibri" w:hAnsi="Calibri"/>
          <w:rtl/>
        </w:rPr>
        <w:tab/>
        <w:t>ברם, גם עבירות הנשק אינן עשויות מקשה אחת. בבוא בית המשפט לקבוע את מתחם העונש ההולם בגינן, עליו לעמוד בכל מקרה ומקרה על נסיבות ביצוע העבירות, המשליכות על חומרתו של מעשה העבירה ועל אשמו של הנאשם (</w:t>
      </w:r>
      <w:hyperlink r:id="rId18" w:history="1">
        <w:r w:rsidR="00AD2F53" w:rsidRPr="00AD2F53">
          <w:rPr>
            <w:rFonts w:ascii="Calibri" w:eastAsia="Calibri" w:hAnsi="Calibri" w:hint="cs"/>
            <w:color w:val="0000FF"/>
            <w:u w:val="single"/>
            <w:rtl/>
          </w:rPr>
          <w:t>ע</w:t>
        </w:r>
        <w:r w:rsidR="00AD2F53" w:rsidRPr="00AD2F53">
          <w:rPr>
            <w:rFonts w:ascii="Calibri" w:eastAsia="Calibri" w:hAnsi="Calibri"/>
            <w:color w:val="0000FF"/>
            <w:u w:val="single"/>
            <w:rtl/>
          </w:rPr>
          <w:t>"</w:t>
        </w:r>
        <w:r w:rsidR="00AD2F53" w:rsidRPr="00AD2F53">
          <w:rPr>
            <w:rFonts w:ascii="Calibri" w:eastAsia="Calibri" w:hAnsi="Calibri" w:hint="cs"/>
            <w:color w:val="0000FF"/>
            <w:u w:val="single"/>
            <w:rtl/>
          </w:rPr>
          <w:t>פ</w:t>
        </w:r>
        <w:r w:rsidR="00AD2F53" w:rsidRPr="00AD2F53">
          <w:rPr>
            <w:rFonts w:ascii="Calibri" w:eastAsia="Calibri" w:hAnsi="Calibri"/>
            <w:color w:val="0000FF"/>
            <w:u w:val="single"/>
            <w:rtl/>
          </w:rPr>
          <w:t xml:space="preserve"> 6383/21</w:t>
        </w:r>
      </w:hyperlink>
      <w:r w:rsidRPr="009128A2">
        <w:rPr>
          <w:rFonts w:ascii="Calibri" w:eastAsia="Calibri" w:hAnsi="Calibri"/>
          <w:rtl/>
        </w:rPr>
        <w:t xml:space="preserve"> </w:t>
      </w:r>
      <w:r w:rsidRPr="009128A2">
        <w:rPr>
          <w:rFonts w:ascii="Calibri" w:eastAsia="Calibri" w:hAnsi="Calibri"/>
          <w:b/>
          <w:bCs/>
          <w:rtl/>
        </w:rPr>
        <w:t>קריף נ' מדינת ישראל</w:t>
      </w:r>
      <w:r w:rsidRPr="009128A2">
        <w:rPr>
          <w:rFonts w:ascii="Calibri" w:eastAsia="Calibri" w:hAnsi="Calibri"/>
          <w:rtl/>
        </w:rPr>
        <w:t>, 13/2/2022). כך, כפי שהובהר בפסיקה, עבירות הנשק אוסרות על מעשי הכנה לקראת ביצועם של מעשים פליליים חמורים ומסוכנים ביותר, הנעשים באמצעות כלי ירייה. הגם שלרוב מדובר במעשי הכנה שאינם מגיעים כדי ניסיון לעבור עבירה פלילית, הענישה בגינן מחמירה, לנוכח חומרתם המגיעה כדי סיכון ממשי וחמור לפרט ולחברה (</w:t>
      </w:r>
      <w:hyperlink r:id="rId19" w:history="1">
        <w:r w:rsidR="00AD2F53" w:rsidRPr="00AD2F53">
          <w:rPr>
            <w:rFonts w:ascii="Calibri" w:eastAsia="Calibri" w:hAnsi="Calibri" w:hint="cs"/>
            <w:color w:val="0000FF"/>
            <w:u w:val="single"/>
            <w:rtl/>
          </w:rPr>
          <w:t>ע</w:t>
        </w:r>
        <w:r w:rsidR="00AD2F53" w:rsidRPr="00AD2F53">
          <w:rPr>
            <w:rFonts w:ascii="Calibri" w:eastAsia="Calibri" w:hAnsi="Calibri"/>
            <w:color w:val="0000FF"/>
            <w:u w:val="single"/>
            <w:rtl/>
          </w:rPr>
          <w:t>"</w:t>
        </w:r>
        <w:r w:rsidR="00AD2F53" w:rsidRPr="00AD2F53">
          <w:rPr>
            <w:rFonts w:ascii="Calibri" w:eastAsia="Calibri" w:hAnsi="Calibri" w:hint="cs"/>
            <w:color w:val="0000FF"/>
            <w:u w:val="single"/>
            <w:rtl/>
          </w:rPr>
          <w:t>פ</w:t>
        </w:r>
        <w:r w:rsidR="00AD2F53" w:rsidRPr="00AD2F53">
          <w:rPr>
            <w:rFonts w:ascii="Calibri" w:eastAsia="Calibri" w:hAnsi="Calibri"/>
            <w:color w:val="0000FF"/>
            <w:u w:val="single"/>
            <w:rtl/>
          </w:rPr>
          <w:t xml:space="preserve"> 147/21</w:t>
        </w:r>
      </w:hyperlink>
      <w:r w:rsidR="00AD2F53">
        <w:rPr>
          <w:rFonts w:ascii="Calibri" w:eastAsia="Calibri" w:hAnsi="Calibri"/>
          <w:rtl/>
        </w:rPr>
        <w:t xml:space="preserve"> </w:t>
      </w:r>
      <w:r w:rsidRPr="009128A2">
        <w:rPr>
          <w:rFonts w:ascii="Calibri" w:eastAsia="Calibri" w:hAnsi="Calibri"/>
          <w:b/>
          <w:bCs/>
          <w:rtl/>
        </w:rPr>
        <w:t>מדינת ישראל נ' ביטון</w:t>
      </w:r>
      <w:r w:rsidRPr="009128A2">
        <w:rPr>
          <w:rFonts w:ascii="Calibri" w:eastAsia="Calibri" w:hAnsi="Calibri"/>
          <w:rtl/>
        </w:rPr>
        <w:t xml:space="preserve">, 14/2/2021). בהתאם לכך, </w:t>
      </w:r>
      <w:r w:rsidRPr="009128A2">
        <w:rPr>
          <w:rFonts w:ascii="David" w:eastAsia="Calibri" w:hAnsi="David"/>
          <w:rtl/>
        </w:rPr>
        <w:t>מתחם העונש האמור, שנע בין 30 חודשי מאסר בפועל לבין 42 חודשי מאסר בפועל, מתאים למקרה "רגיל", בו נאשם נשא כלי נשק בנסיבות "רגילות", של הכנה שאינה מגיעה כדי ניסיון. לעומת זאת, במקרה בו אין מדובר בסיכון כללי אלא בתכנית קונקרטית של ביצוע ירי לעבר מטרה שזהותה ידועה לנאשם, לא ניתן להסתפק בעונש המוטל ברגיל בשל נשיאה של נשק חם, אלא שיש להטיל עונש חמור בהרבה (</w:t>
      </w:r>
      <w:hyperlink r:id="rId20" w:history="1">
        <w:r w:rsidR="00AD2F53" w:rsidRPr="00AD2F53">
          <w:rPr>
            <w:rFonts w:ascii="David" w:eastAsia="Calibri" w:hAnsi="David"/>
            <w:color w:val="0000FF"/>
            <w:u w:val="single"/>
            <w:rtl/>
          </w:rPr>
          <w:t>ע"פ 6559/23</w:t>
        </w:r>
      </w:hyperlink>
      <w:r w:rsidRPr="009128A2">
        <w:rPr>
          <w:rFonts w:ascii="David" w:eastAsia="Calibri" w:hAnsi="David"/>
          <w:rtl/>
        </w:rPr>
        <w:t xml:space="preserve"> </w:t>
      </w:r>
      <w:r w:rsidRPr="009128A2">
        <w:rPr>
          <w:rFonts w:ascii="David" w:eastAsia="Calibri" w:hAnsi="David"/>
          <w:b/>
          <w:bCs/>
          <w:rtl/>
        </w:rPr>
        <w:t>מדינת ישראל נ' חסארמה</w:t>
      </w:r>
      <w:r w:rsidRPr="009128A2">
        <w:rPr>
          <w:rFonts w:ascii="David" w:eastAsia="Calibri" w:hAnsi="David"/>
          <w:rtl/>
        </w:rPr>
        <w:t xml:space="preserve">, 2/6/2024). מנגד, בנסיבות בהן </w:t>
      </w:r>
      <w:r w:rsidRPr="009128A2">
        <w:rPr>
          <w:rFonts w:ascii="Calibri" w:eastAsia="Calibri" w:hAnsi="Calibri"/>
          <w:rtl/>
        </w:rPr>
        <w:t>הוכח בבירור שנשיאת הנשק לא נעשתה כהכנה לביצוע מעשים פליליים, יש הצדקה לקבוע מתחם ענישה נמוך מהמתחם האמור (</w:t>
      </w:r>
      <w:hyperlink r:id="rId21" w:history="1">
        <w:r w:rsidR="00AD2F53" w:rsidRPr="00AD2F53">
          <w:rPr>
            <w:rFonts w:ascii="Calibri" w:eastAsia="Calibri" w:hAnsi="Calibri" w:hint="cs"/>
            <w:color w:val="0000FF"/>
            <w:u w:val="single"/>
            <w:rtl/>
          </w:rPr>
          <w:t>ת</w:t>
        </w:r>
        <w:r w:rsidR="00AD2F53" w:rsidRPr="00AD2F53">
          <w:rPr>
            <w:rFonts w:ascii="Calibri" w:eastAsia="Calibri" w:hAnsi="Calibri"/>
            <w:color w:val="0000FF"/>
            <w:u w:val="single"/>
            <w:rtl/>
          </w:rPr>
          <w:t>"</w:t>
        </w:r>
        <w:r w:rsidR="00AD2F53" w:rsidRPr="00AD2F53">
          <w:rPr>
            <w:rFonts w:ascii="Calibri" w:eastAsia="Calibri" w:hAnsi="Calibri" w:hint="cs"/>
            <w:color w:val="0000FF"/>
            <w:u w:val="single"/>
            <w:rtl/>
          </w:rPr>
          <w:t>פ</w:t>
        </w:r>
        <w:r w:rsidR="00AD2F53" w:rsidRPr="00AD2F53">
          <w:rPr>
            <w:rFonts w:ascii="Calibri" w:eastAsia="Calibri" w:hAnsi="Calibri"/>
            <w:color w:val="0000FF"/>
            <w:u w:val="single"/>
            <w:rtl/>
          </w:rPr>
          <w:t xml:space="preserve"> (</w:t>
        </w:r>
        <w:r w:rsidR="00AD2F53" w:rsidRPr="00AD2F53">
          <w:rPr>
            <w:rFonts w:ascii="Calibri" w:eastAsia="Calibri" w:hAnsi="Calibri" w:hint="cs"/>
            <w:color w:val="0000FF"/>
            <w:u w:val="single"/>
            <w:rtl/>
          </w:rPr>
          <w:t>מחוזי</w:t>
        </w:r>
        <w:r w:rsidR="00AD2F53" w:rsidRPr="00AD2F53">
          <w:rPr>
            <w:rFonts w:ascii="Calibri" w:eastAsia="Calibri" w:hAnsi="Calibri"/>
            <w:color w:val="0000FF"/>
            <w:u w:val="single"/>
            <w:rtl/>
          </w:rPr>
          <w:t xml:space="preserve"> </w:t>
        </w:r>
        <w:r w:rsidR="00AD2F53" w:rsidRPr="00AD2F53">
          <w:rPr>
            <w:rFonts w:ascii="Calibri" w:eastAsia="Calibri" w:hAnsi="Calibri" w:hint="cs"/>
            <w:color w:val="0000FF"/>
            <w:u w:val="single"/>
            <w:rtl/>
          </w:rPr>
          <w:t>ירושלים</w:t>
        </w:r>
        <w:r w:rsidR="00AD2F53" w:rsidRPr="00AD2F53">
          <w:rPr>
            <w:rFonts w:ascii="Calibri" w:eastAsia="Calibri" w:hAnsi="Calibri"/>
            <w:color w:val="0000FF"/>
            <w:u w:val="single"/>
            <w:rtl/>
          </w:rPr>
          <w:t>) 48354-10-23</w:t>
        </w:r>
      </w:hyperlink>
      <w:r w:rsidRPr="009128A2">
        <w:rPr>
          <w:rFonts w:ascii="Calibri" w:eastAsia="Calibri" w:hAnsi="Calibri"/>
          <w:rtl/>
        </w:rPr>
        <w:t xml:space="preserve"> </w:t>
      </w:r>
      <w:r w:rsidRPr="009128A2">
        <w:rPr>
          <w:rFonts w:ascii="Calibri" w:eastAsia="Calibri" w:hAnsi="Calibri"/>
          <w:b/>
          <w:bCs/>
          <w:rtl/>
        </w:rPr>
        <w:t>מדינת ישראל נ' נאבולסי</w:t>
      </w:r>
      <w:r w:rsidRPr="009128A2">
        <w:rPr>
          <w:rFonts w:ascii="Calibri" w:eastAsia="Calibri" w:hAnsi="Calibri"/>
          <w:rtl/>
        </w:rPr>
        <w:t>, 10/9/2024).</w:t>
      </w:r>
    </w:p>
    <w:p w14:paraId="5238505A" w14:textId="77777777" w:rsidR="00D56D8C" w:rsidRPr="009128A2" w:rsidRDefault="00D56D8C" w:rsidP="00D56D8C">
      <w:pPr>
        <w:spacing w:line="360" w:lineRule="auto"/>
        <w:ind w:left="680" w:hanging="680"/>
        <w:jc w:val="both"/>
        <w:rPr>
          <w:rFonts w:ascii="David" w:hAnsi="David"/>
          <w:rtl/>
        </w:rPr>
      </w:pPr>
    </w:p>
    <w:p w14:paraId="556F69AE" w14:textId="77777777" w:rsidR="00D56D8C" w:rsidRPr="009128A2" w:rsidRDefault="00D56D8C" w:rsidP="00D56D8C">
      <w:pPr>
        <w:spacing w:line="360" w:lineRule="auto"/>
        <w:ind w:left="680" w:hanging="680"/>
        <w:jc w:val="both"/>
        <w:rPr>
          <w:rFonts w:ascii="David" w:eastAsia="Calibri" w:hAnsi="David"/>
          <w:rtl/>
        </w:rPr>
      </w:pPr>
      <w:r w:rsidRPr="009128A2">
        <w:rPr>
          <w:rFonts w:ascii="Calibri" w:eastAsia="Calibri" w:hAnsi="Calibri"/>
          <w:rtl/>
        </w:rPr>
        <w:t xml:space="preserve"> 25.</w:t>
      </w:r>
      <w:r w:rsidRPr="009128A2">
        <w:rPr>
          <w:rFonts w:ascii="Calibri" w:eastAsia="Calibri" w:hAnsi="Calibri"/>
          <w:rtl/>
        </w:rPr>
        <w:tab/>
        <w:t>ודוק: ברגיל, לא תתקבל טענה מטעמו של נאשם המבקשת להפחית מחומרתן של עבירות הנשק בנימוק של הגנה עצמית. ההנחה היא שזמינותו של נשק בלתי חוקי מעודדת שימוש בו לביצוע עבירות ונושאת עמה פוטנציאל גבוה לפגיעה ממשית וקשה בביטחון הציבור ובשלומו. הבנה זו מצדיקה ענישה מחמירה גם במקרים שבהם עבירת הנשק נעברה למטרת הגנה עצמית, ומחייבת להעביר מסר חד וברור לפיו כל מי שנושא ומחזיק נשק בלתי חוקי, גם אם לצורך להגנה אישית, צפוי לעונש מאסר משמעותי בפועל (</w:t>
      </w:r>
      <w:hyperlink r:id="rId22" w:history="1">
        <w:r w:rsidR="00AD2F53" w:rsidRPr="00AD2F53">
          <w:rPr>
            <w:rFonts w:ascii="Calibri" w:eastAsia="Calibri" w:hAnsi="Calibri" w:hint="cs"/>
            <w:color w:val="0000FF"/>
            <w:u w:val="single"/>
            <w:rtl/>
          </w:rPr>
          <w:t>ע</w:t>
        </w:r>
        <w:r w:rsidR="00AD2F53" w:rsidRPr="00AD2F53">
          <w:rPr>
            <w:rFonts w:ascii="Calibri" w:eastAsia="Calibri" w:hAnsi="Calibri"/>
            <w:color w:val="0000FF"/>
            <w:u w:val="single"/>
            <w:rtl/>
          </w:rPr>
          <w:t>"</w:t>
        </w:r>
        <w:r w:rsidR="00AD2F53" w:rsidRPr="00AD2F53">
          <w:rPr>
            <w:rFonts w:ascii="Calibri" w:eastAsia="Calibri" w:hAnsi="Calibri" w:hint="cs"/>
            <w:color w:val="0000FF"/>
            <w:u w:val="single"/>
            <w:rtl/>
          </w:rPr>
          <w:t>פ</w:t>
        </w:r>
        <w:r w:rsidR="00AD2F53" w:rsidRPr="00AD2F53">
          <w:rPr>
            <w:rFonts w:ascii="Calibri" w:eastAsia="Calibri" w:hAnsi="Calibri"/>
            <w:color w:val="0000FF"/>
            <w:u w:val="single"/>
            <w:rtl/>
          </w:rPr>
          <w:t xml:space="preserve"> 5330/20</w:t>
        </w:r>
      </w:hyperlink>
      <w:r w:rsidRPr="009128A2">
        <w:rPr>
          <w:rFonts w:ascii="Calibri" w:eastAsia="Calibri" w:hAnsi="Calibri"/>
          <w:rtl/>
        </w:rPr>
        <w:t xml:space="preserve"> </w:t>
      </w:r>
      <w:r w:rsidRPr="009128A2">
        <w:rPr>
          <w:rFonts w:ascii="Calibri" w:eastAsia="Calibri" w:hAnsi="Calibri"/>
          <w:b/>
          <w:bCs/>
          <w:rtl/>
        </w:rPr>
        <w:t>ענבתאוי נ' מדינת ישראל</w:t>
      </w:r>
      <w:r w:rsidRPr="009128A2">
        <w:rPr>
          <w:rFonts w:ascii="Calibri" w:eastAsia="Calibri" w:hAnsi="Calibri"/>
          <w:rtl/>
        </w:rPr>
        <w:t xml:space="preserve">, 22/11/2020; </w:t>
      </w:r>
      <w:hyperlink r:id="rId23" w:history="1">
        <w:r w:rsidR="00AD2F53" w:rsidRPr="00AD2F53">
          <w:rPr>
            <w:rFonts w:ascii="Calibri" w:eastAsia="Calibri" w:hAnsi="Calibri" w:hint="cs"/>
            <w:color w:val="0000FF"/>
            <w:u w:val="single"/>
            <w:rtl/>
          </w:rPr>
          <w:t>ע</w:t>
        </w:r>
        <w:r w:rsidR="00AD2F53" w:rsidRPr="00AD2F53">
          <w:rPr>
            <w:rFonts w:ascii="Calibri" w:eastAsia="Calibri" w:hAnsi="Calibri"/>
            <w:color w:val="0000FF"/>
            <w:u w:val="single"/>
            <w:rtl/>
          </w:rPr>
          <w:t>"</w:t>
        </w:r>
        <w:r w:rsidR="00AD2F53" w:rsidRPr="00AD2F53">
          <w:rPr>
            <w:rFonts w:ascii="Calibri" w:eastAsia="Calibri" w:hAnsi="Calibri" w:hint="cs"/>
            <w:color w:val="0000FF"/>
            <w:u w:val="single"/>
            <w:rtl/>
          </w:rPr>
          <w:t>פ</w:t>
        </w:r>
        <w:r w:rsidR="00AD2F53" w:rsidRPr="00AD2F53">
          <w:rPr>
            <w:rFonts w:ascii="Calibri" w:eastAsia="Calibri" w:hAnsi="Calibri"/>
            <w:color w:val="0000FF"/>
            <w:u w:val="single"/>
            <w:rtl/>
          </w:rPr>
          <w:t xml:space="preserve"> 4406/19</w:t>
        </w:r>
      </w:hyperlink>
      <w:r w:rsidR="00AD2F53">
        <w:rPr>
          <w:rFonts w:ascii="Calibri" w:eastAsia="Calibri" w:hAnsi="Calibri"/>
          <w:rtl/>
        </w:rPr>
        <w:t xml:space="preserve"> </w:t>
      </w:r>
      <w:r w:rsidRPr="009128A2">
        <w:rPr>
          <w:rFonts w:ascii="Calibri" w:eastAsia="Calibri" w:hAnsi="Calibri"/>
          <w:b/>
          <w:bCs/>
          <w:rtl/>
        </w:rPr>
        <w:t>מדינת ישראל נ' סובח</w:t>
      </w:r>
      <w:r w:rsidRPr="009128A2">
        <w:rPr>
          <w:rFonts w:ascii="Calibri" w:eastAsia="Calibri" w:hAnsi="Calibri"/>
          <w:rtl/>
        </w:rPr>
        <w:t xml:space="preserve">, </w:t>
      </w:r>
      <w:r w:rsidRPr="009128A2">
        <w:rPr>
          <w:rFonts w:ascii="David" w:eastAsia="Calibri" w:hAnsi="David"/>
          <w:rtl/>
        </w:rPr>
        <w:t>פסק דינו של השופט</w:t>
      </w:r>
      <w:r w:rsidR="00AD2F53">
        <w:rPr>
          <w:rFonts w:ascii="David" w:eastAsia="Calibri" w:hAnsi="David"/>
          <w:rtl/>
        </w:rPr>
        <w:t xml:space="preserve"> </w:t>
      </w:r>
      <w:r w:rsidRPr="009128A2">
        <w:rPr>
          <w:rFonts w:ascii="David" w:eastAsia="Calibri" w:hAnsi="David"/>
          <w:rtl/>
        </w:rPr>
        <w:t>מ' מזוז,</w:t>
      </w:r>
      <w:r w:rsidR="00AD2F53">
        <w:rPr>
          <w:rFonts w:ascii="David" w:eastAsia="Calibri" w:hAnsi="David"/>
          <w:rtl/>
        </w:rPr>
        <w:t xml:space="preserve"> </w:t>
      </w:r>
      <w:r w:rsidRPr="009128A2">
        <w:rPr>
          <w:rFonts w:ascii="David" w:eastAsia="Calibri" w:hAnsi="David"/>
          <w:rtl/>
        </w:rPr>
        <w:t>5/11/2019;</w:t>
      </w:r>
      <w:r w:rsidRPr="009128A2">
        <w:rPr>
          <w:rFonts w:ascii="Calibri" w:eastAsia="Calibri" w:hAnsi="Calibri"/>
          <w:rtl/>
        </w:rPr>
        <w:t xml:space="preserve"> </w:t>
      </w:r>
      <w:hyperlink r:id="rId24" w:history="1">
        <w:r w:rsidR="00AD2F53" w:rsidRPr="00AD2F53">
          <w:rPr>
            <w:rFonts w:ascii="Calibri" w:eastAsia="Calibri" w:hAnsi="Calibri" w:hint="cs"/>
            <w:color w:val="0000FF"/>
            <w:u w:val="single"/>
            <w:rtl/>
          </w:rPr>
          <w:t>ע</w:t>
        </w:r>
        <w:r w:rsidR="00AD2F53" w:rsidRPr="00AD2F53">
          <w:rPr>
            <w:rFonts w:ascii="Calibri" w:eastAsia="Calibri" w:hAnsi="Calibri"/>
            <w:color w:val="0000FF"/>
            <w:u w:val="single"/>
            <w:rtl/>
          </w:rPr>
          <w:t>"</w:t>
        </w:r>
        <w:r w:rsidR="00AD2F53" w:rsidRPr="00AD2F53">
          <w:rPr>
            <w:rFonts w:ascii="Calibri" w:eastAsia="Calibri" w:hAnsi="Calibri" w:hint="cs"/>
            <w:color w:val="0000FF"/>
            <w:u w:val="single"/>
            <w:rtl/>
          </w:rPr>
          <w:t>פ</w:t>
        </w:r>
        <w:r w:rsidR="00AD2F53" w:rsidRPr="00AD2F53">
          <w:rPr>
            <w:rFonts w:ascii="Calibri" w:eastAsia="Calibri" w:hAnsi="Calibri"/>
            <w:color w:val="0000FF"/>
            <w:u w:val="single"/>
            <w:rtl/>
          </w:rPr>
          <w:t xml:space="preserve"> 5681/23</w:t>
        </w:r>
      </w:hyperlink>
      <w:r w:rsidR="00AD2F53">
        <w:rPr>
          <w:rFonts w:ascii="Calibri" w:eastAsia="Calibri" w:hAnsi="Calibri"/>
          <w:rtl/>
        </w:rPr>
        <w:t xml:space="preserve"> </w:t>
      </w:r>
      <w:r w:rsidRPr="009128A2">
        <w:rPr>
          <w:rFonts w:ascii="Calibri" w:eastAsia="Calibri" w:hAnsi="Calibri"/>
          <w:b/>
          <w:bCs/>
          <w:rtl/>
        </w:rPr>
        <w:t>חווא נ' מדינת ישראל</w:t>
      </w:r>
      <w:r w:rsidRPr="009128A2">
        <w:rPr>
          <w:rFonts w:ascii="Calibri" w:eastAsia="Calibri" w:hAnsi="Calibri"/>
          <w:rtl/>
        </w:rPr>
        <w:t>, 20/12/2023</w:t>
      </w:r>
      <w:r w:rsidRPr="009128A2">
        <w:rPr>
          <w:rFonts w:ascii="David" w:eastAsia="Calibri" w:hAnsi="David"/>
          <w:rtl/>
        </w:rPr>
        <w:t>).</w:t>
      </w:r>
    </w:p>
    <w:p w14:paraId="2E362203" w14:textId="77777777" w:rsidR="00D56D8C" w:rsidRPr="009128A2" w:rsidRDefault="00D56D8C" w:rsidP="00D56D8C">
      <w:pPr>
        <w:spacing w:line="360" w:lineRule="auto"/>
        <w:ind w:left="680" w:hanging="680"/>
        <w:jc w:val="both"/>
        <w:rPr>
          <w:rFonts w:ascii="David" w:eastAsia="Calibri" w:hAnsi="David"/>
          <w:rtl/>
        </w:rPr>
      </w:pPr>
    </w:p>
    <w:p w14:paraId="6DC392D8" w14:textId="77777777" w:rsidR="00D56D8C" w:rsidRPr="009128A2" w:rsidRDefault="00D56D8C" w:rsidP="00D56D8C">
      <w:pPr>
        <w:spacing w:line="360" w:lineRule="auto"/>
        <w:ind w:left="680" w:hanging="680"/>
        <w:jc w:val="both"/>
        <w:rPr>
          <w:rFonts w:ascii="Calibri" w:eastAsia="Calibri" w:hAnsi="Calibri"/>
          <w:rtl/>
        </w:rPr>
      </w:pPr>
      <w:r w:rsidRPr="009128A2">
        <w:rPr>
          <w:rFonts w:ascii="Calibri" w:eastAsia="Calibri" w:hAnsi="Calibri"/>
          <w:rtl/>
        </w:rPr>
        <w:t>26.</w:t>
      </w:r>
      <w:r w:rsidRPr="009128A2">
        <w:rPr>
          <w:rFonts w:ascii="Calibri" w:eastAsia="Calibri" w:hAnsi="Calibri"/>
          <w:rtl/>
        </w:rPr>
        <w:tab/>
        <w:t>אולם במקרה שלפניי אין מדובר בטענה סתמית מצדו של הנאשם בדבר הסיבה שהביאה אותו לעבור את העבירה. גרסתו, לפיה הסיבה לכך היא אירועי יום השבעה באוקטובר 2023 והחשש הנובע מכך, מוסכמת על המאשימה. חשש זה לא התעורר בלבו של הנאשם בשל מעורבות פלילית שלו או של אחרים, ולא נבע מנסיבות בהן ניתן היה לצפות כי יהיה בפנייה מטעמו למשטרת ישראל כדי לסלק את החשש. הנאשם החל להחזיק בנשק ביום 8/10/2023, יום למחרת המועד בו למרבה האסון עלה בידו של ארגון הטרור חמ</w:t>
      </w:r>
      <w:r>
        <w:rPr>
          <w:rFonts w:ascii="Calibri" w:eastAsia="Calibri" w:hAnsi="Calibri" w:hint="cs"/>
          <w:rtl/>
        </w:rPr>
        <w:t>א</w:t>
      </w:r>
      <w:r w:rsidRPr="009128A2">
        <w:rPr>
          <w:rFonts w:ascii="Calibri" w:eastAsia="Calibri" w:hAnsi="Calibri"/>
          <w:rtl/>
        </w:rPr>
        <w:t>ס לטבוח בתושבי המדינה, לחטוף ולאנוס רבים מהם, ולא עלה בידי גופי הביטחון להושיע. על רקע תסמיני הפוסט-טראומה שהתגלו אצל הנאשם, קל לתאר את הפחד שקינן בלבו בשל אירועים אלו. אין ספק אפוא שהנאשם, בנסיבותיו ובנסיבות הזמן, לא נשא את הנשק כהכנה לביצוע עבירה, אלא על מנת להתגונן מפני המשכה של מתקפת הטרור האמורה.</w:t>
      </w:r>
    </w:p>
    <w:p w14:paraId="02E56CCC" w14:textId="77777777" w:rsidR="00D56D8C" w:rsidRPr="009128A2" w:rsidRDefault="00D56D8C" w:rsidP="00D56D8C">
      <w:pPr>
        <w:spacing w:line="360" w:lineRule="auto"/>
        <w:ind w:left="680" w:hanging="680"/>
        <w:jc w:val="both"/>
        <w:rPr>
          <w:rFonts w:ascii="Calibri" w:eastAsia="Calibri" w:hAnsi="Calibri"/>
          <w:rtl/>
        </w:rPr>
      </w:pPr>
    </w:p>
    <w:p w14:paraId="368B7932" w14:textId="77777777" w:rsidR="00D56D8C" w:rsidRPr="009128A2" w:rsidRDefault="00D56D8C" w:rsidP="00D56D8C">
      <w:pPr>
        <w:spacing w:line="360" w:lineRule="auto"/>
        <w:ind w:left="680" w:hanging="680"/>
        <w:jc w:val="both"/>
        <w:rPr>
          <w:rFonts w:ascii="Calibri" w:eastAsia="Calibri" w:hAnsi="Calibri"/>
          <w:rtl/>
        </w:rPr>
      </w:pPr>
      <w:r w:rsidRPr="009128A2">
        <w:rPr>
          <w:rFonts w:ascii="Calibri" w:eastAsia="Calibri" w:hAnsi="Calibri"/>
          <w:rtl/>
        </w:rPr>
        <w:t>27.</w:t>
      </w:r>
      <w:r w:rsidRPr="009128A2">
        <w:rPr>
          <w:rFonts w:ascii="Calibri" w:eastAsia="Calibri" w:hAnsi="Calibri"/>
          <w:rtl/>
        </w:rPr>
        <w:tab/>
        <w:t xml:space="preserve">נסיבות ביצוע העבירה במקרה זה חריגות אפוא במידה המשליכה באופן משמעותי על מתחם העונש ההולם, והמצדיקה להקל עם הנאשם, לקבוע מתחם ענישה מתון באופן ניכר מזה שנקבע ברגיל לעבירה של נשיאת נשק במרחב הציבורי ולהימנע מלהטיל עליו את עונש המינימום שנקבע בצדה של העבירה בה הורשע. </w:t>
      </w:r>
    </w:p>
    <w:p w14:paraId="1FB537A7" w14:textId="77777777" w:rsidR="00D56D8C" w:rsidRPr="009128A2" w:rsidRDefault="00D56D8C" w:rsidP="00D56D8C">
      <w:pPr>
        <w:spacing w:line="360" w:lineRule="auto"/>
        <w:ind w:left="680" w:hanging="680"/>
        <w:jc w:val="both"/>
        <w:rPr>
          <w:rFonts w:ascii="Calibri" w:eastAsia="Calibri" w:hAnsi="Calibri"/>
          <w:rtl/>
        </w:rPr>
      </w:pPr>
    </w:p>
    <w:p w14:paraId="0624CCE6" w14:textId="77777777" w:rsidR="00D56D8C" w:rsidRPr="009128A2" w:rsidRDefault="00D56D8C" w:rsidP="00D56D8C">
      <w:pPr>
        <w:spacing w:line="360" w:lineRule="auto"/>
        <w:ind w:left="680" w:hanging="680"/>
        <w:jc w:val="both"/>
        <w:rPr>
          <w:rFonts w:ascii="Calibri" w:eastAsia="Calibri" w:hAnsi="Calibri"/>
          <w:rtl/>
        </w:rPr>
      </w:pPr>
      <w:r w:rsidRPr="009128A2">
        <w:rPr>
          <w:rFonts w:ascii="Calibri" w:eastAsia="Calibri" w:hAnsi="Calibri"/>
          <w:rtl/>
        </w:rPr>
        <w:t>28.</w:t>
      </w:r>
      <w:r w:rsidRPr="009128A2">
        <w:rPr>
          <w:rFonts w:ascii="Calibri" w:eastAsia="Calibri" w:hAnsi="Calibri"/>
          <w:rtl/>
        </w:rPr>
        <w:tab/>
        <w:t>בנוסף לאמור, יש להתחשב בכך שהנאשם נשא נשק מוסב, שיעילותו ושהסכנה הגלומה בו נמוכים ביחס לנשק תקני, בעובדה שהאקדח נתפס ברשותו של הנאשם ביום 9/10/2023, יום למחרת המועד בו הגיע לרשותו, ובכך שהנאשם החזיק בכדור תחמושת אחד בלבד.</w:t>
      </w:r>
    </w:p>
    <w:p w14:paraId="4CD5551E" w14:textId="77777777" w:rsidR="00D56D8C" w:rsidRPr="009128A2" w:rsidRDefault="00D56D8C" w:rsidP="00D56D8C">
      <w:pPr>
        <w:spacing w:line="360" w:lineRule="auto"/>
        <w:ind w:left="680" w:hanging="680"/>
        <w:jc w:val="both"/>
        <w:rPr>
          <w:rFonts w:ascii="David" w:hAnsi="David"/>
          <w:rtl/>
        </w:rPr>
      </w:pPr>
    </w:p>
    <w:p w14:paraId="2F2F3744" w14:textId="77777777" w:rsidR="00D56D8C" w:rsidRPr="009128A2" w:rsidRDefault="00D56D8C" w:rsidP="00D56D8C">
      <w:pPr>
        <w:spacing w:line="360" w:lineRule="auto"/>
        <w:ind w:left="680" w:hanging="680"/>
        <w:jc w:val="both"/>
        <w:rPr>
          <w:rFonts w:ascii="Calibri" w:eastAsia="Calibri" w:hAnsi="Calibri"/>
          <w:rtl/>
        </w:rPr>
      </w:pPr>
      <w:r w:rsidRPr="009128A2">
        <w:rPr>
          <w:rFonts w:ascii="Calibri" w:eastAsia="Calibri" w:hAnsi="Calibri"/>
          <w:rtl/>
        </w:rPr>
        <w:t>29.</w:t>
      </w:r>
      <w:r w:rsidRPr="009128A2">
        <w:rPr>
          <w:rFonts w:ascii="Calibri" w:eastAsia="Calibri" w:hAnsi="Calibri"/>
          <w:rtl/>
        </w:rPr>
        <w:tab/>
        <w:t>לאור המפורט לעיל בדבר הערכים החברתיים שנפגעו מביצוע העבירות ומידת הפגיעה בהם, לנוכח מדיניות הענישה הנהוגה עליה עמדנו לעיל, ובהתחשב בנסיבות בהן הנאשם עבר את העבירה, אני סבור כי מתחם העונש ההולם למעשיו של הנאשם נע בין אחד עשר חודשי מאסר בפועל לבין 24 חודשי מאסר בפועל.</w:t>
      </w:r>
    </w:p>
    <w:p w14:paraId="4167FD9A" w14:textId="77777777" w:rsidR="00D56D8C" w:rsidRPr="009128A2" w:rsidRDefault="00D56D8C" w:rsidP="00D56D8C">
      <w:pPr>
        <w:spacing w:line="360" w:lineRule="auto"/>
        <w:ind w:left="1360" w:hanging="680"/>
        <w:jc w:val="both"/>
        <w:rPr>
          <w:rFonts w:ascii="Calibri" w:eastAsia="Calibri" w:hAnsi="Calibri"/>
          <w:rtl/>
        </w:rPr>
      </w:pPr>
    </w:p>
    <w:p w14:paraId="4D78C4E0" w14:textId="77777777" w:rsidR="00D56D8C" w:rsidRPr="009128A2" w:rsidRDefault="00D56D8C" w:rsidP="00D56D8C">
      <w:pPr>
        <w:spacing w:line="360" w:lineRule="auto"/>
        <w:jc w:val="both"/>
        <w:outlineLvl w:val="1"/>
        <w:rPr>
          <w:rFonts w:ascii="Calibri" w:hAnsi="Calibri"/>
          <w:rtl/>
        </w:rPr>
      </w:pPr>
      <w:r w:rsidRPr="009128A2">
        <w:rPr>
          <w:rFonts w:ascii="Calibri" w:hAnsi="Calibri"/>
          <w:u w:val="single"/>
          <w:rtl/>
        </w:rPr>
        <w:t>העונש המתאים לנאשם</w:t>
      </w:r>
      <w:r w:rsidRPr="009128A2">
        <w:rPr>
          <w:rFonts w:ascii="Calibri" w:hAnsi="Calibri"/>
          <w:rtl/>
        </w:rPr>
        <w:t>:</w:t>
      </w:r>
    </w:p>
    <w:p w14:paraId="2D25AD9A" w14:textId="77777777" w:rsidR="00D56D8C" w:rsidRPr="009128A2" w:rsidRDefault="00D56D8C" w:rsidP="00D56D8C">
      <w:pPr>
        <w:spacing w:line="360" w:lineRule="auto"/>
        <w:ind w:left="680" w:hanging="680"/>
        <w:jc w:val="both"/>
        <w:rPr>
          <w:rFonts w:ascii="David" w:eastAsia="Calibri" w:hAnsi="David"/>
          <w:rtl/>
        </w:rPr>
      </w:pPr>
      <w:r w:rsidRPr="009128A2">
        <w:rPr>
          <w:rFonts w:ascii="David" w:hAnsi="David"/>
          <w:rtl/>
        </w:rPr>
        <w:t>30.</w:t>
      </w:r>
      <w:r w:rsidRPr="009128A2">
        <w:rPr>
          <w:rFonts w:ascii="David" w:hAnsi="David"/>
          <w:rtl/>
        </w:rPr>
        <w:tab/>
        <w:t>לצורך קביעת העונש המתאים לנאשם בתוך מתחם העונש ההולם הנ"ל יש להביא בחשבון, לטובתו של הנאשם את הודאתו שניתנה בשלב מוקדם מאוד של ההליך, עוד במסגרת הדיון המקדמי. יש בכך כדי לתמוך באמור בתסקירים כי הנאשם מקבל אחריות על מעשיו, מתחרט ונכון לשלם מחיר בגינם. עוד יש להביא בחשבון את:</w:t>
      </w:r>
      <w:r w:rsidRPr="009128A2">
        <w:rPr>
          <w:rFonts w:ascii="David" w:hAnsi="David" w:hint="cs"/>
        </w:rPr>
        <w:t xml:space="preserve"> </w:t>
      </w:r>
      <w:r w:rsidRPr="009128A2">
        <w:rPr>
          <w:rFonts w:ascii="David" w:hAnsi="David"/>
          <w:rtl/>
        </w:rPr>
        <w:t>עברו הפלילי הנקי של הנאשם; נסיבותיו האישיות המיוחדות, כפי שפורטו בהרחבה על ידי הסנגור ועל ידי שירות המבחן; מעצרו מאחורי סורג ובריח למשך חודשיים ימים ושהייתו בתנאים מגבילים במשך למעלה משנה; ההליך הטיפולי בו הוא מתמיד; התסקירים החיוביים שנערכו בעניינו; המלצת שירות המבחן שלא להטיל עליו מאסר מאחורי סורג ובריח; והערכת שירות המבחן כי עונש מאסר כאמור עלול להשליך באופן קשה על חייו ומצבו הרגשי.</w:t>
      </w:r>
    </w:p>
    <w:p w14:paraId="1981B9D3" w14:textId="77777777" w:rsidR="00D56D8C" w:rsidRPr="009128A2" w:rsidRDefault="00D56D8C" w:rsidP="00D56D8C">
      <w:pPr>
        <w:spacing w:line="360" w:lineRule="auto"/>
        <w:ind w:left="680" w:hanging="680"/>
        <w:jc w:val="both"/>
        <w:rPr>
          <w:rFonts w:ascii="David" w:hAnsi="David"/>
          <w:rtl/>
        </w:rPr>
      </w:pPr>
    </w:p>
    <w:p w14:paraId="20C29511" w14:textId="77777777" w:rsidR="00D56D8C" w:rsidRPr="009128A2" w:rsidRDefault="00D56D8C" w:rsidP="00D56D8C">
      <w:pPr>
        <w:spacing w:line="360" w:lineRule="auto"/>
        <w:ind w:left="680" w:hanging="680"/>
        <w:jc w:val="both"/>
        <w:rPr>
          <w:rFonts w:ascii="David" w:hAnsi="David"/>
          <w:rtl/>
        </w:rPr>
      </w:pPr>
      <w:r w:rsidRPr="009128A2">
        <w:rPr>
          <w:rFonts w:ascii="David" w:hAnsi="David"/>
          <w:rtl/>
        </w:rPr>
        <w:t>31.</w:t>
      </w:r>
      <w:r w:rsidRPr="009128A2">
        <w:rPr>
          <w:rFonts w:ascii="David" w:hAnsi="David"/>
          <w:rtl/>
        </w:rPr>
        <w:tab/>
        <w:t>לאור כל האמור, אני סבור כי העונש המתאים לנאשם עומד בתחתית מתחם הענישה שנקבע. עוד נראה לי, כי כיוון שהנאשם היה עצור מאחורי סורג ובריח במשך חודשיים ימים, ניתן לאמץ את המלצת שירות המבחן ולהטיל על</w:t>
      </w:r>
      <w:r>
        <w:rPr>
          <w:rFonts w:ascii="David" w:hAnsi="David" w:hint="cs"/>
          <w:rtl/>
        </w:rPr>
        <w:t>יו</w:t>
      </w:r>
      <w:r w:rsidRPr="009128A2">
        <w:rPr>
          <w:rFonts w:ascii="David" w:hAnsi="David"/>
          <w:rtl/>
        </w:rPr>
        <w:t xml:space="preserve"> עונש מאסר לריצוי בעבודות שירות, מבלי לחרוג ממתחם העונש ההולם.</w:t>
      </w:r>
    </w:p>
    <w:p w14:paraId="63DD769B" w14:textId="77777777" w:rsidR="00D56D8C" w:rsidRPr="009128A2" w:rsidRDefault="00D56D8C" w:rsidP="00D56D8C">
      <w:pPr>
        <w:spacing w:line="360" w:lineRule="auto"/>
        <w:ind w:left="680" w:hanging="680"/>
        <w:jc w:val="both"/>
        <w:rPr>
          <w:rFonts w:ascii="David" w:hAnsi="David"/>
          <w:rtl/>
        </w:rPr>
      </w:pPr>
    </w:p>
    <w:p w14:paraId="421BF273" w14:textId="77777777" w:rsidR="00D56D8C" w:rsidRPr="009128A2" w:rsidRDefault="00D56D8C" w:rsidP="00D56D8C">
      <w:pPr>
        <w:spacing w:line="360" w:lineRule="auto"/>
        <w:jc w:val="both"/>
        <w:outlineLvl w:val="0"/>
        <w:rPr>
          <w:rFonts w:ascii="Calibri" w:eastAsia="Calibri" w:hAnsi="Calibri"/>
          <w:b/>
          <w:bCs/>
          <w:u w:val="single"/>
          <w:rtl/>
        </w:rPr>
      </w:pPr>
      <w:r w:rsidRPr="009128A2">
        <w:rPr>
          <w:rFonts w:ascii="Calibri" w:eastAsia="Calibri" w:hAnsi="Calibri"/>
          <w:b/>
          <w:bCs/>
          <w:u w:val="single"/>
          <w:rtl/>
        </w:rPr>
        <w:t>התוצאה:</w:t>
      </w:r>
    </w:p>
    <w:p w14:paraId="4530ECF6" w14:textId="77777777" w:rsidR="00D56D8C" w:rsidRPr="009128A2" w:rsidRDefault="00D56D8C" w:rsidP="00D56D8C">
      <w:pPr>
        <w:spacing w:line="360" w:lineRule="auto"/>
        <w:ind w:left="680" w:hanging="680"/>
        <w:jc w:val="both"/>
        <w:rPr>
          <w:rFonts w:ascii="David" w:eastAsia="Calibri" w:hAnsi="David"/>
          <w:rtl/>
        </w:rPr>
      </w:pPr>
      <w:r w:rsidRPr="009128A2">
        <w:rPr>
          <w:rFonts w:ascii="David" w:hAnsi="David"/>
          <w:rtl/>
        </w:rPr>
        <w:t>32.</w:t>
      </w:r>
      <w:r w:rsidRPr="009128A2">
        <w:rPr>
          <w:rFonts w:ascii="David" w:hAnsi="David"/>
          <w:rtl/>
        </w:rPr>
        <w:tab/>
        <w:t>אני דן אפוא את הנאשם לעונשים הבאים:</w:t>
      </w:r>
    </w:p>
    <w:p w14:paraId="00FF6247" w14:textId="77777777" w:rsidR="00D56D8C" w:rsidRPr="009128A2" w:rsidRDefault="00D56D8C" w:rsidP="00D56D8C">
      <w:pPr>
        <w:spacing w:line="360" w:lineRule="auto"/>
        <w:ind w:left="680" w:hanging="680"/>
        <w:jc w:val="both"/>
        <w:rPr>
          <w:rFonts w:ascii="David" w:hAnsi="David"/>
          <w:rtl/>
        </w:rPr>
      </w:pPr>
    </w:p>
    <w:p w14:paraId="6069E727" w14:textId="77777777" w:rsidR="00D56D8C" w:rsidRPr="009128A2" w:rsidRDefault="00D56D8C" w:rsidP="00D56D8C">
      <w:pPr>
        <w:spacing w:line="360" w:lineRule="auto"/>
        <w:ind w:left="1360" w:hanging="680"/>
        <w:jc w:val="both"/>
        <w:rPr>
          <w:rFonts w:ascii="Calibri" w:hAnsi="Calibri"/>
          <w:rtl/>
        </w:rPr>
      </w:pPr>
      <w:r w:rsidRPr="009128A2">
        <w:rPr>
          <w:rFonts w:ascii="Calibri" w:hAnsi="Calibri"/>
          <w:rtl/>
        </w:rPr>
        <w:t>א.</w:t>
      </w:r>
      <w:r w:rsidRPr="009128A2">
        <w:rPr>
          <w:rFonts w:ascii="Calibri" w:hAnsi="Calibri"/>
          <w:rtl/>
        </w:rPr>
        <w:tab/>
        <w:t>מאסר בפועל למשך תשעה חודשים, ללא קיזוז תקופת מעצרו. המאסר ירוצה בדרך של עבודות שירות.</w:t>
      </w:r>
    </w:p>
    <w:p w14:paraId="59D5A732" w14:textId="77777777" w:rsidR="00D56D8C" w:rsidRPr="009128A2" w:rsidRDefault="00D56D8C" w:rsidP="00D56D8C">
      <w:pPr>
        <w:spacing w:line="360" w:lineRule="auto"/>
        <w:ind w:left="1360" w:hanging="680"/>
        <w:jc w:val="both"/>
        <w:rPr>
          <w:rFonts w:ascii="Calibri" w:hAnsi="Calibri"/>
          <w:rtl/>
        </w:rPr>
      </w:pPr>
    </w:p>
    <w:p w14:paraId="747C2145" w14:textId="77777777" w:rsidR="00D56D8C" w:rsidRPr="009128A2" w:rsidRDefault="00D56D8C" w:rsidP="00D56D8C">
      <w:pPr>
        <w:spacing w:line="360" w:lineRule="auto"/>
        <w:ind w:left="1360" w:hanging="680"/>
        <w:jc w:val="both"/>
        <w:rPr>
          <w:rFonts w:ascii="Calibri" w:hAnsi="Calibri"/>
          <w:sz w:val="20"/>
          <w:rtl/>
        </w:rPr>
      </w:pPr>
      <w:r w:rsidRPr="009128A2">
        <w:rPr>
          <w:rFonts w:ascii="Calibri" w:hAnsi="Calibri"/>
          <w:rtl/>
        </w:rPr>
        <w:tab/>
        <w:t>הנאשם יתייצב לפני המפקח על עבודות שירות לצורך קליטה והצבה ביום 10/4/2025 עד לשעה 10:00, במפקדת מחוז הדרום, יחידת עבודות שירות, ליד כלא באר שבע.</w:t>
      </w:r>
    </w:p>
    <w:p w14:paraId="59155AC9" w14:textId="77777777" w:rsidR="00D56D8C" w:rsidRPr="009128A2" w:rsidRDefault="00D56D8C" w:rsidP="00D56D8C">
      <w:pPr>
        <w:spacing w:line="360" w:lineRule="auto"/>
        <w:ind w:left="1360" w:hanging="680"/>
        <w:jc w:val="both"/>
        <w:rPr>
          <w:rFonts w:ascii="Calibri" w:hAnsi="Calibri"/>
        </w:rPr>
      </w:pPr>
    </w:p>
    <w:p w14:paraId="2348C1A4" w14:textId="77777777" w:rsidR="00D56D8C" w:rsidRPr="009128A2" w:rsidRDefault="00D56D8C" w:rsidP="00D56D8C">
      <w:pPr>
        <w:spacing w:line="360" w:lineRule="auto"/>
        <w:ind w:left="1360" w:hanging="680"/>
        <w:jc w:val="both"/>
        <w:rPr>
          <w:rFonts w:ascii="Calibri" w:hAnsi="Calibri"/>
          <w:rtl/>
        </w:rPr>
      </w:pPr>
      <w:r w:rsidRPr="009128A2">
        <w:rPr>
          <w:rFonts w:ascii="Calibri" w:hAnsi="Calibri"/>
          <w:rtl/>
        </w:rPr>
        <w:tab/>
        <w:t xml:space="preserve">על הנאשם לעדכן את משרד הממונה על עבודות שירות בכל שינוי בכתובת מגוריו. </w:t>
      </w:r>
    </w:p>
    <w:p w14:paraId="39396448" w14:textId="77777777" w:rsidR="00D56D8C" w:rsidRPr="009128A2" w:rsidRDefault="00D56D8C" w:rsidP="00D56D8C">
      <w:pPr>
        <w:spacing w:line="360" w:lineRule="auto"/>
        <w:ind w:left="1360" w:hanging="680"/>
        <w:jc w:val="both"/>
        <w:rPr>
          <w:rFonts w:ascii="Calibri" w:hAnsi="Calibri"/>
          <w:rtl/>
        </w:rPr>
      </w:pPr>
      <w:r w:rsidRPr="009128A2">
        <w:rPr>
          <w:rFonts w:ascii="Calibri" w:hAnsi="Calibri"/>
          <w:rtl/>
        </w:rPr>
        <w:tab/>
        <w:t xml:space="preserve">מובהר לנאשם כי עליו לעמוד בתנאי הפיקוח, כי תערכנה ביקורות פתע לבדיקת עמידתו בפיקוח וכי כל הפרה בעבודות השירות תביא להפסקה מנהלית של העבודות וריצוי העונש במאסר ממש. </w:t>
      </w:r>
    </w:p>
    <w:p w14:paraId="69C8DE5E" w14:textId="77777777" w:rsidR="00D56D8C" w:rsidRPr="009128A2" w:rsidRDefault="00D56D8C" w:rsidP="00D56D8C">
      <w:pPr>
        <w:spacing w:line="360" w:lineRule="auto"/>
        <w:ind w:left="1360" w:hanging="680"/>
        <w:jc w:val="both"/>
        <w:rPr>
          <w:rFonts w:ascii="Calibri" w:hAnsi="Calibri"/>
          <w:rtl/>
        </w:rPr>
      </w:pPr>
    </w:p>
    <w:p w14:paraId="5A07AF89" w14:textId="77777777" w:rsidR="00D56D8C" w:rsidRPr="009128A2" w:rsidRDefault="00D56D8C" w:rsidP="00D56D8C">
      <w:pPr>
        <w:spacing w:line="360" w:lineRule="auto"/>
        <w:ind w:left="1360" w:hanging="680"/>
        <w:jc w:val="both"/>
        <w:rPr>
          <w:rFonts w:ascii="Calibri" w:hAnsi="Calibri"/>
        </w:rPr>
      </w:pPr>
      <w:r w:rsidRPr="009128A2">
        <w:rPr>
          <w:rFonts w:ascii="Calibri" w:hAnsi="Calibri"/>
          <w:rtl/>
        </w:rPr>
        <w:t>ב.</w:t>
      </w:r>
      <w:r w:rsidRPr="009128A2">
        <w:rPr>
          <w:rFonts w:ascii="Calibri" w:hAnsi="Calibri"/>
          <w:rtl/>
        </w:rPr>
        <w:tab/>
        <w:t xml:space="preserve">מאסר למשך תשעה חודשים, וזאת על תנאי למשך שלוש שנים מיום שחרורו ממאסר, אם יעבור עבירה בנשק, לפי </w:t>
      </w:r>
      <w:hyperlink r:id="rId25" w:history="1">
        <w:r w:rsidR="000B519B" w:rsidRPr="000B519B">
          <w:rPr>
            <w:rStyle w:val="Hyperlink"/>
            <w:rFonts w:ascii="Calibri" w:hAnsi="Calibri"/>
            <w:color w:val="0000FF"/>
            <w:rtl/>
          </w:rPr>
          <w:t>סעיף 144</w:t>
        </w:r>
      </w:hyperlink>
      <w:r w:rsidRPr="009128A2">
        <w:rPr>
          <w:rFonts w:ascii="Calibri" w:hAnsi="Calibri"/>
          <w:rtl/>
        </w:rPr>
        <w:t xml:space="preserve"> ב</w:t>
      </w:r>
      <w:hyperlink r:id="rId26" w:history="1">
        <w:r w:rsidR="00AD2F53" w:rsidRPr="00AD2F53">
          <w:rPr>
            <w:rFonts w:ascii="Calibri" w:hAnsi="Calibri" w:hint="eastAsia"/>
            <w:color w:val="0000FF"/>
            <w:u w:val="single"/>
            <w:rtl/>
          </w:rPr>
          <w:t>חוק</w:t>
        </w:r>
        <w:r w:rsidR="00AD2F53" w:rsidRPr="00AD2F53">
          <w:rPr>
            <w:rFonts w:ascii="Calibri" w:hAnsi="Calibri"/>
            <w:color w:val="0000FF"/>
            <w:u w:val="single"/>
            <w:rtl/>
          </w:rPr>
          <w:t xml:space="preserve"> </w:t>
        </w:r>
        <w:r w:rsidR="00AD2F53" w:rsidRPr="00AD2F53">
          <w:rPr>
            <w:rFonts w:ascii="Calibri" w:hAnsi="Calibri" w:hint="eastAsia"/>
            <w:color w:val="0000FF"/>
            <w:u w:val="single"/>
            <w:rtl/>
          </w:rPr>
          <w:t>העונשין</w:t>
        </w:r>
      </w:hyperlink>
      <w:r w:rsidRPr="009128A2">
        <w:rPr>
          <w:rFonts w:ascii="Calibri" w:hAnsi="Calibri"/>
          <w:rtl/>
        </w:rPr>
        <w:t>.</w:t>
      </w:r>
    </w:p>
    <w:p w14:paraId="73E6107B" w14:textId="77777777" w:rsidR="00D56D8C" w:rsidRPr="009128A2" w:rsidRDefault="00D56D8C" w:rsidP="00D56D8C">
      <w:pPr>
        <w:spacing w:line="360" w:lineRule="auto"/>
        <w:ind w:left="1360" w:hanging="680"/>
        <w:jc w:val="both"/>
        <w:rPr>
          <w:rFonts w:ascii="Calibri" w:hAnsi="Calibri"/>
          <w:rtl/>
        </w:rPr>
      </w:pPr>
    </w:p>
    <w:p w14:paraId="5C13263C" w14:textId="77777777" w:rsidR="00D56D8C" w:rsidRPr="009128A2" w:rsidRDefault="00D56D8C" w:rsidP="00D56D8C">
      <w:pPr>
        <w:spacing w:line="360" w:lineRule="auto"/>
        <w:ind w:left="1360" w:hanging="680"/>
        <w:jc w:val="both"/>
        <w:rPr>
          <w:rFonts w:ascii="Calibri" w:hAnsi="Calibri"/>
          <w:rtl/>
        </w:rPr>
      </w:pPr>
      <w:r w:rsidRPr="009128A2">
        <w:rPr>
          <w:rFonts w:ascii="Calibri" w:hAnsi="Calibri"/>
          <w:rtl/>
        </w:rPr>
        <w:t>ג.</w:t>
      </w:r>
      <w:r w:rsidRPr="009128A2">
        <w:rPr>
          <w:rFonts w:ascii="Calibri" w:hAnsi="Calibri"/>
          <w:rtl/>
        </w:rPr>
        <w:tab/>
        <w:t xml:space="preserve">קנס בסך של 3,000 ₪, שיופקד בקופת בית המשפט עד ליום </w:t>
      </w:r>
      <w:r>
        <w:rPr>
          <w:rFonts w:ascii="Calibri" w:hAnsi="Calibri" w:hint="cs"/>
          <w:rtl/>
        </w:rPr>
        <w:t>2</w:t>
      </w:r>
      <w:r w:rsidRPr="009128A2">
        <w:rPr>
          <w:rFonts w:ascii="Calibri" w:hAnsi="Calibri"/>
          <w:rtl/>
        </w:rPr>
        <w:t>/3/2025.</w:t>
      </w:r>
    </w:p>
    <w:p w14:paraId="65AEA6D5" w14:textId="77777777" w:rsidR="00D56D8C" w:rsidRPr="009128A2" w:rsidRDefault="00D56D8C" w:rsidP="00D56D8C">
      <w:pPr>
        <w:spacing w:line="360" w:lineRule="auto"/>
        <w:ind w:left="1360" w:hanging="680"/>
        <w:jc w:val="both"/>
        <w:rPr>
          <w:rFonts w:ascii="Calibri" w:hAnsi="Calibri"/>
          <w:rtl/>
        </w:rPr>
      </w:pPr>
    </w:p>
    <w:p w14:paraId="78432DD0" w14:textId="77777777" w:rsidR="00D56D8C" w:rsidRPr="009128A2" w:rsidRDefault="00D56D8C" w:rsidP="00D56D8C">
      <w:pPr>
        <w:spacing w:line="360" w:lineRule="auto"/>
        <w:ind w:left="1360" w:hanging="680"/>
        <w:jc w:val="both"/>
        <w:rPr>
          <w:rFonts w:ascii="Calibri" w:hAnsi="Calibri"/>
          <w:rtl/>
        </w:rPr>
      </w:pPr>
      <w:r w:rsidRPr="009128A2">
        <w:rPr>
          <w:rFonts w:ascii="Calibri" w:hAnsi="Calibri"/>
          <w:rtl/>
        </w:rPr>
        <w:t>ד.</w:t>
      </w:r>
      <w:r w:rsidRPr="009128A2">
        <w:rPr>
          <w:rFonts w:ascii="Calibri" w:hAnsi="Calibri"/>
          <w:rtl/>
        </w:rPr>
        <w:tab/>
        <w:t>ניתן בזה צו מבחן, לפיו הנאשם יעמוד בפיקוח שירות המבחן במשך שנה מהיום. הנאשם ישולב בכל קבוצה טיפולית לפי שיקול דעת שירות המבחן.</w:t>
      </w:r>
    </w:p>
    <w:p w14:paraId="44418F1B" w14:textId="77777777" w:rsidR="00D56D8C" w:rsidRPr="009128A2" w:rsidRDefault="00D56D8C" w:rsidP="00D56D8C">
      <w:pPr>
        <w:spacing w:line="360" w:lineRule="auto"/>
        <w:ind w:left="1360" w:hanging="680"/>
        <w:jc w:val="both"/>
        <w:rPr>
          <w:rFonts w:ascii="Calibri" w:hAnsi="Calibri"/>
          <w:rtl/>
        </w:rPr>
      </w:pPr>
    </w:p>
    <w:p w14:paraId="221BD31B" w14:textId="77777777" w:rsidR="00D56D8C" w:rsidRPr="009128A2" w:rsidRDefault="00D56D8C" w:rsidP="00D56D8C">
      <w:pPr>
        <w:spacing w:line="360" w:lineRule="auto"/>
        <w:ind w:left="1360" w:hanging="680"/>
        <w:jc w:val="both"/>
        <w:rPr>
          <w:rFonts w:ascii="Calibri" w:hAnsi="Calibri"/>
          <w:rtl/>
        </w:rPr>
      </w:pPr>
    </w:p>
    <w:p w14:paraId="207E738D" w14:textId="77777777" w:rsidR="00D56D8C" w:rsidRPr="009128A2" w:rsidRDefault="00AD2F53" w:rsidP="00D56D8C">
      <w:pPr>
        <w:spacing w:line="360" w:lineRule="auto"/>
        <w:ind w:left="680" w:hanging="680"/>
        <w:jc w:val="both"/>
        <w:rPr>
          <w:rFonts w:ascii="David" w:hAnsi="David"/>
          <w:rtl/>
        </w:rPr>
      </w:pPr>
      <w:r w:rsidRPr="00AD2F53">
        <w:rPr>
          <w:rFonts w:ascii="David" w:hAnsi="David"/>
          <w:color w:val="FFFFFF"/>
          <w:sz w:val="2"/>
          <w:szCs w:val="2"/>
          <w:rtl/>
        </w:rPr>
        <w:t>5129371</w:t>
      </w:r>
      <w:r w:rsidR="00D56D8C" w:rsidRPr="009128A2">
        <w:rPr>
          <w:rFonts w:ascii="David" w:hAnsi="David"/>
          <w:rtl/>
        </w:rPr>
        <w:t>זכות ערעור לבית המשפט העליון בתוך 45 יום מהיום.</w:t>
      </w:r>
    </w:p>
    <w:p w14:paraId="2E23994D" w14:textId="77777777" w:rsidR="00D56D8C" w:rsidRPr="00AD2F53" w:rsidRDefault="00AD2F53" w:rsidP="00D56D8C">
      <w:pPr>
        <w:spacing w:line="360" w:lineRule="auto"/>
        <w:ind w:left="680" w:hanging="680"/>
        <w:jc w:val="both"/>
        <w:rPr>
          <w:rFonts w:ascii="David" w:hAnsi="David"/>
          <w:color w:val="FFFFFF"/>
          <w:sz w:val="2"/>
          <w:szCs w:val="2"/>
          <w:rtl/>
        </w:rPr>
      </w:pPr>
      <w:r w:rsidRPr="00AD2F53">
        <w:rPr>
          <w:rFonts w:ascii="David" w:hAnsi="David"/>
          <w:color w:val="FFFFFF"/>
          <w:sz w:val="2"/>
          <w:szCs w:val="2"/>
          <w:rtl/>
        </w:rPr>
        <w:t>54678313</w:t>
      </w:r>
    </w:p>
    <w:p w14:paraId="26BCF7D7" w14:textId="77777777" w:rsidR="00D56D8C" w:rsidRDefault="00AD2F53" w:rsidP="00D56D8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שבט תשפ"ה, 17 פברואר 2025, במעמד הצדדים. </w:t>
      </w:r>
      <w:bookmarkEnd w:id="8"/>
    </w:p>
    <w:p w14:paraId="3A7CB6EB" w14:textId="77777777" w:rsidR="00D56D8C" w:rsidRPr="000F2247" w:rsidRDefault="00D56D8C" w:rsidP="00D56D8C">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5D82179B" w14:textId="77777777" w:rsidR="00AD2F53" w:rsidRDefault="00AD2F53" w:rsidP="00AD2F53">
      <w:pPr>
        <w:rPr>
          <w:rtl/>
        </w:rPr>
      </w:pPr>
    </w:p>
    <w:p w14:paraId="62D08506" w14:textId="77777777" w:rsidR="00AD2F53" w:rsidRDefault="00AD2F53" w:rsidP="00AD2F53">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48C30B6" w14:textId="77777777" w:rsidR="000B519B" w:rsidRPr="000B519B" w:rsidRDefault="000B519B" w:rsidP="000B519B">
      <w:pPr>
        <w:keepNext/>
        <w:rPr>
          <w:rFonts w:ascii="David" w:hAnsi="David"/>
          <w:color w:val="000000"/>
          <w:sz w:val="22"/>
          <w:szCs w:val="22"/>
          <w:rtl/>
        </w:rPr>
      </w:pPr>
    </w:p>
    <w:p w14:paraId="4135A7C9" w14:textId="77777777" w:rsidR="000B519B" w:rsidRPr="000B519B" w:rsidRDefault="000B519B" w:rsidP="000B519B">
      <w:pPr>
        <w:keepNext/>
        <w:rPr>
          <w:rFonts w:ascii="David" w:hAnsi="David"/>
          <w:color w:val="000000"/>
          <w:sz w:val="22"/>
          <w:szCs w:val="22"/>
          <w:rtl/>
        </w:rPr>
      </w:pPr>
      <w:r w:rsidRPr="000B519B">
        <w:rPr>
          <w:rFonts w:ascii="David" w:hAnsi="David"/>
          <w:color w:val="000000"/>
          <w:sz w:val="22"/>
          <w:szCs w:val="22"/>
          <w:rtl/>
        </w:rPr>
        <w:t>מרדכי כדורי 54678313-/</w:t>
      </w:r>
    </w:p>
    <w:p w14:paraId="427292A0" w14:textId="77777777" w:rsidR="00AD2F53" w:rsidRPr="00AD2F53" w:rsidRDefault="000B519B" w:rsidP="000B519B">
      <w:pPr>
        <w:rPr>
          <w:color w:val="0000FF"/>
          <w:u w:val="single"/>
        </w:rPr>
      </w:pPr>
      <w:r w:rsidRPr="000B519B">
        <w:rPr>
          <w:color w:val="000000"/>
          <w:u w:val="single"/>
          <w:rtl/>
        </w:rPr>
        <w:t>נוסח מסמך זה כפוף לשינויי ניסוח ועריכה</w:t>
      </w:r>
    </w:p>
    <w:sectPr w:rsidR="00AD2F53" w:rsidRPr="00AD2F53" w:rsidSect="000B519B">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F2535" w14:textId="77777777" w:rsidR="000049E6" w:rsidRDefault="000049E6" w:rsidP="00652642">
      <w:r>
        <w:separator/>
      </w:r>
    </w:p>
  </w:endnote>
  <w:endnote w:type="continuationSeparator" w:id="0">
    <w:p w14:paraId="2A6AFC49" w14:textId="77777777" w:rsidR="000049E6" w:rsidRDefault="000049E6" w:rsidP="0065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E98E9" w14:textId="77777777" w:rsidR="000B519B" w:rsidRDefault="000B519B" w:rsidP="000B51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E9CCCC1" w14:textId="77777777" w:rsidR="008B4AEC" w:rsidRPr="000B519B" w:rsidRDefault="000B519B" w:rsidP="000B519B">
    <w:pPr>
      <w:pStyle w:val="a5"/>
      <w:pBdr>
        <w:top w:val="single" w:sz="4" w:space="1" w:color="auto"/>
        <w:between w:val="single" w:sz="4" w:space="0" w:color="auto"/>
      </w:pBdr>
      <w:spacing w:after="60"/>
      <w:jc w:val="center"/>
      <w:rPr>
        <w:rFonts w:ascii="FrankRuehl" w:hAnsi="FrankRuehl" w:cs="FrankRuehl"/>
        <w:color w:val="000000"/>
      </w:rPr>
    </w:pPr>
    <w:r w:rsidRPr="000B519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CD9E1" w14:textId="77777777" w:rsidR="000B519B" w:rsidRDefault="000B519B" w:rsidP="000B51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57FD">
      <w:rPr>
        <w:rFonts w:ascii="FrankRuehl" w:hAnsi="FrankRuehl" w:cs="FrankRuehl"/>
        <w:noProof/>
        <w:rtl/>
      </w:rPr>
      <w:t>1</w:t>
    </w:r>
    <w:r>
      <w:rPr>
        <w:rFonts w:ascii="FrankRuehl" w:hAnsi="FrankRuehl" w:cs="FrankRuehl"/>
        <w:rtl/>
      </w:rPr>
      <w:fldChar w:fldCharType="end"/>
    </w:r>
  </w:p>
  <w:p w14:paraId="09CF78DD" w14:textId="77777777" w:rsidR="008B4AEC" w:rsidRPr="000B519B" w:rsidRDefault="000B519B" w:rsidP="000B519B">
    <w:pPr>
      <w:pStyle w:val="a5"/>
      <w:pBdr>
        <w:top w:val="single" w:sz="4" w:space="1" w:color="auto"/>
        <w:between w:val="single" w:sz="4" w:space="0" w:color="auto"/>
      </w:pBdr>
      <w:spacing w:after="60"/>
      <w:jc w:val="center"/>
      <w:rPr>
        <w:rFonts w:ascii="FrankRuehl" w:hAnsi="FrankRuehl" w:cs="FrankRuehl"/>
        <w:color w:val="000000"/>
      </w:rPr>
    </w:pPr>
    <w:r w:rsidRPr="000B519B">
      <w:rPr>
        <w:rFonts w:ascii="FrankRuehl" w:hAnsi="FrankRuehl" w:cs="FrankRuehl"/>
        <w:color w:val="000000"/>
      </w:rPr>
      <w:pict w14:anchorId="1E5CB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17DC2" w14:textId="77777777" w:rsidR="000049E6" w:rsidRDefault="000049E6" w:rsidP="00652642">
      <w:r>
        <w:separator/>
      </w:r>
    </w:p>
  </w:footnote>
  <w:footnote w:type="continuationSeparator" w:id="0">
    <w:p w14:paraId="14D81A71" w14:textId="77777777" w:rsidR="000049E6" w:rsidRDefault="000049E6" w:rsidP="00652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05CA9" w14:textId="77777777" w:rsidR="00AD2F53" w:rsidRPr="000B519B" w:rsidRDefault="000B519B" w:rsidP="000B51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30546-10-23</w:t>
    </w:r>
    <w:r>
      <w:rPr>
        <w:rFonts w:ascii="David" w:hAnsi="David"/>
        <w:color w:val="000000"/>
        <w:sz w:val="22"/>
        <w:szCs w:val="22"/>
        <w:rtl/>
      </w:rPr>
      <w:tab/>
      <w:t xml:space="preserve"> מדינת ישראל נ' שמעון עדני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1A3A3" w14:textId="77777777" w:rsidR="00AD2F53" w:rsidRPr="000B519B" w:rsidRDefault="000B519B" w:rsidP="000B51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30546-10-23</w:t>
    </w:r>
    <w:r>
      <w:rPr>
        <w:rFonts w:ascii="David" w:hAnsi="David"/>
        <w:color w:val="000000"/>
        <w:sz w:val="22"/>
        <w:szCs w:val="22"/>
        <w:rtl/>
      </w:rPr>
      <w:tab/>
      <w:t xml:space="preserve"> מדינת ישראל נ' שמעון עדני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6D8C"/>
    <w:rsid w:val="000049E6"/>
    <w:rsid w:val="000B519B"/>
    <w:rsid w:val="005720F2"/>
    <w:rsid w:val="00652642"/>
    <w:rsid w:val="00795E39"/>
    <w:rsid w:val="008B4AEC"/>
    <w:rsid w:val="008E57FD"/>
    <w:rsid w:val="00A912ED"/>
    <w:rsid w:val="00AD2F53"/>
    <w:rsid w:val="00D56D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F00C57"/>
  <w15:chartTrackingRefBased/>
  <w15:docId w15:val="{0CEECAA7-2B04-499A-A715-AFAA42B1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6D8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6D8C"/>
    <w:pPr>
      <w:tabs>
        <w:tab w:val="center" w:pos="4153"/>
        <w:tab w:val="right" w:pos="8306"/>
      </w:tabs>
    </w:pPr>
  </w:style>
  <w:style w:type="character" w:customStyle="1" w:styleId="a4">
    <w:name w:val="כותרת עליונה תו"/>
    <w:link w:val="a3"/>
    <w:rsid w:val="00D56D8C"/>
    <w:rPr>
      <w:rFonts w:ascii="Times New Roman" w:eastAsia="Times New Roman" w:hAnsi="Times New Roman" w:cs="David"/>
      <w:sz w:val="24"/>
      <w:szCs w:val="24"/>
    </w:rPr>
  </w:style>
  <w:style w:type="paragraph" w:styleId="a5">
    <w:name w:val="footer"/>
    <w:basedOn w:val="a"/>
    <w:link w:val="a6"/>
    <w:rsid w:val="00D56D8C"/>
    <w:pPr>
      <w:tabs>
        <w:tab w:val="center" w:pos="4153"/>
        <w:tab w:val="right" w:pos="8306"/>
      </w:tabs>
    </w:pPr>
  </w:style>
  <w:style w:type="character" w:customStyle="1" w:styleId="a6">
    <w:name w:val="כותרת תחתונה תו"/>
    <w:link w:val="a5"/>
    <w:rsid w:val="00D56D8C"/>
    <w:rPr>
      <w:rFonts w:ascii="Times New Roman" w:eastAsia="Times New Roman" w:hAnsi="Times New Roman" w:cs="David"/>
      <w:sz w:val="24"/>
      <w:szCs w:val="24"/>
    </w:rPr>
  </w:style>
  <w:style w:type="table" w:styleId="a7">
    <w:name w:val="Table Grid"/>
    <w:basedOn w:val="a1"/>
    <w:rsid w:val="00D56D8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56D8C"/>
  </w:style>
  <w:style w:type="character" w:styleId="Hyperlink">
    <w:name w:val="Hyperlink"/>
    <w:rsid w:val="00AD2F5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824863" TargetMode="External"/><Relationship Id="rId18" Type="http://schemas.openxmlformats.org/officeDocument/2006/relationships/hyperlink" Target="http://www.nevo.co.il/case/27925239"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case/30125133" TargetMode="External"/><Relationship Id="rId7" Type="http://schemas.openxmlformats.org/officeDocument/2006/relationships/hyperlink" Target="http://www.nevo.co.il/law/70301/144" TargetMode="External"/><Relationship Id="rId12" Type="http://schemas.openxmlformats.org/officeDocument/2006/relationships/hyperlink" Target="http://www.nevo.co.il/case/27309272" TargetMode="External"/><Relationship Id="rId17" Type="http://schemas.openxmlformats.org/officeDocument/2006/relationships/hyperlink" Target="http://www.nevo.co.il/case/28883087" TargetMode="External"/><Relationship Id="rId25" Type="http://schemas.openxmlformats.org/officeDocument/2006/relationships/hyperlink" Target="http://www.nevo.co.il/law/70301/144"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144.g" TargetMode="External"/><Relationship Id="rId20" Type="http://schemas.openxmlformats.org/officeDocument/2006/relationships/hyperlink" Target="http://www.nevo.co.il/case/30003285"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9867910"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30168342" TargetMode="External"/><Relationship Id="rId23" Type="http://schemas.openxmlformats.org/officeDocument/2006/relationships/hyperlink" Target="http://www.nevo.co.il/case/25824863" TargetMode="External"/><Relationship Id="rId28"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case/27309272"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g" TargetMode="External"/><Relationship Id="rId14" Type="http://schemas.openxmlformats.org/officeDocument/2006/relationships/hyperlink" Target="http://www.nevo.co.il/case/5724364" TargetMode="External"/><Relationship Id="rId22" Type="http://schemas.openxmlformats.org/officeDocument/2006/relationships/hyperlink" Target="http://www.nevo.co.il/case/26888657"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2665</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15959</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3932274</vt:i4>
      </vt:variant>
      <vt:variant>
        <vt:i4>54</vt:i4>
      </vt:variant>
      <vt:variant>
        <vt:i4>0</vt:i4>
      </vt:variant>
      <vt:variant>
        <vt:i4>5</vt:i4>
      </vt:variant>
      <vt:variant>
        <vt:lpwstr>http://www.nevo.co.il/case/29867910</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3604604</vt:i4>
      </vt:variant>
      <vt:variant>
        <vt:i4>48</vt:i4>
      </vt:variant>
      <vt:variant>
        <vt:i4>0</vt:i4>
      </vt:variant>
      <vt:variant>
        <vt:i4>5</vt:i4>
      </vt:variant>
      <vt:variant>
        <vt:lpwstr>http://www.nevo.co.il/case/26888657</vt:lpwstr>
      </vt:variant>
      <vt:variant>
        <vt:lpwstr/>
      </vt:variant>
      <vt:variant>
        <vt:i4>3407991</vt:i4>
      </vt:variant>
      <vt:variant>
        <vt:i4>45</vt:i4>
      </vt:variant>
      <vt:variant>
        <vt:i4>0</vt:i4>
      </vt:variant>
      <vt:variant>
        <vt:i4>5</vt:i4>
      </vt:variant>
      <vt:variant>
        <vt:lpwstr>http://www.nevo.co.il/case/30125133</vt:lpwstr>
      </vt:variant>
      <vt:variant>
        <vt:lpwstr/>
      </vt:variant>
      <vt:variant>
        <vt:i4>3670134</vt:i4>
      </vt:variant>
      <vt:variant>
        <vt:i4>42</vt:i4>
      </vt:variant>
      <vt:variant>
        <vt:i4>0</vt:i4>
      </vt:variant>
      <vt:variant>
        <vt:i4>5</vt:i4>
      </vt:variant>
      <vt:variant>
        <vt:lpwstr>http://www.nevo.co.il/case/30003285</vt:lpwstr>
      </vt:variant>
      <vt:variant>
        <vt:lpwstr/>
      </vt:variant>
      <vt:variant>
        <vt:i4>4128881</vt:i4>
      </vt:variant>
      <vt:variant>
        <vt:i4>39</vt:i4>
      </vt:variant>
      <vt:variant>
        <vt:i4>0</vt:i4>
      </vt:variant>
      <vt:variant>
        <vt:i4>5</vt:i4>
      </vt:variant>
      <vt:variant>
        <vt:lpwstr>http://www.nevo.co.il/case/27309272</vt:lpwstr>
      </vt:variant>
      <vt:variant>
        <vt:lpwstr/>
      </vt:variant>
      <vt:variant>
        <vt:i4>3997811</vt:i4>
      </vt:variant>
      <vt:variant>
        <vt:i4>36</vt:i4>
      </vt:variant>
      <vt:variant>
        <vt:i4>0</vt:i4>
      </vt:variant>
      <vt:variant>
        <vt:i4>5</vt:i4>
      </vt:variant>
      <vt:variant>
        <vt:lpwstr>http://www.nevo.co.il/case/27925239</vt:lpwstr>
      </vt:variant>
      <vt:variant>
        <vt:lpwstr/>
      </vt:variant>
      <vt:variant>
        <vt:i4>3211380</vt:i4>
      </vt:variant>
      <vt:variant>
        <vt:i4>33</vt:i4>
      </vt:variant>
      <vt:variant>
        <vt:i4>0</vt:i4>
      </vt:variant>
      <vt:variant>
        <vt:i4>5</vt:i4>
      </vt:variant>
      <vt:variant>
        <vt:lpwstr>http://www.nevo.co.il/case/28883087</vt:lpwstr>
      </vt:variant>
      <vt:variant>
        <vt:lpwstr/>
      </vt:variant>
      <vt:variant>
        <vt:i4>5177424</vt:i4>
      </vt:variant>
      <vt:variant>
        <vt:i4>30</vt:i4>
      </vt:variant>
      <vt:variant>
        <vt:i4>0</vt:i4>
      </vt:variant>
      <vt:variant>
        <vt:i4>5</vt:i4>
      </vt:variant>
      <vt:variant>
        <vt:lpwstr>http://www.nevo.co.il/law/70301/144.g</vt:lpwstr>
      </vt:variant>
      <vt:variant>
        <vt:lpwstr/>
      </vt:variant>
      <vt:variant>
        <vt:i4>4063345</vt:i4>
      </vt:variant>
      <vt:variant>
        <vt:i4>27</vt:i4>
      </vt:variant>
      <vt:variant>
        <vt:i4>0</vt:i4>
      </vt:variant>
      <vt:variant>
        <vt:i4>5</vt:i4>
      </vt:variant>
      <vt:variant>
        <vt:lpwstr>http://www.nevo.co.il/case/30168342</vt:lpwstr>
      </vt:variant>
      <vt:variant>
        <vt:lpwstr/>
      </vt:variant>
      <vt:variant>
        <vt:i4>3145841</vt:i4>
      </vt:variant>
      <vt:variant>
        <vt:i4>24</vt:i4>
      </vt:variant>
      <vt:variant>
        <vt:i4>0</vt:i4>
      </vt:variant>
      <vt:variant>
        <vt:i4>5</vt:i4>
      </vt:variant>
      <vt:variant>
        <vt:lpwstr>http://www.nevo.co.il/case/5724364</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4128881</vt:i4>
      </vt:variant>
      <vt:variant>
        <vt:i4>18</vt:i4>
      </vt:variant>
      <vt:variant>
        <vt:i4>0</vt:i4>
      </vt:variant>
      <vt:variant>
        <vt:i4>5</vt:i4>
      </vt:variant>
      <vt:variant>
        <vt:lpwstr>http://www.nevo.co.il/case/27309272</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2025-02-28T15:24:00Z</dcterms:created>
  <dcterms:modified xsi:type="dcterms:W3CDTF">2025-02-28T15:24:00Z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30546</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שמעון עדני</vt:lpwstr>
  </property>
  <property fmtid="{D5CDD505-2E9C-101B-9397-08002B2CF9AE}" pid="10" name="LAWYER">
    <vt:lpwstr>אביעד דואק;נדב שחם;רועי אטיאס</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20250217</vt:lpwstr>
  </property>
  <property fmtid="{D5CDD505-2E9C-101B-9397-08002B2CF9AE}" pid="14" name="TYPE_N_DATE">
    <vt:lpwstr>39020250217</vt:lpwstr>
  </property>
  <property fmtid="{D5CDD505-2E9C-101B-9397-08002B2CF9AE}" pid="15" name="CASESLISTTMP1">
    <vt:lpwstr>27309272:2;25824863:2;5724364;30168342;28883087;27925239;30003285;30125133;26888657;29867910</vt:lpwstr>
  </property>
  <property fmtid="{D5CDD505-2E9C-101B-9397-08002B2CF9AE}" pid="16" name="WORDNUMPAGES">
    <vt:lpwstr>9</vt:lpwstr>
  </property>
  <property fmtid="{D5CDD505-2E9C-101B-9397-08002B2CF9AE}" pid="17" name="TYPE_ABS_DATE">
    <vt:lpwstr>390020250217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70301/144.b;144.g;144</vt:lpwstr>
  </property>
  <property fmtid="{D5CDD505-2E9C-101B-9397-08002B2CF9AE}" pid="36" name="ISABSTRACT">
    <vt:lpwstr>Y</vt:lpwstr>
  </property>
</Properties>
</file>