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23"/>
        <w:gridCol w:w="3219"/>
        <w:gridCol w:w="917"/>
        <w:gridCol w:w="3662"/>
        <w:gridCol w:w="99"/>
      </w:tblGrid>
      <w:tr w:rsidR="00513F15" w:rsidRPr="00300573" w14:paraId="49A7CBC2" w14:textId="77777777" w:rsidTr="004C325A">
        <w:trPr>
          <w:gridAfter w:val="1"/>
          <w:wAfter w:w="99" w:type="dxa"/>
          <w:trHeight w:hRule="exact" w:val="418"/>
          <w:jc w:val="center"/>
        </w:trPr>
        <w:tc>
          <w:tcPr>
            <w:tcW w:w="8721" w:type="dxa"/>
            <w:gridSpan w:val="4"/>
          </w:tcPr>
          <w:p w14:paraId="1FA9A190" w14:textId="77777777" w:rsidR="00513F15" w:rsidRPr="00300573" w:rsidRDefault="00513F15" w:rsidP="002E4FA0">
            <w:pPr>
              <w:pStyle w:val="a3"/>
              <w:jc w:val="center"/>
              <w:rPr>
                <w:rFonts w:ascii="Tahoma" w:hAnsi="Tahoma" w:cs="Tahoma"/>
                <w:color w:val="000080"/>
                <w:rtl/>
              </w:rPr>
            </w:pPr>
            <w:bookmarkStart w:id="0" w:name="LastJudge"/>
            <w:r w:rsidRPr="00300573">
              <w:rPr>
                <w:rFonts w:ascii="Tahoma" w:hAnsi="Tahoma" w:cs="Tahoma"/>
                <w:b/>
                <w:bCs/>
                <w:color w:val="000080"/>
                <w:rtl/>
              </w:rPr>
              <w:t>בית המשפט המחוזי בבאר שבע</w:t>
            </w:r>
          </w:p>
        </w:tc>
      </w:tr>
      <w:tr w:rsidR="00513F15" w:rsidRPr="00300573" w14:paraId="19277AEE" w14:textId="77777777" w:rsidTr="004C325A">
        <w:trPr>
          <w:gridAfter w:val="1"/>
          <w:wAfter w:w="99" w:type="dxa"/>
          <w:trHeight w:val="337"/>
          <w:jc w:val="center"/>
        </w:trPr>
        <w:tc>
          <w:tcPr>
            <w:tcW w:w="5059" w:type="dxa"/>
            <w:gridSpan w:val="3"/>
          </w:tcPr>
          <w:p w14:paraId="45409F07" w14:textId="77777777" w:rsidR="00513F15" w:rsidRPr="00300573" w:rsidRDefault="00513F15" w:rsidP="002E4FA0">
            <w:pPr>
              <w:rPr>
                <w:rFonts w:cs="FrankRuehl"/>
                <w:sz w:val="28"/>
                <w:szCs w:val="28"/>
                <w:rtl/>
              </w:rPr>
            </w:pPr>
            <w:r w:rsidRPr="00300573">
              <w:rPr>
                <w:rFonts w:cs="FrankRuehl"/>
                <w:sz w:val="28"/>
                <w:szCs w:val="28"/>
                <w:rtl/>
              </w:rPr>
              <w:t>ת"פ</w:t>
            </w:r>
            <w:r w:rsidRPr="00300573">
              <w:rPr>
                <w:rFonts w:cs="FrankRuehl" w:hint="cs"/>
                <w:sz w:val="28"/>
                <w:szCs w:val="28"/>
                <w:rtl/>
              </w:rPr>
              <w:t xml:space="preserve"> </w:t>
            </w:r>
            <w:r w:rsidRPr="00300573">
              <w:rPr>
                <w:rFonts w:cs="FrankRuehl"/>
                <w:sz w:val="28"/>
                <w:szCs w:val="28"/>
                <w:rtl/>
              </w:rPr>
              <w:t>31036-10-23</w:t>
            </w:r>
            <w:r w:rsidRPr="00300573">
              <w:rPr>
                <w:rFonts w:cs="FrankRuehl" w:hint="cs"/>
                <w:sz w:val="28"/>
                <w:szCs w:val="28"/>
                <w:rtl/>
              </w:rPr>
              <w:t xml:space="preserve"> </w:t>
            </w:r>
            <w:r w:rsidRPr="00300573">
              <w:rPr>
                <w:rFonts w:cs="FrankRuehl"/>
                <w:sz w:val="28"/>
                <w:szCs w:val="28"/>
                <w:rtl/>
              </w:rPr>
              <w:t>מדינת ישראל נ' מוחרב(עציר)</w:t>
            </w:r>
          </w:p>
          <w:p w14:paraId="5B21A94E" w14:textId="77777777" w:rsidR="00513F15" w:rsidRPr="00300573" w:rsidRDefault="00513F15" w:rsidP="002E4FA0">
            <w:pPr>
              <w:pStyle w:val="a3"/>
              <w:rPr>
                <w:rFonts w:cs="FrankRuehl"/>
                <w:sz w:val="28"/>
                <w:szCs w:val="28"/>
                <w:rtl/>
              </w:rPr>
            </w:pPr>
          </w:p>
        </w:tc>
        <w:tc>
          <w:tcPr>
            <w:tcW w:w="3662" w:type="dxa"/>
          </w:tcPr>
          <w:p w14:paraId="35690667" w14:textId="77777777" w:rsidR="00513F15" w:rsidRPr="00300573" w:rsidRDefault="00513F15" w:rsidP="002E4FA0">
            <w:pPr>
              <w:pStyle w:val="a3"/>
              <w:jc w:val="right"/>
              <w:rPr>
                <w:rFonts w:cs="FrankRuehl"/>
                <w:sz w:val="28"/>
                <w:szCs w:val="28"/>
                <w:rtl/>
              </w:rPr>
            </w:pPr>
          </w:p>
        </w:tc>
      </w:tr>
      <w:tr w:rsidR="00513F15" w:rsidRPr="00300573" w14:paraId="4EE8A385" w14:textId="77777777" w:rsidTr="004C325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14:paraId="1AA3CA50" w14:textId="77777777" w:rsidR="00513F15" w:rsidRPr="00300573" w:rsidRDefault="00513F15" w:rsidP="00513F15">
            <w:pPr>
              <w:jc w:val="both"/>
              <w:rPr>
                <w:rFonts w:ascii="David" w:hAnsi="David"/>
                <w:sz w:val="26"/>
                <w:szCs w:val="26"/>
              </w:rPr>
            </w:pPr>
            <w:r w:rsidRPr="00300573">
              <w:rPr>
                <w:rFonts w:hint="cs"/>
                <w:rtl/>
              </w:rPr>
              <w:t xml:space="preserve"> </w:t>
            </w:r>
            <w:r w:rsidRPr="00300573">
              <w:rPr>
                <w:rFonts w:ascii="David" w:hAnsi="David" w:hint="cs"/>
                <w:sz w:val="26"/>
                <w:szCs w:val="26"/>
                <w:rtl/>
              </w:rPr>
              <w:t>ל</w:t>
            </w:r>
            <w:r w:rsidRPr="00300573">
              <w:rPr>
                <w:rFonts w:ascii="David" w:hAnsi="David"/>
                <w:sz w:val="26"/>
                <w:szCs w:val="26"/>
                <w:rtl/>
              </w:rPr>
              <w:t xml:space="preserve">פני </w:t>
            </w:r>
          </w:p>
        </w:tc>
        <w:tc>
          <w:tcPr>
            <w:tcW w:w="7897" w:type="dxa"/>
            <w:gridSpan w:val="4"/>
            <w:tcBorders>
              <w:top w:val="nil"/>
              <w:left w:val="nil"/>
              <w:bottom w:val="nil"/>
              <w:right w:val="nil"/>
            </w:tcBorders>
            <w:shd w:val="clear" w:color="auto" w:fill="auto"/>
          </w:tcPr>
          <w:p w14:paraId="18952E57" w14:textId="77777777" w:rsidR="00513F15" w:rsidRPr="00300573" w:rsidRDefault="00513F15" w:rsidP="002E4FA0">
            <w:pPr>
              <w:rPr>
                <w:rFonts w:ascii="David" w:hAnsi="David"/>
                <w:b/>
                <w:bCs/>
                <w:sz w:val="26"/>
                <w:szCs w:val="26"/>
                <w:rtl/>
              </w:rPr>
            </w:pPr>
            <w:r w:rsidRPr="00300573">
              <w:rPr>
                <w:rFonts w:ascii="David" w:hAnsi="David"/>
                <w:b/>
                <w:bCs/>
                <w:sz w:val="26"/>
                <w:szCs w:val="26"/>
                <w:rtl/>
              </w:rPr>
              <w:t>כבוד השופט  אלון גביזון</w:t>
            </w:r>
          </w:p>
          <w:p w14:paraId="2E1F79D4" w14:textId="77777777" w:rsidR="00513F15" w:rsidRPr="00300573" w:rsidRDefault="00513F15" w:rsidP="002E4FA0">
            <w:pPr>
              <w:rPr>
                <w:rFonts w:ascii="David" w:hAnsi="David"/>
                <w:sz w:val="26"/>
                <w:szCs w:val="26"/>
                <w:rtl/>
              </w:rPr>
            </w:pPr>
          </w:p>
          <w:p w14:paraId="089172AA" w14:textId="77777777" w:rsidR="00513F15" w:rsidRPr="00300573" w:rsidRDefault="00513F15" w:rsidP="00513F15">
            <w:pPr>
              <w:jc w:val="both"/>
              <w:rPr>
                <w:rFonts w:ascii="David" w:hAnsi="David"/>
                <w:sz w:val="26"/>
                <w:szCs w:val="26"/>
              </w:rPr>
            </w:pPr>
          </w:p>
        </w:tc>
      </w:tr>
      <w:tr w:rsidR="00513F15" w:rsidRPr="00300573" w14:paraId="69BAE0B7" w14:textId="77777777" w:rsidTr="004C325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4DD61542" w14:textId="77777777" w:rsidR="00513F15" w:rsidRPr="00300573" w:rsidRDefault="00513F15" w:rsidP="00513F15">
            <w:pPr>
              <w:jc w:val="both"/>
              <w:rPr>
                <w:rFonts w:ascii="David" w:hAnsi="David"/>
                <w:sz w:val="26"/>
                <w:szCs w:val="26"/>
              </w:rPr>
            </w:pPr>
            <w:bookmarkStart w:id="1" w:name="FirstAppellant"/>
            <w:bookmarkStart w:id="2" w:name="FirstLawyer"/>
            <w:r w:rsidRPr="00300573">
              <w:rPr>
                <w:rFonts w:ascii="David" w:hAnsi="David"/>
                <w:sz w:val="26"/>
                <w:szCs w:val="26"/>
                <w:rtl/>
              </w:rPr>
              <w:t>בעניין:</w:t>
            </w:r>
          </w:p>
        </w:tc>
        <w:tc>
          <w:tcPr>
            <w:tcW w:w="3219" w:type="dxa"/>
            <w:tcBorders>
              <w:top w:val="nil"/>
              <w:left w:val="nil"/>
              <w:bottom w:val="nil"/>
              <w:right w:val="nil"/>
            </w:tcBorders>
            <w:shd w:val="clear" w:color="auto" w:fill="auto"/>
          </w:tcPr>
          <w:p w14:paraId="28FA6D0E" w14:textId="77777777" w:rsidR="00513F15" w:rsidRPr="00300573" w:rsidRDefault="00513F15" w:rsidP="00513F15">
            <w:pPr>
              <w:suppressLineNumbers/>
            </w:pPr>
            <w:r w:rsidRPr="00300573">
              <w:rPr>
                <w:rFonts w:ascii="Arial" w:hAnsi="Arial" w:hint="cs"/>
                <w:b/>
                <w:bCs/>
                <w:sz w:val="26"/>
                <w:szCs w:val="26"/>
                <w:rtl/>
              </w:rPr>
              <w:t>ה</w:t>
            </w:r>
            <w:r w:rsidRPr="00300573">
              <w:rPr>
                <w:rFonts w:ascii="Arial" w:hAnsi="Arial"/>
                <w:b/>
                <w:bCs/>
                <w:sz w:val="26"/>
                <w:szCs w:val="26"/>
                <w:rtl/>
              </w:rPr>
              <w:t>מאשימה</w:t>
            </w:r>
          </w:p>
          <w:p w14:paraId="2A367107" w14:textId="77777777" w:rsidR="00513F15" w:rsidRPr="00300573" w:rsidRDefault="00513F15" w:rsidP="002E4FA0">
            <w:pPr>
              <w:rPr>
                <w:rFonts w:ascii="David" w:hAnsi="David"/>
                <w:sz w:val="26"/>
                <w:szCs w:val="26"/>
              </w:rPr>
            </w:pPr>
          </w:p>
        </w:tc>
        <w:tc>
          <w:tcPr>
            <w:tcW w:w="4678" w:type="dxa"/>
            <w:gridSpan w:val="3"/>
            <w:tcBorders>
              <w:top w:val="nil"/>
              <w:left w:val="nil"/>
              <w:bottom w:val="nil"/>
              <w:right w:val="nil"/>
            </w:tcBorders>
            <w:shd w:val="clear" w:color="auto" w:fill="auto"/>
            <w:vAlign w:val="center"/>
          </w:tcPr>
          <w:p w14:paraId="059AE334" w14:textId="77777777" w:rsidR="00513F15" w:rsidRPr="00300573" w:rsidRDefault="00513F15" w:rsidP="00513F15">
            <w:pPr>
              <w:suppressLineNumbers/>
              <w:rPr>
                <w:rFonts w:ascii="Arial" w:hAnsi="Arial"/>
                <w:b/>
                <w:bCs/>
                <w:sz w:val="26"/>
                <w:szCs w:val="26"/>
                <w:rtl/>
              </w:rPr>
            </w:pPr>
            <w:r w:rsidRPr="00300573">
              <w:rPr>
                <w:rFonts w:ascii="Arial" w:hAnsi="Arial"/>
                <w:b/>
                <w:bCs/>
                <w:sz w:val="26"/>
                <w:szCs w:val="26"/>
                <w:rtl/>
              </w:rPr>
              <w:t>מדינת ישראל</w:t>
            </w:r>
          </w:p>
          <w:p w14:paraId="220AE436" w14:textId="77777777" w:rsidR="00513F15" w:rsidRPr="00300573" w:rsidRDefault="00513F15" w:rsidP="00513F15">
            <w:pPr>
              <w:suppressLineNumbers/>
              <w:rPr>
                <w:b/>
                <w:bCs/>
              </w:rPr>
            </w:pPr>
            <w:r w:rsidRPr="00300573">
              <w:rPr>
                <w:rFonts w:ascii="Arial" w:hAnsi="Arial"/>
                <w:b/>
                <w:bCs/>
                <w:sz w:val="26"/>
                <w:szCs w:val="26"/>
                <w:rtl/>
              </w:rPr>
              <w:t>ע"י ב"כ עו"ד</w:t>
            </w:r>
            <w:r w:rsidRPr="00300573">
              <w:rPr>
                <w:rFonts w:hint="cs"/>
                <w:b/>
                <w:bCs/>
                <w:rtl/>
              </w:rPr>
              <w:t xml:space="preserve"> ליבת אביטל אזולאי </w:t>
            </w:r>
          </w:p>
          <w:p w14:paraId="16E1A670" w14:textId="77777777" w:rsidR="00513F15" w:rsidRPr="00300573" w:rsidRDefault="00513F15" w:rsidP="002E4FA0">
            <w:pPr>
              <w:rPr>
                <w:rFonts w:ascii="David" w:hAnsi="David"/>
                <w:sz w:val="26"/>
                <w:szCs w:val="26"/>
              </w:rPr>
            </w:pPr>
          </w:p>
        </w:tc>
      </w:tr>
      <w:bookmarkEnd w:id="1"/>
      <w:bookmarkEnd w:id="2"/>
      <w:tr w:rsidR="00513F15" w:rsidRPr="00300573" w14:paraId="1E88A0BA" w14:textId="77777777" w:rsidTr="004C325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414BB801" w14:textId="77777777" w:rsidR="00513F15" w:rsidRPr="00300573" w:rsidRDefault="00513F15" w:rsidP="00513F15">
            <w:pPr>
              <w:jc w:val="both"/>
              <w:rPr>
                <w:rFonts w:ascii="David" w:hAnsi="David"/>
                <w:sz w:val="26"/>
                <w:szCs w:val="26"/>
                <w:rtl/>
              </w:rPr>
            </w:pPr>
          </w:p>
        </w:tc>
        <w:tc>
          <w:tcPr>
            <w:tcW w:w="7897" w:type="dxa"/>
            <w:gridSpan w:val="4"/>
            <w:tcBorders>
              <w:top w:val="nil"/>
              <w:left w:val="nil"/>
              <w:bottom w:val="nil"/>
              <w:right w:val="nil"/>
            </w:tcBorders>
            <w:shd w:val="clear" w:color="auto" w:fill="auto"/>
          </w:tcPr>
          <w:p w14:paraId="10DECAF1" w14:textId="77777777" w:rsidR="00513F15" w:rsidRPr="00300573" w:rsidRDefault="00513F15" w:rsidP="00513F15">
            <w:pPr>
              <w:jc w:val="center"/>
              <w:rPr>
                <w:rFonts w:ascii="David" w:hAnsi="David"/>
                <w:b/>
                <w:bCs/>
                <w:sz w:val="26"/>
                <w:szCs w:val="26"/>
                <w:rtl/>
              </w:rPr>
            </w:pPr>
          </w:p>
          <w:p w14:paraId="4E1C4B74" w14:textId="77777777" w:rsidR="00513F15" w:rsidRPr="00300573" w:rsidRDefault="00513F15" w:rsidP="00513F15">
            <w:pPr>
              <w:jc w:val="center"/>
              <w:rPr>
                <w:rFonts w:ascii="David" w:hAnsi="David"/>
                <w:b/>
                <w:bCs/>
                <w:sz w:val="26"/>
                <w:szCs w:val="26"/>
                <w:rtl/>
              </w:rPr>
            </w:pPr>
            <w:r w:rsidRPr="00300573">
              <w:rPr>
                <w:rFonts w:ascii="David" w:hAnsi="David"/>
                <w:b/>
                <w:bCs/>
                <w:sz w:val="26"/>
                <w:szCs w:val="26"/>
                <w:rtl/>
              </w:rPr>
              <w:t>נגד</w:t>
            </w:r>
          </w:p>
          <w:p w14:paraId="2E877B0E" w14:textId="77777777" w:rsidR="00513F15" w:rsidRPr="00300573" w:rsidRDefault="00513F15" w:rsidP="00513F15">
            <w:pPr>
              <w:jc w:val="both"/>
              <w:rPr>
                <w:rFonts w:ascii="David" w:hAnsi="David"/>
                <w:sz w:val="26"/>
                <w:szCs w:val="26"/>
              </w:rPr>
            </w:pPr>
          </w:p>
        </w:tc>
      </w:tr>
      <w:tr w:rsidR="00513F15" w:rsidRPr="00300573" w14:paraId="1CBC24CE" w14:textId="77777777" w:rsidTr="004C325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7A8AD4D6" w14:textId="77777777" w:rsidR="00513F15" w:rsidRPr="00300573" w:rsidRDefault="00513F15" w:rsidP="002E4FA0">
            <w:pPr>
              <w:rPr>
                <w:rFonts w:ascii="David" w:hAnsi="David"/>
                <w:sz w:val="26"/>
                <w:szCs w:val="26"/>
                <w:rtl/>
              </w:rPr>
            </w:pPr>
          </w:p>
        </w:tc>
        <w:tc>
          <w:tcPr>
            <w:tcW w:w="3219" w:type="dxa"/>
            <w:tcBorders>
              <w:top w:val="nil"/>
              <w:left w:val="nil"/>
              <w:bottom w:val="nil"/>
              <w:right w:val="nil"/>
            </w:tcBorders>
            <w:shd w:val="clear" w:color="auto" w:fill="auto"/>
          </w:tcPr>
          <w:p w14:paraId="3B140AB5" w14:textId="77777777" w:rsidR="00513F15" w:rsidRPr="00300573" w:rsidRDefault="00513F15" w:rsidP="002E4FA0">
            <w:pPr>
              <w:rPr>
                <w:rFonts w:ascii="Arial" w:hAnsi="Arial"/>
                <w:b/>
                <w:bCs/>
                <w:sz w:val="26"/>
                <w:szCs w:val="26"/>
                <w:rtl/>
              </w:rPr>
            </w:pPr>
            <w:r w:rsidRPr="00300573">
              <w:rPr>
                <w:rFonts w:ascii="Arial" w:hAnsi="Arial"/>
                <w:b/>
                <w:bCs/>
                <w:sz w:val="26"/>
                <w:szCs w:val="26"/>
                <w:rtl/>
              </w:rPr>
              <w:t>הנאשם</w:t>
            </w:r>
          </w:p>
        </w:tc>
        <w:tc>
          <w:tcPr>
            <w:tcW w:w="4678" w:type="dxa"/>
            <w:gridSpan w:val="3"/>
            <w:tcBorders>
              <w:top w:val="nil"/>
              <w:left w:val="nil"/>
              <w:bottom w:val="nil"/>
              <w:right w:val="nil"/>
            </w:tcBorders>
            <w:shd w:val="clear" w:color="auto" w:fill="auto"/>
            <w:vAlign w:val="center"/>
          </w:tcPr>
          <w:p w14:paraId="0AEB8A10" w14:textId="77777777" w:rsidR="00513F15" w:rsidRPr="00300573" w:rsidRDefault="00513F15" w:rsidP="00513F15">
            <w:pPr>
              <w:suppressLineNumbers/>
            </w:pPr>
            <w:r w:rsidRPr="00300573">
              <w:rPr>
                <w:rFonts w:ascii="Arial" w:hAnsi="Arial"/>
                <w:b/>
                <w:bCs/>
                <w:sz w:val="26"/>
                <w:szCs w:val="26"/>
                <w:rtl/>
              </w:rPr>
              <w:t xml:space="preserve">מוסא מוחרב </w:t>
            </w:r>
            <w:r w:rsidRPr="00300573">
              <w:rPr>
                <w:rFonts w:ascii="Arial" w:hAnsi="Arial" w:hint="cs"/>
                <w:b/>
                <w:bCs/>
                <w:sz w:val="26"/>
                <w:szCs w:val="26"/>
                <w:rtl/>
              </w:rPr>
              <w:t>-</w:t>
            </w:r>
            <w:r w:rsidRPr="00300573">
              <w:rPr>
                <w:rFonts w:ascii="Arial" w:hAnsi="Arial"/>
                <w:b/>
                <w:bCs/>
                <w:sz w:val="26"/>
                <w:szCs w:val="26"/>
                <w:rtl/>
              </w:rPr>
              <w:t xml:space="preserve"> הובא </w:t>
            </w:r>
            <w:r w:rsidRPr="00300573">
              <w:rPr>
                <w:rFonts w:ascii="Arial" w:hAnsi="Arial" w:hint="cs"/>
                <w:b/>
                <w:bCs/>
                <w:sz w:val="26"/>
                <w:szCs w:val="26"/>
                <w:rtl/>
              </w:rPr>
              <w:t>על ידי שב"ס</w:t>
            </w:r>
            <w:r w:rsidRPr="00300573">
              <w:rPr>
                <w:rFonts w:ascii="Arial" w:hAnsi="Arial"/>
                <w:b/>
                <w:bCs/>
                <w:sz w:val="26"/>
                <w:szCs w:val="26"/>
                <w:rtl/>
              </w:rPr>
              <w:br/>
            </w:r>
            <w:r w:rsidRPr="00300573">
              <w:rPr>
                <w:rFonts w:ascii="Arial" w:hAnsi="Arial" w:hint="cs"/>
                <w:b/>
                <w:bCs/>
                <w:sz w:val="26"/>
                <w:szCs w:val="26"/>
                <w:rtl/>
              </w:rPr>
              <w:t xml:space="preserve"> </w:t>
            </w:r>
            <w:r w:rsidRPr="00300573">
              <w:rPr>
                <w:rFonts w:ascii="Arial" w:hAnsi="Arial"/>
                <w:b/>
                <w:bCs/>
                <w:sz w:val="26"/>
                <w:szCs w:val="26"/>
                <w:rtl/>
              </w:rPr>
              <w:t>ע"י ב"כ עו"ד</w:t>
            </w:r>
            <w:r w:rsidRPr="00300573">
              <w:rPr>
                <w:rFonts w:ascii="Arial" w:hAnsi="Arial" w:hint="cs"/>
                <w:b/>
                <w:bCs/>
                <w:sz w:val="26"/>
                <w:szCs w:val="26"/>
                <w:rtl/>
              </w:rPr>
              <w:t xml:space="preserve"> אייל אביטל</w:t>
            </w:r>
          </w:p>
          <w:p w14:paraId="091C4628" w14:textId="77777777" w:rsidR="00513F15" w:rsidRPr="00300573" w:rsidRDefault="00513F15" w:rsidP="002E4FA0">
            <w:pPr>
              <w:rPr>
                <w:rFonts w:ascii="David" w:hAnsi="David"/>
                <w:sz w:val="26"/>
                <w:szCs w:val="26"/>
              </w:rPr>
            </w:pPr>
          </w:p>
        </w:tc>
      </w:tr>
    </w:tbl>
    <w:p w14:paraId="78DCB61E" w14:textId="77777777" w:rsidR="00300573" w:rsidRPr="00300573" w:rsidRDefault="00300573" w:rsidP="00300573">
      <w:pPr>
        <w:spacing w:before="120" w:after="120" w:line="240" w:lineRule="exact"/>
        <w:ind w:left="283" w:hanging="283"/>
        <w:jc w:val="both"/>
        <w:rPr>
          <w:rFonts w:ascii="FrankRuehl" w:hAnsi="FrankRuehl" w:cs="FrankRuehl"/>
          <w:rtl/>
        </w:rPr>
      </w:pPr>
    </w:p>
    <w:p w14:paraId="4643A172" w14:textId="77777777" w:rsidR="00300573" w:rsidRPr="00300573" w:rsidRDefault="00300573" w:rsidP="00300573">
      <w:pPr>
        <w:rPr>
          <w:rtl/>
        </w:rPr>
      </w:pPr>
    </w:p>
    <w:p w14:paraId="2B9578B1" w14:textId="77777777" w:rsidR="004C325A" w:rsidRPr="004C325A" w:rsidRDefault="004C325A" w:rsidP="004C325A">
      <w:pPr>
        <w:spacing w:before="120" w:after="120" w:line="240" w:lineRule="exact"/>
        <w:ind w:left="283" w:hanging="283"/>
        <w:jc w:val="both"/>
        <w:rPr>
          <w:rFonts w:ascii="FrankRuehl" w:hAnsi="FrankRuehl" w:cs="FrankRuehl"/>
          <w:rtl/>
        </w:rPr>
      </w:pPr>
      <w:bookmarkStart w:id="3" w:name="LawTable"/>
      <w:bookmarkEnd w:id="3"/>
    </w:p>
    <w:p w14:paraId="2043F5D2" w14:textId="77777777" w:rsidR="004C325A" w:rsidRPr="004C325A" w:rsidRDefault="004C325A" w:rsidP="004C325A">
      <w:pPr>
        <w:spacing w:before="120" w:after="120" w:line="240" w:lineRule="exact"/>
        <w:ind w:left="283" w:hanging="283"/>
        <w:jc w:val="both"/>
        <w:rPr>
          <w:rFonts w:ascii="FrankRuehl" w:hAnsi="FrankRuehl" w:cs="FrankRuehl"/>
          <w:rtl/>
        </w:rPr>
      </w:pPr>
      <w:r w:rsidRPr="004C325A">
        <w:rPr>
          <w:rFonts w:ascii="FrankRuehl" w:hAnsi="FrankRuehl" w:cs="FrankRuehl"/>
          <w:rtl/>
        </w:rPr>
        <w:t xml:space="preserve">חקיקה שאוזכרה: </w:t>
      </w:r>
    </w:p>
    <w:p w14:paraId="6A3A32C2" w14:textId="77777777" w:rsidR="004C325A" w:rsidRPr="004C325A" w:rsidRDefault="004C325A" w:rsidP="004C325A">
      <w:pPr>
        <w:spacing w:before="120" w:after="120" w:line="240" w:lineRule="exact"/>
        <w:ind w:left="283" w:hanging="283"/>
        <w:jc w:val="both"/>
        <w:rPr>
          <w:rFonts w:ascii="FrankRuehl" w:hAnsi="FrankRuehl" w:cs="FrankRuehl"/>
          <w:color w:val="0000FF"/>
          <w:rtl/>
        </w:rPr>
      </w:pPr>
      <w:hyperlink r:id="rId7" w:history="1">
        <w:r w:rsidRPr="004C325A">
          <w:rPr>
            <w:rStyle w:val="Hyperlink"/>
            <w:rFonts w:ascii="FrankRuehl" w:hAnsi="FrankRuehl" w:cs="FrankRuehl"/>
            <w:u w:val="none"/>
            <w:rtl/>
          </w:rPr>
          <w:t>חוק העונשין, תשל"ז-1977</w:t>
        </w:r>
      </w:hyperlink>
      <w:r w:rsidRPr="004C325A">
        <w:rPr>
          <w:rFonts w:ascii="FrankRuehl" w:hAnsi="FrankRuehl" w:cs="FrankRuehl"/>
          <w:color w:val="0000FF"/>
          <w:rtl/>
        </w:rPr>
        <w:t xml:space="preserve">: סע'  </w:t>
      </w:r>
      <w:hyperlink r:id="rId8" w:history="1">
        <w:r w:rsidRPr="004C325A">
          <w:rPr>
            <w:rStyle w:val="Hyperlink"/>
            <w:rFonts w:ascii="FrankRuehl" w:hAnsi="FrankRuehl" w:cs="FrankRuehl"/>
            <w:u w:val="none"/>
          </w:rPr>
          <w:t>144</w:t>
        </w:r>
      </w:hyperlink>
      <w:r w:rsidRPr="004C325A">
        <w:rPr>
          <w:rFonts w:ascii="FrankRuehl" w:hAnsi="FrankRuehl" w:cs="FrankRuehl"/>
          <w:color w:val="0000FF"/>
          <w:rtl/>
        </w:rPr>
        <w:t xml:space="preserve">, </w:t>
      </w:r>
      <w:hyperlink r:id="rId9" w:history="1">
        <w:r w:rsidRPr="004C325A">
          <w:rPr>
            <w:rStyle w:val="Hyperlink"/>
            <w:rFonts w:ascii="FrankRuehl" w:hAnsi="FrankRuehl" w:cs="FrankRuehl"/>
            <w:u w:val="none"/>
          </w:rPr>
          <w:t xml:space="preserve">144 </w:t>
        </w:r>
      </w:hyperlink>
      <w:r w:rsidRPr="004C325A">
        <w:rPr>
          <w:rFonts w:ascii="FrankRuehl" w:hAnsi="FrankRuehl" w:cs="FrankRuehl"/>
          <w:color w:val="0000FF"/>
          <w:rtl/>
        </w:rPr>
        <w:t>(א)</w:t>
      </w:r>
    </w:p>
    <w:p w14:paraId="55BA2287" w14:textId="77777777" w:rsidR="00300573" w:rsidRPr="004C325A" w:rsidRDefault="00300573" w:rsidP="004C325A">
      <w:bookmarkStart w:id="4" w:name="LawTable_End"/>
      <w:bookmarkEnd w:id="4"/>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513F15" w14:paraId="2E99043C" w14:textId="77777777" w:rsidTr="00513F15">
        <w:trPr>
          <w:trHeight w:val="355"/>
          <w:jc w:val="center"/>
        </w:trPr>
        <w:tc>
          <w:tcPr>
            <w:tcW w:w="8820" w:type="dxa"/>
            <w:tcBorders>
              <w:top w:val="nil"/>
              <w:left w:val="nil"/>
              <w:bottom w:val="nil"/>
              <w:right w:val="nil"/>
            </w:tcBorders>
            <w:shd w:val="clear" w:color="auto" w:fill="auto"/>
          </w:tcPr>
          <w:p w14:paraId="60CB7E04" w14:textId="77777777" w:rsidR="00300573" w:rsidRPr="00300573" w:rsidRDefault="00300573" w:rsidP="00300573">
            <w:pPr>
              <w:jc w:val="center"/>
              <w:rPr>
                <w:rFonts w:ascii="David" w:hAnsi="David"/>
                <w:b/>
                <w:bCs/>
                <w:sz w:val="32"/>
                <w:szCs w:val="32"/>
                <w:u w:val="single"/>
                <w:rtl/>
              </w:rPr>
            </w:pPr>
            <w:bookmarkStart w:id="5" w:name="PsakDin" w:colFirst="0" w:colLast="0"/>
            <w:bookmarkEnd w:id="0"/>
            <w:r w:rsidRPr="00300573">
              <w:rPr>
                <w:rFonts w:ascii="David" w:hAnsi="David"/>
                <w:b/>
                <w:bCs/>
                <w:sz w:val="32"/>
                <w:szCs w:val="32"/>
                <w:u w:val="single"/>
                <w:rtl/>
              </w:rPr>
              <w:t>גזר דין</w:t>
            </w:r>
          </w:p>
          <w:p w14:paraId="79AE4BA5" w14:textId="77777777" w:rsidR="00513F15" w:rsidRPr="00300573" w:rsidRDefault="00513F15" w:rsidP="00300573">
            <w:pPr>
              <w:jc w:val="center"/>
              <w:rPr>
                <w:rFonts w:ascii="David" w:hAnsi="David"/>
                <w:bCs/>
                <w:sz w:val="32"/>
                <w:szCs w:val="32"/>
                <w:u w:val="single"/>
                <w:rtl/>
              </w:rPr>
            </w:pPr>
          </w:p>
        </w:tc>
      </w:tr>
      <w:bookmarkEnd w:id="5"/>
    </w:tbl>
    <w:p w14:paraId="3F443F0C" w14:textId="77777777" w:rsidR="00513F15" w:rsidRPr="000F2247" w:rsidRDefault="00513F15" w:rsidP="00513F15">
      <w:pPr>
        <w:rPr>
          <w:rFonts w:ascii="Arial" w:hAnsi="Arial"/>
          <w:b/>
          <w:bCs/>
          <w:sz w:val="26"/>
          <w:szCs w:val="26"/>
          <w:rtl/>
        </w:rPr>
      </w:pPr>
    </w:p>
    <w:p w14:paraId="3833939D" w14:textId="77777777" w:rsidR="00513F15" w:rsidRDefault="00513F15" w:rsidP="00513F15">
      <w:pPr>
        <w:spacing w:line="360" w:lineRule="auto"/>
        <w:ind w:left="720" w:hanging="720"/>
        <w:jc w:val="both"/>
        <w:rPr>
          <w:rFonts w:ascii="David" w:hAnsi="David"/>
          <w:rtl/>
        </w:rPr>
      </w:pPr>
      <w:bookmarkStart w:id="6" w:name="ABSTRACT_START"/>
      <w:bookmarkEnd w:id="6"/>
    </w:p>
    <w:p w14:paraId="2DB2C939" w14:textId="77777777" w:rsidR="00513F15" w:rsidRDefault="00513F15" w:rsidP="00513F15">
      <w:pPr>
        <w:spacing w:line="360" w:lineRule="auto"/>
        <w:ind w:left="720" w:hanging="720"/>
        <w:jc w:val="both"/>
        <w:rPr>
          <w:rFonts w:ascii="David" w:hAnsi="David"/>
          <w:rtl/>
        </w:rPr>
      </w:pPr>
      <w:r>
        <w:rPr>
          <w:rFonts w:ascii="David" w:hAnsi="David"/>
          <w:rtl/>
        </w:rPr>
        <w:t>1.</w:t>
      </w:r>
      <w:r>
        <w:rPr>
          <w:rFonts w:ascii="David" w:hAnsi="David"/>
          <w:rtl/>
        </w:rPr>
        <w:tab/>
        <w:t xml:space="preserve">הנאשם הורשע, על יסוד הודאתו בכתב האישום המתוקן, בעבירות בנשק (החזקה) – עבירה לפי סעיף </w:t>
      </w:r>
      <w:hyperlink r:id="rId10" w:history="1">
        <w:r w:rsidR="004C325A" w:rsidRPr="004C325A">
          <w:rPr>
            <w:rStyle w:val="Hyperlink"/>
            <w:rFonts w:ascii="David" w:hAnsi="David"/>
            <w:color w:val="0000FF"/>
            <w:rtl/>
          </w:rPr>
          <w:t>144 (א)</w:t>
        </w:r>
      </w:hyperlink>
      <w:r>
        <w:rPr>
          <w:rFonts w:ascii="David" w:hAnsi="David"/>
          <w:rtl/>
        </w:rPr>
        <w:t xml:space="preserve"> רישא ל</w:t>
      </w:r>
      <w:hyperlink r:id="rId11" w:history="1">
        <w:r w:rsidR="00300573" w:rsidRPr="00300573">
          <w:rPr>
            <w:rFonts w:ascii="David" w:hAnsi="David"/>
            <w:color w:val="0000FF"/>
            <w:u w:val="single"/>
            <w:rtl/>
          </w:rPr>
          <w:t>חוק העונשין</w:t>
        </w:r>
      </w:hyperlink>
      <w:r>
        <w:rPr>
          <w:rFonts w:ascii="David" w:hAnsi="David"/>
          <w:rtl/>
        </w:rPr>
        <w:t>, התשל"ז – 1977.</w:t>
      </w:r>
    </w:p>
    <w:p w14:paraId="3EDE6BB8" w14:textId="77777777" w:rsidR="00513F15" w:rsidRDefault="00513F15" w:rsidP="00513F15">
      <w:pPr>
        <w:spacing w:line="360" w:lineRule="auto"/>
        <w:ind w:left="720" w:hanging="720"/>
        <w:rPr>
          <w:rFonts w:ascii="David" w:hAnsi="David"/>
          <w:rtl/>
        </w:rPr>
      </w:pPr>
    </w:p>
    <w:p w14:paraId="75D74DC7" w14:textId="77777777" w:rsidR="00513F15" w:rsidRDefault="00513F15" w:rsidP="00513F15">
      <w:pPr>
        <w:spacing w:line="360" w:lineRule="auto"/>
        <w:ind w:left="720" w:hanging="720"/>
        <w:rPr>
          <w:rFonts w:ascii="David" w:hAnsi="David"/>
          <w:b/>
          <w:bCs/>
          <w:rtl/>
        </w:rPr>
      </w:pPr>
      <w:bookmarkStart w:id="7" w:name="ABSTRACT_END"/>
      <w:bookmarkEnd w:id="7"/>
      <w:r>
        <w:rPr>
          <w:rFonts w:ascii="David" w:hAnsi="David"/>
          <w:b/>
          <w:bCs/>
          <w:rtl/>
        </w:rPr>
        <w:t>האישום והסדר הטיעון:</w:t>
      </w:r>
    </w:p>
    <w:p w14:paraId="5FCFC6A0" w14:textId="77777777" w:rsidR="00513F15" w:rsidRDefault="00513F15" w:rsidP="00513F15">
      <w:pPr>
        <w:spacing w:line="360" w:lineRule="auto"/>
        <w:ind w:left="720" w:hanging="720"/>
        <w:rPr>
          <w:rFonts w:ascii="David" w:hAnsi="David"/>
          <w:rtl/>
        </w:rPr>
      </w:pPr>
    </w:p>
    <w:p w14:paraId="4103C15D" w14:textId="77777777" w:rsidR="00513F15" w:rsidRDefault="00513F15" w:rsidP="00513F15">
      <w:pPr>
        <w:spacing w:line="360" w:lineRule="auto"/>
        <w:ind w:left="720" w:hanging="720"/>
        <w:jc w:val="both"/>
        <w:rPr>
          <w:rFonts w:ascii="David" w:hAnsi="David"/>
          <w:rtl/>
        </w:rPr>
      </w:pPr>
      <w:r>
        <w:rPr>
          <w:rFonts w:ascii="David" w:hAnsi="David"/>
          <w:rtl/>
        </w:rPr>
        <w:t>2.</w:t>
      </w:r>
      <w:r>
        <w:rPr>
          <w:rFonts w:ascii="David" w:hAnsi="David"/>
          <w:rtl/>
        </w:rPr>
        <w:tab/>
        <w:t xml:space="preserve">על פי האמור בכתב האישום המתוקן, במועד שאינו ידוע במדויק למאשימה, עובר לתאריך 21.4.23, החזיק הנאשם כלי נשק – רובה סער מסוג </w:t>
      </w:r>
      <w:r>
        <w:rPr>
          <w:rFonts w:ascii="David" w:hAnsi="David"/>
        </w:rPr>
        <w:t>M16</w:t>
      </w:r>
      <w:r>
        <w:rPr>
          <w:rFonts w:ascii="David" w:hAnsi="David"/>
          <w:rtl/>
        </w:rPr>
        <w:t>, תוצרת ארה"ב.</w:t>
      </w:r>
    </w:p>
    <w:p w14:paraId="481DF370" w14:textId="77777777" w:rsidR="00513F15" w:rsidRDefault="00513F15" w:rsidP="00513F15">
      <w:pPr>
        <w:spacing w:line="360" w:lineRule="auto"/>
        <w:ind w:left="720" w:hanging="720"/>
        <w:jc w:val="both"/>
        <w:rPr>
          <w:rFonts w:ascii="David" w:hAnsi="David"/>
          <w:rtl/>
        </w:rPr>
      </w:pPr>
    </w:p>
    <w:p w14:paraId="4010E3AF" w14:textId="77777777" w:rsidR="00513F15" w:rsidRDefault="00513F15" w:rsidP="00513F15">
      <w:pPr>
        <w:spacing w:line="360" w:lineRule="auto"/>
        <w:ind w:left="720" w:hanging="720"/>
        <w:jc w:val="both"/>
        <w:rPr>
          <w:rFonts w:ascii="David" w:hAnsi="David"/>
          <w:rtl/>
        </w:rPr>
      </w:pPr>
      <w:r>
        <w:rPr>
          <w:rFonts w:ascii="David" w:hAnsi="David"/>
          <w:rtl/>
        </w:rPr>
        <w:t>3.</w:t>
      </w:r>
      <w:r>
        <w:rPr>
          <w:rFonts w:ascii="David" w:hAnsi="David"/>
          <w:rtl/>
        </w:rPr>
        <w:tab/>
        <w:t>הנאשם הודה בכתב האישום המתוקן במסגרת הסדר טיעון, והצדדים עתרו במשותף כי בית המשפט יטיל עליו את העונשים הבאים:</w:t>
      </w:r>
    </w:p>
    <w:p w14:paraId="62FB7BCD" w14:textId="77777777" w:rsidR="00513F15" w:rsidRDefault="00513F15" w:rsidP="00513F15">
      <w:pPr>
        <w:spacing w:line="360" w:lineRule="auto"/>
        <w:ind w:left="720" w:hanging="720"/>
        <w:jc w:val="both"/>
        <w:rPr>
          <w:rFonts w:ascii="David" w:hAnsi="David"/>
          <w:rtl/>
        </w:rPr>
      </w:pPr>
    </w:p>
    <w:p w14:paraId="64C94F65" w14:textId="77777777" w:rsidR="00513F15" w:rsidRDefault="00513F15" w:rsidP="00513F15">
      <w:pPr>
        <w:spacing w:line="360" w:lineRule="auto"/>
        <w:ind w:left="720" w:hanging="720"/>
        <w:jc w:val="both"/>
        <w:rPr>
          <w:rFonts w:ascii="David" w:hAnsi="David"/>
          <w:rtl/>
        </w:rPr>
      </w:pPr>
      <w:r>
        <w:rPr>
          <w:rFonts w:ascii="David" w:hAnsi="David"/>
          <w:rtl/>
        </w:rPr>
        <w:tab/>
        <w:t>א.</w:t>
      </w:r>
      <w:r>
        <w:rPr>
          <w:rFonts w:ascii="David" w:hAnsi="David"/>
          <w:rtl/>
        </w:rPr>
        <w:tab/>
        <w:t xml:space="preserve">24 חודשי מאסר בפועל בניכוי ימי מעצרו. </w:t>
      </w:r>
    </w:p>
    <w:p w14:paraId="19F7D36C" w14:textId="77777777" w:rsidR="00513F15" w:rsidRDefault="00513F15" w:rsidP="00513F15">
      <w:pPr>
        <w:spacing w:line="360" w:lineRule="auto"/>
        <w:ind w:left="720"/>
        <w:jc w:val="both"/>
        <w:rPr>
          <w:rFonts w:ascii="David" w:hAnsi="David"/>
          <w:rtl/>
        </w:rPr>
      </w:pPr>
      <w:r>
        <w:rPr>
          <w:rFonts w:ascii="David" w:hAnsi="David"/>
          <w:rtl/>
        </w:rPr>
        <w:t>ב.</w:t>
      </w:r>
      <w:r>
        <w:rPr>
          <w:rFonts w:ascii="David" w:hAnsi="David"/>
          <w:rtl/>
        </w:rPr>
        <w:tab/>
        <w:t xml:space="preserve">מאסר על תנאי לשיקול דעת בית המשפט. </w:t>
      </w:r>
    </w:p>
    <w:p w14:paraId="5376A821" w14:textId="77777777" w:rsidR="00513F15" w:rsidRDefault="00513F15" w:rsidP="00513F15">
      <w:pPr>
        <w:spacing w:line="360" w:lineRule="auto"/>
        <w:jc w:val="both"/>
        <w:rPr>
          <w:rFonts w:ascii="David" w:hAnsi="David"/>
          <w:rtl/>
        </w:rPr>
      </w:pPr>
      <w:r>
        <w:rPr>
          <w:rFonts w:ascii="David" w:hAnsi="David"/>
          <w:rtl/>
        </w:rPr>
        <w:tab/>
        <w:t>ג.</w:t>
      </w:r>
      <w:r>
        <w:rPr>
          <w:rFonts w:ascii="David" w:hAnsi="David"/>
          <w:rtl/>
        </w:rPr>
        <w:tab/>
        <w:t xml:space="preserve">קנס שגובהו לשיקול דעת בית המשפט. </w:t>
      </w:r>
    </w:p>
    <w:p w14:paraId="0A1CE849" w14:textId="77777777" w:rsidR="00513F15" w:rsidRDefault="00513F15" w:rsidP="00513F15">
      <w:pPr>
        <w:spacing w:line="360" w:lineRule="auto"/>
        <w:jc w:val="both"/>
        <w:rPr>
          <w:rFonts w:ascii="David" w:hAnsi="David"/>
          <w:rtl/>
        </w:rPr>
      </w:pPr>
    </w:p>
    <w:p w14:paraId="1207FA62" w14:textId="77777777" w:rsidR="00513F15" w:rsidRDefault="00513F15" w:rsidP="00513F15">
      <w:pPr>
        <w:spacing w:line="360" w:lineRule="auto"/>
        <w:jc w:val="both"/>
        <w:rPr>
          <w:rFonts w:ascii="David" w:hAnsi="David"/>
          <w:b/>
          <w:bCs/>
          <w:rtl/>
        </w:rPr>
      </w:pPr>
    </w:p>
    <w:p w14:paraId="571D4E7A" w14:textId="77777777" w:rsidR="00513F15" w:rsidRDefault="00513F15" w:rsidP="00513F15">
      <w:pPr>
        <w:spacing w:line="360" w:lineRule="auto"/>
        <w:jc w:val="both"/>
        <w:rPr>
          <w:rFonts w:ascii="David" w:hAnsi="David"/>
          <w:b/>
          <w:bCs/>
          <w:rtl/>
        </w:rPr>
      </w:pPr>
    </w:p>
    <w:p w14:paraId="1A588619" w14:textId="77777777" w:rsidR="00513F15" w:rsidRDefault="00513F15" w:rsidP="00513F15">
      <w:pPr>
        <w:spacing w:line="360" w:lineRule="auto"/>
        <w:jc w:val="both"/>
        <w:rPr>
          <w:rFonts w:ascii="David" w:hAnsi="David"/>
          <w:b/>
          <w:bCs/>
          <w:rtl/>
        </w:rPr>
      </w:pPr>
    </w:p>
    <w:p w14:paraId="511D3683" w14:textId="77777777" w:rsidR="00513F15" w:rsidRDefault="00513F15" w:rsidP="00513F15">
      <w:pPr>
        <w:spacing w:line="360" w:lineRule="auto"/>
        <w:jc w:val="both"/>
        <w:rPr>
          <w:rFonts w:ascii="David" w:hAnsi="David"/>
          <w:b/>
          <w:bCs/>
          <w:rtl/>
        </w:rPr>
      </w:pPr>
    </w:p>
    <w:p w14:paraId="68C119BA" w14:textId="77777777" w:rsidR="00513F15" w:rsidRDefault="00513F15" w:rsidP="00513F15">
      <w:pPr>
        <w:spacing w:line="360" w:lineRule="auto"/>
        <w:jc w:val="both"/>
        <w:rPr>
          <w:rFonts w:ascii="David" w:hAnsi="David"/>
          <w:b/>
          <w:bCs/>
          <w:rtl/>
        </w:rPr>
      </w:pPr>
    </w:p>
    <w:p w14:paraId="5304E21D" w14:textId="77777777" w:rsidR="00513F15" w:rsidRDefault="00513F15" w:rsidP="00513F15">
      <w:pPr>
        <w:spacing w:line="360" w:lineRule="auto"/>
        <w:jc w:val="both"/>
        <w:rPr>
          <w:rFonts w:ascii="David" w:hAnsi="David"/>
          <w:b/>
          <w:bCs/>
          <w:rtl/>
        </w:rPr>
      </w:pPr>
    </w:p>
    <w:p w14:paraId="7D6361CD" w14:textId="77777777" w:rsidR="00513F15" w:rsidRDefault="00513F15" w:rsidP="00513F15">
      <w:pPr>
        <w:spacing w:line="360" w:lineRule="auto"/>
        <w:jc w:val="both"/>
        <w:rPr>
          <w:rFonts w:ascii="David" w:hAnsi="David"/>
          <w:b/>
          <w:bCs/>
          <w:rtl/>
        </w:rPr>
      </w:pPr>
      <w:r>
        <w:rPr>
          <w:rFonts w:ascii="David" w:hAnsi="David"/>
          <w:b/>
          <w:bCs/>
          <w:rtl/>
        </w:rPr>
        <w:t>טיעוני ב"כ הצדדים:</w:t>
      </w:r>
    </w:p>
    <w:p w14:paraId="68ABEB8F" w14:textId="77777777" w:rsidR="00513F15" w:rsidRDefault="00513F15" w:rsidP="00513F15">
      <w:pPr>
        <w:spacing w:line="360" w:lineRule="auto"/>
        <w:ind w:left="720" w:hanging="720"/>
        <w:jc w:val="both"/>
        <w:rPr>
          <w:rFonts w:ascii="David" w:hAnsi="David"/>
          <w:rtl/>
        </w:rPr>
      </w:pPr>
      <w:r>
        <w:rPr>
          <w:rFonts w:ascii="David" w:hAnsi="David"/>
          <w:rtl/>
        </w:rPr>
        <w:t>4.</w:t>
      </w:r>
      <w:r>
        <w:rPr>
          <w:rFonts w:ascii="David" w:hAnsi="David"/>
          <w:rtl/>
        </w:rPr>
        <w:tab/>
        <w:t xml:space="preserve">באי כוח הצדדים לא הגישו ראיות לעונש, ולשאלת בית המשפט הבהיר ב"כ המאשימה כי לנאשם אין עבר פלילי. </w:t>
      </w:r>
    </w:p>
    <w:p w14:paraId="2678B0FB" w14:textId="77777777" w:rsidR="00513F15" w:rsidRDefault="00513F15" w:rsidP="00513F15">
      <w:pPr>
        <w:spacing w:line="360" w:lineRule="auto"/>
        <w:ind w:left="720" w:hanging="720"/>
        <w:jc w:val="both"/>
        <w:rPr>
          <w:rFonts w:ascii="David" w:hAnsi="David"/>
          <w:rtl/>
        </w:rPr>
      </w:pPr>
    </w:p>
    <w:p w14:paraId="7F2A5376" w14:textId="77777777" w:rsidR="00513F15" w:rsidRDefault="00513F15" w:rsidP="00513F15">
      <w:pPr>
        <w:spacing w:line="360" w:lineRule="auto"/>
        <w:ind w:left="720" w:hanging="720"/>
        <w:jc w:val="both"/>
        <w:rPr>
          <w:rFonts w:ascii="David" w:hAnsi="David"/>
          <w:rtl/>
        </w:rPr>
      </w:pPr>
      <w:r>
        <w:rPr>
          <w:rFonts w:ascii="David" w:hAnsi="David"/>
          <w:rtl/>
        </w:rPr>
        <w:t>5.</w:t>
      </w:r>
      <w:r>
        <w:rPr>
          <w:rFonts w:ascii="David" w:hAnsi="David"/>
          <w:rtl/>
        </w:rPr>
        <w:tab/>
      </w:r>
      <w:r>
        <w:rPr>
          <w:rFonts w:ascii="David" w:hAnsi="David"/>
          <w:b/>
          <w:bCs/>
          <w:rtl/>
        </w:rPr>
        <w:t>ב"כ המאשימה</w:t>
      </w:r>
      <w:r>
        <w:rPr>
          <w:rFonts w:ascii="David" w:hAnsi="David"/>
          <w:rtl/>
        </w:rPr>
        <w:t xml:space="preserve"> עתר לכבד את הסדר הטיעון שכן כתב האישום תוקן בצורה משמעותית ונוכח קשיים ראייתיים. הנאשם צעיר ללא עבר פלילי, הודה וחסך זמן שיפוטי והעונש המוסכם שבהסדר מאוזן. </w:t>
      </w:r>
    </w:p>
    <w:p w14:paraId="15D0E49C" w14:textId="77777777" w:rsidR="00513F15" w:rsidRDefault="00513F15" w:rsidP="00513F15">
      <w:pPr>
        <w:spacing w:line="360" w:lineRule="auto"/>
        <w:ind w:left="720" w:hanging="720"/>
        <w:jc w:val="both"/>
        <w:rPr>
          <w:rFonts w:ascii="David" w:hAnsi="David"/>
          <w:rtl/>
        </w:rPr>
      </w:pPr>
      <w:r>
        <w:rPr>
          <w:rFonts w:ascii="David" w:hAnsi="David"/>
          <w:rtl/>
        </w:rPr>
        <w:tab/>
        <w:t xml:space="preserve">לשאלת בית המשפט השיב ב"כ המאשימה כי רכיב המאסר שבהסדר הנו תולדה של קושי ראייתי גם ביחס לעבירה בה הורשע הנאשם במסגרת כתב האישום המתוקן והקושי הראייתי אינו מתייחס רק לכתב האישום המקורי. </w:t>
      </w:r>
    </w:p>
    <w:p w14:paraId="09DEE933" w14:textId="77777777" w:rsidR="00513F15" w:rsidRDefault="00513F15" w:rsidP="00513F15">
      <w:pPr>
        <w:spacing w:line="360" w:lineRule="auto"/>
        <w:ind w:left="720" w:hanging="720"/>
        <w:jc w:val="both"/>
        <w:rPr>
          <w:rFonts w:ascii="David" w:hAnsi="David"/>
          <w:rtl/>
        </w:rPr>
      </w:pPr>
      <w:r>
        <w:rPr>
          <w:rFonts w:ascii="David" w:hAnsi="David"/>
          <w:rtl/>
        </w:rPr>
        <w:tab/>
        <w:t xml:space="preserve">ביחס ליתר רכיבי הענישה עתר ב"כ המאשימה למאסר מותנה ארוך ומשמעותי ולרכיב ענישה כלכלי אשר ירתיע את הנאשם ואת הרבים. </w:t>
      </w:r>
    </w:p>
    <w:p w14:paraId="47A509AA" w14:textId="77777777" w:rsidR="00513F15" w:rsidRDefault="00513F15" w:rsidP="00513F15">
      <w:pPr>
        <w:spacing w:line="360" w:lineRule="auto"/>
        <w:ind w:left="720" w:hanging="720"/>
        <w:jc w:val="both"/>
        <w:rPr>
          <w:rFonts w:ascii="David" w:hAnsi="David"/>
          <w:rtl/>
        </w:rPr>
      </w:pPr>
    </w:p>
    <w:p w14:paraId="2170AB2E" w14:textId="77777777" w:rsidR="00513F15" w:rsidRDefault="00513F15" w:rsidP="00513F15">
      <w:pPr>
        <w:spacing w:line="360" w:lineRule="auto"/>
        <w:ind w:left="720" w:hanging="720"/>
        <w:jc w:val="both"/>
        <w:rPr>
          <w:rFonts w:ascii="David" w:hAnsi="David"/>
          <w:rtl/>
        </w:rPr>
      </w:pPr>
      <w:r>
        <w:rPr>
          <w:rFonts w:ascii="David" w:hAnsi="David"/>
          <w:rtl/>
        </w:rPr>
        <w:t>6.</w:t>
      </w:r>
      <w:r>
        <w:rPr>
          <w:rFonts w:ascii="David" w:hAnsi="David"/>
          <w:b/>
          <w:bCs/>
          <w:rtl/>
        </w:rPr>
        <w:tab/>
        <w:t>ב"כ הנאשם</w:t>
      </w:r>
      <w:r>
        <w:rPr>
          <w:rFonts w:ascii="David" w:hAnsi="David"/>
          <w:rtl/>
        </w:rPr>
        <w:t xml:space="preserve"> עתר לכבד את הסדר הטיעון והפנה להלכה בדבר כיבוד הסדרי טיעון. חזקה על המאשימה אשר אמונה על האינטרס הציבורי כי שקלה את כלל השיקולים, ובכלל זאת  השיקולים הראייתיים אשר אינם מצויים בפני בית המשפט. </w:t>
      </w:r>
    </w:p>
    <w:p w14:paraId="7A63D72E" w14:textId="77777777" w:rsidR="00513F15" w:rsidRDefault="00513F15" w:rsidP="00513F15">
      <w:pPr>
        <w:spacing w:line="360" w:lineRule="auto"/>
        <w:ind w:left="720" w:hanging="720"/>
        <w:jc w:val="both"/>
        <w:rPr>
          <w:rFonts w:ascii="David" w:hAnsi="David"/>
          <w:rtl/>
        </w:rPr>
      </w:pPr>
      <w:r>
        <w:rPr>
          <w:rFonts w:ascii="David" w:hAnsi="David"/>
          <w:rtl/>
        </w:rPr>
        <w:tab/>
        <w:t xml:space="preserve">לדברי הסניגור קיים בתיק קושי ראייתי לא פשוט ולמרות זאת הנאשם לקח אחריות על מעשיו, הודה וחסך מזמנו של בית המשפט. נטען כי עונש המאסר שבהסדר הנו גבוה מאוד והולם את מדיניות הענישה. </w:t>
      </w:r>
    </w:p>
    <w:p w14:paraId="6342E6E3" w14:textId="77777777" w:rsidR="00513F15" w:rsidRDefault="00513F15" w:rsidP="00513F15">
      <w:pPr>
        <w:spacing w:line="360" w:lineRule="auto"/>
        <w:ind w:left="720" w:hanging="720"/>
        <w:jc w:val="both"/>
        <w:rPr>
          <w:rFonts w:ascii="David" w:hAnsi="David"/>
          <w:rtl/>
        </w:rPr>
      </w:pPr>
      <w:r>
        <w:rPr>
          <w:rFonts w:ascii="David" w:hAnsi="David"/>
          <w:rtl/>
        </w:rPr>
        <w:tab/>
        <w:t>הסניגור הפנה לכתב האישום המתוקן ממנו עולה כי החזקת הנשק היתה ספורדית ולמספר שניות וכי הרובה היה ללא כדורים.</w:t>
      </w:r>
    </w:p>
    <w:p w14:paraId="18A070F4" w14:textId="77777777" w:rsidR="00513F15" w:rsidRDefault="00513F15" w:rsidP="00513F15">
      <w:pPr>
        <w:spacing w:line="360" w:lineRule="auto"/>
        <w:ind w:left="720" w:hanging="720"/>
        <w:jc w:val="both"/>
        <w:rPr>
          <w:rFonts w:ascii="David" w:hAnsi="David"/>
          <w:rtl/>
        </w:rPr>
      </w:pPr>
      <w:r>
        <w:rPr>
          <w:rFonts w:ascii="David" w:hAnsi="David"/>
          <w:rtl/>
        </w:rPr>
        <w:tab/>
        <w:t>לעניין הקנס טען ב"כ הנאשם כי מדובר בבחור צעיר בתחילת דרכו ועל כן ביקש כי הקנס יהא מידתי וישולם בתשלומים.</w:t>
      </w:r>
    </w:p>
    <w:p w14:paraId="5E19F5FD" w14:textId="77777777" w:rsidR="00513F15" w:rsidRDefault="00513F15" w:rsidP="00513F15">
      <w:pPr>
        <w:spacing w:line="360" w:lineRule="auto"/>
        <w:ind w:left="720" w:hanging="720"/>
        <w:jc w:val="both"/>
        <w:rPr>
          <w:rFonts w:ascii="David" w:hAnsi="David"/>
          <w:rtl/>
        </w:rPr>
      </w:pPr>
    </w:p>
    <w:p w14:paraId="24FED157" w14:textId="77777777" w:rsidR="00513F15" w:rsidRDefault="00513F15" w:rsidP="00513F15">
      <w:pPr>
        <w:spacing w:line="360" w:lineRule="auto"/>
        <w:ind w:left="720" w:hanging="720"/>
        <w:jc w:val="both"/>
        <w:rPr>
          <w:rFonts w:ascii="David" w:hAnsi="David"/>
          <w:rtl/>
        </w:rPr>
      </w:pPr>
      <w:r>
        <w:rPr>
          <w:rFonts w:ascii="David" w:hAnsi="David"/>
          <w:rtl/>
        </w:rPr>
        <w:t>7.</w:t>
      </w:r>
      <w:r>
        <w:rPr>
          <w:rFonts w:ascii="David" w:hAnsi="David"/>
          <w:rtl/>
        </w:rPr>
        <w:tab/>
        <w:t xml:space="preserve">הנאשם אמר כי הוא מצטער. </w:t>
      </w:r>
    </w:p>
    <w:p w14:paraId="5EB1B5B2" w14:textId="77777777" w:rsidR="00513F15" w:rsidRDefault="00513F15" w:rsidP="00513F15">
      <w:pPr>
        <w:spacing w:line="360" w:lineRule="auto"/>
        <w:ind w:left="720" w:hanging="720"/>
        <w:jc w:val="both"/>
        <w:rPr>
          <w:rFonts w:ascii="David" w:hAnsi="David"/>
          <w:rtl/>
        </w:rPr>
      </w:pPr>
    </w:p>
    <w:p w14:paraId="62944541" w14:textId="77777777" w:rsidR="00513F15" w:rsidRDefault="00513F15" w:rsidP="00513F15">
      <w:pPr>
        <w:spacing w:line="360" w:lineRule="auto"/>
        <w:ind w:left="720" w:hanging="720"/>
        <w:jc w:val="both"/>
        <w:rPr>
          <w:rFonts w:ascii="David" w:hAnsi="David"/>
          <w:rtl/>
        </w:rPr>
      </w:pPr>
    </w:p>
    <w:p w14:paraId="6D31B56A" w14:textId="77777777" w:rsidR="00513F15" w:rsidRDefault="00513F15" w:rsidP="00513F15">
      <w:pPr>
        <w:spacing w:line="360" w:lineRule="auto"/>
        <w:ind w:left="720" w:hanging="720"/>
        <w:jc w:val="both"/>
        <w:rPr>
          <w:rFonts w:ascii="David" w:hAnsi="David"/>
          <w:rtl/>
        </w:rPr>
      </w:pPr>
    </w:p>
    <w:p w14:paraId="27098571" w14:textId="77777777" w:rsidR="00513F15" w:rsidRDefault="00513F15" w:rsidP="00513F15">
      <w:pPr>
        <w:spacing w:line="360" w:lineRule="auto"/>
        <w:ind w:left="720" w:hanging="720"/>
        <w:jc w:val="both"/>
        <w:rPr>
          <w:rFonts w:ascii="David" w:hAnsi="David"/>
          <w:rtl/>
        </w:rPr>
      </w:pPr>
    </w:p>
    <w:p w14:paraId="3351031D" w14:textId="77777777" w:rsidR="00513F15" w:rsidRDefault="00513F15" w:rsidP="00513F15">
      <w:pPr>
        <w:spacing w:line="360" w:lineRule="auto"/>
        <w:ind w:left="720" w:hanging="720"/>
        <w:jc w:val="both"/>
        <w:rPr>
          <w:rFonts w:ascii="David" w:hAnsi="David"/>
          <w:rtl/>
        </w:rPr>
      </w:pPr>
    </w:p>
    <w:p w14:paraId="45F138D1" w14:textId="77777777" w:rsidR="00513F15" w:rsidRDefault="00513F15" w:rsidP="00513F15">
      <w:pPr>
        <w:spacing w:line="360" w:lineRule="auto"/>
        <w:ind w:left="720" w:hanging="720"/>
        <w:jc w:val="both"/>
        <w:rPr>
          <w:rFonts w:ascii="David" w:hAnsi="David"/>
          <w:rtl/>
        </w:rPr>
      </w:pPr>
    </w:p>
    <w:p w14:paraId="521D7621" w14:textId="77777777" w:rsidR="00513F15" w:rsidRDefault="00513F15" w:rsidP="00513F15">
      <w:pPr>
        <w:spacing w:line="360" w:lineRule="auto"/>
        <w:ind w:left="720" w:hanging="720"/>
        <w:jc w:val="both"/>
        <w:rPr>
          <w:rFonts w:ascii="David" w:hAnsi="David"/>
          <w:rtl/>
        </w:rPr>
      </w:pPr>
    </w:p>
    <w:p w14:paraId="4F499F69" w14:textId="77777777" w:rsidR="00513F15" w:rsidRDefault="00513F15" w:rsidP="00513F15">
      <w:pPr>
        <w:spacing w:line="360" w:lineRule="auto"/>
        <w:ind w:left="720" w:hanging="720"/>
        <w:jc w:val="both"/>
        <w:rPr>
          <w:rFonts w:ascii="David" w:hAnsi="David"/>
          <w:rtl/>
        </w:rPr>
      </w:pPr>
    </w:p>
    <w:p w14:paraId="56756DAA" w14:textId="77777777" w:rsidR="00513F15" w:rsidRDefault="00513F15" w:rsidP="00513F15">
      <w:pPr>
        <w:spacing w:line="360" w:lineRule="auto"/>
        <w:ind w:left="720" w:hanging="720"/>
        <w:jc w:val="both"/>
        <w:rPr>
          <w:rFonts w:ascii="David" w:hAnsi="David"/>
          <w:rtl/>
        </w:rPr>
      </w:pPr>
    </w:p>
    <w:p w14:paraId="71FCE986" w14:textId="77777777" w:rsidR="00513F15" w:rsidRDefault="00513F15" w:rsidP="00513F15">
      <w:pPr>
        <w:spacing w:line="360" w:lineRule="auto"/>
        <w:ind w:left="720" w:hanging="720"/>
        <w:jc w:val="both"/>
        <w:rPr>
          <w:rFonts w:ascii="David" w:hAnsi="David"/>
          <w:b/>
          <w:bCs/>
          <w:rtl/>
        </w:rPr>
      </w:pPr>
      <w:r>
        <w:rPr>
          <w:rFonts w:ascii="David" w:hAnsi="David"/>
          <w:b/>
          <w:bCs/>
          <w:rtl/>
        </w:rPr>
        <w:t>דיון והכרעה:</w:t>
      </w:r>
    </w:p>
    <w:p w14:paraId="0E97A08F" w14:textId="77777777" w:rsidR="00513F15" w:rsidRDefault="00513F15" w:rsidP="00513F15">
      <w:pPr>
        <w:spacing w:line="360" w:lineRule="auto"/>
        <w:ind w:left="720" w:hanging="720"/>
        <w:jc w:val="both"/>
        <w:rPr>
          <w:rFonts w:ascii="David" w:hAnsi="David"/>
          <w:rtl/>
        </w:rPr>
      </w:pPr>
      <w:r>
        <w:rPr>
          <w:rFonts w:ascii="David" w:hAnsi="David"/>
          <w:rtl/>
        </w:rPr>
        <w:t>8.</w:t>
      </w:r>
      <w:r>
        <w:rPr>
          <w:rFonts w:ascii="David" w:hAnsi="David"/>
          <w:rtl/>
        </w:rPr>
        <w:tab/>
        <w:t xml:space="preserve">הנאשם יליד 2001, נעדר עבר פלילי הורשע על פי הודאתו בעבירות בנשק (החזקה) לאחר שהחזיק רובה מסוג </w:t>
      </w:r>
      <w:r>
        <w:rPr>
          <w:rFonts w:ascii="David" w:hAnsi="David"/>
        </w:rPr>
        <w:t>M16</w:t>
      </w:r>
      <w:r>
        <w:rPr>
          <w:rFonts w:ascii="David" w:hAnsi="David"/>
          <w:rtl/>
        </w:rPr>
        <w:t xml:space="preserve">. </w:t>
      </w:r>
    </w:p>
    <w:p w14:paraId="69F7508F" w14:textId="77777777" w:rsidR="00513F15" w:rsidRDefault="00513F15" w:rsidP="00513F15">
      <w:pPr>
        <w:spacing w:line="360" w:lineRule="auto"/>
        <w:ind w:left="720" w:hanging="720"/>
        <w:jc w:val="both"/>
        <w:rPr>
          <w:rFonts w:ascii="David" w:hAnsi="David"/>
          <w:rtl/>
        </w:rPr>
      </w:pPr>
    </w:p>
    <w:p w14:paraId="4FDA6A25" w14:textId="77777777" w:rsidR="00513F15" w:rsidRDefault="00513F15" w:rsidP="00513F15">
      <w:pPr>
        <w:spacing w:line="360" w:lineRule="auto"/>
        <w:ind w:left="720" w:hanging="720"/>
        <w:jc w:val="both"/>
        <w:rPr>
          <w:rFonts w:ascii="David" w:hAnsi="David"/>
          <w:rtl/>
        </w:rPr>
      </w:pPr>
      <w:r>
        <w:rPr>
          <w:rFonts w:ascii="David" w:hAnsi="David"/>
          <w:rtl/>
        </w:rPr>
        <w:t>9.</w:t>
      </w:r>
      <w:r>
        <w:rPr>
          <w:rFonts w:ascii="David" w:hAnsi="David"/>
          <w:rtl/>
        </w:rPr>
        <w:tab/>
        <w:t>עבירות הנשק הופכות את הציבור כולו לקורבן פוטנציאלי, ועל בית המשפט להחמיר בענישה ולתרום את חלקו במיגור התופעה הקשה שהפכה למכת מדינה.</w:t>
      </w:r>
    </w:p>
    <w:p w14:paraId="0926F260" w14:textId="77777777" w:rsidR="00513F15" w:rsidRDefault="00513F15" w:rsidP="00513F15">
      <w:pPr>
        <w:spacing w:line="360" w:lineRule="auto"/>
        <w:ind w:left="720" w:hanging="720"/>
        <w:jc w:val="both"/>
        <w:rPr>
          <w:rFonts w:ascii="David" w:hAnsi="David"/>
          <w:rtl/>
        </w:rPr>
      </w:pPr>
    </w:p>
    <w:p w14:paraId="362CF3B0" w14:textId="77777777" w:rsidR="00513F15" w:rsidRDefault="00513F15" w:rsidP="00513F15">
      <w:pPr>
        <w:spacing w:line="360" w:lineRule="auto"/>
        <w:ind w:left="720" w:hanging="720"/>
        <w:jc w:val="both"/>
        <w:rPr>
          <w:rFonts w:ascii="David" w:hAnsi="David"/>
          <w:rtl/>
        </w:rPr>
      </w:pPr>
      <w:r>
        <w:rPr>
          <w:rFonts w:ascii="David" w:hAnsi="David"/>
          <w:rtl/>
        </w:rPr>
        <w:tab/>
        <w:t xml:space="preserve">לעניין מגמת ההחמרה בפסיקה ראה </w:t>
      </w:r>
      <w:hyperlink r:id="rId12" w:history="1">
        <w:r w:rsidR="00300573" w:rsidRPr="00300573">
          <w:rPr>
            <w:rFonts w:ascii="David" w:hAnsi="David"/>
            <w:b/>
            <w:bCs/>
            <w:color w:val="0000FF"/>
            <w:u w:val="single"/>
            <w:rtl/>
          </w:rPr>
          <w:t>ע"פ 2564/19</w:t>
        </w:r>
      </w:hyperlink>
      <w:r>
        <w:rPr>
          <w:rFonts w:ascii="David" w:hAnsi="David"/>
          <w:b/>
          <w:bCs/>
          <w:rtl/>
        </w:rPr>
        <w:t xml:space="preserve"> אזברגה נ' מדינת ישראל</w:t>
      </w:r>
      <w:r>
        <w:rPr>
          <w:rFonts w:ascii="David" w:hAnsi="David"/>
          <w:rtl/>
        </w:rPr>
        <w:t xml:space="preserve"> (18.7.2019): </w:t>
      </w:r>
    </w:p>
    <w:p w14:paraId="758D8438" w14:textId="77777777" w:rsidR="00513F15" w:rsidRDefault="00513F15" w:rsidP="00513F15">
      <w:pPr>
        <w:spacing w:line="360" w:lineRule="auto"/>
        <w:ind w:left="1785" w:hanging="720"/>
        <w:jc w:val="both"/>
        <w:rPr>
          <w:rFonts w:ascii="David" w:hAnsi="David"/>
          <w:rtl/>
        </w:rPr>
      </w:pPr>
    </w:p>
    <w:p w14:paraId="51165E04" w14:textId="77777777" w:rsidR="00513F15" w:rsidRDefault="00513F15" w:rsidP="00513F15">
      <w:pPr>
        <w:spacing w:line="360" w:lineRule="auto"/>
        <w:ind w:left="1785" w:right="1134" w:hanging="720"/>
        <w:jc w:val="both"/>
        <w:rPr>
          <w:rFonts w:ascii="David" w:hAnsi="David"/>
          <w:b/>
          <w:bCs/>
          <w:rtl/>
        </w:rPr>
      </w:pPr>
      <w:r>
        <w:rPr>
          <w:rFonts w:ascii="David" w:hAnsi="David"/>
          <w:rtl/>
        </w:rPr>
        <w:tab/>
      </w:r>
      <w:r>
        <w:rPr>
          <w:rFonts w:ascii="David" w:hAnsi="David"/>
          <w:b/>
          <w:bCs/>
          <w:rtl/>
        </w:rPr>
        <w:t>"בית משפט זה עמד בשורה ארוכה של פסקי דין על חומרתן הרבה של עבירות הנשק... הדבר חמור שבעתיים במציאות הישראלית שבה נשק בלתי חוקי עשוי לשמש הן לפעילות חבלנית עויינת על רקע ביטחוני, הן לפעילות עבריינות... לפיכך קיימת בפסיקה מגמת החמרה ברמת הענישה של המעורבים בעבירות נשק תוך מתן ביטוי עונשי הולם לסכנה הנשקפת מהם, וזאת במטרה להרתיע את היחיד והרבים גם יחד מפני ביצוען..."</w:t>
      </w:r>
    </w:p>
    <w:p w14:paraId="62219B17" w14:textId="77777777" w:rsidR="00513F15" w:rsidRDefault="00513F15" w:rsidP="00513F15">
      <w:pPr>
        <w:spacing w:line="360" w:lineRule="auto"/>
        <w:ind w:left="1785" w:right="1134" w:hanging="720"/>
        <w:jc w:val="both"/>
        <w:rPr>
          <w:rFonts w:ascii="David" w:hAnsi="David"/>
          <w:b/>
          <w:bCs/>
          <w:rtl/>
        </w:rPr>
      </w:pPr>
    </w:p>
    <w:p w14:paraId="3E47A0D1" w14:textId="77777777" w:rsidR="00513F15" w:rsidRDefault="00513F15" w:rsidP="00513F15">
      <w:pPr>
        <w:spacing w:line="360" w:lineRule="auto"/>
        <w:ind w:left="720"/>
        <w:jc w:val="both"/>
        <w:rPr>
          <w:rFonts w:ascii="David" w:hAnsi="David"/>
          <w:rtl/>
        </w:rPr>
      </w:pPr>
      <w:r>
        <w:rPr>
          <w:rFonts w:ascii="David" w:hAnsi="David"/>
          <w:rtl/>
        </w:rPr>
        <w:t xml:space="preserve">וראה גם דברי בית המשפט </w:t>
      </w:r>
      <w:r>
        <w:rPr>
          <w:rFonts w:ascii="David" w:hAnsi="David"/>
          <w:b/>
          <w:bCs/>
          <w:rtl/>
        </w:rPr>
        <w:t>ב</w:t>
      </w:r>
      <w:hyperlink r:id="rId13" w:history="1">
        <w:r w:rsidR="00300573" w:rsidRPr="00300573">
          <w:rPr>
            <w:rFonts w:ascii="David" w:hAnsi="David"/>
            <w:b/>
            <w:bCs/>
            <w:color w:val="0000FF"/>
            <w:u w:val="single"/>
            <w:rtl/>
          </w:rPr>
          <w:t>ע"פ 6383/21</w:t>
        </w:r>
      </w:hyperlink>
      <w:r>
        <w:rPr>
          <w:rFonts w:ascii="David" w:hAnsi="David"/>
          <w:b/>
          <w:bCs/>
          <w:rtl/>
        </w:rPr>
        <w:t xml:space="preserve"> קרייף נ' מדינת ישראל</w:t>
      </w:r>
      <w:r>
        <w:rPr>
          <w:rFonts w:ascii="David" w:hAnsi="David"/>
          <w:rtl/>
        </w:rPr>
        <w:t xml:space="preserve"> (13.2.2022): </w:t>
      </w:r>
    </w:p>
    <w:p w14:paraId="5CF13523" w14:textId="77777777" w:rsidR="00513F15" w:rsidRDefault="00513F15" w:rsidP="00513F15">
      <w:pPr>
        <w:spacing w:line="360" w:lineRule="auto"/>
        <w:ind w:left="720"/>
        <w:jc w:val="both"/>
        <w:rPr>
          <w:rFonts w:ascii="David" w:hAnsi="David"/>
          <w:b/>
          <w:bCs/>
        </w:rPr>
      </w:pPr>
    </w:p>
    <w:p w14:paraId="2C9056EF" w14:textId="77777777" w:rsidR="00513F15" w:rsidRDefault="00513F15" w:rsidP="00513F15">
      <w:pPr>
        <w:spacing w:line="360" w:lineRule="auto"/>
        <w:ind w:left="1360" w:right="1701"/>
        <w:jc w:val="both"/>
        <w:rPr>
          <w:rFonts w:ascii="David" w:hAnsi="David"/>
          <w:b/>
          <w:bCs/>
          <w:rtl/>
        </w:rPr>
      </w:pPr>
      <w:r>
        <w:rPr>
          <w:rFonts w:ascii="David" w:hAnsi="David"/>
          <w:b/>
          <w:bCs/>
          <w:rtl/>
        </w:rPr>
        <w:t xml:space="preserve">"בפסיקה הובהר שוב ושוב בשנים האחרונות כי ענישה בעבירות נשק צריכה להיות מחמירה. לצערנו מספרן והיקפן של עבירות אלה גדל בשנים האחרונות. פגיעתו הרעה של הנשק אינה תחומה לסביבה העבריינית. לא פעם נפגעי העבירה נקלעים למקום במקרה, ואינם קשורים למעגל עברייני כלשהו. כל חטאו של נפגע עבירה, לפעמים, הוא בכך שיצא מביתו ובחר להסתובב ברשות הרבים... התופעות של עסקאות בנשק, הובלתו ונשיאתו, מאיימות לא רק על שלמות הגוף של הציבור, אלא גם על שלום הציבור ועל הסדר הציבורי... יש לקשור אפוא מלחמת חורמה על עבירות הנשק למיניהן, וגם על בית המשפט לתרום את חלקו למלחמה זו באמצעות ענישה הולמת ומרתיעה. לא פעם נקבע כי יש להחמיר בענישה בגין עבירות נשק, ולהעניק משקל מרכזי לשיקול של הרתעת הכלל". </w:t>
      </w:r>
    </w:p>
    <w:p w14:paraId="3863D2C9" w14:textId="77777777" w:rsidR="00513F15" w:rsidRDefault="00513F15" w:rsidP="00513F15">
      <w:pPr>
        <w:spacing w:line="360" w:lineRule="auto"/>
        <w:ind w:left="1360" w:right="1701" w:hanging="720"/>
        <w:jc w:val="both"/>
        <w:rPr>
          <w:rFonts w:ascii="David" w:hAnsi="David"/>
          <w:rtl/>
        </w:rPr>
      </w:pPr>
      <w:r>
        <w:rPr>
          <w:rFonts w:ascii="David" w:hAnsi="David"/>
          <w:rtl/>
        </w:rPr>
        <w:tab/>
      </w:r>
    </w:p>
    <w:p w14:paraId="689A3931" w14:textId="77777777" w:rsidR="00513F15" w:rsidRDefault="00513F15" w:rsidP="00513F15">
      <w:pPr>
        <w:spacing w:line="360" w:lineRule="auto"/>
        <w:ind w:left="720" w:hanging="720"/>
        <w:jc w:val="both"/>
        <w:rPr>
          <w:rFonts w:ascii="David" w:hAnsi="David"/>
          <w:rtl/>
        </w:rPr>
      </w:pPr>
      <w:r>
        <w:rPr>
          <w:rFonts w:ascii="David" w:hAnsi="David"/>
          <w:rtl/>
        </w:rPr>
        <w:t>10.</w:t>
      </w:r>
      <w:r>
        <w:rPr>
          <w:rFonts w:ascii="David" w:hAnsi="David"/>
          <w:rtl/>
        </w:rPr>
        <w:tab/>
        <w:t>הנאשם פגע בערכים המוגנים של שמירה על החיים, שלמות הגוף וביטחון הציבור ושלוותו. העובדה כי עסקינן בנשק ארוך (</w:t>
      </w:r>
      <w:r>
        <w:rPr>
          <w:rFonts w:ascii="David" w:hAnsi="David"/>
        </w:rPr>
        <w:t>M16</w:t>
      </w:r>
      <w:r>
        <w:rPr>
          <w:rFonts w:ascii="David" w:hAnsi="David"/>
          <w:rtl/>
        </w:rPr>
        <w:t>) מקנה לאירוע שבענייננו חומרה יתרה וזאת בשים לב לפוטנציאל הסכנה הטמון בו.</w:t>
      </w:r>
    </w:p>
    <w:p w14:paraId="7F90F446" w14:textId="77777777" w:rsidR="00513F15" w:rsidRDefault="00513F15" w:rsidP="00513F15">
      <w:pPr>
        <w:spacing w:line="360" w:lineRule="auto"/>
        <w:ind w:left="720" w:hanging="720"/>
        <w:jc w:val="both"/>
        <w:rPr>
          <w:rFonts w:ascii="David" w:hAnsi="David"/>
          <w:rtl/>
        </w:rPr>
      </w:pPr>
    </w:p>
    <w:p w14:paraId="76F81BB6" w14:textId="77777777" w:rsidR="00513F15" w:rsidRDefault="00513F15" w:rsidP="00513F15">
      <w:pPr>
        <w:spacing w:line="360" w:lineRule="auto"/>
        <w:ind w:left="720" w:hanging="720"/>
        <w:jc w:val="both"/>
        <w:rPr>
          <w:rFonts w:ascii="David" w:hAnsi="David"/>
          <w:rtl/>
        </w:rPr>
      </w:pPr>
      <w:r>
        <w:rPr>
          <w:rFonts w:ascii="David" w:hAnsi="David"/>
          <w:rtl/>
        </w:rPr>
        <w:t>11.</w:t>
      </w:r>
      <w:r>
        <w:rPr>
          <w:rFonts w:ascii="David" w:hAnsi="David"/>
          <w:rtl/>
        </w:rPr>
        <w:tab/>
        <w:t xml:space="preserve">לקולת העונש התחשבתי בהודאתו של הנאשם, בעברו הנקי ובחיסכון בזמנו של בית המשפט. כמו כן נתתי דעתי לכך כי כתב האישום אינו מפרט את מקום ומשך החזקת הנשק. </w:t>
      </w:r>
    </w:p>
    <w:p w14:paraId="274BFFBE" w14:textId="77777777" w:rsidR="00513F15" w:rsidRDefault="00513F15" w:rsidP="00513F15">
      <w:pPr>
        <w:spacing w:line="360" w:lineRule="auto"/>
        <w:ind w:left="720" w:hanging="720"/>
        <w:jc w:val="both"/>
        <w:rPr>
          <w:rFonts w:ascii="David" w:hAnsi="David"/>
          <w:rtl/>
        </w:rPr>
      </w:pPr>
    </w:p>
    <w:p w14:paraId="299EE1C9" w14:textId="77777777" w:rsidR="00513F15" w:rsidRDefault="00513F15" w:rsidP="00513F15">
      <w:pPr>
        <w:spacing w:line="360" w:lineRule="auto"/>
        <w:ind w:left="720" w:hanging="720"/>
        <w:jc w:val="both"/>
        <w:rPr>
          <w:rFonts w:ascii="David" w:hAnsi="David"/>
          <w:rtl/>
        </w:rPr>
      </w:pPr>
      <w:r>
        <w:rPr>
          <w:rFonts w:ascii="David" w:hAnsi="David"/>
          <w:rtl/>
        </w:rPr>
        <w:t>12.</w:t>
      </w:r>
      <w:r>
        <w:rPr>
          <w:rFonts w:ascii="David" w:hAnsi="David"/>
          <w:rtl/>
        </w:rPr>
        <w:tab/>
        <w:t>לאחר ששמעתי טיעוני באי כוח הצדדים מצאתי, לא בלי היסוס, שלא לחרוג מהסדר הטיעון בהינתן מדיניות בתי המשפט הנוגעת לכיבוד הסדרי טיעון, הודאת הנאשם, עברו הנקי, ובעיקר משהובהר על ידי ב"כ הצדדים כי ההסדר מקורו בקשיים ראייתיים. אלמלא הסדר הטיעון היה מקום להשית על הנאשם עונש מאסר ממושך יותר.</w:t>
      </w:r>
    </w:p>
    <w:p w14:paraId="4F48939E" w14:textId="77777777" w:rsidR="00513F15" w:rsidRDefault="00513F15" w:rsidP="00513F15">
      <w:pPr>
        <w:spacing w:line="360" w:lineRule="auto"/>
        <w:ind w:left="720"/>
        <w:jc w:val="both"/>
        <w:rPr>
          <w:rFonts w:ascii="David" w:hAnsi="David"/>
          <w:rtl/>
        </w:rPr>
      </w:pPr>
      <w:r>
        <w:rPr>
          <w:rFonts w:ascii="David" w:hAnsi="David"/>
          <w:rtl/>
        </w:rPr>
        <w:t xml:space="preserve">נוכח טענת הסניגור המלומד כי העונש הולם את מדיניות הענישה ואף גבוה, ומבלי להידרש לנכונות טענתו, מצאתי להדגיש כי אחידות הענישה אינה חזות הכל אלא שיקול אחד מבין מכלול השיקולים שעל בית המשפט לשקול כדי להגיע לתוצאה ראויה. אל לו לבית המשפט להיות כבול לענישה הנהוגה אם הוא סבור שיש להחמיר הענישה עת עסקינן בעבירות שהוכרו כמכת מדינה. </w:t>
      </w:r>
    </w:p>
    <w:p w14:paraId="2E53E5B2" w14:textId="77777777" w:rsidR="00513F15" w:rsidRDefault="00513F15" w:rsidP="00513F15">
      <w:pPr>
        <w:spacing w:line="360" w:lineRule="auto"/>
        <w:ind w:left="720" w:hanging="720"/>
        <w:jc w:val="both"/>
        <w:rPr>
          <w:rFonts w:ascii="David" w:hAnsi="David"/>
          <w:rtl/>
        </w:rPr>
      </w:pPr>
    </w:p>
    <w:p w14:paraId="639FBA93" w14:textId="77777777" w:rsidR="00513F15" w:rsidRDefault="00513F15" w:rsidP="00513F15">
      <w:pPr>
        <w:spacing w:line="360" w:lineRule="auto"/>
        <w:ind w:left="720" w:hanging="720"/>
        <w:jc w:val="both"/>
        <w:rPr>
          <w:rFonts w:ascii="David" w:hAnsi="David"/>
          <w:rtl/>
        </w:rPr>
      </w:pPr>
      <w:r>
        <w:rPr>
          <w:rFonts w:ascii="David" w:hAnsi="David"/>
          <w:rtl/>
        </w:rPr>
        <w:t>13.</w:t>
      </w:r>
      <w:r>
        <w:rPr>
          <w:rFonts w:ascii="David" w:hAnsi="David"/>
          <w:rtl/>
        </w:rPr>
        <w:tab/>
        <w:t>לצד האמור, מצאתי להחמיר ברכיב המאסר המותנה שיוטל על הנאשם וזאת כדי להרתיעו מביצוע עבירות דומות.</w:t>
      </w:r>
    </w:p>
    <w:p w14:paraId="01C57C3D" w14:textId="77777777" w:rsidR="00513F15" w:rsidRDefault="00513F15" w:rsidP="00513F15">
      <w:pPr>
        <w:spacing w:line="360" w:lineRule="auto"/>
        <w:ind w:left="720"/>
        <w:jc w:val="both"/>
        <w:rPr>
          <w:rFonts w:ascii="David" w:hAnsi="David"/>
          <w:rtl/>
        </w:rPr>
      </w:pPr>
      <w:r>
        <w:rPr>
          <w:rFonts w:ascii="David" w:hAnsi="David"/>
          <w:rtl/>
        </w:rPr>
        <w:t xml:space="preserve">מיגור עבירות הנשק הלא חוקי מחייב גם פגיעה במוטיבציה הכלכלית שבבסיס עבירות מסוג זה. עבירות הנשק הפכו למקור הכנסה ועל כן יש להשית על עבריין נשק גם קנסות כספיים משמעותיים. הגם שנטען על ידי ההגנה כי הנאשם צעיר ובתחילת דרכו, הרי שלא הוצגו ראיות בדבר מצבו הכלכלי. זאת ועוד, מצבו הכלכלי של נאשם הנו אחד השיקולים, אך לא היחיד, בקביעת גובה הקנס. </w:t>
      </w:r>
    </w:p>
    <w:p w14:paraId="103BD3AE" w14:textId="77777777" w:rsidR="00513F15" w:rsidRDefault="00513F15" w:rsidP="00513F15">
      <w:pPr>
        <w:spacing w:line="360" w:lineRule="auto"/>
        <w:jc w:val="both"/>
        <w:rPr>
          <w:rFonts w:ascii="David" w:hAnsi="David"/>
          <w:rtl/>
        </w:rPr>
      </w:pPr>
    </w:p>
    <w:p w14:paraId="6234716F" w14:textId="77777777" w:rsidR="00513F15" w:rsidRDefault="00513F15" w:rsidP="00513F15">
      <w:pPr>
        <w:spacing w:line="360" w:lineRule="auto"/>
        <w:ind w:left="720" w:hanging="720"/>
        <w:jc w:val="both"/>
        <w:rPr>
          <w:rFonts w:ascii="David" w:hAnsi="David"/>
          <w:rtl/>
        </w:rPr>
      </w:pPr>
      <w:r>
        <w:rPr>
          <w:rFonts w:ascii="David" w:hAnsi="David"/>
          <w:rtl/>
        </w:rPr>
        <w:t>14.</w:t>
      </w:r>
      <w:r>
        <w:rPr>
          <w:rFonts w:ascii="David" w:hAnsi="David"/>
          <w:rtl/>
        </w:rPr>
        <w:tab/>
        <w:t>אשר על כן, הנני גוזר על הנאשם את העונשים הבאים:</w:t>
      </w:r>
    </w:p>
    <w:p w14:paraId="10F09B26" w14:textId="77777777" w:rsidR="00513F15" w:rsidRDefault="00513F15" w:rsidP="00513F15">
      <w:pPr>
        <w:spacing w:line="360" w:lineRule="auto"/>
        <w:ind w:left="720" w:hanging="720"/>
        <w:jc w:val="both"/>
        <w:rPr>
          <w:rFonts w:ascii="David" w:hAnsi="David"/>
          <w:rtl/>
        </w:rPr>
      </w:pPr>
      <w:r>
        <w:rPr>
          <w:rFonts w:ascii="David" w:hAnsi="David"/>
          <w:rtl/>
        </w:rPr>
        <w:tab/>
        <w:t>א.</w:t>
      </w:r>
      <w:r>
        <w:rPr>
          <w:rFonts w:ascii="David" w:hAnsi="David"/>
          <w:rtl/>
        </w:rPr>
        <w:tab/>
        <w:t>24 חודשי מאסר בפועל, בניכוי ימי מעצרו.</w:t>
      </w:r>
    </w:p>
    <w:p w14:paraId="797CC2E3" w14:textId="77777777" w:rsidR="00513F15" w:rsidRDefault="00513F15" w:rsidP="00513F15">
      <w:pPr>
        <w:spacing w:line="360" w:lineRule="auto"/>
        <w:ind w:left="1440" w:hanging="720"/>
        <w:jc w:val="both"/>
        <w:rPr>
          <w:rFonts w:ascii="David" w:hAnsi="David"/>
          <w:rtl/>
        </w:rPr>
      </w:pPr>
      <w:r>
        <w:rPr>
          <w:rFonts w:ascii="David" w:hAnsi="David"/>
          <w:rtl/>
        </w:rPr>
        <w:t>ב.</w:t>
      </w:r>
      <w:r>
        <w:rPr>
          <w:rFonts w:ascii="David" w:hAnsi="David"/>
          <w:rtl/>
        </w:rPr>
        <w:tab/>
        <w:t xml:space="preserve">12 חודשי מאסר על תנאי למשך שלוש שנים מיום שחרורו, שלא יעבור עבירה בנשק לפי </w:t>
      </w:r>
      <w:hyperlink r:id="rId14" w:history="1">
        <w:r w:rsidR="004C325A" w:rsidRPr="004C325A">
          <w:rPr>
            <w:rStyle w:val="Hyperlink"/>
            <w:rFonts w:ascii="David" w:hAnsi="David"/>
            <w:color w:val="0000FF"/>
            <w:rtl/>
          </w:rPr>
          <w:t>סעיף 144</w:t>
        </w:r>
      </w:hyperlink>
      <w:r>
        <w:rPr>
          <w:rFonts w:ascii="David" w:hAnsi="David"/>
          <w:rtl/>
        </w:rPr>
        <w:t xml:space="preserve"> ל</w:t>
      </w:r>
      <w:hyperlink r:id="rId15" w:history="1">
        <w:r w:rsidR="00300573" w:rsidRPr="00300573">
          <w:rPr>
            <w:rFonts w:ascii="David" w:hAnsi="David"/>
            <w:color w:val="0000FF"/>
            <w:u w:val="single"/>
            <w:rtl/>
          </w:rPr>
          <w:t>חוק העונשין</w:t>
        </w:r>
      </w:hyperlink>
      <w:r>
        <w:rPr>
          <w:rFonts w:ascii="David" w:hAnsi="David"/>
          <w:rtl/>
        </w:rPr>
        <w:t>, התשל"ז - 1977 על חלופותיו השונות.</w:t>
      </w:r>
    </w:p>
    <w:p w14:paraId="424D869C" w14:textId="77777777" w:rsidR="00513F15" w:rsidRDefault="00513F15" w:rsidP="00513F15">
      <w:pPr>
        <w:spacing w:line="360" w:lineRule="auto"/>
        <w:ind w:left="1440" w:hanging="720"/>
        <w:jc w:val="both"/>
        <w:rPr>
          <w:rFonts w:ascii="David" w:hAnsi="David"/>
          <w:rtl/>
        </w:rPr>
      </w:pPr>
      <w:r>
        <w:rPr>
          <w:rFonts w:ascii="David" w:hAnsi="David"/>
          <w:rtl/>
        </w:rPr>
        <w:t>ג.</w:t>
      </w:r>
      <w:r>
        <w:rPr>
          <w:rFonts w:ascii="David" w:hAnsi="David"/>
          <w:rtl/>
        </w:rPr>
        <w:tab/>
        <w:t>קנס בסך 7,500 ₪ או 45 ימי מאסר תמורתו. הקנס ישולם לא יאוחר מיום 01.09.24.</w:t>
      </w:r>
    </w:p>
    <w:p w14:paraId="3331EA29" w14:textId="77777777" w:rsidR="00513F15" w:rsidRDefault="00513F15" w:rsidP="00513F15">
      <w:pPr>
        <w:spacing w:line="360" w:lineRule="auto"/>
        <w:ind w:left="1440" w:hanging="720"/>
        <w:jc w:val="both"/>
        <w:rPr>
          <w:rFonts w:ascii="David" w:hAnsi="David"/>
          <w:rtl/>
        </w:rPr>
      </w:pPr>
    </w:p>
    <w:p w14:paraId="1CF0F86B" w14:textId="77777777" w:rsidR="00513F15" w:rsidRDefault="00513F15" w:rsidP="00513F15">
      <w:pPr>
        <w:spacing w:line="360" w:lineRule="auto"/>
        <w:ind w:left="1440" w:hanging="720"/>
        <w:jc w:val="both"/>
        <w:rPr>
          <w:rFonts w:ascii="David" w:hAnsi="David"/>
          <w:rtl/>
        </w:rPr>
      </w:pPr>
    </w:p>
    <w:p w14:paraId="6376EC52" w14:textId="77777777" w:rsidR="00513F15" w:rsidRDefault="00513F15" w:rsidP="00513F15">
      <w:pPr>
        <w:spacing w:line="360" w:lineRule="auto"/>
        <w:ind w:left="1440" w:hanging="720"/>
        <w:jc w:val="both"/>
        <w:rPr>
          <w:rFonts w:ascii="David" w:hAnsi="David"/>
          <w:rtl/>
        </w:rPr>
      </w:pPr>
    </w:p>
    <w:p w14:paraId="6455029E" w14:textId="77777777" w:rsidR="00513F15" w:rsidRDefault="00513F15" w:rsidP="00513F15">
      <w:pPr>
        <w:spacing w:line="360" w:lineRule="auto"/>
        <w:ind w:left="1440" w:hanging="720"/>
        <w:jc w:val="both"/>
        <w:rPr>
          <w:rFonts w:ascii="David" w:hAnsi="David"/>
          <w:rtl/>
        </w:rPr>
      </w:pPr>
    </w:p>
    <w:p w14:paraId="2C5258C4" w14:textId="77777777" w:rsidR="00513F15" w:rsidRDefault="00513F15" w:rsidP="00513F15">
      <w:pPr>
        <w:spacing w:line="360" w:lineRule="auto"/>
        <w:ind w:left="1440" w:hanging="720"/>
        <w:jc w:val="both"/>
        <w:rPr>
          <w:rFonts w:ascii="David" w:hAnsi="David"/>
          <w:rtl/>
        </w:rPr>
      </w:pPr>
    </w:p>
    <w:p w14:paraId="6E242A39" w14:textId="77777777" w:rsidR="00513F15" w:rsidRDefault="00513F15" w:rsidP="00513F15">
      <w:pPr>
        <w:spacing w:line="360" w:lineRule="auto"/>
        <w:ind w:left="1440" w:hanging="720"/>
        <w:jc w:val="both"/>
        <w:rPr>
          <w:rFonts w:ascii="David" w:hAnsi="David"/>
          <w:rtl/>
        </w:rPr>
      </w:pPr>
    </w:p>
    <w:p w14:paraId="7C74B06F" w14:textId="77777777" w:rsidR="00513F15" w:rsidRDefault="00513F15" w:rsidP="00513F15">
      <w:pPr>
        <w:spacing w:line="360" w:lineRule="auto"/>
      </w:pPr>
      <w:r>
        <w:rPr>
          <w:rtl/>
        </w:rPr>
        <w:t xml:space="preserve">לידיעת הנאשם, ניתן יהיה לשלם את </w:t>
      </w:r>
      <w:r>
        <w:rPr>
          <w:rFonts w:hint="cs"/>
          <w:rtl/>
        </w:rPr>
        <w:t>הקנס</w:t>
      </w:r>
      <w:r>
        <w:rPr>
          <w:rtl/>
        </w:rPr>
        <w:t xml:space="preserve"> לחשבון המרכז לגביית קנסות, אגרות והוצאות ברשות האכיפה והגבייה באחת מהדרכים הבאות:</w:t>
      </w:r>
    </w:p>
    <w:p w14:paraId="23A1898A" w14:textId="77777777" w:rsidR="00513F15" w:rsidRDefault="00513F15" w:rsidP="00513F15"/>
    <w:p w14:paraId="07262650" w14:textId="77777777" w:rsidR="00513F15" w:rsidRDefault="00513F15" w:rsidP="00513F15">
      <w:pPr>
        <w:pStyle w:val="a9"/>
        <w:numPr>
          <w:ilvl w:val="0"/>
          <w:numId w:val="1"/>
        </w:numPr>
        <w:rPr>
          <w:rFonts w:ascii="David" w:hAnsi="David"/>
          <w:b/>
          <w:bCs/>
          <w:rtl/>
        </w:rPr>
      </w:pPr>
      <w:r>
        <w:rPr>
          <w:rFonts w:ascii="David" w:hAnsi="David"/>
          <w:b/>
          <w:bCs/>
          <w:rtl/>
        </w:rPr>
        <w:t>בכרטיס אשראי</w:t>
      </w:r>
      <w:r>
        <w:rPr>
          <w:rFonts w:ascii="David" w:hAnsi="David"/>
          <w:rtl/>
        </w:rPr>
        <w:t xml:space="preserve"> – באתר המקוון של רשות האכיפה והגבייה, </w:t>
      </w:r>
      <w:hyperlink r:id="rId16" w:history="1">
        <w:r>
          <w:rPr>
            <w:rStyle w:val="Hyperlink"/>
            <w:rFonts w:ascii="David" w:hAnsi="David"/>
          </w:rPr>
          <w:t>www.eca.gov.il</w:t>
        </w:r>
      </w:hyperlink>
      <w:r>
        <w:rPr>
          <w:rFonts w:ascii="David" w:hAnsi="David"/>
        </w:rPr>
        <w:t xml:space="preserve"> </w:t>
      </w:r>
      <w:r w:rsidR="00300573">
        <w:rPr>
          <w:rFonts w:ascii="David" w:hAnsi="David"/>
          <w:rtl/>
        </w:rPr>
        <w:t xml:space="preserve"> </w:t>
      </w:r>
    </w:p>
    <w:p w14:paraId="5D9880DC" w14:textId="77777777" w:rsidR="00513F15" w:rsidRDefault="00513F15" w:rsidP="00513F15">
      <w:pPr>
        <w:pStyle w:val="a9"/>
        <w:numPr>
          <w:ilvl w:val="0"/>
          <w:numId w:val="1"/>
        </w:numPr>
        <w:rPr>
          <w:rFonts w:ascii="David" w:hAnsi="David"/>
          <w:b/>
          <w:bCs/>
        </w:rPr>
      </w:pPr>
      <w:r>
        <w:rPr>
          <w:rFonts w:ascii="David" w:hAnsi="David"/>
          <w:b/>
          <w:bCs/>
          <w:rtl/>
        </w:rPr>
        <w:t>מוקד שירות טלפוני בשרות עצמי (מרכז גבייה)</w:t>
      </w:r>
      <w:r w:rsidR="00300573">
        <w:rPr>
          <w:rFonts w:ascii="David" w:hAnsi="David"/>
          <w:b/>
          <w:bCs/>
          <w:rtl/>
        </w:rPr>
        <w:t xml:space="preserve"> </w:t>
      </w:r>
      <w:r>
        <w:rPr>
          <w:rFonts w:ascii="David" w:hAnsi="David"/>
          <w:b/>
          <w:bCs/>
          <w:rtl/>
        </w:rPr>
        <w:t xml:space="preserve"> – בטלפון 35592* או בטלפון 073-2055000</w:t>
      </w:r>
    </w:p>
    <w:p w14:paraId="3E9461CC" w14:textId="77777777" w:rsidR="00513F15" w:rsidRDefault="00513F15" w:rsidP="00513F15">
      <w:pPr>
        <w:pStyle w:val="a9"/>
        <w:numPr>
          <w:ilvl w:val="0"/>
          <w:numId w:val="1"/>
        </w:numPr>
        <w:rPr>
          <w:rFonts w:ascii="David" w:hAnsi="David"/>
          <w:b/>
          <w:bCs/>
          <w:rtl/>
        </w:rPr>
      </w:pPr>
      <w:r>
        <w:rPr>
          <w:rFonts w:ascii="David" w:hAnsi="David"/>
          <w:b/>
          <w:bCs/>
          <w:rtl/>
        </w:rPr>
        <w:t>במזומן בכל סניף של בנק הדואר</w:t>
      </w:r>
      <w:r>
        <w:rPr>
          <w:rFonts w:ascii="David" w:hAnsi="David"/>
          <w:rtl/>
        </w:rPr>
        <w:t xml:space="preserve"> – בהצגת תעודת זהות בלבד (אין צורך בשוברי תשלום).</w:t>
      </w:r>
    </w:p>
    <w:p w14:paraId="5D789BD6" w14:textId="77777777" w:rsidR="00513F15" w:rsidRPr="004B03E2" w:rsidRDefault="00513F15" w:rsidP="00513F15"/>
    <w:p w14:paraId="76FF3A94" w14:textId="77777777" w:rsidR="00513F15" w:rsidRPr="00300573" w:rsidRDefault="00300573" w:rsidP="00513F15">
      <w:pPr>
        <w:spacing w:line="360" w:lineRule="auto"/>
        <w:jc w:val="both"/>
        <w:rPr>
          <w:rFonts w:ascii="David" w:hAnsi="David"/>
          <w:color w:val="FFFFFF"/>
          <w:sz w:val="2"/>
          <w:szCs w:val="2"/>
          <w:rtl/>
        </w:rPr>
      </w:pPr>
      <w:r w:rsidRPr="00300573">
        <w:rPr>
          <w:rFonts w:ascii="David" w:hAnsi="David"/>
          <w:color w:val="FFFFFF"/>
          <w:sz w:val="2"/>
          <w:szCs w:val="2"/>
          <w:rtl/>
        </w:rPr>
        <w:t>5129371</w:t>
      </w:r>
    </w:p>
    <w:p w14:paraId="387737CD" w14:textId="77777777" w:rsidR="00513F15" w:rsidRDefault="00300573" w:rsidP="00513F15">
      <w:pPr>
        <w:spacing w:line="360" w:lineRule="auto"/>
        <w:ind w:left="720" w:hanging="720"/>
        <w:jc w:val="both"/>
        <w:rPr>
          <w:rFonts w:ascii="David" w:hAnsi="David"/>
          <w:b/>
          <w:bCs/>
          <w:rtl/>
        </w:rPr>
      </w:pPr>
      <w:r w:rsidRPr="00300573">
        <w:rPr>
          <w:rFonts w:ascii="David" w:hAnsi="David"/>
          <w:b/>
          <w:bCs/>
          <w:color w:val="FFFFFF"/>
          <w:sz w:val="2"/>
          <w:szCs w:val="2"/>
          <w:rtl/>
        </w:rPr>
        <w:t>54678313</w:t>
      </w:r>
      <w:r w:rsidR="00513F15">
        <w:rPr>
          <w:rFonts w:ascii="David" w:hAnsi="David"/>
          <w:b/>
          <w:bCs/>
          <w:rtl/>
        </w:rPr>
        <w:t xml:space="preserve">זכות ערעור תוך 45 ימים לבית המשפט העליון. </w:t>
      </w:r>
    </w:p>
    <w:p w14:paraId="50A48D03" w14:textId="77777777" w:rsidR="00513F15" w:rsidRPr="000F2247" w:rsidRDefault="00513F15" w:rsidP="00513F15">
      <w:pPr>
        <w:rPr>
          <w:rFonts w:ascii="Arial" w:hAnsi="Arial"/>
          <w:b/>
          <w:bCs/>
          <w:sz w:val="26"/>
          <w:szCs w:val="26"/>
          <w:rtl/>
        </w:rPr>
      </w:pPr>
    </w:p>
    <w:p w14:paraId="53C28840" w14:textId="77777777" w:rsidR="00513F15" w:rsidRPr="000F2247" w:rsidRDefault="00300573" w:rsidP="00513F15">
      <w:pPr>
        <w:spacing w:line="360" w:lineRule="auto"/>
        <w:jc w:val="both"/>
        <w:rPr>
          <w:rFonts w:ascii="Arial" w:hAnsi="Arial"/>
          <w:b/>
          <w:bCs/>
          <w:sz w:val="26"/>
          <w:szCs w:val="26"/>
          <w:rtl/>
        </w:rPr>
      </w:pPr>
      <w:bookmarkStart w:id="8" w:name="Nitan"/>
      <w:r>
        <w:rPr>
          <w:rFonts w:ascii="Arial" w:hAnsi="Arial"/>
          <w:b/>
          <w:bCs/>
          <w:sz w:val="26"/>
          <w:szCs w:val="26"/>
          <w:rtl/>
        </w:rPr>
        <w:t xml:space="preserve">ניתן היום,  כ"ג אדר א' תשפ"ד, 03 מרץ 2024, במעמד הצדדים. </w:t>
      </w:r>
      <w:bookmarkEnd w:id="8"/>
      <w:r w:rsidR="00513F15">
        <w:rPr>
          <w:rFonts w:ascii="Arial" w:hAnsi="Arial"/>
          <w:b/>
          <w:bCs/>
          <w:sz w:val="26"/>
          <w:szCs w:val="26"/>
          <w:rtl/>
        </w:rPr>
        <w:tab/>
      </w:r>
      <w:r w:rsidR="00513F15">
        <w:rPr>
          <w:rFonts w:ascii="Arial" w:hAnsi="Arial"/>
          <w:b/>
          <w:bCs/>
          <w:sz w:val="26"/>
          <w:szCs w:val="26"/>
          <w:rtl/>
        </w:rPr>
        <w:tab/>
      </w:r>
      <w:r w:rsidR="00513F15">
        <w:rPr>
          <w:rFonts w:ascii="Arial" w:hAnsi="Arial"/>
          <w:b/>
          <w:bCs/>
          <w:sz w:val="26"/>
          <w:szCs w:val="26"/>
          <w:rtl/>
        </w:rPr>
        <w:tab/>
      </w:r>
      <w:r w:rsidR="00513F15">
        <w:rPr>
          <w:rFonts w:ascii="Arial" w:hAnsi="Arial"/>
          <w:b/>
          <w:bCs/>
          <w:sz w:val="26"/>
          <w:szCs w:val="26"/>
          <w:rtl/>
        </w:rPr>
        <w:tab/>
      </w:r>
      <w:r w:rsidR="00513F15">
        <w:rPr>
          <w:rFonts w:ascii="Arial" w:hAnsi="Arial"/>
          <w:b/>
          <w:bCs/>
          <w:sz w:val="26"/>
          <w:szCs w:val="26"/>
          <w:rtl/>
        </w:rPr>
        <w:tab/>
      </w:r>
      <w:r w:rsidR="00513F15">
        <w:rPr>
          <w:rFonts w:ascii="Arial" w:hAnsi="Arial"/>
          <w:b/>
          <w:bCs/>
          <w:sz w:val="26"/>
          <w:szCs w:val="26"/>
          <w:rtl/>
        </w:rPr>
        <w:tab/>
      </w:r>
      <w:r w:rsidR="00513F15">
        <w:rPr>
          <w:rFonts w:ascii="Arial" w:hAnsi="Arial"/>
          <w:b/>
          <w:bCs/>
          <w:sz w:val="26"/>
          <w:szCs w:val="26"/>
          <w:rtl/>
        </w:rPr>
        <w:tab/>
      </w:r>
      <w:r w:rsidR="00513F15">
        <w:rPr>
          <w:rFonts w:ascii="Arial" w:hAnsi="Arial" w:hint="cs"/>
          <w:b/>
          <w:bCs/>
          <w:sz w:val="26"/>
          <w:szCs w:val="26"/>
          <w:rtl/>
        </w:rPr>
        <w:t xml:space="preserve">         </w:t>
      </w:r>
    </w:p>
    <w:p w14:paraId="68F1E91F" w14:textId="77777777" w:rsidR="00300573" w:rsidRDefault="00300573" w:rsidP="00300573">
      <w:pPr>
        <w:rPr>
          <w:rtl/>
        </w:rPr>
      </w:pPr>
    </w:p>
    <w:p w14:paraId="23893D5B" w14:textId="77777777" w:rsidR="00300573" w:rsidRDefault="00300573" w:rsidP="00300573">
      <w:pPr>
        <w:jc w:val="center"/>
        <w:rPr>
          <w:color w:val="0000FF"/>
          <w:u w:val="single"/>
        </w:rPr>
      </w:pPr>
      <w:hyperlink r:id="rId17" w:history="1">
        <w:r>
          <w:rPr>
            <w:color w:val="0000FF"/>
            <w:u w:val="single"/>
            <w:rtl/>
          </w:rPr>
          <w:t>בעניין עריכה ושינויים במסמכי פסיקה, חקיקה ועוד באתר נבו – הקש כאן</w:t>
        </w:r>
      </w:hyperlink>
    </w:p>
    <w:p w14:paraId="63037F88" w14:textId="77777777" w:rsidR="004C325A" w:rsidRPr="004C325A" w:rsidRDefault="004C325A" w:rsidP="004C325A">
      <w:pPr>
        <w:keepNext/>
        <w:rPr>
          <w:rFonts w:ascii="David" w:hAnsi="David"/>
          <w:color w:val="000000"/>
          <w:sz w:val="22"/>
          <w:szCs w:val="22"/>
          <w:rtl/>
        </w:rPr>
      </w:pPr>
    </w:p>
    <w:p w14:paraId="18407C72" w14:textId="77777777" w:rsidR="004C325A" w:rsidRPr="004C325A" w:rsidRDefault="004C325A" w:rsidP="004C325A">
      <w:pPr>
        <w:keepNext/>
        <w:rPr>
          <w:rFonts w:ascii="David" w:hAnsi="David"/>
          <w:color w:val="000000"/>
          <w:sz w:val="22"/>
          <w:szCs w:val="22"/>
          <w:rtl/>
        </w:rPr>
      </w:pPr>
      <w:r w:rsidRPr="004C325A">
        <w:rPr>
          <w:rFonts w:ascii="David" w:hAnsi="David"/>
          <w:color w:val="000000"/>
          <w:sz w:val="22"/>
          <w:szCs w:val="22"/>
          <w:rtl/>
        </w:rPr>
        <w:t>אלון גביזון 54678313-/</w:t>
      </w:r>
    </w:p>
    <w:p w14:paraId="7CF2D470" w14:textId="77777777" w:rsidR="00300573" w:rsidRPr="00300573" w:rsidRDefault="004C325A" w:rsidP="004C325A">
      <w:pPr>
        <w:rPr>
          <w:color w:val="0000FF"/>
          <w:u w:val="single"/>
        </w:rPr>
      </w:pPr>
      <w:r w:rsidRPr="004C325A">
        <w:rPr>
          <w:color w:val="000000"/>
          <w:u w:val="single"/>
          <w:rtl/>
        </w:rPr>
        <w:t>נוסח מסמך זה כפוף לשינויי ניסוח ועריכה</w:t>
      </w:r>
    </w:p>
    <w:sectPr w:rsidR="00300573" w:rsidRPr="00300573" w:rsidSect="004C325A">
      <w:headerReference w:type="even" r:id="rId18"/>
      <w:headerReference w:type="default" r:id="rId19"/>
      <w:footerReference w:type="even" r:id="rId20"/>
      <w:footerReference w:type="default" r:id="rId21"/>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07655D" w14:textId="77777777" w:rsidR="00125C3F" w:rsidRDefault="00125C3F" w:rsidP="00E766E1">
      <w:r>
        <w:separator/>
      </w:r>
    </w:p>
  </w:endnote>
  <w:endnote w:type="continuationSeparator" w:id="0">
    <w:p w14:paraId="00BB53C5" w14:textId="77777777" w:rsidR="00125C3F" w:rsidRDefault="00125C3F" w:rsidP="00E766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623BA1" w14:textId="77777777" w:rsidR="004C325A" w:rsidRDefault="004C325A" w:rsidP="004C325A">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1F96528D" w14:textId="77777777" w:rsidR="002E4FA0" w:rsidRPr="004C325A" w:rsidRDefault="004C325A" w:rsidP="004C325A">
    <w:pPr>
      <w:pStyle w:val="a5"/>
      <w:pBdr>
        <w:top w:val="single" w:sz="4" w:space="1" w:color="auto"/>
        <w:between w:val="single" w:sz="4" w:space="0" w:color="auto"/>
      </w:pBdr>
      <w:spacing w:after="60"/>
      <w:jc w:val="center"/>
      <w:rPr>
        <w:rFonts w:ascii="FrankRuehl" w:hAnsi="FrankRuehl" w:cs="FrankRuehl"/>
        <w:color w:val="000000"/>
      </w:rPr>
    </w:pPr>
    <w:r w:rsidRPr="004C325A">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BE8510" w14:textId="77777777" w:rsidR="004C325A" w:rsidRDefault="004C325A" w:rsidP="004C325A">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1116DD">
      <w:rPr>
        <w:rFonts w:ascii="FrankRuehl" w:hAnsi="FrankRuehl" w:cs="FrankRuehl"/>
        <w:noProof/>
        <w:rtl/>
      </w:rPr>
      <w:t>1</w:t>
    </w:r>
    <w:r>
      <w:rPr>
        <w:rFonts w:ascii="FrankRuehl" w:hAnsi="FrankRuehl" w:cs="FrankRuehl"/>
        <w:rtl/>
      </w:rPr>
      <w:fldChar w:fldCharType="end"/>
    </w:r>
  </w:p>
  <w:p w14:paraId="4C03AC99" w14:textId="77777777" w:rsidR="002E4FA0" w:rsidRPr="004C325A" w:rsidRDefault="004C325A" w:rsidP="004C325A">
    <w:pPr>
      <w:pStyle w:val="a5"/>
      <w:pBdr>
        <w:top w:val="single" w:sz="4" w:space="1" w:color="auto"/>
        <w:between w:val="single" w:sz="4" w:space="0" w:color="auto"/>
      </w:pBdr>
      <w:spacing w:after="60"/>
      <w:jc w:val="center"/>
      <w:rPr>
        <w:rFonts w:ascii="FrankRuehl" w:hAnsi="FrankRuehl" w:cs="FrankRuehl"/>
        <w:color w:val="000000"/>
      </w:rPr>
    </w:pPr>
    <w:r w:rsidRPr="004C325A">
      <w:rPr>
        <w:rFonts w:ascii="FrankRuehl" w:hAnsi="FrankRuehl" w:cs="FrankRuehl"/>
        <w:color w:val="000000"/>
      </w:rPr>
      <w:pict w14:anchorId="7717627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1F8C8B" w14:textId="77777777" w:rsidR="00125C3F" w:rsidRDefault="00125C3F" w:rsidP="00E766E1">
      <w:r>
        <w:separator/>
      </w:r>
    </w:p>
  </w:footnote>
  <w:footnote w:type="continuationSeparator" w:id="0">
    <w:p w14:paraId="1CF6CCC7" w14:textId="77777777" w:rsidR="00125C3F" w:rsidRDefault="00125C3F" w:rsidP="00E766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A672A1" w14:textId="77777777" w:rsidR="00300573" w:rsidRPr="004C325A" w:rsidRDefault="004C325A" w:rsidP="004C325A">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(ב"ש) 31036-10-23</w:t>
    </w:r>
    <w:r>
      <w:rPr>
        <w:rFonts w:ascii="David" w:hAnsi="David"/>
        <w:color w:val="000000"/>
        <w:sz w:val="22"/>
        <w:szCs w:val="22"/>
        <w:rtl/>
      </w:rPr>
      <w:tab/>
      <w:t xml:space="preserve"> מדינת ישראל נ' מוסא מוחרב</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4F27DF" w14:textId="77777777" w:rsidR="00300573" w:rsidRPr="004C325A" w:rsidRDefault="004C325A" w:rsidP="004C325A">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(ב"ש) 31036-10-23</w:t>
    </w:r>
    <w:r>
      <w:rPr>
        <w:rFonts w:ascii="David" w:hAnsi="David"/>
        <w:color w:val="000000"/>
        <w:sz w:val="22"/>
        <w:szCs w:val="22"/>
        <w:rtl/>
      </w:rPr>
      <w:tab/>
      <w:t xml:space="preserve"> מדינת ישראל נ' מוסא מוחרב</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94639A"/>
    <w:multiLevelType w:val="hybridMultilevel"/>
    <w:tmpl w:val="539CD83A"/>
    <w:lvl w:ilvl="0" w:tplc="B3DC9918">
      <w:start w:val="1"/>
      <w:numFmt w:val="bullet"/>
      <w:lvlText w:val=""/>
      <w:lvlJc w:val="left"/>
      <w:pPr>
        <w:ind w:left="1080" w:hanging="360"/>
      </w:pPr>
      <w:rPr>
        <w:rFonts w:ascii="Symbol" w:hAnsi="Symbol" w:hint="default"/>
      </w:rPr>
    </w:lvl>
    <w:lvl w:ilvl="1" w:tplc="D0AE272C">
      <w:start w:val="1"/>
      <w:numFmt w:val="bullet"/>
      <w:lvlText w:val="o"/>
      <w:lvlJc w:val="left"/>
      <w:pPr>
        <w:ind w:left="1800" w:hanging="360"/>
      </w:pPr>
      <w:rPr>
        <w:rFonts w:ascii="Courier New" w:hAnsi="Courier New" w:cs="Courier New" w:hint="default"/>
      </w:rPr>
    </w:lvl>
    <w:lvl w:ilvl="2" w:tplc="4CE8AFEC">
      <w:start w:val="1"/>
      <w:numFmt w:val="bullet"/>
      <w:lvlText w:val=""/>
      <w:lvlJc w:val="left"/>
      <w:pPr>
        <w:ind w:left="2520" w:hanging="360"/>
      </w:pPr>
      <w:rPr>
        <w:rFonts w:ascii="Wingdings" w:hAnsi="Wingdings" w:hint="default"/>
      </w:rPr>
    </w:lvl>
    <w:lvl w:ilvl="3" w:tplc="66DC63D4">
      <w:start w:val="1"/>
      <w:numFmt w:val="bullet"/>
      <w:lvlText w:val=""/>
      <w:lvlJc w:val="left"/>
      <w:pPr>
        <w:ind w:left="3240" w:hanging="360"/>
      </w:pPr>
      <w:rPr>
        <w:rFonts w:ascii="Symbol" w:hAnsi="Symbol" w:hint="default"/>
      </w:rPr>
    </w:lvl>
    <w:lvl w:ilvl="4" w:tplc="39E8D01E">
      <w:start w:val="1"/>
      <w:numFmt w:val="bullet"/>
      <w:lvlText w:val="o"/>
      <w:lvlJc w:val="left"/>
      <w:pPr>
        <w:ind w:left="3960" w:hanging="360"/>
      </w:pPr>
      <w:rPr>
        <w:rFonts w:ascii="Courier New" w:hAnsi="Courier New" w:cs="Courier New" w:hint="default"/>
      </w:rPr>
    </w:lvl>
    <w:lvl w:ilvl="5" w:tplc="A17A33F8">
      <w:start w:val="1"/>
      <w:numFmt w:val="bullet"/>
      <w:lvlText w:val=""/>
      <w:lvlJc w:val="left"/>
      <w:pPr>
        <w:ind w:left="4680" w:hanging="360"/>
      </w:pPr>
      <w:rPr>
        <w:rFonts w:ascii="Wingdings" w:hAnsi="Wingdings" w:hint="default"/>
      </w:rPr>
    </w:lvl>
    <w:lvl w:ilvl="6" w:tplc="32B25C30">
      <w:start w:val="1"/>
      <w:numFmt w:val="bullet"/>
      <w:lvlText w:val=""/>
      <w:lvlJc w:val="left"/>
      <w:pPr>
        <w:ind w:left="5400" w:hanging="360"/>
      </w:pPr>
      <w:rPr>
        <w:rFonts w:ascii="Symbol" w:hAnsi="Symbol" w:hint="default"/>
      </w:rPr>
    </w:lvl>
    <w:lvl w:ilvl="7" w:tplc="117C14FE">
      <w:start w:val="1"/>
      <w:numFmt w:val="bullet"/>
      <w:lvlText w:val="o"/>
      <w:lvlJc w:val="left"/>
      <w:pPr>
        <w:ind w:left="6120" w:hanging="360"/>
      </w:pPr>
      <w:rPr>
        <w:rFonts w:ascii="Courier New" w:hAnsi="Courier New" w:cs="Courier New" w:hint="default"/>
      </w:rPr>
    </w:lvl>
    <w:lvl w:ilvl="8" w:tplc="A12A52C8">
      <w:start w:val="1"/>
      <w:numFmt w:val="bullet"/>
      <w:lvlText w:val=""/>
      <w:lvlJc w:val="left"/>
      <w:pPr>
        <w:ind w:left="6840" w:hanging="360"/>
      </w:pPr>
      <w:rPr>
        <w:rFonts w:ascii="Wingdings" w:hAnsi="Wingdings" w:hint="default"/>
      </w:rPr>
    </w:lvl>
  </w:abstractNum>
  <w:num w:numId="1" w16cid:durableId="7648073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513F15"/>
    <w:rsid w:val="001116DD"/>
    <w:rsid w:val="00125C3F"/>
    <w:rsid w:val="001B5A3B"/>
    <w:rsid w:val="002E4FA0"/>
    <w:rsid w:val="00300573"/>
    <w:rsid w:val="004C325A"/>
    <w:rsid w:val="00513F15"/>
    <w:rsid w:val="00D121D2"/>
    <w:rsid w:val="00E074D4"/>
    <w:rsid w:val="00E766E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06516CB"/>
  <w15:chartTrackingRefBased/>
  <w15:docId w15:val="{A754D2B0-CD7D-4222-84B9-9C8329A29A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13F15"/>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513F15"/>
    <w:pPr>
      <w:tabs>
        <w:tab w:val="center" w:pos="4153"/>
        <w:tab w:val="right" w:pos="8306"/>
      </w:tabs>
    </w:pPr>
  </w:style>
  <w:style w:type="character" w:customStyle="1" w:styleId="a4">
    <w:name w:val="כותרת עליונה תו"/>
    <w:link w:val="a3"/>
    <w:rsid w:val="00513F15"/>
    <w:rPr>
      <w:rFonts w:ascii="Times New Roman" w:eastAsia="Times New Roman" w:hAnsi="Times New Roman" w:cs="David"/>
      <w:sz w:val="24"/>
      <w:szCs w:val="24"/>
    </w:rPr>
  </w:style>
  <w:style w:type="paragraph" w:styleId="a5">
    <w:name w:val="footer"/>
    <w:basedOn w:val="a"/>
    <w:link w:val="a6"/>
    <w:rsid w:val="00513F15"/>
    <w:pPr>
      <w:tabs>
        <w:tab w:val="center" w:pos="4153"/>
        <w:tab w:val="right" w:pos="8306"/>
      </w:tabs>
    </w:pPr>
  </w:style>
  <w:style w:type="character" w:customStyle="1" w:styleId="a6">
    <w:name w:val="כותרת תחתונה תו"/>
    <w:link w:val="a5"/>
    <w:rsid w:val="00513F15"/>
    <w:rPr>
      <w:rFonts w:ascii="Times New Roman" w:eastAsia="Times New Roman" w:hAnsi="Times New Roman" w:cs="David"/>
      <w:sz w:val="24"/>
      <w:szCs w:val="24"/>
    </w:rPr>
  </w:style>
  <w:style w:type="table" w:styleId="a7">
    <w:name w:val="Table Grid"/>
    <w:basedOn w:val="a1"/>
    <w:rsid w:val="00513F15"/>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513F15"/>
  </w:style>
  <w:style w:type="character" w:styleId="Hyperlink">
    <w:name w:val="Hyperlink"/>
    <w:rsid w:val="00513F15"/>
    <w:rPr>
      <w:color w:val="0563C1"/>
      <w:u w:val="single"/>
    </w:rPr>
  </w:style>
  <w:style w:type="paragraph" w:styleId="a9">
    <w:name w:val="List Paragraph"/>
    <w:basedOn w:val="a"/>
    <w:link w:val="aa"/>
    <w:qFormat/>
    <w:rsid w:val="00513F15"/>
    <w:pPr>
      <w:ind w:left="720"/>
      <w:contextualSpacing/>
    </w:pPr>
  </w:style>
  <w:style w:type="character" w:customStyle="1" w:styleId="aa">
    <w:name w:val="פיסקת רשימה תו"/>
    <w:link w:val="a9"/>
    <w:locked/>
    <w:rsid w:val="00513F15"/>
    <w:rPr>
      <w:rFonts w:ascii="Times New Roman" w:eastAsia="Times New Roman" w:hAnsi="Times New Roman" w:cs="David"/>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144" TargetMode="External"/><Relationship Id="rId13" Type="http://schemas.openxmlformats.org/officeDocument/2006/relationships/hyperlink" Target="http://www.nevo.co.il/case/27925239"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hyperlink" Target="http://www.nevo.co.il/law/70301" TargetMode="External"/><Relationship Id="rId12" Type="http://schemas.openxmlformats.org/officeDocument/2006/relationships/hyperlink" Target="http://www.nevo.co.il/case/25612982" TargetMode="External"/><Relationship Id="rId17" Type="http://schemas.openxmlformats.org/officeDocument/2006/relationships/hyperlink" Target="http://www.nevo.co.il/advertisements/nevo-100.doc" TargetMode="External"/><Relationship Id="rId2" Type="http://schemas.openxmlformats.org/officeDocument/2006/relationships/styles" Target="styles.xml"/><Relationship Id="rId16" Type="http://schemas.openxmlformats.org/officeDocument/2006/relationships/hyperlink" Target="http://www.eca.gov.il"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 TargetMode="External"/><Relationship Id="rId5" Type="http://schemas.openxmlformats.org/officeDocument/2006/relationships/footnotes" Target="footnotes.xml"/><Relationship Id="rId15" Type="http://schemas.openxmlformats.org/officeDocument/2006/relationships/hyperlink" Target="http://www.nevo.co.il/law/70301" TargetMode="External"/><Relationship Id="rId23" Type="http://schemas.openxmlformats.org/officeDocument/2006/relationships/theme" Target="theme/theme1.xml"/><Relationship Id="rId10" Type="http://schemas.openxmlformats.org/officeDocument/2006/relationships/hyperlink" Target="http://www.nevo.co.il/law/70301/144.a" TargetMode="External"/><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www.nevo.co.il/law/70301/144.a" TargetMode="External"/><Relationship Id="rId14" Type="http://schemas.openxmlformats.org/officeDocument/2006/relationships/hyperlink" Target="http://www.nevo.co.il/law/70301/144" TargetMode="Externa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1071</Words>
  <Characters>5357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6416</CharactersWithSpaces>
  <SharedDoc>false</SharedDoc>
  <HLinks>
    <vt:vector size="66" baseType="variant">
      <vt:variant>
        <vt:i4>393283</vt:i4>
      </vt:variant>
      <vt:variant>
        <vt:i4>30</vt:i4>
      </vt:variant>
      <vt:variant>
        <vt:i4>0</vt:i4>
      </vt:variant>
      <vt:variant>
        <vt:i4>5</vt:i4>
      </vt:variant>
      <vt:variant>
        <vt:lpwstr>http://www.nevo.co.il/advertisements/nevo-100.doc</vt:lpwstr>
      </vt:variant>
      <vt:variant>
        <vt:lpwstr/>
      </vt:variant>
      <vt:variant>
        <vt:i4>7864368</vt:i4>
      </vt:variant>
      <vt:variant>
        <vt:i4>27</vt:i4>
      </vt:variant>
      <vt:variant>
        <vt:i4>0</vt:i4>
      </vt:variant>
      <vt:variant>
        <vt:i4>5</vt:i4>
      </vt:variant>
      <vt:variant>
        <vt:lpwstr>http://www.eca.gov.il/</vt:lpwstr>
      </vt:variant>
      <vt:variant>
        <vt:lpwstr/>
      </vt:variant>
      <vt:variant>
        <vt:i4>7995492</vt:i4>
      </vt:variant>
      <vt:variant>
        <vt:i4>24</vt:i4>
      </vt:variant>
      <vt:variant>
        <vt:i4>0</vt:i4>
      </vt:variant>
      <vt:variant>
        <vt:i4>5</vt:i4>
      </vt:variant>
      <vt:variant>
        <vt:lpwstr>http://www.nevo.co.il/law/70301</vt:lpwstr>
      </vt:variant>
      <vt:variant>
        <vt:lpwstr/>
      </vt:variant>
      <vt:variant>
        <vt:i4>6357092</vt:i4>
      </vt:variant>
      <vt:variant>
        <vt:i4>21</vt:i4>
      </vt:variant>
      <vt:variant>
        <vt:i4>0</vt:i4>
      </vt:variant>
      <vt:variant>
        <vt:i4>5</vt:i4>
      </vt:variant>
      <vt:variant>
        <vt:lpwstr>http://www.nevo.co.il/law/70301/144</vt:lpwstr>
      </vt:variant>
      <vt:variant>
        <vt:lpwstr/>
      </vt:variant>
      <vt:variant>
        <vt:i4>3997811</vt:i4>
      </vt:variant>
      <vt:variant>
        <vt:i4>18</vt:i4>
      </vt:variant>
      <vt:variant>
        <vt:i4>0</vt:i4>
      </vt:variant>
      <vt:variant>
        <vt:i4>5</vt:i4>
      </vt:variant>
      <vt:variant>
        <vt:lpwstr>http://www.nevo.co.il/case/27925239</vt:lpwstr>
      </vt:variant>
      <vt:variant>
        <vt:lpwstr/>
      </vt:variant>
      <vt:variant>
        <vt:i4>4063353</vt:i4>
      </vt:variant>
      <vt:variant>
        <vt:i4>15</vt:i4>
      </vt:variant>
      <vt:variant>
        <vt:i4>0</vt:i4>
      </vt:variant>
      <vt:variant>
        <vt:i4>5</vt:i4>
      </vt:variant>
      <vt:variant>
        <vt:lpwstr>http://www.nevo.co.il/case/25612982</vt:lpwstr>
      </vt:variant>
      <vt:variant>
        <vt:lpwstr/>
      </vt:variant>
      <vt:variant>
        <vt:i4>7995492</vt:i4>
      </vt:variant>
      <vt:variant>
        <vt:i4>12</vt:i4>
      </vt:variant>
      <vt:variant>
        <vt:i4>0</vt:i4>
      </vt:variant>
      <vt:variant>
        <vt:i4>5</vt:i4>
      </vt:variant>
      <vt:variant>
        <vt:lpwstr>http://www.nevo.co.il/law/70301</vt:lpwstr>
      </vt:variant>
      <vt:variant>
        <vt:lpwstr/>
      </vt:variant>
      <vt:variant>
        <vt:i4>5177424</vt:i4>
      </vt:variant>
      <vt:variant>
        <vt:i4>9</vt:i4>
      </vt:variant>
      <vt:variant>
        <vt:i4>0</vt:i4>
      </vt:variant>
      <vt:variant>
        <vt:i4>5</vt:i4>
      </vt:variant>
      <vt:variant>
        <vt:lpwstr>http://www.nevo.co.il/law/70301/144.a</vt:lpwstr>
      </vt:variant>
      <vt:variant>
        <vt:lpwstr/>
      </vt:variant>
      <vt:variant>
        <vt:i4>5177424</vt:i4>
      </vt:variant>
      <vt:variant>
        <vt:i4>6</vt:i4>
      </vt:variant>
      <vt:variant>
        <vt:i4>0</vt:i4>
      </vt:variant>
      <vt:variant>
        <vt:i4>5</vt:i4>
      </vt:variant>
      <vt:variant>
        <vt:lpwstr>http://www.nevo.co.il/law/70301/144.a</vt:lpwstr>
      </vt:variant>
      <vt:variant>
        <vt:lpwstr/>
      </vt:variant>
      <vt:variant>
        <vt:i4>6357092</vt:i4>
      </vt:variant>
      <vt:variant>
        <vt:i4>3</vt:i4>
      </vt:variant>
      <vt:variant>
        <vt:i4>0</vt:i4>
      </vt:variant>
      <vt:variant>
        <vt:i4>5</vt:i4>
      </vt:variant>
      <vt:variant>
        <vt:lpwstr>http://www.nevo.co.il/law/70301/144</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2025-01-19T17:06:00Z</dcterms:created>
  <dcterms:modified xsi:type="dcterms:W3CDTF">2025-01-19T17:06:00Z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31036</vt:lpwstr>
  </property>
  <property fmtid="{D5CDD505-2E9C-101B-9397-08002B2CF9AE}" pid="6" name="NEWPARTB">
    <vt:lpwstr>10</vt:lpwstr>
  </property>
  <property fmtid="{D5CDD505-2E9C-101B-9397-08002B2CF9AE}" pid="7" name="NEWPARTC">
    <vt:lpwstr>23</vt:lpwstr>
  </property>
  <property fmtid="{D5CDD505-2E9C-101B-9397-08002B2CF9AE}" pid="8" name="APPELLANT">
    <vt:lpwstr>מדינת ישראל</vt:lpwstr>
  </property>
  <property fmtid="{D5CDD505-2E9C-101B-9397-08002B2CF9AE}" pid="9" name="APPELLEE">
    <vt:lpwstr>מוסא מוחרב</vt:lpwstr>
  </property>
  <property fmtid="{D5CDD505-2E9C-101B-9397-08002B2CF9AE}" pid="10" name="LAWYER">
    <vt:lpwstr>ליבת אביטל אזולאי;אייל אביטל</vt:lpwstr>
  </property>
  <property fmtid="{D5CDD505-2E9C-101B-9397-08002B2CF9AE}" pid="11" name="JUDGE">
    <vt:lpwstr>אלון גביזון</vt:lpwstr>
  </property>
  <property fmtid="{D5CDD505-2E9C-101B-9397-08002B2CF9AE}" pid="12" name="CITY">
    <vt:lpwstr>ב"ש</vt:lpwstr>
  </property>
  <property fmtid="{D5CDD505-2E9C-101B-9397-08002B2CF9AE}" pid="13" name="DATE">
    <vt:lpwstr>20240303</vt:lpwstr>
  </property>
  <property fmtid="{D5CDD505-2E9C-101B-9397-08002B2CF9AE}" pid="14" name="TYPE_N_DATE">
    <vt:lpwstr>39020240303</vt:lpwstr>
  </property>
  <property fmtid="{D5CDD505-2E9C-101B-9397-08002B2CF9AE}" pid="15" name="CASESLISTTMP1">
    <vt:lpwstr>25612982;27925239</vt:lpwstr>
  </property>
  <property fmtid="{D5CDD505-2E9C-101B-9397-08002B2CF9AE}" pid="16" name="WORDNUMPAGES">
    <vt:lpwstr>5</vt:lpwstr>
  </property>
  <property fmtid="{D5CDD505-2E9C-101B-9397-08002B2CF9AE}" pid="17" name="TYPE_ABS_DATE">
    <vt:lpwstr>390020240303</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ISABSTRACT">
    <vt:lpwstr>Y</vt:lpwstr>
  </property>
  <property fmtid="{D5CDD505-2E9C-101B-9397-08002B2CF9AE}" pid="36" name="LAWLISTTMP1">
    <vt:lpwstr>70301/144.a;144</vt:lpwstr>
  </property>
</Properties>
</file>