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20"/>
        <w:gridCol w:w="3659"/>
        <w:gridCol w:w="99"/>
      </w:tblGrid>
      <w:tr w:rsidR="00DD1C3A" w:rsidRPr="007F7F88" w14:paraId="4633A336" w14:textId="77777777" w:rsidTr="00765FB5">
        <w:trPr>
          <w:gridAfter w:val="1"/>
          <w:wAfter w:w="99" w:type="dxa"/>
          <w:trHeight w:hRule="exact" w:val="418"/>
          <w:jc w:val="center"/>
        </w:trPr>
        <w:tc>
          <w:tcPr>
            <w:tcW w:w="8721" w:type="dxa"/>
            <w:gridSpan w:val="4"/>
          </w:tcPr>
          <w:p w14:paraId="18245DEA" w14:textId="77777777" w:rsidR="00DD1C3A" w:rsidRPr="007F7F88" w:rsidRDefault="00DD1C3A" w:rsidP="00142D14">
            <w:pPr>
              <w:pStyle w:val="a3"/>
              <w:jc w:val="center"/>
              <w:rPr>
                <w:rFonts w:ascii="Tahoma" w:hAnsi="Tahoma" w:cs="Tahoma"/>
                <w:color w:val="000080"/>
                <w:rtl/>
              </w:rPr>
            </w:pPr>
            <w:bookmarkStart w:id="0" w:name="LastJudge"/>
            <w:r w:rsidRPr="007F7F88">
              <w:rPr>
                <w:rFonts w:ascii="Tahoma" w:hAnsi="Tahoma" w:cs="Tahoma"/>
                <w:b/>
                <w:bCs/>
                <w:color w:val="000080"/>
                <w:rtl/>
              </w:rPr>
              <w:t>בית המשפט המחוזי מרכז-לוד</w:t>
            </w:r>
          </w:p>
        </w:tc>
      </w:tr>
      <w:tr w:rsidR="00DD1C3A" w:rsidRPr="007F7F88" w14:paraId="3E0BAE17" w14:textId="77777777" w:rsidTr="00765FB5">
        <w:trPr>
          <w:gridAfter w:val="1"/>
          <w:wAfter w:w="99" w:type="dxa"/>
          <w:trHeight w:val="337"/>
          <w:jc w:val="center"/>
        </w:trPr>
        <w:tc>
          <w:tcPr>
            <w:tcW w:w="5062" w:type="dxa"/>
            <w:gridSpan w:val="3"/>
          </w:tcPr>
          <w:p w14:paraId="46093A37" w14:textId="77777777" w:rsidR="00DD1C3A" w:rsidRPr="007F7F88" w:rsidRDefault="00DD1C3A" w:rsidP="00142D14">
            <w:pPr>
              <w:rPr>
                <w:rFonts w:cs="FrankRuehl"/>
                <w:sz w:val="28"/>
                <w:szCs w:val="28"/>
                <w:rtl/>
              </w:rPr>
            </w:pPr>
            <w:r w:rsidRPr="007F7F88">
              <w:rPr>
                <w:rFonts w:cs="FrankRuehl"/>
                <w:sz w:val="28"/>
                <w:szCs w:val="28"/>
                <w:rtl/>
              </w:rPr>
              <w:t>ת"פ</w:t>
            </w:r>
            <w:r w:rsidRPr="007F7F88">
              <w:rPr>
                <w:rFonts w:cs="FrankRuehl" w:hint="cs"/>
                <w:sz w:val="28"/>
                <w:szCs w:val="28"/>
                <w:rtl/>
              </w:rPr>
              <w:t xml:space="preserve"> </w:t>
            </w:r>
            <w:r w:rsidRPr="007F7F88">
              <w:rPr>
                <w:rFonts w:cs="FrankRuehl"/>
                <w:sz w:val="28"/>
                <w:szCs w:val="28"/>
                <w:rtl/>
              </w:rPr>
              <w:t>33318-10-23</w:t>
            </w:r>
            <w:r w:rsidRPr="007F7F88">
              <w:rPr>
                <w:rFonts w:cs="FrankRuehl" w:hint="cs"/>
                <w:sz w:val="28"/>
                <w:szCs w:val="28"/>
                <w:rtl/>
              </w:rPr>
              <w:t xml:space="preserve"> </w:t>
            </w:r>
            <w:r w:rsidRPr="007F7F88">
              <w:rPr>
                <w:rFonts w:cs="FrankRuehl"/>
                <w:sz w:val="28"/>
                <w:szCs w:val="28"/>
                <w:rtl/>
              </w:rPr>
              <w:t>מדינת ישראל נ' נוחימוביץ'(עציר)</w:t>
            </w:r>
          </w:p>
          <w:p w14:paraId="6B0B2386" w14:textId="77777777" w:rsidR="00DD1C3A" w:rsidRPr="007F7F88" w:rsidRDefault="00DD1C3A" w:rsidP="00142D14">
            <w:pPr>
              <w:pStyle w:val="a3"/>
              <w:rPr>
                <w:rFonts w:cs="FrankRuehl"/>
                <w:sz w:val="28"/>
                <w:szCs w:val="28"/>
                <w:rtl/>
              </w:rPr>
            </w:pPr>
          </w:p>
        </w:tc>
        <w:tc>
          <w:tcPr>
            <w:tcW w:w="3659" w:type="dxa"/>
          </w:tcPr>
          <w:p w14:paraId="255EB9D4" w14:textId="77777777" w:rsidR="00DD1C3A" w:rsidRPr="007F7F88" w:rsidRDefault="00DD1C3A" w:rsidP="00142D14">
            <w:pPr>
              <w:pStyle w:val="a3"/>
              <w:jc w:val="right"/>
              <w:rPr>
                <w:rFonts w:cs="FrankRuehl"/>
                <w:sz w:val="28"/>
                <w:szCs w:val="28"/>
                <w:rtl/>
              </w:rPr>
            </w:pPr>
          </w:p>
        </w:tc>
      </w:tr>
      <w:tr w:rsidR="00DD1C3A" w:rsidRPr="007F7F88" w14:paraId="0E6A31E8" w14:textId="77777777" w:rsidTr="00765F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1228B69" w14:textId="77777777" w:rsidR="00DD1C3A" w:rsidRPr="007F7F88" w:rsidRDefault="00DD1C3A" w:rsidP="00DD1C3A">
            <w:pPr>
              <w:jc w:val="both"/>
              <w:rPr>
                <w:rFonts w:ascii="David" w:hAnsi="David"/>
                <w:sz w:val="26"/>
                <w:szCs w:val="26"/>
              </w:rPr>
            </w:pPr>
            <w:r w:rsidRPr="007F7F88">
              <w:rPr>
                <w:rFonts w:hint="cs"/>
                <w:rtl/>
              </w:rPr>
              <w:t xml:space="preserve"> </w:t>
            </w:r>
            <w:r w:rsidRPr="007F7F88">
              <w:rPr>
                <w:rFonts w:ascii="David" w:hAnsi="David" w:hint="cs"/>
                <w:sz w:val="26"/>
                <w:szCs w:val="26"/>
                <w:rtl/>
              </w:rPr>
              <w:t>ל</w:t>
            </w:r>
            <w:r w:rsidRPr="007F7F88">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054B19EF" w14:textId="77777777" w:rsidR="00DD1C3A" w:rsidRPr="007F7F88" w:rsidRDefault="00DD1C3A" w:rsidP="00142D14">
            <w:pPr>
              <w:rPr>
                <w:rFonts w:ascii="David" w:hAnsi="David"/>
                <w:b/>
                <w:bCs/>
                <w:sz w:val="26"/>
                <w:szCs w:val="26"/>
                <w:rtl/>
              </w:rPr>
            </w:pPr>
            <w:r w:rsidRPr="007F7F88">
              <w:rPr>
                <w:rFonts w:ascii="David" w:hAnsi="David"/>
                <w:b/>
                <w:bCs/>
                <w:sz w:val="26"/>
                <w:szCs w:val="26"/>
                <w:rtl/>
              </w:rPr>
              <w:t>כבוד השופטת  מרב גרינברג</w:t>
            </w:r>
          </w:p>
          <w:p w14:paraId="2D2E90AF" w14:textId="77777777" w:rsidR="00DD1C3A" w:rsidRPr="007F7F88" w:rsidRDefault="00DD1C3A" w:rsidP="00142D14">
            <w:pPr>
              <w:rPr>
                <w:rFonts w:ascii="David" w:hAnsi="David"/>
                <w:sz w:val="26"/>
                <w:szCs w:val="26"/>
                <w:rtl/>
              </w:rPr>
            </w:pPr>
          </w:p>
          <w:p w14:paraId="6E715F84" w14:textId="77777777" w:rsidR="00DD1C3A" w:rsidRPr="007F7F88" w:rsidRDefault="00DD1C3A" w:rsidP="00DD1C3A">
            <w:pPr>
              <w:jc w:val="both"/>
              <w:rPr>
                <w:rFonts w:ascii="David" w:hAnsi="David"/>
                <w:sz w:val="26"/>
                <w:szCs w:val="26"/>
              </w:rPr>
            </w:pPr>
          </w:p>
        </w:tc>
      </w:tr>
      <w:tr w:rsidR="00DD1C3A" w:rsidRPr="007F7F88" w14:paraId="67887E8C" w14:textId="77777777" w:rsidTr="00765F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B095AF0" w14:textId="77777777" w:rsidR="00DD1C3A" w:rsidRPr="007F7F88" w:rsidRDefault="00DD1C3A" w:rsidP="00DD1C3A">
            <w:pPr>
              <w:jc w:val="both"/>
              <w:rPr>
                <w:rFonts w:ascii="David" w:hAnsi="David"/>
                <w:sz w:val="26"/>
                <w:szCs w:val="26"/>
              </w:rPr>
            </w:pPr>
            <w:bookmarkStart w:id="1" w:name="FirstAppellant"/>
            <w:r w:rsidRPr="007F7F88">
              <w:rPr>
                <w:rFonts w:ascii="David" w:hAnsi="David"/>
                <w:sz w:val="26"/>
                <w:szCs w:val="26"/>
                <w:rtl/>
              </w:rPr>
              <w:t>בעניין:</w:t>
            </w:r>
          </w:p>
        </w:tc>
        <w:tc>
          <w:tcPr>
            <w:tcW w:w="3219" w:type="dxa"/>
            <w:tcBorders>
              <w:top w:val="nil"/>
              <w:left w:val="nil"/>
              <w:bottom w:val="nil"/>
              <w:right w:val="nil"/>
            </w:tcBorders>
            <w:shd w:val="clear" w:color="auto" w:fill="auto"/>
          </w:tcPr>
          <w:p w14:paraId="50F271DE" w14:textId="77777777" w:rsidR="00DD1C3A" w:rsidRPr="007F7F88" w:rsidRDefault="00DD1C3A" w:rsidP="00DD1C3A">
            <w:pPr>
              <w:suppressLineNumbers/>
            </w:pPr>
            <w:r w:rsidRPr="007F7F88">
              <w:rPr>
                <w:rFonts w:ascii="Arial" w:hAnsi="Arial" w:hint="cs"/>
                <w:b/>
                <w:bCs/>
                <w:sz w:val="26"/>
                <w:szCs w:val="26"/>
                <w:rtl/>
              </w:rPr>
              <w:t>ה</w:t>
            </w:r>
            <w:r w:rsidRPr="007F7F88">
              <w:rPr>
                <w:rFonts w:ascii="Arial" w:hAnsi="Arial"/>
                <w:b/>
                <w:bCs/>
                <w:sz w:val="26"/>
                <w:szCs w:val="26"/>
                <w:rtl/>
              </w:rPr>
              <w:t>מאשימה</w:t>
            </w:r>
          </w:p>
          <w:p w14:paraId="000732D6" w14:textId="77777777" w:rsidR="00DD1C3A" w:rsidRPr="007F7F88" w:rsidRDefault="00DD1C3A" w:rsidP="00142D14">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F35DF69" w14:textId="77777777" w:rsidR="00DD1C3A" w:rsidRPr="007F7F88" w:rsidRDefault="00DD1C3A" w:rsidP="00DD1C3A">
            <w:pPr>
              <w:suppressLineNumbers/>
            </w:pPr>
            <w:r w:rsidRPr="007F7F88">
              <w:rPr>
                <w:rFonts w:ascii="Arial" w:hAnsi="Arial"/>
                <w:b/>
                <w:bCs/>
                <w:sz w:val="26"/>
                <w:szCs w:val="26"/>
                <w:rtl/>
              </w:rPr>
              <w:t>מדינת ישראל</w:t>
            </w:r>
            <w:r w:rsidRPr="007F7F88">
              <w:rPr>
                <w:rFonts w:ascii="Arial" w:hAnsi="Arial" w:hint="cs"/>
                <w:b/>
                <w:bCs/>
                <w:sz w:val="26"/>
                <w:szCs w:val="26"/>
                <w:rtl/>
              </w:rPr>
              <w:t xml:space="preserve"> </w:t>
            </w:r>
          </w:p>
          <w:p w14:paraId="40C8844E" w14:textId="77777777" w:rsidR="00DD1C3A" w:rsidRPr="007F7F88" w:rsidRDefault="00DD1C3A" w:rsidP="00142D14">
            <w:pPr>
              <w:rPr>
                <w:rFonts w:ascii="David" w:hAnsi="David"/>
                <w:sz w:val="26"/>
                <w:szCs w:val="26"/>
              </w:rPr>
            </w:pPr>
          </w:p>
        </w:tc>
      </w:tr>
      <w:bookmarkEnd w:id="1"/>
      <w:tr w:rsidR="00DD1C3A" w:rsidRPr="007F7F88" w14:paraId="6983F2FA" w14:textId="77777777" w:rsidTr="00765F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A6BB55F" w14:textId="77777777" w:rsidR="00DD1C3A" w:rsidRPr="007F7F88" w:rsidRDefault="00DD1C3A" w:rsidP="00DD1C3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119E8AA" w14:textId="77777777" w:rsidR="00DD1C3A" w:rsidRPr="007F7F88" w:rsidRDefault="00DD1C3A" w:rsidP="00DD1C3A">
            <w:pPr>
              <w:jc w:val="center"/>
              <w:rPr>
                <w:rFonts w:ascii="David" w:hAnsi="David"/>
                <w:b/>
                <w:bCs/>
                <w:sz w:val="26"/>
                <w:szCs w:val="26"/>
                <w:rtl/>
              </w:rPr>
            </w:pPr>
          </w:p>
          <w:p w14:paraId="29FF6BA5" w14:textId="77777777" w:rsidR="00DD1C3A" w:rsidRPr="007F7F88" w:rsidRDefault="00DD1C3A" w:rsidP="00DD1C3A">
            <w:pPr>
              <w:jc w:val="center"/>
              <w:rPr>
                <w:rFonts w:ascii="David" w:hAnsi="David"/>
                <w:b/>
                <w:bCs/>
                <w:sz w:val="26"/>
                <w:szCs w:val="26"/>
                <w:rtl/>
              </w:rPr>
            </w:pPr>
            <w:r w:rsidRPr="007F7F88">
              <w:rPr>
                <w:rFonts w:ascii="David" w:hAnsi="David"/>
                <w:b/>
                <w:bCs/>
                <w:sz w:val="26"/>
                <w:szCs w:val="26"/>
                <w:rtl/>
              </w:rPr>
              <w:t>נגד</w:t>
            </w:r>
          </w:p>
          <w:p w14:paraId="46D16106" w14:textId="77777777" w:rsidR="00DD1C3A" w:rsidRPr="007F7F88" w:rsidRDefault="00DD1C3A" w:rsidP="00DD1C3A">
            <w:pPr>
              <w:jc w:val="both"/>
              <w:rPr>
                <w:rFonts w:ascii="David" w:hAnsi="David"/>
                <w:sz w:val="26"/>
                <w:szCs w:val="26"/>
              </w:rPr>
            </w:pPr>
          </w:p>
        </w:tc>
      </w:tr>
      <w:tr w:rsidR="00DD1C3A" w:rsidRPr="007F7F88" w14:paraId="533BD92B" w14:textId="77777777" w:rsidTr="00765F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60D4BD2" w14:textId="77777777" w:rsidR="00DD1C3A" w:rsidRPr="007F7F88" w:rsidRDefault="00DD1C3A" w:rsidP="00142D14">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47227973" w14:textId="77777777" w:rsidR="00DD1C3A" w:rsidRPr="007F7F88" w:rsidRDefault="00DD1C3A" w:rsidP="00142D14">
            <w:pPr>
              <w:rPr>
                <w:rFonts w:ascii="Arial" w:hAnsi="Arial"/>
                <w:b/>
                <w:bCs/>
                <w:sz w:val="26"/>
                <w:szCs w:val="26"/>
                <w:rtl/>
              </w:rPr>
            </w:pPr>
            <w:r w:rsidRPr="007F7F88">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109A1988" w14:textId="77777777" w:rsidR="00DD1C3A" w:rsidRPr="007F7F88" w:rsidRDefault="00DD1C3A" w:rsidP="00DD1C3A">
            <w:pPr>
              <w:suppressLineNumbers/>
            </w:pPr>
            <w:r w:rsidRPr="007F7F88">
              <w:rPr>
                <w:rFonts w:ascii="Arial" w:hAnsi="Arial"/>
                <w:b/>
                <w:bCs/>
                <w:sz w:val="26"/>
                <w:szCs w:val="26"/>
                <w:rtl/>
              </w:rPr>
              <w:t>אלכסיי נוחימוביץ (עציר)</w:t>
            </w:r>
            <w:r w:rsidRPr="007F7F88">
              <w:rPr>
                <w:rFonts w:ascii="Arial" w:hAnsi="Arial" w:hint="cs"/>
                <w:b/>
                <w:bCs/>
                <w:sz w:val="26"/>
                <w:szCs w:val="26"/>
                <w:rtl/>
              </w:rPr>
              <w:t xml:space="preserve"> </w:t>
            </w:r>
            <w:r w:rsidRPr="007F7F88">
              <w:rPr>
                <w:rFonts w:ascii="Arial" w:hAnsi="Arial"/>
                <w:b/>
                <w:bCs/>
                <w:sz w:val="26"/>
                <w:szCs w:val="26"/>
                <w:rtl/>
              </w:rPr>
              <w:t>ע"י ב"כ עוה"ד</w:t>
            </w:r>
            <w:r w:rsidRPr="007F7F88">
              <w:rPr>
                <w:rFonts w:hint="cs"/>
                <w:rtl/>
              </w:rPr>
              <w:t xml:space="preserve"> אבי כהן</w:t>
            </w:r>
          </w:p>
          <w:p w14:paraId="02D22757" w14:textId="77777777" w:rsidR="00DD1C3A" w:rsidRPr="007F7F88" w:rsidRDefault="00DD1C3A" w:rsidP="00142D14">
            <w:pPr>
              <w:rPr>
                <w:rFonts w:ascii="David" w:hAnsi="David"/>
                <w:sz w:val="26"/>
                <w:szCs w:val="26"/>
              </w:rPr>
            </w:pPr>
          </w:p>
        </w:tc>
      </w:tr>
      <w:bookmarkEnd w:id="2"/>
    </w:tbl>
    <w:p w14:paraId="3A07390A" w14:textId="77777777" w:rsidR="007F7F88" w:rsidRPr="007F7F88" w:rsidRDefault="007F7F88" w:rsidP="007F7F88">
      <w:pPr>
        <w:spacing w:before="120" w:after="120" w:line="240" w:lineRule="exact"/>
        <w:ind w:left="283" w:hanging="283"/>
        <w:jc w:val="both"/>
        <w:rPr>
          <w:rFonts w:ascii="FrankRuehl" w:hAnsi="FrankRuehl" w:cs="FrankRuehl"/>
          <w:rtl/>
        </w:rPr>
      </w:pPr>
    </w:p>
    <w:p w14:paraId="42240D20" w14:textId="77777777" w:rsidR="007F7F88" w:rsidRPr="007F7F88" w:rsidRDefault="007F7F88" w:rsidP="007F7F88">
      <w:pPr>
        <w:rPr>
          <w:sz w:val="26"/>
          <w:szCs w:val="26"/>
          <w:rtl/>
        </w:rPr>
      </w:pPr>
    </w:p>
    <w:p w14:paraId="7C184BF4" w14:textId="77777777" w:rsidR="00765FB5" w:rsidRPr="00765FB5" w:rsidRDefault="00765FB5" w:rsidP="00765FB5">
      <w:pPr>
        <w:spacing w:before="120" w:after="120" w:line="240" w:lineRule="exact"/>
        <w:ind w:left="283" w:hanging="283"/>
        <w:jc w:val="both"/>
        <w:rPr>
          <w:rFonts w:ascii="FrankRuehl" w:hAnsi="FrankRuehl" w:cs="FrankRuehl"/>
          <w:rtl/>
        </w:rPr>
      </w:pPr>
      <w:bookmarkStart w:id="3" w:name="LawTable"/>
      <w:bookmarkEnd w:id="3"/>
    </w:p>
    <w:p w14:paraId="4B26CCD8" w14:textId="77777777" w:rsidR="00765FB5" w:rsidRPr="00765FB5" w:rsidRDefault="00765FB5" w:rsidP="00765FB5">
      <w:pPr>
        <w:spacing w:before="120" w:after="120" w:line="240" w:lineRule="exact"/>
        <w:ind w:left="283" w:hanging="283"/>
        <w:jc w:val="both"/>
        <w:rPr>
          <w:rFonts w:ascii="FrankRuehl" w:hAnsi="FrankRuehl" w:cs="FrankRuehl"/>
          <w:rtl/>
        </w:rPr>
      </w:pPr>
      <w:r w:rsidRPr="00765FB5">
        <w:rPr>
          <w:rFonts w:ascii="FrankRuehl" w:hAnsi="FrankRuehl" w:cs="FrankRuehl"/>
          <w:rtl/>
        </w:rPr>
        <w:t xml:space="preserve">חקיקה שאוזכרה: </w:t>
      </w:r>
    </w:p>
    <w:p w14:paraId="2A8D6864" w14:textId="77777777" w:rsidR="00765FB5" w:rsidRPr="00765FB5" w:rsidRDefault="00765FB5" w:rsidP="00765FB5">
      <w:pPr>
        <w:spacing w:before="120" w:after="120" w:line="240" w:lineRule="exact"/>
        <w:ind w:left="283" w:hanging="283"/>
        <w:jc w:val="both"/>
        <w:rPr>
          <w:rFonts w:ascii="FrankRuehl" w:hAnsi="FrankRuehl" w:cs="FrankRuehl"/>
          <w:color w:val="0000FF"/>
          <w:rtl/>
        </w:rPr>
      </w:pPr>
      <w:hyperlink r:id="rId7" w:history="1">
        <w:r w:rsidRPr="00765FB5">
          <w:rPr>
            <w:rStyle w:val="Hyperlink"/>
            <w:rFonts w:ascii="FrankRuehl" w:hAnsi="FrankRuehl" w:cs="FrankRuehl"/>
            <w:u w:val="none"/>
            <w:rtl/>
          </w:rPr>
          <w:t>חוק העונשין, תשל"ז-1977</w:t>
        </w:r>
      </w:hyperlink>
      <w:r w:rsidRPr="00765FB5">
        <w:rPr>
          <w:rFonts w:ascii="FrankRuehl" w:hAnsi="FrankRuehl" w:cs="FrankRuehl"/>
          <w:color w:val="0000FF"/>
          <w:rtl/>
        </w:rPr>
        <w:t xml:space="preserve">: סע'  </w:t>
      </w:r>
      <w:hyperlink r:id="rId8" w:history="1">
        <w:r w:rsidRPr="00765FB5">
          <w:rPr>
            <w:rStyle w:val="Hyperlink"/>
            <w:rFonts w:ascii="FrankRuehl" w:hAnsi="FrankRuehl" w:cs="FrankRuehl"/>
            <w:u w:val="none"/>
          </w:rPr>
          <w:t>140</w:t>
        </w:r>
      </w:hyperlink>
      <w:r w:rsidRPr="00765FB5">
        <w:rPr>
          <w:rFonts w:ascii="FrankRuehl" w:hAnsi="FrankRuehl" w:cs="FrankRuehl"/>
          <w:color w:val="0000FF"/>
          <w:rtl/>
        </w:rPr>
        <w:t xml:space="preserve">, </w:t>
      </w:r>
      <w:hyperlink r:id="rId9" w:history="1">
        <w:r w:rsidRPr="00765FB5">
          <w:rPr>
            <w:rStyle w:val="Hyperlink"/>
            <w:rFonts w:ascii="FrankRuehl" w:hAnsi="FrankRuehl" w:cs="FrankRuehl"/>
            <w:u w:val="none"/>
          </w:rPr>
          <w:t>144</w:t>
        </w:r>
      </w:hyperlink>
      <w:r w:rsidRPr="00765FB5">
        <w:rPr>
          <w:rFonts w:ascii="FrankRuehl" w:hAnsi="FrankRuehl" w:cs="FrankRuehl"/>
          <w:color w:val="0000FF"/>
          <w:rtl/>
        </w:rPr>
        <w:t xml:space="preserve">(א), </w:t>
      </w:r>
      <w:hyperlink r:id="rId10" w:history="1">
        <w:r w:rsidRPr="00765FB5">
          <w:rPr>
            <w:rStyle w:val="Hyperlink"/>
            <w:rFonts w:ascii="FrankRuehl" w:hAnsi="FrankRuehl" w:cs="FrankRuehl"/>
            <w:u w:val="none"/>
          </w:rPr>
          <w:t>144</w:t>
        </w:r>
      </w:hyperlink>
      <w:r w:rsidRPr="00765FB5">
        <w:rPr>
          <w:rFonts w:ascii="FrankRuehl" w:hAnsi="FrankRuehl" w:cs="FrankRuehl"/>
          <w:color w:val="0000FF"/>
          <w:rtl/>
        </w:rPr>
        <w:t xml:space="preserve">(ב), </w:t>
      </w:r>
      <w:hyperlink r:id="rId11" w:history="1">
        <w:r w:rsidRPr="00765FB5">
          <w:rPr>
            <w:rStyle w:val="Hyperlink"/>
            <w:rFonts w:ascii="FrankRuehl" w:hAnsi="FrankRuehl" w:cs="FrankRuehl"/>
            <w:u w:val="none"/>
          </w:rPr>
          <w:t>144</w:t>
        </w:r>
      </w:hyperlink>
      <w:r w:rsidRPr="00765FB5">
        <w:rPr>
          <w:rFonts w:ascii="FrankRuehl" w:hAnsi="FrankRuehl" w:cs="FrankRuehl"/>
          <w:color w:val="0000FF"/>
          <w:rtl/>
        </w:rPr>
        <w:t xml:space="preserve">(ב2), </w:t>
      </w:r>
      <w:hyperlink r:id="rId12" w:history="1">
        <w:r w:rsidRPr="00765FB5">
          <w:rPr>
            <w:rStyle w:val="Hyperlink"/>
            <w:rFonts w:ascii="FrankRuehl" w:hAnsi="FrankRuehl" w:cs="FrankRuehl"/>
            <w:u w:val="none"/>
          </w:rPr>
          <w:t>340</w:t>
        </w:r>
      </w:hyperlink>
      <w:r w:rsidRPr="00765FB5">
        <w:rPr>
          <w:rFonts w:ascii="FrankRuehl" w:hAnsi="FrankRuehl" w:cs="FrankRuehl"/>
          <w:color w:val="0000FF"/>
          <w:rtl/>
        </w:rPr>
        <w:t>(א)</w:t>
      </w:r>
    </w:p>
    <w:p w14:paraId="0DEA89B7" w14:textId="77777777" w:rsidR="00DD1C3A" w:rsidRDefault="00DD1C3A" w:rsidP="00765FB5">
      <w:pPr>
        <w:rPr>
          <w:rFonts w:hint="cs"/>
          <w:sz w:val="26"/>
          <w:szCs w:val="26"/>
          <w:rtl/>
        </w:rPr>
      </w:pPr>
      <w:bookmarkStart w:id="4" w:name="LawTable_End"/>
      <w:bookmarkEnd w:id="4"/>
    </w:p>
    <w:p w14:paraId="79B1EC98" w14:textId="77777777" w:rsidR="00765FB5" w:rsidRDefault="00765FB5" w:rsidP="00765FB5">
      <w:pPr>
        <w:rPr>
          <w:rFonts w:hint="cs"/>
          <w:sz w:val="26"/>
          <w:szCs w:val="26"/>
          <w:rtl/>
        </w:rPr>
      </w:pPr>
    </w:p>
    <w:p w14:paraId="39CE8F7C" w14:textId="77777777" w:rsidR="00765FB5" w:rsidRDefault="00765FB5" w:rsidP="00765FB5">
      <w:pPr>
        <w:rPr>
          <w:rFonts w:hint="cs"/>
          <w:sz w:val="26"/>
          <w:szCs w:val="26"/>
          <w:rtl/>
        </w:rPr>
      </w:pPr>
    </w:p>
    <w:p w14:paraId="44636316" w14:textId="77777777" w:rsidR="00765FB5" w:rsidRPr="00765FB5" w:rsidRDefault="00765FB5" w:rsidP="00765FB5">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D1C3A" w14:paraId="57758047" w14:textId="77777777" w:rsidTr="00DD1C3A">
        <w:trPr>
          <w:trHeight w:val="355"/>
          <w:jc w:val="center"/>
        </w:trPr>
        <w:tc>
          <w:tcPr>
            <w:tcW w:w="8820" w:type="dxa"/>
            <w:tcBorders>
              <w:top w:val="nil"/>
              <w:left w:val="nil"/>
              <w:bottom w:val="nil"/>
              <w:right w:val="nil"/>
            </w:tcBorders>
            <w:shd w:val="clear" w:color="auto" w:fill="auto"/>
          </w:tcPr>
          <w:p w14:paraId="33DD1112" w14:textId="77777777" w:rsidR="007F7F88" w:rsidRPr="007F7F88" w:rsidRDefault="007F7F88" w:rsidP="007F7F88">
            <w:pPr>
              <w:jc w:val="center"/>
              <w:rPr>
                <w:rFonts w:ascii="David" w:hAnsi="David"/>
                <w:b/>
                <w:bCs/>
                <w:sz w:val="32"/>
                <w:szCs w:val="32"/>
                <w:u w:val="single"/>
                <w:rtl/>
              </w:rPr>
            </w:pPr>
            <w:bookmarkStart w:id="5" w:name="PsakDin" w:colFirst="0" w:colLast="0"/>
            <w:bookmarkEnd w:id="0"/>
            <w:r w:rsidRPr="007F7F88">
              <w:rPr>
                <w:rFonts w:ascii="David" w:hAnsi="David"/>
                <w:b/>
                <w:bCs/>
                <w:sz w:val="32"/>
                <w:szCs w:val="32"/>
                <w:u w:val="single"/>
                <w:rtl/>
              </w:rPr>
              <w:t>גזר דין</w:t>
            </w:r>
          </w:p>
          <w:p w14:paraId="42E49D5B" w14:textId="77777777" w:rsidR="00DD1C3A" w:rsidRPr="007F7F88" w:rsidRDefault="00DD1C3A" w:rsidP="007F7F88">
            <w:pPr>
              <w:jc w:val="center"/>
              <w:rPr>
                <w:rFonts w:ascii="David" w:hAnsi="David"/>
                <w:bCs/>
                <w:sz w:val="32"/>
                <w:szCs w:val="32"/>
                <w:u w:val="single"/>
                <w:rtl/>
              </w:rPr>
            </w:pPr>
          </w:p>
        </w:tc>
      </w:tr>
      <w:bookmarkEnd w:id="5"/>
    </w:tbl>
    <w:p w14:paraId="51C703ED" w14:textId="77777777" w:rsidR="00DD1C3A" w:rsidRPr="000F2247" w:rsidRDefault="00DD1C3A" w:rsidP="00DD1C3A">
      <w:pPr>
        <w:rPr>
          <w:rFonts w:ascii="Arial" w:hAnsi="Arial"/>
          <w:b/>
          <w:bCs/>
          <w:sz w:val="26"/>
          <w:szCs w:val="26"/>
          <w:rtl/>
        </w:rPr>
      </w:pPr>
    </w:p>
    <w:p w14:paraId="5AEE76A9" w14:textId="77777777" w:rsidR="00DD1C3A" w:rsidRPr="000F2247" w:rsidRDefault="00DD1C3A" w:rsidP="00DD1C3A">
      <w:pPr>
        <w:rPr>
          <w:rFonts w:ascii="Arial" w:hAnsi="Arial"/>
          <w:b/>
          <w:bCs/>
          <w:sz w:val="26"/>
          <w:szCs w:val="26"/>
          <w:rtl/>
        </w:rPr>
      </w:pPr>
    </w:p>
    <w:p w14:paraId="094B09E3" w14:textId="77777777" w:rsidR="00DD1C3A" w:rsidRDefault="00DD1C3A" w:rsidP="00DD1C3A">
      <w:pPr>
        <w:numPr>
          <w:ilvl w:val="0"/>
          <w:numId w:val="1"/>
        </w:numPr>
        <w:spacing w:after="160" w:line="360" w:lineRule="auto"/>
        <w:contextualSpacing/>
        <w:jc w:val="both"/>
        <w:rPr>
          <w:rtl/>
        </w:rPr>
      </w:pPr>
      <w:bookmarkStart w:id="6" w:name="ABSTRACT_START"/>
      <w:bookmarkEnd w:id="6"/>
      <w:r>
        <w:rPr>
          <w:rFonts w:hint="cs"/>
          <w:rtl/>
        </w:rPr>
        <w:t xml:space="preserve">הנאשם הורשע במסגרת הסדר דיוני בכתב אישום מתוקן </w:t>
      </w:r>
      <w:r>
        <w:rPr>
          <w:rFonts w:hint="cs"/>
          <w:u w:val="single"/>
          <w:rtl/>
        </w:rPr>
        <w:t>בריבוי עבירות של</w:t>
      </w:r>
      <w:r>
        <w:rPr>
          <w:rFonts w:hint="cs"/>
          <w:rtl/>
        </w:rPr>
        <w:t xml:space="preserve"> </w:t>
      </w:r>
      <w:r>
        <w:rPr>
          <w:rFonts w:hint="cs"/>
          <w:u w:val="single"/>
          <w:rtl/>
        </w:rPr>
        <w:t xml:space="preserve">ייצור נשק </w:t>
      </w:r>
      <w:r>
        <w:rPr>
          <w:rFonts w:hint="cs"/>
          <w:rtl/>
        </w:rPr>
        <w:t xml:space="preserve">לפי </w:t>
      </w:r>
      <w:hyperlink r:id="rId13" w:history="1">
        <w:r w:rsidR="00765FB5" w:rsidRPr="00765FB5">
          <w:rPr>
            <w:rStyle w:val="Hyperlink"/>
            <w:rFonts w:hint="eastAsia"/>
            <w:color w:val="0000FF"/>
            <w:rtl/>
          </w:rPr>
          <w:t>סעיף</w:t>
        </w:r>
        <w:r w:rsidR="00765FB5" w:rsidRPr="00765FB5">
          <w:rPr>
            <w:rStyle w:val="Hyperlink"/>
            <w:color w:val="0000FF"/>
            <w:rtl/>
          </w:rPr>
          <w:t xml:space="preserve"> 144(ב2)</w:t>
        </w:r>
      </w:hyperlink>
      <w:r>
        <w:rPr>
          <w:rFonts w:hint="cs"/>
          <w:rtl/>
        </w:rPr>
        <w:t xml:space="preserve"> ל</w:t>
      </w:r>
      <w:hyperlink r:id="rId14" w:history="1">
        <w:r w:rsidR="007F7F88" w:rsidRPr="007F7F88">
          <w:rPr>
            <w:color w:val="0000FF"/>
            <w:u w:val="single"/>
            <w:rtl/>
          </w:rPr>
          <w:t>חוק העונשין</w:t>
        </w:r>
      </w:hyperlink>
      <w:r>
        <w:rPr>
          <w:rFonts w:hint="cs"/>
          <w:rtl/>
        </w:rPr>
        <w:t xml:space="preserve">, תשל"ז-1977 (להלן-החוק); </w:t>
      </w:r>
      <w:r>
        <w:rPr>
          <w:rFonts w:hint="cs"/>
          <w:u w:val="single"/>
          <w:rtl/>
        </w:rPr>
        <w:t>ריבוי עבירות נשיאת נשק</w:t>
      </w:r>
      <w:r>
        <w:rPr>
          <w:rFonts w:hint="cs"/>
          <w:rtl/>
        </w:rPr>
        <w:t xml:space="preserve"> לפי </w:t>
      </w:r>
      <w:hyperlink r:id="rId15" w:history="1">
        <w:r w:rsidR="00765FB5" w:rsidRPr="00765FB5">
          <w:rPr>
            <w:rStyle w:val="Hyperlink"/>
            <w:rFonts w:hint="eastAsia"/>
            <w:color w:val="0000FF"/>
            <w:rtl/>
          </w:rPr>
          <w:t>סעיף</w:t>
        </w:r>
        <w:r w:rsidR="00765FB5" w:rsidRPr="00765FB5">
          <w:rPr>
            <w:rStyle w:val="Hyperlink"/>
            <w:color w:val="0000FF"/>
            <w:rtl/>
          </w:rPr>
          <w:t xml:space="preserve"> 144(ב)</w:t>
        </w:r>
      </w:hyperlink>
      <w:r>
        <w:rPr>
          <w:rFonts w:hint="cs"/>
          <w:rtl/>
        </w:rPr>
        <w:t xml:space="preserve"> לחוק; </w:t>
      </w:r>
      <w:r>
        <w:rPr>
          <w:rFonts w:hint="cs"/>
          <w:u w:val="single"/>
          <w:rtl/>
        </w:rPr>
        <w:t>ריבוי עבירות</w:t>
      </w:r>
      <w:r>
        <w:rPr>
          <w:rFonts w:hint="cs"/>
          <w:rtl/>
        </w:rPr>
        <w:t xml:space="preserve"> </w:t>
      </w:r>
      <w:r>
        <w:rPr>
          <w:rFonts w:hint="cs"/>
          <w:u w:val="single"/>
          <w:rtl/>
        </w:rPr>
        <w:t>החזקת נשק</w:t>
      </w:r>
      <w:r>
        <w:rPr>
          <w:rFonts w:hint="cs"/>
          <w:rtl/>
        </w:rPr>
        <w:t xml:space="preserve"> לפי </w:t>
      </w:r>
      <w:hyperlink r:id="rId16" w:history="1">
        <w:r w:rsidR="00765FB5" w:rsidRPr="00765FB5">
          <w:rPr>
            <w:rStyle w:val="Hyperlink"/>
            <w:rFonts w:hint="eastAsia"/>
            <w:color w:val="0000FF"/>
            <w:rtl/>
          </w:rPr>
          <w:t>סעיף</w:t>
        </w:r>
        <w:r w:rsidR="00765FB5" w:rsidRPr="00765FB5">
          <w:rPr>
            <w:rStyle w:val="Hyperlink"/>
            <w:color w:val="0000FF"/>
            <w:rtl/>
          </w:rPr>
          <w:t xml:space="preserve"> 144(א)</w:t>
        </w:r>
      </w:hyperlink>
      <w:r>
        <w:rPr>
          <w:rFonts w:hint="cs"/>
          <w:rtl/>
        </w:rPr>
        <w:t xml:space="preserve"> רישא; </w:t>
      </w:r>
      <w:r>
        <w:rPr>
          <w:rFonts w:hint="cs"/>
          <w:u w:val="single"/>
          <w:rtl/>
        </w:rPr>
        <w:t>ריבוי עבירות החזקת אביזר נשק ותחמושת</w:t>
      </w:r>
      <w:r>
        <w:rPr>
          <w:rFonts w:hint="cs"/>
          <w:rtl/>
        </w:rPr>
        <w:t xml:space="preserve"> לפי </w:t>
      </w:r>
      <w:hyperlink r:id="rId17" w:history="1">
        <w:r w:rsidR="00765FB5" w:rsidRPr="00765FB5">
          <w:rPr>
            <w:rStyle w:val="Hyperlink"/>
            <w:rFonts w:hint="eastAsia"/>
            <w:color w:val="0000FF"/>
            <w:rtl/>
          </w:rPr>
          <w:t>סעיף</w:t>
        </w:r>
        <w:r w:rsidR="00765FB5" w:rsidRPr="00765FB5">
          <w:rPr>
            <w:rStyle w:val="Hyperlink"/>
            <w:color w:val="0000FF"/>
            <w:rtl/>
          </w:rPr>
          <w:t xml:space="preserve"> 144(א)</w:t>
        </w:r>
      </w:hyperlink>
      <w:r>
        <w:rPr>
          <w:rFonts w:hint="cs"/>
          <w:rtl/>
        </w:rPr>
        <w:t xml:space="preserve"> סיפא לחוק </w:t>
      </w:r>
      <w:r>
        <w:rPr>
          <w:rFonts w:hint="cs"/>
          <w:u w:val="single"/>
          <w:rtl/>
        </w:rPr>
        <w:t>וירי מנשק חם</w:t>
      </w:r>
      <w:r>
        <w:rPr>
          <w:rFonts w:hint="cs"/>
          <w:rtl/>
        </w:rPr>
        <w:t xml:space="preserve">- עבירה לפי </w:t>
      </w:r>
      <w:hyperlink r:id="rId18" w:history="1">
        <w:r w:rsidR="00765FB5" w:rsidRPr="00765FB5">
          <w:rPr>
            <w:rStyle w:val="Hyperlink"/>
            <w:rFonts w:hint="eastAsia"/>
            <w:color w:val="0000FF"/>
            <w:rtl/>
          </w:rPr>
          <w:t>סעיף</w:t>
        </w:r>
        <w:r w:rsidR="00765FB5" w:rsidRPr="00765FB5">
          <w:rPr>
            <w:rStyle w:val="Hyperlink"/>
            <w:color w:val="0000FF"/>
            <w:rtl/>
          </w:rPr>
          <w:t xml:space="preserve"> 340(א)</w:t>
        </w:r>
      </w:hyperlink>
      <w:r>
        <w:rPr>
          <w:rFonts w:hint="cs"/>
          <w:rtl/>
        </w:rPr>
        <w:t xml:space="preserve"> לחוק. </w:t>
      </w:r>
    </w:p>
    <w:p w14:paraId="1EC710CD" w14:textId="77777777" w:rsidR="00DD1C3A" w:rsidRDefault="00DD1C3A" w:rsidP="00DD1C3A">
      <w:pPr>
        <w:spacing w:after="160" w:line="360" w:lineRule="auto"/>
        <w:ind w:left="720"/>
        <w:contextualSpacing/>
        <w:jc w:val="both"/>
      </w:pPr>
      <w:bookmarkStart w:id="7" w:name="ABSTRACT_END"/>
      <w:bookmarkEnd w:id="7"/>
    </w:p>
    <w:p w14:paraId="55DC38F3" w14:textId="77777777" w:rsidR="00DD1C3A" w:rsidRDefault="00DD1C3A" w:rsidP="00DD1C3A">
      <w:pPr>
        <w:numPr>
          <w:ilvl w:val="0"/>
          <w:numId w:val="1"/>
        </w:numPr>
        <w:spacing w:after="160" w:line="360" w:lineRule="auto"/>
        <w:contextualSpacing/>
        <w:jc w:val="both"/>
        <w:rPr>
          <w:rtl/>
        </w:rPr>
      </w:pPr>
      <w:r>
        <w:rPr>
          <w:rFonts w:hint="cs"/>
          <w:rtl/>
        </w:rPr>
        <w:t xml:space="preserve">כמתואר בכתב האישום המתוקן, הנאשם שכר מסגרייה ביישוב כפר קאסם במשך כ-5 שנים החל משנת 2018 ועד שנעצר, חודש אוקטובר 2023. במועד שאינו ידוע למאשימה גמלה בליבו של הנאשם ההחלטה לייצר כלי נשק, במהלך תקופה שמשכה אינה ידוע ייצר במסגרייה ומחוצה לה כלי נשק במספר שאינו ידוע במדויק למאשימה. במהלך התקופה אסף כדורים ותרמילים, ייצר מחסניות ותרמילים והחזיק את התחמושת כולה במסגרייה. כמו כן, לאורך התקופה לרבות בין החודשים אוגוסט-ספטמבר 2023 ירה בכלי הנשק במסגרייה כ-150 כדורים, לכיוון בול עץ בתוך מכולה. </w:t>
      </w:r>
    </w:p>
    <w:p w14:paraId="7C81B01E" w14:textId="77777777" w:rsidR="00DD1C3A" w:rsidRDefault="00DD1C3A" w:rsidP="00DD1C3A">
      <w:pPr>
        <w:pStyle w:val="aa"/>
      </w:pPr>
    </w:p>
    <w:p w14:paraId="164E7A0B" w14:textId="77777777" w:rsidR="00DD1C3A" w:rsidRDefault="00DD1C3A" w:rsidP="00DD1C3A">
      <w:pPr>
        <w:spacing w:after="160" w:line="360" w:lineRule="auto"/>
        <w:ind w:left="720"/>
        <w:contextualSpacing/>
        <w:jc w:val="both"/>
        <w:rPr>
          <w:rtl/>
        </w:rPr>
      </w:pPr>
      <w:r>
        <w:rPr>
          <w:rFonts w:hint="cs"/>
          <w:rtl/>
        </w:rPr>
        <w:t>במועד שאינו ידוע למאשימה בסמוך ליום 6.10.23 ביקש הנאשם מבעל מפעל מחרטות  בכניסה ליישוב ברקן להניח במקום ציוד למשך מספר ימים וזה הסכים. ביום 6.10.23 הגיע הנאשם למפעל והביא עימו את כלי הנשק אותם ייצר, כדלקמן:</w:t>
      </w:r>
    </w:p>
    <w:p w14:paraId="5BACB74F" w14:textId="77777777" w:rsidR="00DD1C3A" w:rsidRDefault="00DD1C3A" w:rsidP="00DD1C3A">
      <w:pPr>
        <w:pStyle w:val="aa"/>
        <w:numPr>
          <w:ilvl w:val="0"/>
          <w:numId w:val="2"/>
        </w:numPr>
        <w:spacing w:after="160" w:line="360" w:lineRule="auto"/>
        <w:jc w:val="both"/>
        <w:rPr>
          <w:rtl/>
        </w:rPr>
      </w:pPr>
      <w:r>
        <w:rPr>
          <w:rFonts w:hint="cs"/>
          <w:rtl/>
        </w:rPr>
        <w:t>"</w:t>
      </w:r>
      <w:r>
        <w:rPr>
          <w:rFonts w:hint="cs"/>
          <w:b/>
          <w:bCs/>
          <w:rtl/>
        </w:rPr>
        <w:t>הרובה הראשון"</w:t>
      </w:r>
      <w:r>
        <w:rPr>
          <w:rFonts w:hint="cs"/>
          <w:rtl/>
        </w:rPr>
        <w:t xml:space="preserve"> -כלי נשק דמוי רובה בריחי מאולתר המתאים לתחמושת בקליבר 7.62</w:t>
      </w:r>
      <w:r>
        <w:t>X</w:t>
      </w:r>
      <w:r>
        <w:rPr>
          <w:rFonts w:hint="cs"/>
          <w:rtl/>
        </w:rPr>
        <w:t xml:space="preserve"> 51 שסוגל לירות ובכוחו להמית אדם, הנאשם התקין על הרובה כוונת אופטית וצירף מחסנית מאולתרת תואמת;</w:t>
      </w:r>
    </w:p>
    <w:p w14:paraId="0C013E33" w14:textId="77777777" w:rsidR="00DD1C3A" w:rsidRDefault="00DD1C3A" w:rsidP="00DD1C3A">
      <w:pPr>
        <w:pStyle w:val="aa"/>
        <w:numPr>
          <w:ilvl w:val="0"/>
          <w:numId w:val="2"/>
        </w:numPr>
        <w:spacing w:after="160" w:line="360" w:lineRule="auto"/>
        <w:jc w:val="both"/>
      </w:pPr>
      <w:r>
        <w:rPr>
          <w:rFonts w:hint="cs"/>
          <w:rtl/>
        </w:rPr>
        <w:t>"</w:t>
      </w:r>
      <w:r>
        <w:rPr>
          <w:rFonts w:hint="cs"/>
          <w:b/>
          <w:bCs/>
          <w:rtl/>
        </w:rPr>
        <w:t>הרובה השני"-</w:t>
      </w:r>
      <w:r>
        <w:rPr>
          <w:rFonts w:hint="cs"/>
          <w:rtl/>
        </w:rPr>
        <w:t xml:space="preserve"> כלי נשק דמוי רובה חצי אוטומטי מאולתר מתאים לקליבר 9 מ"מ אשר סוגל לירות ובכוחו להמית אדם ומחסנית תואמת;</w:t>
      </w:r>
    </w:p>
    <w:p w14:paraId="26BBDE9B" w14:textId="77777777" w:rsidR="00DD1C3A" w:rsidRDefault="00DD1C3A" w:rsidP="00DD1C3A">
      <w:pPr>
        <w:pStyle w:val="aa"/>
        <w:numPr>
          <w:ilvl w:val="0"/>
          <w:numId w:val="2"/>
        </w:numPr>
        <w:spacing w:after="160" w:line="360" w:lineRule="auto"/>
        <w:jc w:val="both"/>
      </w:pPr>
      <w:r>
        <w:rPr>
          <w:rFonts w:hint="cs"/>
          <w:rtl/>
        </w:rPr>
        <w:t>"</w:t>
      </w:r>
      <w:r>
        <w:rPr>
          <w:rFonts w:hint="cs"/>
          <w:b/>
          <w:bCs/>
          <w:rtl/>
        </w:rPr>
        <w:t>הרובה השלישי</w:t>
      </w:r>
      <w:r>
        <w:rPr>
          <w:rFonts w:hint="cs"/>
          <w:rtl/>
        </w:rPr>
        <w:t>"- כלי נשק דמוי רובה בריחי מאולתר המתאים לתחמושת בקליבר 5.56</w:t>
      </w:r>
      <w:r>
        <w:t>X</w:t>
      </w:r>
      <w:r>
        <w:rPr>
          <w:rFonts w:hint="cs"/>
          <w:rtl/>
        </w:rPr>
        <w:t xml:space="preserve"> 45 שסוגל לירות ובכוחו להמית אדם; </w:t>
      </w:r>
    </w:p>
    <w:p w14:paraId="10579D01" w14:textId="77777777" w:rsidR="00DD1C3A" w:rsidRDefault="00DD1C3A" w:rsidP="00DD1C3A">
      <w:pPr>
        <w:pStyle w:val="aa"/>
        <w:numPr>
          <w:ilvl w:val="0"/>
          <w:numId w:val="2"/>
        </w:numPr>
        <w:spacing w:after="160" w:line="360" w:lineRule="auto"/>
        <w:jc w:val="both"/>
      </w:pPr>
      <w:r>
        <w:rPr>
          <w:rFonts w:hint="cs"/>
          <w:rtl/>
        </w:rPr>
        <w:t>"</w:t>
      </w:r>
      <w:r>
        <w:rPr>
          <w:rFonts w:hint="cs"/>
          <w:b/>
          <w:bCs/>
          <w:rtl/>
        </w:rPr>
        <w:t>הרובה הרביעי</w:t>
      </w:r>
      <w:r>
        <w:rPr>
          <w:rFonts w:hint="cs"/>
          <w:rtl/>
        </w:rPr>
        <w:t>" - כלי נשק דמוי רובה אוויר מאולתר המתאים לכדוריות פלסטיק בקוטר 6 מ"מ אשר סוגל לירות ובכוחו להמית אדם;</w:t>
      </w:r>
    </w:p>
    <w:p w14:paraId="0C2EE7CA" w14:textId="77777777" w:rsidR="00DD1C3A" w:rsidRDefault="00DD1C3A" w:rsidP="00DD1C3A">
      <w:pPr>
        <w:pStyle w:val="aa"/>
        <w:numPr>
          <w:ilvl w:val="0"/>
          <w:numId w:val="2"/>
        </w:numPr>
        <w:spacing w:after="160" w:line="360" w:lineRule="auto"/>
        <w:jc w:val="both"/>
      </w:pPr>
      <w:r>
        <w:rPr>
          <w:rFonts w:hint="cs"/>
          <w:rtl/>
        </w:rPr>
        <w:t xml:space="preserve">תחמושת ואבזור- מחסנית מאולתרת נוספת, תרמילים ו- 20 כדורים בקליברים שונים. </w:t>
      </w:r>
    </w:p>
    <w:p w14:paraId="7E7EDB3D" w14:textId="77777777" w:rsidR="00DD1C3A" w:rsidRDefault="00DD1C3A" w:rsidP="00DD1C3A">
      <w:pPr>
        <w:spacing w:after="160" w:line="360" w:lineRule="auto"/>
        <w:ind w:left="720"/>
        <w:jc w:val="both"/>
        <w:rPr>
          <w:b/>
          <w:bCs/>
        </w:rPr>
      </w:pPr>
      <w:r>
        <w:rPr>
          <w:rFonts w:hint="cs"/>
          <w:rtl/>
        </w:rPr>
        <w:t xml:space="preserve">במהלך ימי שהותו במפעל ירה הנאשם בכלי הנשק לעבר דלת במפעל והסב לה נזק. </w:t>
      </w:r>
      <w:r>
        <w:rPr>
          <w:rFonts w:hint="cs"/>
          <w:b/>
          <w:bCs/>
          <w:rtl/>
        </w:rPr>
        <w:t xml:space="preserve">במעשיו אלו ייצר הנאשם מספר כלי נשק, נשא אותם ללא רשות והחזיק בהם ובתחמושת וכן ירה מנשק חם. </w:t>
      </w:r>
    </w:p>
    <w:p w14:paraId="63ADAF77" w14:textId="77777777" w:rsidR="00DD1C3A" w:rsidRDefault="00DD1C3A" w:rsidP="00DD1C3A">
      <w:pPr>
        <w:pStyle w:val="aa"/>
        <w:numPr>
          <w:ilvl w:val="0"/>
          <w:numId w:val="1"/>
        </w:numPr>
        <w:spacing w:after="160" w:line="360" w:lineRule="auto"/>
        <w:jc w:val="both"/>
        <w:rPr>
          <w:rtl/>
        </w:rPr>
      </w:pPr>
      <w:r>
        <w:rPr>
          <w:rFonts w:hint="cs"/>
          <w:rtl/>
        </w:rPr>
        <w:t>ביום 11.3.24 הגיעו הצדדים להסדר דיוני, כתב האישום תוקן, הנאשם הודה בו והורשע. המאשימה הצהירה כי תעתור למתחם הנע בין 50-80 חודשי מאסר כפי שעתרה ב</w:t>
      </w:r>
      <w:hyperlink r:id="rId19" w:history="1">
        <w:r w:rsidR="007F7F88" w:rsidRPr="007F7F88">
          <w:rPr>
            <w:color w:val="0000FF"/>
            <w:u w:val="single"/>
            <w:rtl/>
          </w:rPr>
          <w:t>ת"פ 20068-10-22</w:t>
        </w:r>
      </w:hyperlink>
      <w:r>
        <w:rPr>
          <w:rFonts w:hint="cs"/>
          <w:rtl/>
        </w:rPr>
        <w:t xml:space="preserve"> (להלן: "</w:t>
      </w:r>
      <w:r>
        <w:rPr>
          <w:rFonts w:hint="cs"/>
          <w:b/>
          <w:bCs/>
          <w:rtl/>
        </w:rPr>
        <w:t>תיק ג'נסן</w:t>
      </w:r>
      <w:r>
        <w:rPr>
          <w:rFonts w:hint="cs"/>
          <w:rtl/>
        </w:rPr>
        <w:t xml:space="preserve">", נסיבותיו תפורטנה בהמשך) והנאשם הופנה בהסכמה לתסקיר שירות מבחן. </w:t>
      </w:r>
    </w:p>
    <w:p w14:paraId="19314F42" w14:textId="77777777" w:rsidR="00DD1C3A" w:rsidRDefault="00DD1C3A" w:rsidP="00DD1C3A">
      <w:pPr>
        <w:spacing w:line="360" w:lineRule="auto"/>
        <w:ind w:left="720"/>
        <w:contextualSpacing/>
        <w:jc w:val="both"/>
        <w:rPr>
          <w:rtl/>
        </w:rPr>
      </w:pPr>
    </w:p>
    <w:p w14:paraId="13BA6774" w14:textId="77777777" w:rsidR="00DD1C3A" w:rsidRDefault="00DD1C3A" w:rsidP="00DD1C3A">
      <w:pPr>
        <w:spacing w:line="360" w:lineRule="auto"/>
        <w:ind w:firstLine="360"/>
        <w:jc w:val="both"/>
        <w:rPr>
          <w:b/>
          <w:bCs/>
          <w:u w:val="single"/>
          <w:rtl/>
        </w:rPr>
      </w:pPr>
      <w:r>
        <w:rPr>
          <w:rFonts w:hint="cs"/>
          <w:b/>
          <w:bCs/>
          <w:u w:val="single"/>
          <w:rtl/>
        </w:rPr>
        <w:t>תסקיר שירות המבחן</w:t>
      </w:r>
    </w:p>
    <w:p w14:paraId="711F83C3" w14:textId="77777777" w:rsidR="00DD1C3A" w:rsidRDefault="00DD1C3A" w:rsidP="00DD1C3A">
      <w:pPr>
        <w:numPr>
          <w:ilvl w:val="0"/>
          <w:numId w:val="1"/>
        </w:numPr>
        <w:spacing w:after="160" w:line="360" w:lineRule="auto"/>
        <w:contextualSpacing/>
        <w:jc w:val="both"/>
        <w:rPr>
          <w:rtl/>
        </w:rPr>
      </w:pPr>
      <w:r>
        <w:rPr>
          <w:rFonts w:hint="cs"/>
          <w:rtl/>
        </w:rPr>
        <w:t xml:space="preserve">הנאשם בן 46, פרוד מזוגתו ואב לחמישה ילדים, טרם מעצרו עבד כמסגר. הנאשם יליד רוסיה, עלה בארץ בגיל 20. לחובתו שתי הרשעות קודמות, האחרונה משנת 2023 בעבירות רכוש ואלימות זוגית בגינה נדון למאסר בפועל. הנאשם מסר כי צורך אלכוהול וסמים מסוג קאנביס אך שלל שימוש התמכרותי, הוא אף לא ראה בכך בעייתיות, לדבריו בעבר היו תקופות שצרך חומרים באופן תדיר יותר. בתיקו הקודם הופנה לשירות המבחן, אז התרשמו מאדם בעל מאפיינים התמכרותיים, מחוסר יציבות בהתנהלותו וקשיים בויסות דחפיו. על רקע התרשמות זו לא המליצו על שחרורו ממעצר. הנאשם הודה במיוחס לו ברמה הקונקרטית אך התקשה לקבל אחריות ולגלות הבנה ביחס לחומרת מעשיו, הסכנות וההשלכות הנלוות לכך. עוד התקשה לבחון את התנהלותו הבעייתית ונתן לגיטימציה למעשיו על אף מודעותו לחוק. כן שלל נזקקות טיפולית. שירות המבחן התרשם כי הוא מחזיק בעמדות מקלות בכל הקשור לשימוש וייצור נשק, ונוכח קשיים בהיענות לגבולות </w:t>
      </w:r>
      <w:r>
        <w:rPr>
          <w:rFonts w:hint="cs"/>
          <w:rtl/>
        </w:rPr>
        <w:lastRenderedPageBreak/>
        <w:t xml:space="preserve">החוק ובהפעלת שיקול דעת העריכו כי קיים ממנו סיכון להישנות התנהגות עוברת חוק. בצד זאת סבורים שאינו בעל דפוסי התנהגות עבריניים מושרשים. לפיכך, נמנע שירות המבחן מהמלצה טיפולית והמליץ על ענישה מוחשית לצורך צמצום הסיכון הנשקף ממנו ובלימת הישנות התנהגות חוזרת בתחום הנשק. </w:t>
      </w:r>
    </w:p>
    <w:p w14:paraId="610EB9A3" w14:textId="77777777" w:rsidR="00DD1C3A" w:rsidRDefault="00DD1C3A" w:rsidP="00DD1C3A">
      <w:pPr>
        <w:spacing w:after="160" w:line="360" w:lineRule="auto"/>
        <w:ind w:left="720"/>
        <w:contextualSpacing/>
        <w:jc w:val="both"/>
      </w:pPr>
    </w:p>
    <w:p w14:paraId="0CF48E57" w14:textId="77777777" w:rsidR="00DD1C3A" w:rsidRDefault="00DD1C3A" w:rsidP="00DD1C3A">
      <w:pPr>
        <w:spacing w:line="360" w:lineRule="auto"/>
        <w:ind w:firstLine="360"/>
        <w:jc w:val="both"/>
        <w:rPr>
          <w:b/>
          <w:bCs/>
          <w:u w:val="single"/>
        </w:rPr>
      </w:pPr>
      <w:r>
        <w:rPr>
          <w:rFonts w:hint="cs"/>
          <w:b/>
          <w:bCs/>
          <w:u w:val="single"/>
          <w:rtl/>
        </w:rPr>
        <w:t>תמצית טיעוני הצדדים לעונש</w:t>
      </w:r>
    </w:p>
    <w:p w14:paraId="1D055734" w14:textId="77777777" w:rsidR="00DD1C3A" w:rsidRDefault="00DD1C3A" w:rsidP="00DD1C3A">
      <w:pPr>
        <w:numPr>
          <w:ilvl w:val="0"/>
          <w:numId w:val="1"/>
        </w:numPr>
        <w:spacing w:after="160" w:line="360" w:lineRule="auto"/>
        <w:contextualSpacing/>
        <w:jc w:val="both"/>
        <w:rPr>
          <w:rtl/>
        </w:rPr>
      </w:pPr>
      <w:r>
        <w:rPr>
          <w:rFonts w:hint="cs"/>
          <w:rtl/>
        </w:rPr>
        <w:t xml:space="preserve">המאשימה, באמצעות ב"כ עו"ד פאר, עמדה בטיעוניה על חומרת העבירות ונסיבותיהן. לטענתה מדובר בכתב האישום מהחמורים בתחום עבירות הנשק, הסיכון הגלום במעשים רב, עוד ביקשה לזקוף לחומרה את ריבוי עבירות הנשק והירי באמצעותו, התקופה הממושכת שבה ביצע הנאשם את העבירות והפגיעה הקשה של מעשיו בערכים המוגנים ובעיקר בשלום הציבור ובטחונו והנזק הרב הצפוי מהמעשים. המאשימה הפנתה לפסיקה רבה המדגישה את חומרת עבירות הנשק ולתיקון 140 לחוק. לטענת ב"כ המאשימה מקרה זה חמור משמעותית מתיק ג'נסן, ששם דובר על ייצור אקדח אחד במדפסת תלת מימד ולא על ריבוי נשקים וירי באמצעותם, עם זאת, נוכח נסיבות הנאשם, עותרת המאשימה למתחם דומה הנע בין 50-80 חודשי מאסר, מאסר על תנאי וקנס. אשר לנסיבות הנאשם סבורה המאשימה כי תסקירו אינו חיובי, הנאשם בעל עמדות מקלות ביחס לעבירות בנשק, משתמש בחומרים ממכרים ולו עבר פלילי רלוונטי. לפיכך מבקשים למקם את עונשו במרכז המתחם, לתת ביטוי משמעותי לשיקולי הרתעה ולגזור עליו מאסר בן 65 חודשים. </w:t>
      </w:r>
    </w:p>
    <w:p w14:paraId="70EF372F" w14:textId="77777777" w:rsidR="00DD1C3A" w:rsidRDefault="00DD1C3A" w:rsidP="00DD1C3A">
      <w:pPr>
        <w:spacing w:after="160" w:line="360" w:lineRule="auto"/>
        <w:ind w:left="720"/>
        <w:contextualSpacing/>
        <w:jc w:val="both"/>
      </w:pPr>
    </w:p>
    <w:p w14:paraId="2425095A" w14:textId="77777777" w:rsidR="00DD1C3A" w:rsidRDefault="00DD1C3A" w:rsidP="00DD1C3A">
      <w:pPr>
        <w:numPr>
          <w:ilvl w:val="0"/>
          <w:numId w:val="1"/>
        </w:numPr>
        <w:spacing w:after="160" w:line="360" w:lineRule="auto"/>
        <w:contextualSpacing/>
        <w:jc w:val="both"/>
      </w:pPr>
      <w:r>
        <w:rPr>
          <w:rFonts w:hint="cs"/>
          <w:rtl/>
        </w:rPr>
        <w:t xml:space="preserve">ב"כ הנאשם, עו"ד אבי כהן, עמד בטיעוניו על נסיבותיו הייחודיות של התיק וביקש להחריגו מתיקי הנשק הרגילים. לטענתו ההחמרה בעבירות הנשק נובעת מעלייה בשימוש בנשק חם לביצוע עבירות פליליות אך במקרה שלפנינו מדובר באדם נורמטיבי, מסגר במקצועו, שמגיל צעיר ייצר כלי נשק מאולתרים להנאתו ולא על מנת למכור אותם או לבצע בהם עבירות. עוד לטענתו, הנאשם פעל בשיקול דעת מוטעה ובטיפשות אך אינו עבריין נשק. לטענתו הנאשם עשה ככל שניתן כדי לאבטח את כלי הנשק ולמנוע את גניבתם וחוץ ממנו אף אחד לא ידע על תחביבו ולא עשה בהם שימוש. אשר לנסיבותיו סבור ב"כ הנאשם כי עברו הפלילי זניח, והשתמש בסמים שלא באופן תדיר ובתקופת מעצרו נקי מסמים (נ/1, מסמך מטעם שב"ס). ב"כ הנאשם סבור שהמקרה של תיק ג'נסן אליו הפנתה המאשימה חמור יותר, כלל תחכום וייבוא חלקי נשק באמצעות אימו. על כן עותר להסתפק בעונש מאסר בן 36 חודשים שהוא לשיטתו עונש ראוי ומידתי. </w:t>
      </w:r>
    </w:p>
    <w:p w14:paraId="3BE47E2A" w14:textId="77777777" w:rsidR="00DD1C3A" w:rsidRDefault="00DD1C3A" w:rsidP="00DD1C3A">
      <w:pPr>
        <w:pStyle w:val="aa"/>
      </w:pPr>
    </w:p>
    <w:p w14:paraId="47C8DB23" w14:textId="77777777" w:rsidR="00DD1C3A" w:rsidRDefault="00DD1C3A" w:rsidP="00DD1C3A">
      <w:pPr>
        <w:numPr>
          <w:ilvl w:val="0"/>
          <w:numId w:val="1"/>
        </w:numPr>
        <w:spacing w:after="160" w:line="360" w:lineRule="auto"/>
        <w:contextualSpacing/>
        <w:jc w:val="both"/>
      </w:pPr>
      <w:r>
        <w:rPr>
          <w:rFonts w:hint="cs"/>
          <w:rtl/>
        </w:rPr>
        <w:t xml:space="preserve">עוד העידו מטעם ההגנה אחות הנאשם, הגב' מריה נחימוביץ', שסיפרה שאחיה הוא אדם חיובי, מגיל ילדות אהב לייצר מכשירים וכלי נשק מאולתרים להנאתו, וכל רצונו היה לבנות כלי נשק כדי לסייע לגופי הביטחון. עוד ציינה שהמעצר קשה לו והוא מתגעגע לילדיו. אשת הנאשם הוסיפה כי הנאשם תמיד עבד ופרנס את משפחתו וכי מדובר באדם מנומס שעושה שטויות ולא מעבר לכך. </w:t>
      </w:r>
      <w:r>
        <w:rPr>
          <w:rFonts w:hint="cs"/>
          <w:b/>
          <w:bCs/>
          <w:rtl/>
        </w:rPr>
        <w:t>הנאשם בדברו האחרון</w:t>
      </w:r>
      <w:r>
        <w:rPr>
          <w:rFonts w:hint="cs"/>
          <w:rtl/>
        </w:rPr>
        <w:t xml:space="preserve"> הסביר שהרגיש במלכוד 22,  ולכן העביר את כלי הנשק מכפר קאסם וכן כי התייחס לייצור הנשק כאומנות ולא כנשק ממש וביקש לשוב במהרה לילדיו. </w:t>
      </w:r>
    </w:p>
    <w:p w14:paraId="7F8BAB4C" w14:textId="77777777" w:rsidR="00DD1C3A" w:rsidRDefault="00DD1C3A" w:rsidP="00DD1C3A">
      <w:pPr>
        <w:pStyle w:val="aa"/>
        <w:rPr>
          <w:rtl/>
        </w:rPr>
      </w:pPr>
    </w:p>
    <w:p w14:paraId="2C377DCB" w14:textId="77777777" w:rsidR="00DD1C3A" w:rsidRDefault="00DD1C3A" w:rsidP="00DD1C3A">
      <w:pPr>
        <w:spacing w:after="160" w:line="360" w:lineRule="auto"/>
        <w:ind w:left="720"/>
        <w:contextualSpacing/>
        <w:jc w:val="both"/>
        <w:rPr>
          <w:rtl/>
        </w:rPr>
      </w:pPr>
    </w:p>
    <w:p w14:paraId="67E19FE6" w14:textId="77777777" w:rsidR="00DD1C3A" w:rsidRDefault="00DD1C3A" w:rsidP="00DD1C3A">
      <w:pPr>
        <w:spacing w:after="160" w:line="360" w:lineRule="auto"/>
        <w:ind w:left="720"/>
        <w:contextualSpacing/>
        <w:jc w:val="both"/>
        <w:rPr>
          <w:rtl/>
        </w:rPr>
      </w:pPr>
    </w:p>
    <w:p w14:paraId="55C01B83" w14:textId="77777777" w:rsidR="00DD1C3A" w:rsidRDefault="00DD1C3A" w:rsidP="00DD1C3A">
      <w:pPr>
        <w:pStyle w:val="aa"/>
      </w:pPr>
    </w:p>
    <w:p w14:paraId="45EC4C14" w14:textId="77777777" w:rsidR="00DD1C3A" w:rsidRDefault="00DD1C3A" w:rsidP="00DD1C3A">
      <w:pPr>
        <w:spacing w:line="360" w:lineRule="auto"/>
        <w:jc w:val="both"/>
        <w:rPr>
          <w:b/>
          <w:bCs/>
          <w:u w:val="single"/>
          <w:rtl/>
        </w:rPr>
      </w:pPr>
      <w:r>
        <w:rPr>
          <w:rFonts w:hint="cs"/>
          <w:b/>
          <w:bCs/>
          <w:u w:val="single"/>
          <w:rtl/>
        </w:rPr>
        <w:t>דיון והכרעה</w:t>
      </w:r>
    </w:p>
    <w:p w14:paraId="152F6CCA" w14:textId="77777777" w:rsidR="00DD1C3A" w:rsidRDefault="00DD1C3A" w:rsidP="00DD1C3A">
      <w:pPr>
        <w:spacing w:line="360" w:lineRule="auto"/>
        <w:jc w:val="both"/>
        <w:rPr>
          <w:b/>
          <w:bCs/>
          <w:u w:val="single"/>
          <w:rtl/>
        </w:rPr>
      </w:pPr>
      <w:r>
        <w:rPr>
          <w:rFonts w:hint="cs"/>
          <w:b/>
          <w:bCs/>
          <w:u w:val="single"/>
          <w:rtl/>
        </w:rPr>
        <w:t>קביעת מתחם העונש ההולם</w:t>
      </w:r>
    </w:p>
    <w:p w14:paraId="576D4CD6" w14:textId="77777777" w:rsidR="00DD1C3A" w:rsidRDefault="00DD1C3A" w:rsidP="00DD1C3A">
      <w:pPr>
        <w:pStyle w:val="aa"/>
        <w:numPr>
          <w:ilvl w:val="0"/>
          <w:numId w:val="1"/>
        </w:numPr>
        <w:spacing w:line="360" w:lineRule="atLeast"/>
        <w:jc w:val="both"/>
        <w:rPr>
          <w:rtl/>
        </w:rPr>
      </w:pPr>
      <w:r>
        <w:rPr>
          <w:rFonts w:hint="cs"/>
          <w:rtl/>
        </w:rPr>
        <w:t xml:space="preserve">מעשי הנאשם פגעו פגיעה קשה וחמורה בערכים החברתיים רבים וביניהם שלום הציבור ובטחונו, שלמות הגוף, חיי אדם ותחושת הביטחון הכללי של האזרחים. </w:t>
      </w:r>
      <w:r>
        <w:rPr>
          <w:rFonts w:hint="cs"/>
          <w:color w:val="000000"/>
          <w:spacing w:val="10"/>
          <w:rtl/>
        </w:rPr>
        <w:t xml:space="preserve">חומרתן של עבירות הנשק </w:t>
      </w:r>
      <w:r>
        <w:rPr>
          <w:rFonts w:hint="cs"/>
          <w:rtl/>
        </w:rPr>
        <w:t>אינה מתמצה אך בעבירות גופן אלא בפוטנציאל הנזק הנובע מהן</w:t>
      </w:r>
      <w:r>
        <w:rPr>
          <w:rFonts w:hint="cs"/>
          <w:color w:val="000000"/>
          <w:spacing w:val="10"/>
          <w:rtl/>
        </w:rPr>
        <w:t xml:space="preserve">, </w:t>
      </w:r>
      <w:r>
        <w:rPr>
          <w:rFonts w:hint="cs"/>
          <w:rtl/>
        </w:rPr>
        <w:t>עבירות הנשק מייצרות איומים וסיכונים משמעותיים לחברה, ומהוות בסיס לביצוע פעילות עבריינית, פשיעה לאומנית ופעולות טרור (</w:t>
      </w:r>
      <w:hyperlink r:id="rId20" w:history="1">
        <w:r w:rsidR="007F7F88" w:rsidRPr="007F7F88">
          <w:rPr>
            <w:color w:val="0000FF"/>
            <w:u w:val="single"/>
            <w:rtl/>
          </w:rPr>
          <w:t>ע"פ 579/22</w:t>
        </w:r>
      </w:hyperlink>
      <w:r>
        <w:rPr>
          <w:rFonts w:hint="cs"/>
          <w:rtl/>
        </w:rPr>
        <w:t xml:space="preserve"> </w:t>
      </w:r>
      <w:r>
        <w:rPr>
          <w:rFonts w:hint="cs"/>
          <w:b/>
          <w:bCs/>
          <w:rtl/>
        </w:rPr>
        <w:t>מדינת ישראל נ' אגבאריה</w:t>
      </w:r>
      <w:r>
        <w:rPr>
          <w:rFonts w:hint="cs"/>
          <w:rtl/>
        </w:rPr>
        <w:t xml:space="preserve">, פסקה 15 (13.6.2022); </w:t>
      </w:r>
      <w:hyperlink r:id="rId21" w:history="1">
        <w:r w:rsidR="007F7F88" w:rsidRPr="007F7F88">
          <w:rPr>
            <w:color w:val="0000FF"/>
            <w:u w:val="single"/>
            <w:rtl/>
          </w:rPr>
          <w:t>ע"פ 1695/22</w:t>
        </w:r>
      </w:hyperlink>
      <w:r>
        <w:rPr>
          <w:rFonts w:hint="cs"/>
          <w:rtl/>
        </w:rPr>
        <w:t xml:space="preserve"> </w:t>
      </w:r>
      <w:r>
        <w:rPr>
          <w:rFonts w:hint="cs"/>
          <w:b/>
          <w:bCs/>
          <w:rtl/>
        </w:rPr>
        <w:t>מדינת ישראל נ' גנאים</w:t>
      </w:r>
      <w:r>
        <w:rPr>
          <w:rFonts w:hint="cs"/>
          <w:rtl/>
        </w:rPr>
        <w:t xml:space="preserve">, פסקה 11 (29.3.2022); </w:t>
      </w:r>
      <w:hyperlink r:id="rId22" w:history="1">
        <w:r w:rsidR="007F7F88" w:rsidRPr="007F7F88">
          <w:rPr>
            <w:color w:val="0000FF"/>
            <w:u w:val="single"/>
            <w:rtl/>
          </w:rPr>
          <w:t>ע"פ 309/22</w:t>
        </w:r>
      </w:hyperlink>
      <w:r>
        <w:rPr>
          <w:rFonts w:hint="cs"/>
          <w:rtl/>
        </w:rPr>
        <w:t xml:space="preserve"> </w:t>
      </w:r>
      <w:r>
        <w:rPr>
          <w:rFonts w:hint="cs"/>
          <w:b/>
          <w:bCs/>
          <w:rtl/>
        </w:rPr>
        <w:t>מדינת ישראל נ' ביאדסה</w:t>
      </w:r>
      <w:r>
        <w:rPr>
          <w:rFonts w:hint="cs"/>
          <w:rtl/>
        </w:rPr>
        <w:t xml:space="preserve">, פסקה 6 (10.5.2022)). </w:t>
      </w:r>
    </w:p>
    <w:p w14:paraId="17298436" w14:textId="77777777" w:rsidR="00DD1C3A" w:rsidRDefault="00DD1C3A" w:rsidP="00DD1C3A">
      <w:pPr>
        <w:pStyle w:val="aa"/>
      </w:pPr>
    </w:p>
    <w:p w14:paraId="2EC1D69F" w14:textId="77777777" w:rsidR="00DD1C3A" w:rsidRDefault="00DD1C3A" w:rsidP="00DD1C3A">
      <w:pPr>
        <w:pStyle w:val="aa"/>
        <w:rPr>
          <w:rtl/>
        </w:rPr>
      </w:pPr>
    </w:p>
    <w:p w14:paraId="5D5364C8" w14:textId="77777777" w:rsidR="00DD1C3A" w:rsidRDefault="00DD1C3A" w:rsidP="00DD1C3A">
      <w:pPr>
        <w:pStyle w:val="aa"/>
        <w:numPr>
          <w:ilvl w:val="0"/>
          <w:numId w:val="1"/>
        </w:numPr>
        <w:spacing w:line="360" w:lineRule="auto"/>
        <w:jc w:val="both"/>
        <w:rPr>
          <w:b/>
          <w:bCs/>
          <w:rtl/>
        </w:rPr>
      </w:pPr>
      <w:r>
        <w:rPr>
          <w:rFonts w:hint="cs"/>
          <w:b/>
          <w:bCs/>
          <w:color w:val="000000"/>
          <w:rtl/>
        </w:rPr>
        <w:t>נסיבות המעשים במקרה שלפנינו, ייחודיות אמנם אך חמורות</w:t>
      </w:r>
      <w:r>
        <w:rPr>
          <w:rFonts w:hint="cs"/>
          <w:color w:val="000000"/>
          <w:rtl/>
        </w:rPr>
        <w:t>.</w:t>
      </w:r>
      <w:r w:rsidRPr="00DD1C3A">
        <w:rPr>
          <w:rFonts w:hint="cs"/>
          <w:rtl/>
        </w:rPr>
        <w:t xml:space="preserve"> הנאשם ייצר בייצור עצמי כלי נשק שונים ותחמושת ואף עשה בהם שימוש וירה באמצעותם ריבוי יריות. הנאשם ייצר את כלי הנשק במסגריה שבה עבד בכפר קאסם ובימים האחרונים טרם מעצרו העביר את ארסנל כלי הנשק שכלל ארבעה רובים מאולתרים ותחמושת (תמונת כלי הנשק, ת/2, מדברת בעד עצמה) למפעל ביישוב ברקן. הסיבה בגינה ביצע את העבירות המיוחסות לו, ייצור כלי הנשק, נשיאתם והחזקה וירי באמצעותם אינה פלילית טיפוסית, אין כל אינדיקציה שניסה למכור את כלי הנשק או ייצרם עבור אחרים, עוד לא נטען כי ירה באמצעותם באזורי מגורים באופן שסיכן את הציבור. בצד זאת, הנאשם ביצע את העבירות המיוחסות לו במשך תקופה ממושכת, בנקל ניתן היה לפרוץ למסגריה ולגונבם. ברי שהיה מודע לסיכון הנשקף מייצורם והחזקתם אך לא חדל במשך תקופה ארוכה ממעשיו. גם כאשר העבירם למפעל ביישוב ברקן, ימים ספורים לפני שנעצר, ביצע באמצעותם ירי חם. מעשיו מעידים על תכנון ומחשבה, אין בטענה שלתפיסתו היה מדובר בלא יותר מתחביב שאינו מזיק כדי להפחית מהנזק הפוטנציאלי של מעשיו. </w:t>
      </w:r>
      <w:r>
        <w:rPr>
          <w:rFonts w:hint="cs"/>
          <w:b/>
          <w:bCs/>
          <w:rtl/>
        </w:rPr>
        <w:t xml:space="preserve">לפיכך, בהנתן ריבוי כלי הנשק והתחמושת וירי באמצעותם ומנגד הסיבה לייצורם והעדר אינדיקציה לשימוש בהם לביצוע עבירה פלילית, מצאתי לקבוע שנסיבות מעשי הנאשם פגעו פגיעה מוחשית בערכים המוגנים. </w:t>
      </w:r>
    </w:p>
    <w:p w14:paraId="634E3062" w14:textId="77777777" w:rsidR="00DD1C3A" w:rsidRDefault="00DD1C3A" w:rsidP="00DD1C3A">
      <w:pPr>
        <w:spacing w:after="160" w:line="360" w:lineRule="auto"/>
        <w:ind w:left="720"/>
        <w:contextualSpacing/>
        <w:jc w:val="both"/>
        <w:rPr>
          <w:rtl/>
        </w:rPr>
      </w:pPr>
    </w:p>
    <w:p w14:paraId="49A316BD" w14:textId="77777777" w:rsidR="00DD1C3A" w:rsidRDefault="00DD1C3A" w:rsidP="00DD1C3A">
      <w:pPr>
        <w:numPr>
          <w:ilvl w:val="0"/>
          <w:numId w:val="1"/>
        </w:numPr>
        <w:spacing w:after="120" w:line="360" w:lineRule="auto"/>
        <w:contextualSpacing/>
        <w:jc w:val="both"/>
        <w:rPr>
          <w:color w:val="000000"/>
          <w:spacing w:val="10"/>
        </w:rPr>
      </w:pPr>
      <w:r>
        <w:rPr>
          <w:rFonts w:hint="cs"/>
          <w:b/>
          <w:bCs/>
          <w:rtl/>
        </w:rPr>
        <w:t>מדיניות הענישה הנוהגת-</w:t>
      </w:r>
      <w:r>
        <w:rPr>
          <w:rFonts w:hint="cs"/>
          <w:rtl/>
        </w:rPr>
        <w:t xml:space="preserve"> פסיקת בית המשפט העליון מדגישה, חזור ושנה, את הצורך בנקיטת מדיניות ענישה מחמירה בגין עבירות נשק באשר הן, מגמה זו אחידה ועיקבית ביחס לכלל עברייני הנשק, אף כשהם נעדרי עבר פלילי, והאירוע הוא בגדר חריג בנוף חייהם הנורמטיבי (</w:t>
      </w:r>
      <w:hyperlink r:id="rId23" w:history="1">
        <w:r w:rsidR="007F7F88" w:rsidRPr="007F7F88">
          <w:rPr>
            <w:color w:val="0000FF"/>
            <w:u w:val="single"/>
            <w:rtl/>
          </w:rPr>
          <w:t>ע"פ 5813/21</w:t>
        </w:r>
      </w:hyperlink>
      <w:r>
        <w:rPr>
          <w:rFonts w:hint="cs"/>
          <w:rtl/>
        </w:rPr>
        <w:t xml:space="preserve"> </w:t>
      </w:r>
      <w:r>
        <w:rPr>
          <w:rFonts w:hint="cs"/>
          <w:b/>
          <w:bCs/>
          <w:rtl/>
        </w:rPr>
        <w:t>מוחמד ג'בארין נ' מדינת ישראל</w:t>
      </w:r>
      <w:r>
        <w:rPr>
          <w:rFonts w:hint="cs"/>
          <w:rtl/>
        </w:rPr>
        <w:t>, פס' 14</w:t>
      </w:r>
      <w:r>
        <w:rPr>
          <w:rFonts w:hint="cs"/>
          <w:b/>
          <w:bCs/>
          <w:rtl/>
        </w:rPr>
        <w:t xml:space="preserve"> </w:t>
      </w:r>
      <w:r>
        <w:rPr>
          <w:rFonts w:hint="cs"/>
          <w:rtl/>
        </w:rPr>
        <w:t xml:space="preserve">(31.5.2022); </w:t>
      </w:r>
      <w:hyperlink r:id="rId24" w:history="1">
        <w:r w:rsidR="007F7F88" w:rsidRPr="007F7F88">
          <w:rPr>
            <w:color w:val="0000FF"/>
            <w:u w:val="single"/>
            <w:rtl/>
          </w:rPr>
          <w:t>ע"פ 6011/21</w:t>
        </w:r>
      </w:hyperlink>
      <w:r>
        <w:rPr>
          <w:rFonts w:hint="cs"/>
          <w:rtl/>
        </w:rPr>
        <w:t xml:space="preserve"> </w:t>
      </w:r>
      <w:r>
        <w:rPr>
          <w:rFonts w:hint="cs"/>
          <w:b/>
          <w:bCs/>
          <w:rtl/>
        </w:rPr>
        <w:t>חאלד דסוקי נ' מדינת ישראל</w:t>
      </w:r>
      <w:r>
        <w:rPr>
          <w:rFonts w:hint="cs"/>
          <w:rtl/>
        </w:rPr>
        <w:t xml:space="preserve">  (25.11.2021); </w:t>
      </w:r>
      <w:hyperlink r:id="rId25" w:history="1">
        <w:r w:rsidR="007F7F88" w:rsidRPr="007F7F88">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 10 (28.12.2021)</w:t>
      </w:r>
      <w:r>
        <w:rPr>
          <w:rFonts w:hint="cs"/>
          <w:rtl/>
        </w:rPr>
        <w:t xml:space="preserve">; </w:t>
      </w:r>
      <w:hyperlink r:id="rId26" w:history="1">
        <w:r w:rsidR="007F7F88" w:rsidRPr="007F7F88">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ע"פ 78/21 </w:t>
      </w:r>
      <w:r>
        <w:rPr>
          <w:rFonts w:hint="cs"/>
          <w:b/>
          <w:bCs/>
          <w:rtl/>
        </w:rPr>
        <w:t>פלוני נ' מדינת</w:t>
      </w:r>
      <w:r>
        <w:rPr>
          <w:rFonts w:hint="cs"/>
          <w:rtl/>
        </w:rPr>
        <w:t xml:space="preserve"> </w:t>
      </w:r>
      <w:r>
        <w:rPr>
          <w:rFonts w:hint="cs"/>
          <w:b/>
          <w:bCs/>
          <w:rtl/>
        </w:rPr>
        <w:t>ישראל</w:t>
      </w:r>
      <w:r>
        <w:rPr>
          <w:rFonts w:hint="cs"/>
          <w:rtl/>
        </w:rPr>
        <w:t xml:space="preserve"> (26.7.2022); ע"פ 113/13 </w:t>
      </w:r>
      <w:r>
        <w:rPr>
          <w:rFonts w:hint="cs"/>
          <w:b/>
          <w:bCs/>
          <w:rtl/>
        </w:rPr>
        <w:t>וקנין נ' מדינת ישראל</w:t>
      </w:r>
      <w:r>
        <w:rPr>
          <w:rFonts w:hint="cs"/>
          <w:rtl/>
        </w:rPr>
        <w:t>,</w:t>
      </w:r>
      <w:r w:rsidR="007F7F88">
        <w:rPr>
          <w:rFonts w:hint="cs"/>
          <w:rtl/>
        </w:rPr>
        <w:t xml:space="preserve"> </w:t>
      </w:r>
      <w:r>
        <w:rPr>
          <w:rFonts w:hint="cs"/>
          <w:rtl/>
        </w:rPr>
        <w:t xml:space="preserve">פס' 7 (31.7.2013)). </w:t>
      </w:r>
    </w:p>
    <w:p w14:paraId="10AC2329" w14:textId="77777777" w:rsidR="00DD1C3A" w:rsidRDefault="00DD1C3A" w:rsidP="00DD1C3A">
      <w:pPr>
        <w:pStyle w:val="aa"/>
        <w:rPr>
          <w:color w:val="000000"/>
          <w:spacing w:val="10"/>
        </w:rPr>
      </w:pPr>
    </w:p>
    <w:p w14:paraId="36CD8ED9" w14:textId="77777777" w:rsidR="00DD1C3A" w:rsidRDefault="00DD1C3A" w:rsidP="00DD1C3A">
      <w:pPr>
        <w:numPr>
          <w:ilvl w:val="0"/>
          <w:numId w:val="1"/>
        </w:numPr>
        <w:spacing w:after="120" w:line="360" w:lineRule="auto"/>
        <w:contextualSpacing/>
        <w:jc w:val="both"/>
        <w:rPr>
          <w:color w:val="000000"/>
          <w:spacing w:val="10"/>
          <w:rtl/>
        </w:rPr>
      </w:pPr>
      <w:r>
        <w:rPr>
          <w:rFonts w:hint="cs"/>
          <w:rtl/>
        </w:rPr>
        <w:t xml:space="preserve">הצדדים הסכימו כי מדובר בתיק שונה מתיקי הנשק הקלאסיים אך צודקת המאשימה כי אין בנסיבותיו הייחודיות כדי להביא להפחתה ממשית בחומרתו. </w:t>
      </w:r>
      <w:r>
        <w:rPr>
          <w:rFonts w:hint="cs"/>
          <w:color w:val="000000"/>
          <w:spacing w:val="10"/>
          <w:rtl/>
        </w:rPr>
        <w:t xml:space="preserve">עוד הפנו הצדדים בטיעוניהם לתיק ג'נסן, אף הוא נדון לפניי, כשלטענתם נסיבות תיק זה מזכירות את המקרה שבפנינו. בעניינו של ג'נסן הורשע הנאשם בייצור וייבוא כלי נשק, הנאשם הדפיס במדפסת תלת מימד בביתו חלקי אקדח, ייבא באמצעות אמו חלקים נוספים ויצר בייצור עצמי אקדח מסוג גלוק חצי אוטומטי שסוגל לירות ובכוחו להמית. על האקדח הרכיב עמעם קול, עוד נמצאו בביתו חלקי נשק נוספים. ג'נסן בן 50 אף הוא אב לחמישה ילדים, מצבו הרפואי מורכב, ללא עבר פלילי, טען כי ביצע את המעשים מתוך תחושת שעמום ולא כדי לבצע באמצעותו עבירות פליליות. המאשימה עתרה בעניינו למתחם הנע בין 50-80 חודשי מאסר, נקבע מתחם שנע בין 38-66 חודשים מאסר, על הנאשם נגזר עונש בתחתית המתחם (הנאשם הגיש ערעור על חומרת עונש אך חזר ממנו לאור הערות בית המשפט העליון, </w:t>
      </w:r>
      <w:hyperlink r:id="rId27" w:history="1">
        <w:r w:rsidR="007F7F88" w:rsidRPr="007F7F88">
          <w:rPr>
            <w:color w:val="0000FF"/>
            <w:spacing w:val="10"/>
            <w:u w:val="single"/>
            <w:rtl/>
          </w:rPr>
          <w:t>ע"פ 276/24</w:t>
        </w:r>
      </w:hyperlink>
      <w:r>
        <w:rPr>
          <w:rFonts w:hint="cs"/>
          <w:color w:val="000000"/>
          <w:spacing w:val="10"/>
          <w:rtl/>
        </w:rPr>
        <w:t xml:space="preserve"> מיום 18.1.24).</w:t>
      </w:r>
    </w:p>
    <w:p w14:paraId="06EDE218" w14:textId="77777777" w:rsidR="00DD1C3A" w:rsidRDefault="00DD1C3A" w:rsidP="00DD1C3A">
      <w:pPr>
        <w:pStyle w:val="aa"/>
        <w:rPr>
          <w:color w:val="000000"/>
          <w:spacing w:val="10"/>
        </w:rPr>
      </w:pPr>
    </w:p>
    <w:p w14:paraId="6F075C3A" w14:textId="77777777" w:rsidR="00DD1C3A" w:rsidRDefault="00DD1C3A" w:rsidP="00DD1C3A">
      <w:pPr>
        <w:spacing w:after="120" w:line="360" w:lineRule="auto"/>
        <w:ind w:left="720"/>
        <w:contextualSpacing/>
        <w:jc w:val="both"/>
        <w:rPr>
          <w:color w:val="000000"/>
          <w:spacing w:val="10"/>
          <w:rtl/>
        </w:rPr>
      </w:pPr>
      <w:r>
        <w:rPr>
          <w:rFonts w:hint="cs"/>
          <w:color w:val="000000"/>
          <w:spacing w:val="10"/>
          <w:rtl/>
        </w:rPr>
        <w:t xml:space="preserve">כמו בתיק ג'נסן אף בתיק זה לא מצאתי לקבל את טענת ההגנה כי בכח נסיבותיו להחריגו ממדיניות הענישה המחמירה בעבירות הנשק. דברים שאמרתי בסוגיה זו שם, יפים גם לענייננו דכאן:    </w:t>
      </w:r>
    </w:p>
    <w:p w14:paraId="086A0F0A" w14:textId="77777777" w:rsidR="00DD1C3A" w:rsidRDefault="00DD1C3A" w:rsidP="00DD1C3A">
      <w:pPr>
        <w:spacing w:after="120" w:line="360" w:lineRule="auto"/>
        <w:ind w:left="720"/>
        <w:contextualSpacing/>
        <w:jc w:val="both"/>
        <w:rPr>
          <w:color w:val="000000"/>
          <w:spacing w:val="10"/>
          <w:rtl/>
        </w:rPr>
      </w:pPr>
    </w:p>
    <w:p w14:paraId="67CFB0BF" w14:textId="77777777" w:rsidR="00DD1C3A" w:rsidRDefault="00DD1C3A" w:rsidP="00DD1C3A">
      <w:pPr>
        <w:spacing w:after="120" w:line="360" w:lineRule="auto"/>
        <w:ind w:left="1440" w:right="567"/>
        <w:contextualSpacing/>
        <w:jc w:val="both"/>
        <w:rPr>
          <w:b/>
          <w:bCs/>
          <w:color w:val="000000"/>
          <w:spacing w:val="10"/>
        </w:rPr>
      </w:pPr>
      <w:r>
        <w:rPr>
          <w:rFonts w:hint="cs"/>
          <w:b/>
          <w:bCs/>
          <w:rtl/>
        </w:rPr>
        <w:t>"אין בידי לקבל את טענת ההגנה כי המקרה שלפנינו שונה וייחודי, אין מקום להחריגו ממדיניות הפסיקה בעבירות הנשק המורה על הטלת ענישה הולמת ומרתיעה על כל חוליות השרשרת – החל מיצרני הנשק הבלתי החוקי, דרך הסוחרים בו, ועד לאלו הנוטלים אותו לידם ועושים בו שימוש בלתי חוקי (</w:t>
      </w:r>
      <w:hyperlink r:id="rId28" w:history="1">
        <w:r w:rsidR="007F7F88" w:rsidRPr="007F7F88">
          <w:rPr>
            <w:b/>
            <w:bCs/>
            <w:color w:val="0000FF"/>
            <w:spacing w:val="10"/>
            <w:u w:val="single"/>
            <w:rtl/>
          </w:rPr>
          <w:t>ע"פ 8045/17</w:t>
        </w:r>
      </w:hyperlink>
      <w:r>
        <w:rPr>
          <w:rFonts w:hint="cs"/>
          <w:b/>
          <w:bCs/>
          <w:color w:val="000000"/>
          <w:spacing w:val="10"/>
          <w:rtl/>
        </w:rPr>
        <w:t xml:space="preserve"> בראנסי נ' מדינת ישראל, 16.8.18). </w:t>
      </w:r>
    </w:p>
    <w:p w14:paraId="25BC7F7B" w14:textId="77777777" w:rsidR="00DD1C3A" w:rsidRDefault="00DD1C3A" w:rsidP="00DD1C3A">
      <w:pPr>
        <w:spacing w:line="360" w:lineRule="auto"/>
        <w:ind w:left="1440" w:right="567"/>
        <w:jc w:val="both"/>
        <w:rPr>
          <w:b/>
          <w:bCs/>
          <w:color w:val="000000"/>
          <w:spacing w:val="10"/>
        </w:rPr>
      </w:pPr>
    </w:p>
    <w:p w14:paraId="4B736155" w14:textId="77777777" w:rsidR="00DD1C3A" w:rsidRDefault="00DD1C3A" w:rsidP="00DD1C3A">
      <w:pPr>
        <w:spacing w:line="360" w:lineRule="auto"/>
        <w:ind w:left="1440" w:right="567"/>
        <w:jc w:val="both"/>
        <w:rPr>
          <w:rFonts w:ascii="Arial" w:eastAsia="David" w:hAnsi="Arial"/>
          <w:rtl/>
        </w:rPr>
      </w:pPr>
      <w:r>
        <w:rPr>
          <w:rFonts w:hint="cs"/>
          <w:b/>
          <w:bCs/>
          <w:color w:val="000000"/>
          <w:spacing w:val="10"/>
          <w:rtl/>
        </w:rPr>
        <w:t xml:space="preserve">אכן אין מדובר בעבירות שבוצעו ממניעים עבריניים או לאומניים או מתוך מניע כלכלי אך גלום בהם פן אחר של חומרה, הנאשם הורשע במספר עבירות נשק חמורות – ייצור חלק מנשק (חלק תחתון של אקדח), יבוא חלקי הנשק הנוספים והרכבתם ובכך ייצר נשק מושלם מסוג אקדח גלוק חצי אוטומטי. בנוסף, החזיק חלקי נשק ותחמושת תואמת. </w:t>
      </w:r>
      <w:r>
        <w:rPr>
          <w:rFonts w:ascii="Arial" w:hAnsi="Arial" w:hint="cs"/>
          <w:b/>
          <w:bCs/>
          <w:rtl/>
        </w:rPr>
        <w:t>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ו- 15 שנות מאסר על ייצור, יבוא או סחר בנשק בלא רשות על פי דין (סעיף 144 לחוק) זאת אף בלא שנעשה בנשק שימוש לביצוע עבירה נוספת</w:t>
      </w:r>
      <w:r>
        <w:rPr>
          <w:rFonts w:ascii="Arial" w:hAnsi="Arial" w:hint="cs"/>
          <w:rtl/>
        </w:rPr>
        <w:t xml:space="preserve">" (שם, פס' 10). </w:t>
      </w:r>
    </w:p>
    <w:p w14:paraId="2469D6F1" w14:textId="77777777" w:rsidR="00DD1C3A" w:rsidRDefault="00DD1C3A" w:rsidP="00DD1C3A">
      <w:pPr>
        <w:spacing w:line="360" w:lineRule="auto"/>
        <w:ind w:right="567"/>
        <w:jc w:val="both"/>
        <w:rPr>
          <w:rFonts w:ascii="Arial" w:hAnsi="Arial"/>
          <w:rtl/>
        </w:rPr>
      </w:pPr>
    </w:p>
    <w:p w14:paraId="0B67A5F5" w14:textId="77777777" w:rsidR="00DD1C3A" w:rsidRDefault="00DD1C3A" w:rsidP="00DD1C3A">
      <w:pPr>
        <w:spacing w:line="360" w:lineRule="auto"/>
        <w:ind w:left="793"/>
        <w:jc w:val="both"/>
        <w:rPr>
          <w:rFonts w:ascii="Arial" w:hAnsi="Arial"/>
          <w:rtl/>
        </w:rPr>
      </w:pPr>
      <w:r>
        <w:rPr>
          <w:rFonts w:ascii="Arial" w:hAnsi="Arial" w:hint="cs"/>
          <w:rtl/>
        </w:rPr>
        <w:t xml:space="preserve">יצויין, כי בניגוד לתיק שלפנינו שבו הורשע הנאשם בייצור מספר כלי נשק וירי באמצעותם, בתיק ג'נסן היה מדובר באקדח יחיד. עם זאת צודק ב"כ הנאשם, כי נסיבותיו מתוחכמות יותר וכללו יבוא חלקי נשק מחו"ל. </w:t>
      </w:r>
    </w:p>
    <w:p w14:paraId="225669A5" w14:textId="77777777" w:rsidR="00DD1C3A" w:rsidRDefault="00DD1C3A" w:rsidP="00DD1C3A">
      <w:pPr>
        <w:spacing w:line="360" w:lineRule="auto"/>
        <w:ind w:left="793"/>
        <w:jc w:val="both"/>
        <w:rPr>
          <w:rFonts w:ascii="Arial" w:hAnsi="Arial"/>
          <w:rtl/>
        </w:rPr>
      </w:pPr>
    </w:p>
    <w:p w14:paraId="681F96E9" w14:textId="77777777" w:rsidR="00DD1C3A" w:rsidRDefault="00DD1C3A" w:rsidP="00DD1C3A">
      <w:pPr>
        <w:spacing w:line="360" w:lineRule="auto"/>
        <w:ind w:left="793"/>
        <w:jc w:val="both"/>
        <w:rPr>
          <w:rFonts w:ascii="Arial" w:hAnsi="Arial"/>
          <w:rtl/>
        </w:rPr>
      </w:pPr>
      <w:r>
        <w:rPr>
          <w:rFonts w:ascii="Arial" w:hAnsi="Arial" w:hint="cs"/>
          <w:rtl/>
        </w:rPr>
        <w:t>עוד אפנה לאסמכתאות שפורטו שם בעבירות ייצור נשק והחזקת נשק (שם, סע' 12). האסמכתאות שהגישה ההגנה (</w:t>
      </w:r>
      <w:hyperlink r:id="rId29" w:history="1">
        <w:r w:rsidR="007F7F88" w:rsidRPr="007F7F88">
          <w:rPr>
            <w:rFonts w:ascii="Arial" w:hAnsi="Arial"/>
            <w:color w:val="0000FF"/>
            <w:u w:val="single"/>
            <w:rtl/>
          </w:rPr>
          <w:t>ע"פ 7971/23</w:t>
        </w:r>
      </w:hyperlink>
      <w:r>
        <w:rPr>
          <w:rFonts w:ascii="Arial" w:hAnsi="Arial" w:hint="cs"/>
          <w:rtl/>
        </w:rPr>
        <w:t xml:space="preserve"> </w:t>
      </w:r>
      <w:r>
        <w:rPr>
          <w:rFonts w:ascii="Arial" w:hAnsi="Arial" w:hint="cs"/>
          <w:b/>
          <w:bCs/>
          <w:rtl/>
        </w:rPr>
        <w:t>אגבריה נ' מדינת ישראל</w:t>
      </w:r>
      <w:r>
        <w:rPr>
          <w:rFonts w:ascii="Arial" w:hAnsi="Arial" w:hint="cs"/>
          <w:rtl/>
        </w:rPr>
        <w:t xml:space="preserve">, 26.5.24; </w:t>
      </w:r>
      <w:hyperlink r:id="rId30" w:history="1">
        <w:r w:rsidR="007F7F88" w:rsidRPr="007F7F88">
          <w:rPr>
            <w:rFonts w:ascii="Arial" w:hAnsi="Arial"/>
            <w:color w:val="0000FF"/>
            <w:u w:val="single"/>
            <w:rtl/>
          </w:rPr>
          <w:t>ע"פ 3610/23</w:t>
        </w:r>
      </w:hyperlink>
      <w:r>
        <w:rPr>
          <w:rFonts w:ascii="Arial" w:hAnsi="Arial" w:hint="cs"/>
          <w:rtl/>
        </w:rPr>
        <w:t xml:space="preserve">, 4439/23 </w:t>
      </w:r>
      <w:r>
        <w:rPr>
          <w:rFonts w:ascii="Arial" w:hAnsi="Arial" w:hint="cs"/>
          <w:b/>
          <w:bCs/>
          <w:rtl/>
        </w:rPr>
        <w:t>גוהר וחדד</w:t>
      </w:r>
      <w:r>
        <w:rPr>
          <w:rFonts w:ascii="Arial" w:hAnsi="Arial" w:hint="cs"/>
          <w:rtl/>
        </w:rPr>
        <w:t xml:space="preserve"> נ' מדינת ישראל, 23.5.24) מלמדות על מנעד רחב בעבירות הנשק אך לא ניתן להקיש ממנה לענייננו. מהעבר השני ניתן להציג פסיקה שבה נדונו נאשמים בגין עבירת נשיאת נשק אחת או ירי מנשק חם לרף הענישה אליו טוענת ההגנה בתיק זה, הגם שנסיבותיו חמורות פי כמה וכמה (ראו למשל </w:t>
      </w:r>
      <w:hyperlink r:id="rId31" w:history="1">
        <w:r w:rsidR="007F7F88" w:rsidRPr="007F7F88">
          <w:rPr>
            <w:rFonts w:ascii="Arial" w:hAnsi="Arial"/>
            <w:color w:val="0000FF"/>
            <w:u w:val="single"/>
            <w:rtl/>
          </w:rPr>
          <w:t>ע"פ 1059/21</w:t>
        </w:r>
      </w:hyperlink>
      <w:r>
        <w:rPr>
          <w:rFonts w:ascii="Arial" w:hAnsi="Arial" w:hint="cs"/>
          <w:rtl/>
        </w:rPr>
        <w:t xml:space="preserve"> </w:t>
      </w:r>
      <w:r>
        <w:rPr>
          <w:rFonts w:ascii="Arial" w:hAnsi="Arial" w:hint="cs"/>
          <w:b/>
          <w:bCs/>
          <w:rtl/>
        </w:rPr>
        <w:t>פלוני נ' מדינת ישראל,</w:t>
      </w:r>
      <w:r>
        <w:rPr>
          <w:rFonts w:ascii="Arial" w:hAnsi="Arial" w:hint="cs"/>
          <w:rtl/>
        </w:rPr>
        <w:t xml:space="preserve"> 29.4.21; </w:t>
      </w:r>
      <w:hyperlink r:id="rId32" w:history="1">
        <w:r w:rsidR="007F7F88" w:rsidRPr="007F7F88">
          <w:rPr>
            <w:rFonts w:ascii="Arial" w:hAnsi="Arial"/>
            <w:color w:val="0000FF"/>
            <w:u w:val="single"/>
            <w:rtl/>
          </w:rPr>
          <w:t>ע"פ 5520/20</w:t>
        </w:r>
      </w:hyperlink>
      <w:r>
        <w:rPr>
          <w:rFonts w:ascii="Arial" w:hAnsi="Arial" w:hint="cs"/>
          <w:rtl/>
        </w:rPr>
        <w:t xml:space="preserve"> </w:t>
      </w:r>
      <w:r>
        <w:rPr>
          <w:rFonts w:ascii="Arial" w:hAnsi="Arial" w:hint="cs"/>
          <w:b/>
          <w:bCs/>
          <w:rtl/>
        </w:rPr>
        <w:t>חלייחל נ' מדינת ישראל</w:t>
      </w:r>
      <w:r>
        <w:rPr>
          <w:rFonts w:ascii="Arial" w:hAnsi="Arial" w:hint="cs"/>
          <w:rtl/>
        </w:rPr>
        <w:t xml:space="preserve">, 24.2.21; </w:t>
      </w:r>
      <w:hyperlink r:id="rId33" w:history="1">
        <w:r w:rsidR="007F7F88" w:rsidRPr="007F7F88">
          <w:rPr>
            <w:rFonts w:ascii="Arial" w:hAnsi="Arial"/>
            <w:color w:val="0000FF"/>
            <w:u w:val="single"/>
            <w:rtl/>
          </w:rPr>
          <w:t>ע"פ 1509/20</w:t>
        </w:r>
      </w:hyperlink>
      <w:r>
        <w:rPr>
          <w:rFonts w:ascii="Arial" w:hAnsi="Arial" w:hint="cs"/>
          <w:rtl/>
        </w:rPr>
        <w:t xml:space="preserve"> </w:t>
      </w:r>
      <w:r>
        <w:rPr>
          <w:rFonts w:ascii="Arial" w:hAnsi="Arial" w:hint="cs"/>
          <w:b/>
          <w:bCs/>
          <w:rtl/>
        </w:rPr>
        <w:t>מדינת ישראל נ' נבארי</w:t>
      </w:r>
      <w:r>
        <w:rPr>
          <w:rFonts w:ascii="Arial" w:hAnsi="Arial" w:hint="cs"/>
          <w:rtl/>
        </w:rPr>
        <w:t xml:space="preserve">, 2.7.20). מאחר שמדובר באירוע עברייני אחד אין מקום לפיצול בין עבירות הנשק השונות, המדובר בריבוי עבירות ייצור נשק, נשיאתו, החזקתו וירי באמצעותו. </w:t>
      </w:r>
    </w:p>
    <w:p w14:paraId="1EED5CC9" w14:textId="77777777" w:rsidR="00DD1C3A" w:rsidRDefault="00DD1C3A" w:rsidP="00DD1C3A">
      <w:pPr>
        <w:spacing w:line="360" w:lineRule="auto"/>
        <w:ind w:left="720" w:right="567"/>
        <w:jc w:val="both"/>
        <w:rPr>
          <w:rFonts w:ascii="Arial" w:hAnsi="Arial"/>
          <w:rtl/>
        </w:rPr>
      </w:pPr>
    </w:p>
    <w:p w14:paraId="130D5354" w14:textId="77777777" w:rsidR="00DD1C3A" w:rsidRDefault="00DD1C3A" w:rsidP="00DD1C3A">
      <w:pPr>
        <w:pStyle w:val="aa"/>
        <w:numPr>
          <w:ilvl w:val="0"/>
          <w:numId w:val="1"/>
        </w:numPr>
        <w:spacing w:line="360" w:lineRule="auto"/>
        <w:jc w:val="both"/>
        <w:rPr>
          <w:color w:val="000000"/>
          <w:rtl/>
        </w:rPr>
      </w:pPr>
      <w:r>
        <w:rPr>
          <w:rFonts w:ascii="Arial" w:hAnsi="Arial" w:hint="cs"/>
          <w:rtl/>
        </w:rPr>
        <w:t>העונש המזערי בגין עבירות ייצור נשק, בהתאם לתיקון 140 לחוק, שהוא רבע מהעונש המירבי עומד על 45 חודשים. בהתאם להלכה הפסוקה הרף התחתון של מתחם העונש ההולם ככלל לא יהיה נמוך מעונש מזערי שנקבע לעבירה הקשורה לאירוע מושא מתחם העונש ההולם, שכן עונש זה משקף, כאמור, את העמדה העונשית של המחוקק</w:t>
      </w:r>
      <w:r>
        <w:rPr>
          <w:rFonts w:hint="cs"/>
          <w:b/>
          <w:bCs/>
          <w:color w:val="000000"/>
          <w:sz w:val="14"/>
          <w:szCs w:val="14"/>
          <w:rtl/>
        </w:rPr>
        <w:t xml:space="preserve">.  </w:t>
      </w:r>
      <w:r>
        <w:rPr>
          <w:rFonts w:hint="cs"/>
          <w:color w:val="000000"/>
          <w:rtl/>
        </w:rPr>
        <w:t xml:space="preserve">לא מצאתי במקרה שבפנינו טעמים מיוחדים לסטות מכלל זה. אדרבא, הנאשם הורשע בריבוי עבירות ייצור ונשיאת נשק וכן בירי מנשק חם.  </w:t>
      </w:r>
    </w:p>
    <w:p w14:paraId="01427BDC" w14:textId="77777777" w:rsidR="00DD1C3A" w:rsidRDefault="00DD1C3A" w:rsidP="00DD1C3A">
      <w:pPr>
        <w:pStyle w:val="aa"/>
        <w:spacing w:line="360" w:lineRule="auto"/>
        <w:jc w:val="both"/>
        <w:rPr>
          <w:b/>
          <w:bCs/>
          <w:color w:val="000000"/>
          <w:sz w:val="14"/>
          <w:szCs w:val="14"/>
        </w:rPr>
      </w:pPr>
    </w:p>
    <w:p w14:paraId="6E965F31" w14:textId="77777777" w:rsidR="00DD1C3A" w:rsidRDefault="00DD1C3A" w:rsidP="00DD1C3A">
      <w:pPr>
        <w:spacing w:line="360" w:lineRule="auto"/>
        <w:ind w:left="720"/>
        <w:jc w:val="both"/>
        <w:rPr>
          <w:b/>
          <w:bCs/>
          <w:color w:val="000000"/>
          <w:sz w:val="14"/>
          <w:szCs w:val="14"/>
          <w:rtl/>
        </w:rPr>
      </w:pPr>
    </w:p>
    <w:p w14:paraId="19CEC474" w14:textId="77777777" w:rsidR="00DD1C3A" w:rsidRDefault="00DD1C3A" w:rsidP="00DD1C3A">
      <w:pPr>
        <w:pStyle w:val="aa"/>
        <w:numPr>
          <w:ilvl w:val="0"/>
          <w:numId w:val="1"/>
        </w:numPr>
        <w:spacing w:after="120" w:line="360" w:lineRule="auto"/>
        <w:jc w:val="both"/>
        <w:rPr>
          <w:b/>
          <w:bCs/>
          <w:color w:val="000000"/>
          <w:rtl/>
        </w:rPr>
      </w:pPr>
      <w:r>
        <w:rPr>
          <w:rFonts w:hint="cs"/>
          <w:b/>
          <w:bCs/>
          <w:color w:val="000000"/>
          <w:rtl/>
        </w:rPr>
        <w:t xml:space="preserve">לאחר ששקלתי את כלל השיקולים, נסיבות מעשי הנאשם, עתירת המאשימה המתונה והוראת </w:t>
      </w:r>
      <w:hyperlink r:id="rId34" w:history="1">
        <w:r w:rsidR="00765FB5" w:rsidRPr="00765FB5">
          <w:rPr>
            <w:rStyle w:val="Hyperlink"/>
            <w:rFonts w:hint="eastAsia"/>
            <w:b/>
            <w:bCs/>
            <w:color w:val="0000FF"/>
            <w:rtl/>
          </w:rPr>
          <w:t>סעיף</w:t>
        </w:r>
        <w:r w:rsidR="00765FB5" w:rsidRPr="00765FB5">
          <w:rPr>
            <w:rStyle w:val="Hyperlink"/>
            <w:b/>
            <w:bCs/>
            <w:color w:val="0000FF"/>
            <w:rtl/>
          </w:rPr>
          <w:t xml:space="preserve"> 140</w:t>
        </w:r>
      </w:hyperlink>
      <w:r>
        <w:rPr>
          <w:rFonts w:hint="cs"/>
          <w:b/>
          <w:bCs/>
          <w:color w:val="000000"/>
          <w:rtl/>
        </w:rPr>
        <w:t xml:space="preserve"> לחוק, מצאתי לקבוע מתחם ענישה הנע בין 48-72 חודשי מאסר. </w:t>
      </w:r>
    </w:p>
    <w:p w14:paraId="2C535981" w14:textId="77777777" w:rsidR="00DD1C3A" w:rsidRDefault="00DD1C3A" w:rsidP="00DD1C3A">
      <w:pPr>
        <w:spacing w:line="360" w:lineRule="auto"/>
        <w:ind w:left="720"/>
        <w:contextualSpacing/>
        <w:jc w:val="both"/>
        <w:rPr>
          <w:rtl/>
          <w:lang w:eastAsia="he-IL"/>
        </w:rPr>
      </w:pPr>
      <w:r>
        <w:rPr>
          <w:rFonts w:hint="cs"/>
          <w:rtl/>
          <w:lang w:eastAsia="he-IL"/>
        </w:rPr>
        <w:t xml:space="preserve">     </w:t>
      </w:r>
    </w:p>
    <w:p w14:paraId="149D68A8" w14:textId="77777777" w:rsidR="00DD1C3A" w:rsidRDefault="00DD1C3A" w:rsidP="00DD1C3A">
      <w:pPr>
        <w:pStyle w:val="aa"/>
        <w:spacing w:line="360" w:lineRule="auto"/>
        <w:jc w:val="both"/>
        <w:rPr>
          <w:rFonts w:eastAsia="David"/>
          <w:b/>
          <w:bCs/>
        </w:rPr>
      </w:pPr>
      <w:r>
        <w:rPr>
          <w:rFonts w:hint="cs"/>
          <w:b/>
          <w:bCs/>
          <w:color w:val="000000"/>
          <w:rtl/>
        </w:rPr>
        <w:t>מכאן לנאשם</w:t>
      </w:r>
      <w:r>
        <w:rPr>
          <w:b/>
          <w:bCs/>
          <w:color w:val="000000"/>
        </w:rPr>
        <w:t>.</w:t>
      </w:r>
    </w:p>
    <w:p w14:paraId="75C4B0BF" w14:textId="77777777" w:rsidR="00DD1C3A" w:rsidRDefault="00DD1C3A" w:rsidP="00DD1C3A">
      <w:pPr>
        <w:spacing w:line="360" w:lineRule="auto"/>
        <w:ind w:left="720"/>
        <w:contextualSpacing/>
        <w:jc w:val="both"/>
        <w:rPr>
          <w:rtl/>
        </w:rPr>
      </w:pPr>
    </w:p>
    <w:p w14:paraId="15BD86AD" w14:textId="77777777" w:rsidR="00DD1C3A" w:rsidRDefault="00DD1C3A" w:rsidP="00DD1C3A">
      <w:pPr>
        <w:numPr>
          <w:ilvl w:val="0"/>
          <w:numId w:val="1"/>
        </w:numPr>
        <w:spacing w:after="160" w:line="360" w:lineRule="auto"/>
        <w:contextualSpacing/>
        <w:jc w:val="both"/>
        <w:rPr>
          <w:rtl/>
        </w:rPr>
      </w:pPr>
      <w:r>
        <w:rPr>
          <w:rFonts w:hint="cs"/>
          <w:rtl/>
          <w:lang w:eastAsia="he-IL"/>
        </w:rPr>
        <w:t>הנאשם בן 46, פרוד ואב לחמישה ילדים, עבד טרם מעצרו כמסגר. לנאשם שתי הרשעות קודמות, האחת משנת 2014 בעבירות של תקיפת זקן והיזק במזיד בגינה נדון לארבעה חודשי עבודות שירות והרשעה נוספת משנת 2023 בעבירות של היזק לרכוש ותקיפת בת זוג. כמפורט בגזר הדין (</w:t>
      </w:r>
      <w:hyperlink r:id="rId35" w:history="1">
        <w:r w:rsidR="007F7F88" w:rsidRPr="007F7F88">
          <w:rPr>
            <w:color w:val="0000FF"/>
            <w:u w:val="single"/>
            <w:rtl/>
            <w:lang w:eastAsia="he-IL"/>
          </w:rPr>
          <w:t>ת"פ 6961-05-21</w:t>
        </w:r>
      </w:hyperlink>
      <w:r>
        <w:rPr>
          <w:rFonts w:hint="cs"/>
          <w:rtl/>
          <w:lang w:eastAsia="he-IL"/>
        </w:rPr>
        <w:t xml:space="preserve">, מיום 26.12.23, ת/5) הורשע הנאשם בכך שבמהלך ויכוח עם בת זוגו, דחף אותה ושבר חפצים בביתם, הנאשם הופנה לתסקיר, שלל נזקקות טיפולית ונדון לבסוף למאסר קצר בן חודש. </w:t>
      </w:r>
    </w:p>
    <w:p w14:paraId="22E454EB" w14:textId="77777777" w:rsidR="00DD1C3A" w:rsidRDefault="00DD1C3A" w:rsidP="00DD1C3A">
      <w:pPr>
        <w:spacing w:after="160" w:line="360" w:lineRule="auto"/>
        <w:ind w:left="720"/>
        <w:contextualSpacing/>
        <w:jc w:val="both"/>
      </w:pPr>
    </w:p>
    <w:p w14:paraId="2C9A8C72" w14:textId="77777777" w:rsidR="00DD1C3A" w:rsidRDefault="00DD1C3A" w:rsidP="00DD1C3A">
      <w:pPr>
        <w:numPr>
          <w:ilvl w:val="0"/>
          <w:numId w:val="1"/>
        </w:numPr>
        <w:spacing w:after="160" w:line="360" w:lineRule="auto"/>
        <w:contextualSpacing/>
        <w:jc w:val="both"/>
        <w:rPr>
          <w:lang w:eastAsia="he-IL"/>
        </w:rPr>
      </w:pPr>
      <w:r>
        <w:rPr>
          <w:rFonts w:hint="cs"/>
          <w:rtl/>
        </w:rPr>
        <w:t xml:space="preserve">תסקירו של הנאשם אינו חיובי. הנאשם נוטל אחריות פורמלית למעשיו אך מקל ראש בחומרתם והשלכותיהם, מדובר במי שמודה שמשתמש בסמים ואלכוהול אם כי נמצא נקי בבדיקת שתן שנערכה לו במהלך מעצרו (נ/1). שירות המבחן התרשם כי הוא מתקשה  לבחון את התנהלותו הבעייתית ומחזיק בעמדות מקלות בכל הקשור לשימוש וייצור נשק, עוד שלל נזקקות טיפולית. לפיכך הוערך כי נשקף סיכון במצבו ויש מקום להטלת ענישה מוחשית. </w:t>
      </w:r>
      <w:r>
        <w:rPr>
          <w:rFonts w:hint="cs"/>
          <w:rtl/>
          <w:lang w:eastAsia="he-IL"/>
        </w:rPr>
        <w:t xml:space="preserve">הנאשם הודה במיוחס לו, מעדויות אחותו ובת זוגו נטען כי אלים ומחובר מאד לילדיו. </w:t>
      </w:r>
    </w:p>
    <w:p w14:paraId="400AB96C" w14:textId="77777777" w:rsidR="00DD1C3A" w:rsidRDefault="00DD1C3A" w:rsidP="00DD1C3A">
      <w:pPr>
        <w:pStyle w:val="aa"/>
        <w:rPr>
          <w:lang w:eastAsia="he-IL"/>
        </w:rPr>
      </w:pPr>
    </w:p>
    <w:p w14:paraId="76782D10" w14:textId="77777777" w:rsidR="00DD1C3A" w:rsidRDefault="00DD1C3A" w:rsidP="00DD1C3A">
      <w:pPr>
        <w:numPr>
          <w:ilvl w:val="0"/>
          <w:numId w:val="1"/>
        </w:numPr>
        <w:spacing w:after="160" w:line="360" w:lineRule="auto"/>
        <w:contextualSpacing/>
        <w:jc w:val="both"/>
        <w:rPr>
          <w:rFonts w:eastAsia="David"/>
          <w:rtl/>
        </w:rPr>
      </w:pPr>
      <w:r>
        <w:rPr>
          <w:rFonts w:hint="cs"/>
          <w:rtl/>
          <w:lang w:eastAsia="he-IL"/>
        </w:rPr>
        <w:t xml:space="preserve">לאחר שבחנתי את כלל השיקולים מצאתי למקם את עונשו של הנאשם, חרף עברו הפלילי והעדר המלצה טיפולית,  בחלקו התחתון של המתחם ולגזור עליו קנס שאינו מכביד. </w:t>
      </w:r>
    </w:p>
    <w:p w14:paraId="7B65ADEE" w14:textId="77777777" w:rsidR="00DD1C3A" w:rsidRDefault="00DD1C3A" w:rsidP="00DD1C3A">
      <w:pPr>
        <w:pStyle w:val="aa"/>
      </w:pPr>
    </w:p>
    <w:p w14:paraId="06CE6BB1" w14:textId="77777777" w:rsidR="00DD1C3A" w:rsidRDefault="00DD1C3A" w:rsidP="00DD1C3A">
      <w:pPr>
        <w:numPr>
          <w:ilvl w:val="0"/>
          <w:numId w:val="1"/>
        </w:numPr>
        <w:spacing w:after="160" w:line="360" w:lineRule="auto"/>
        <w:contextualSpacing/>
        <w:jc w:val="both"/>
        <w:rPr>
          <w:b/>
          <w:bCs/>
          <w:rtl/>
        </w:rPr>
      </w:pPr>
      <w:r>
        <w:rPr>
          <w:rFonts w:hint="cs"/>
          <w:b/>
          <w:bCs/>
          <w:rtl/>
        </w:rPr>
        <w:t>אני גוזרת, איפוא, על הנאשם את העונשים הבאים:</w:t>
      </w:r>
    </w:p>
    <w:p w14:paraId="38060BE4" w14:textId="77777777" w:rsidR="00DD1C3A" w:rsidRDefault="00DD1C3A" w:rsidP="00DD1C3A">
      <w:pPr>
        <w:numPr>
          <w:ilvl w:val="0"/>
          <w:numId w:val="3"/>
        </w:numPr>
        <w:spacing w:after="160" w:line="360" w:lineRule="auto"/>
        <w:ind w:left="1077" w:hanging="357"/>
        <w:contextualSpacing/>
        <w:jc w:val="both"/>
        <w:rPr>
          <w:rtl/>
        </w:rPr>
      </w:pPr>
      <w:r>
        <w:rPr>
          <w:rFonts w:hint="cs"/>
          <w:rtl/>
        </w:rPr>
        <w:t>50 חודשי מאסר החל מיום מעצרו 11.10.23</w:t>
      </w:r>
    </w:p>
    <w:p w14:paraId="5B02F235" w14:textId="77777777" w:rsidR="00DD1C3A" w:rsidRDefault="00DD1C3A" w:rsidP="00DD1C3A">
      <w:pPr>
        <w:numPr>
          <w:ilvl w:val="0"/>
          <w:numId w:val="3"/>
        </w:numPr>
        <w:spacing w:after="160" w:line="360" w:lineRule="auto"/>
        <w:ind w:left="1077" w:hanging="357"/>
        <w:contextualSpacing/>
        <w:jc w:val="both"/>
      </w:pPr>
      <w:r>
        <w:rPr>
          <w:rFonts w:hint="cs"/>
          <w:rtl/>
        </w:rPr>
        <w:t>מאסר על תנאי בן 12 חודשים לבל יעבור עבירת נשק מסוג פשע במשך שנתיים מיום שחרורו ממאסר.</w:t>
      </w:r>
    </w:p>
    <w:p w14:paraId="1B12C6EE" w14:textId="77777777" w:rsidR="00DD1C3A" w:rsidRDefault="00DD1C3A" w:rsidP="00DD1C3A">
      <w:pPr>
        <w:numPr>
          <w:ilvl w:val="0"/>
          <w:numId w:val="3"/>
        </w:numPr>
        <w:spacing w:after="160" w:line="360" w:lineRule="auto"/>
        <w:ind w:left="1077" w:hanging="357"/>
        <w:contextualSpacing/>
        <w:jc w:val="both"/>
      </w:pPr>
      <w:r>
        <w:rPr>
          <w:rFonts w:hint="cs"/>
          <w:rtl/>
        </w:rPr>
        <w:t xml:space="preserve">קנס בסך 3,000 ₪ או 30 ימי מאסר תמורתו. הקנס ישולם בחמישה תשלומים שווים ורצופים החל מיום 15.9.24.  </w:t>
      </w:r>
    </w:p>
    <w:p w14:paraId="3A664C9D" w14:textId="77777777" w:rsidR="00DD1C3A" w:rsidRDefault="00DD1C3A" w:rsidP="00DD1C3A">
      <w:pPr>
        <w:spacing w:line="360" w:lineRule="auto"/>
        <w:jc w:val="both"/>
      </w:pPr>
    </w:p>
    <w:p w14:paraId="0195E6B3" w14:textId="77777777" w:rsidR="00DD1C3A" w:rsidRDefault="00DD1C3A" w:rsidP="00DD1C3A">
      <w:pPr>
        <w:spacing w:line="360" w:lineRule="auto"/>
        <w:jc w:val="both"/>
        <w:rPr>
          <w:b/>
          <w:bCs/>
          <w:rtl/>
        </w:rPr>
      </w:pPr>
      <w:r>
        <w:rPr>
          <w:rFonts w:hint="cs"/>
          <w:b/>
          <w:bCs/>
          <w:rtl/>
        </w:rPr>
        <w:t>הנשק, תחמושת וחלקי נשק- יושמדו/יחולטו.</w:t>
      </w:r>
    </w:p>
    <w:p w14:paraId="6EC01553" w14:textId="77777777" w:rsidR="00DD1C3A" w:rsidRDefault="00DD1C3A" w:rsidP="00DD1C3A">
      <w:pPr>
        <w:spacing w:line="360" w:lineRule="auto"/>
        <w:jc w:val="both"/>
        <w:rPr>
          <w:b/>
          <w:bCs/>
          <w:rtl/>
        </w:rPr>
      </w:pPr>
      <w:r>
        <w:rPr>
          <w:rFonts w:hint="cs"/>
          <w:b/>
          <w:bCs/>
          <w:rtl/>
        </w:rPr>
        <w:t xml:space="preserve">צו כללי למוצגים לשק"ד ק' משטרה. </w:t>
      </w:r>
    </w:p>
    <w:p w14:paraId="59FF091D" w14:textId="77777777" w:rsidR="00DD1C3A" w:rsidRDefault="00DD1C3A" w:rsidP="00DD1C3A">
      <w:pPr>
        <w:spacing w:line="360" w:lineRule="auto"/>
        <w:jc w:val="both"/>
        <w:rPr>
          <w:b/>
          <w:bCs/>
          <w:rtl/>
        </w:rPr>
      </w:pPr>
    </w:p>
    <w:p w14:paraId="280D7B92" w14:textId="77777777" w:rsidR="00DD1C3A" w:rsidRDefault="00DD1C3A" w:rsidP="00DD1C3A">
      <w:pPr>
        <w:spacing w:line="360" w:lineRule="auto"/>
        <w:jc w:val="both"/>
      </w:pPr>
      <w:r>
        <w:rPr>
          <w:rFonts w:hint="cs"/>
          <w:b/>
          <w:bCs/>
          <w:rtl/>
        </w:rPr>
        <w:t xml:space="preserve">זכות ערעור לבית המשפט העליון תוך 45 יום. </w:t>
      </w:r>
    </w:p>
    <w:p w14:paraId="284A684E" w14:textId="77777777" w:rsidR="00DD1C3A" w:rsidRPr="007F7F88" w:rsidRDefault="007F7F88" w:rsidP="00DD1C3A">
      <w:pPr>
        <w:rPr>
          <w:color w:val="FFFFFF"/>
          <w:sz w:val="2"/>
          <w:szCs w:val="2"/>
        </w:rPr>
      </w:pPr>
      <w:r w:rsidRPr="007F7F88">
        <w:rPr>
          <w:color w:val="FFFFFF"/>
          <w:sz w:val="2"/>
          <w:szCs w:val="2"/>
          <w:rtl/>
        </w:rPr>
        <w:t>5129371</w:t>
      </w:r>
    </w:p>
    <w:p w14:paraId="49905120" w14:textId="77777777" w:rsidR="00DD1C3A" w:rsidRPr="007F7F88" w:rsidRDefault="007F7F88" w:rsidP="00DD1C3A">
      <w:pPr>
        <w:rPr>
          <w:rFonts w:ascii="Arial" w:hAnsi="Arial"/>
          <w:b/>
          <w:bCs/>
          <w:color w:val="FFFFFF"/>
          <w:sz w:val="2"/>
          <w:szCs w:val="2"/>
          <w:rtl/>
        </w:rPr>
      </w:pPr>
      <w:r w:rsidRPr="007F7F88">
        <w:rPr>
          <w:rFonts w:ascii="Arial" w:hAnsi="Arial"/>
          <w:b/>
          <w:bCs/>
          <w:color w:val="FFFFFF"/>
          <w:sz w:val="2"/>
          <w:szCs w:val="2"/>
          <w:rtl/>
        </w:rPr>
        <w:t>54678313</w:t>
      </w:r>
    </w:p>
    <w:p w14:paraId="40851BD5" w14:textId="77777777" w:rsidR="00DD1C3A" w:rsidRPr="000F2247" w:rsidRDefault="00DD1C3A" w:rsidP="00DD1C3A">
      <w:pPr>
        <w:rPr>
          <w:rFonts w:ascii="Arial" w:hAnsi="Arial"/>
          <w:b/>
          <w:bCs/>
          <w:sz w:val="26"/>
          <w:szCs w:val="26"/>
          <w:rtl/>
        </w:rPr>
      </w:pPr>
    </w:p>
    <w:p w14:paraId="4D8980BC" w14:textId="77777777" w:rsidR="00DD1C3A" w:rsidRPr="000F2247" w:rsidRDefault="007F7F88" w:rsidP="00DD1C3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ח' תמוז תשפ"ד, 14 יולי 2024, במעמד הצדדים. </w:t>
      </w:r>
      <w:bookmarkEnd w:id="8"/>
      <w:r w:rsidR="00DD1C3A">
        <w:rPr>
          <w:rFonts w:ascii="Arial" w:hAnsi="Arial"/>
          <w:b/>
          <w:bCs/>
          <w:sz w:val="26"/>
          <w:szCs w:val="26"/>
          <w:rtl/>
        </w:rPr>
        <w:tab/>
      </w:r>
      <w:r w:rsidR="00DD1C3A">
        <w:rPr>
          <w:rFonts w:ascii="Arial" w:hAnsi="Arial"/>
          <w:b/>
          <w:bCs/>
          <w:sz w:val="26"/>
          <w:szCs w:val="26"/>
          <w:rtl/>
        </w:rPr>
        <w:tab/>
      </w:r>
      <w:r w:rsidR="00DD1C3A">
        <w:rPr>
          <w:rFonts w:ascii="Arial" w:hAnsi="Arial"/>
          <w:b/>
          <w:bCs/>
          <w:sz w:val="26"/>
          <w:szCs w:val="26"/>
          <w:rtl/>
        </w:rPr>
        <w:tab/>
      </w:r>
      <w:r w:rsidR="00DD1C3A">
        <w:rPr>
          <w:rFonts w:ascii="Arial" w:hAnsi="Arial"/>
          <w:b/>
          <w:bCs/>
          <w:sz w:val="26"/>
          <w:szCs w:val="26"/>
          <w:rtl/>
        </w:rPr>
        <w:tab/>
      </w:r>
      <w:r w:rsidR="00DD1C3A">
        <w:rPr>
          <w:rFonts w:ascii="Arial" w:hAnsi="Arial"/>
          <w:b/>
          <w:bCs/>
          <w:sz w:val="26"/>
          <w:szCs w:val="26"/>
          <w:rtl/>
        </w:rPr>
        <w:tab/>
      </w:r>
      <w:r w:rsidR="00DD1C3A">
        <w:rPr>
          <w:rFonts w:ascii="Arial" w:hAnsi="Arial"/>
          <w:b/>
          <w:bCs/>
          <w:sz w:val="26"/>
          <w:szCs w:val="26"/>
          <w:rtl/>
        </w:rPr>
        <w:tab/>
      </w:r>
      <w:r w:rsidR="00DD1C3A">
        <w:rPr>
          <w:rFonts w:ascii="Arial" w:hAnsi="Arial"/>
          <w:b/>
          <w:bCs/>
          <w:sz w:val="26"/>
          <w:szCs w:val="26"/>
          <w:rtl/>
        </w:rPr>
        <w:tab/>
      </w:r>
      <w:r w:rsidR="00DD1C3A">
        <w:rPr>
          <w:rFonts w:ascii="Arial" w:hAnsi="Arial" w:hint="cs"/>
          <w:b/>
          <w:bCs/>
          <w:sz w:val="26"/>
          <w:szCs w:val="26"/>
          <w:rtl/>
        </w:rPr>
        <w:t xml:space="preserve">         </w:t>
      </w:r>
    </w:p>
    <w:p w14:paraId="2F1C9BA4" w14:textId="77777777" w:rsidR="00DD1C3A" w:rsidRPr="000F2247" w:rsidRDefault="00DD1C3A" w:rsidP="007F7F8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78BB944" w14:textId="77777777" w:rsidR="007F7F88" w:rsidRDefault="00765FB5" w:rsidP="007F7F88">
      <w:r w:rsidRPr="00765FB5">
        <w:rPr>
          <w:rFonts w:ascii="Arial" w:hAnsi="Arial"/>
          <w:b/>
          <w:bCs/>
          <w:color w:val="FFFFFF"/>
          <w:sz w:val="2"/>
          <w:szCs w:val="2"/>
          <w:rtl/>
        </w:rPr>
        <w:t>5129371</w:t>
      </w:r>
    </w:p>
    <w:p w14:paraId="464F6BF9" w14:textId="77777777" w:rsidR="007F7F88" w:rsidRDefault="007F7F88" w:rsidP="007F7F88">
      <w:pPr>
        <w:rPr>
          <w:rtl/>
        </w:rPr>
      </w:pPr>
    </w:p>
    <w:p w14:paraId="6FEE1C7A" w14:textId="77777777" w:rsidR="007F7F88" w:rsidRDefault="007F7F88" w:rsidP="007F7F88">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1CC7592D" w14:textId="77777777" w:rsidR="00765FB5" w:rsidRPr="00765FB5" w:rsidRDefault="00765FB5" w:rsidP="00765FB5">
      <w:pPr>
        <w:keepNext/>
        <w:rPr>
          <w:rFonts w:ascii="David" w:hAnsi="David"/>
          <w:color w:val="000000"/>
          <w:sz w:val="22"/>
          <w:szCs w:val="22"/>
          <w:rtl/>
        </w:rPr>
      </w:pPr>
    </w:p>
    <w:p w14:paraId="26B4D9B5" w14:textId="77777777" w:rsidR="00765FB5" w:rsidRPr="00765FB5" w:rsidRDefault="00765FB5" w:rsidP="00765FB5">
      <w:pPr>
        <w:keepNext/>
        <w:rPr>
          <w:rFonts w:ascii="David" w:hAnsi="David"/>
          <w:color w:val="000000"/>
          <w:sz w:val="22"/>
          <w:szCs w:val="22"/>
          <w:rtl/>
        </w:rPr>
      </w:pPr>
      <w:r w:rsidRPr="00765FB5">
        <w:rPr>
          <w:rFonts w:ascii="David" w:hAnsi="David"/>
          <w:color w:val="000000"/>
          <w:sz w:val="22"/>
          <w:szCs w:val="22"/>
          <w:rtl/>
        </w:rPr>
        <w:t>מרב גרינברג 54678313-/</w:t>
      </w:r>
    </w:p>
    <w:p w14:paraId="0310BDBD" w14:textId="77777777" w:rsidR="007F7F88" w:rsidRPr="007F7F88" w:rsidRDefault="00765FB5" w:rsidP="00765FB5">
      <w:pPr>
        <w:rPr>
          <w:color w:val="0000FF"/>
          <w:u w:val="single"/>
        </w:rPr>
      </w:pPr>
      <w:r w:rsidRPr="00765FB5">
        <w:rPr>
          <w:color w:val="000000"/>
          <w:u w:val="single"/>
          <w:rtl/>
        </w:rPr>
        <w:t>נוסח מסמך זה כפוף לשינויי ניסוח ועריכה</w:t>
      </w:r>
    </w:p>
    <w:sectPr w:rsidR="007F7F88" w:rsidRPr="007F7F88" w:rsidSect="00765FB5">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20096" w14:textId="77777777" w:rsidR="00FD0377" w:rsidRDefault="00FD0377" w:rsidP="006762CE">
      <w:r>
        <w:separator/>
      </w:r>
    </w:p>
  </w:endnote>
  <w:endnote w:type="continuationSeparator" w:id="0">
    <w:p w14:paraId="2DC135C9" w14:textId="77777777" w:rsidR="00FD0377" w:rsidRDefault="00FD0377" w:rsidP="00676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62407" w14:textId="77777777" w:rsidR="00765FB5" w:rsidRDefault="00765FB5" w:rsidP="00765F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210FF1A" w14:textId="77777777" w:rsidR="00142D14" w:rsidRPr="00765FB5" w:rsidRDefault="00765FB5" w:rsidP="00765FB5">
    <w:pPr>
      <w:pStyle w:val="a5"/>
      <w:pBdr>
        <w:top w:val="single" w:sz="4" w:space="1" w:color="auto"/>
        <w:between w:val="single" w:sz="4" w:space="0" w:color="auto"/>
      </w:pBdr>
      <w:spacing w:after="60"/>
      <w:jc w:val="center"/>
      <w:rPr>
        <w:rFonts w:ascii="FrankRuehl" w:hAnsi="FrankRuehl" w:cs="FrankRuehl"/>
        <w:color w:val="000000"/>
      </w:rPr>
    </w:pPr>
    <w:r w:rsidRPr="00765FB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58CEE" w14:textId="77777777" w:rsidR="00765FB5" w:rsidRDefault="00765FB5" w:rsidP="00765F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3449">
      <w:rPr>
        <w:rFonts w:ascii="FrankRuehl" w:hAnsi="FrankRuehl" w:cs="FrankRuehl"/>
        <w:noProof/>
        <w:rtl/>
      </w:rPr>
      <w:t>1</w:t>
    </w:r>
    <w:r>
      <w:rPr>
        <w:rFonts w:ascii="FrankRuehl" w:hAnsi="FrankRuehl" w:cs="FrankRuehl"/>
        <w:rtl/>
      </w:rPr>
      <w:fldChar w:fldCharType="end"/>
    </w:r>
  </w:p>
  <w:p w14:paraId="4AAC6C4A" w14:textId="77777777" w:rsidR="00142D14" w:rsidRPr="00765FB5" w:rsidRDefault="00765FB5" w:rsidP="00765FB5">
    <w:pPr>
      <w:pStyle w:val="a5"/>
      <w:pBdr>
        <w:top w:val="single" w:sz="4" w:space="1" w:color="auto"/>
        <w:between w:val="single" w:sz="4" w:space="0" w:color="auto"/>
      </w:pBdr>
      <w:spacing w:after="60"/>
      <w:jc w:val="center"/>
      <w:rPr>
        <w:rFonts w:ascii="FrankRuehl" w:hAnsi="FrankRuehl" w:cs="FrankRuehl"/>
        <w:color w:val="000000"/>
      </w:rPr>
    </w:pPr>
    <w:r w:rsidRPr="00765FB5">
      <w:rPr>
        <w:rFonts w:ascii="FrankRuehl" w:hAnsi="FrankRuehl" w:cs="FrankRuehl"/>
        <w:color w:val="000000"/>
      </w:rPr>
      <w:pict w14:anchorId="01F06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1E8D2" w14:textId="77777777" w:rsidR="00FD0377" w:rsidRDefault="00FD0377" w:rsidP="006762CE">
      <w:r>
        <w:separator/>
      </w:r>
    </w:p>
  </w:footnote>
  <w:footnote w:type="continuationSeparator" w:id="0">
    <w:p w14:paraId="73414F10" w14:textId="77777777" w:rsidR="00FD0377" w:rsidRDefault="00FD0377" w:rsidP="00676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7430" w14:textId="77777777" w:rsidR="007F7F88" w:rsidRPr="00765FB5" w:rsidRDefault="00765FB5" w:rsidP="00765FB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33318-10-23</w:t>
    </w:r>
    <w:r>
      <w:rPr>
        <w:rFonts w:ascii="David" w:hAnsi="David"/>
        <w:color w:val="000000"/>
        <w:sz w:val="22"/>
        <w:szCs w:val="22"/>
        <w:rtl/>
      </w:rPr>
      <w:tab/>
      <w:t xml:space="preserve"> מדינת ישראל נ' אלכסיי נוחימוביץ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AEB2F" w14:textId="77777777" w:rsidR="007F7F88" w:rsidRPr="00765FB5" w:rsidRDefault="00765FB5" w:rsidP="00765FB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33318-10-23</w:t>
    </w:r>
    <w:r>
      <w:rPr>
        <w:rFonts w:ascii="David" w:hAnsi="David"/>
        <w:color w:val="000000"/>
        <w:sz w:val="22"/>
        <w:szCs w:val="22"/>
        <w:rtl/>
      </w:rPr>
      <w:tab/>
      <w:t xml:space="preserve"> מדינת ישראל נ' אלכסיי נוחימוביץ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5B2EE6"/>
    <w:multiLevelType w:val="hybridMultilevel"/>
    <w:tmpl w:val="45AAEF70"/>
    <w:lvl w:ilvl="0" w:tplc="FDCADE00">
      <w:numFmt w:val="bullet"/>
      <w:lvlText w:val="-"/>
      <w:lvlJc w:val="left"/>
      <w:pPr>
        <w:ind w:left="1080" w:hanging="360"/>
      </w:pPr>
      <w:rPr>
        <w:rFonts w:ascii="David" w:eastAsia="David"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C356E9"/>
    <w:multiLevelType w:val="hybridMultilevel"/>
    <w:tmpl w:val="804C83B4"/>
    <w:lvl w:ilvl="0" w:tplc="3E76A85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986822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8485832">
    <w:abstractNumId w:val="0"/>
  </w:num>
  <w:num w:numId="3" w16cid:durableId="14801492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1C3A"/>
    <w:rsid w:val="00142D14"/>
    <w:rsid w:val="001B5A3B"/>
    <w:rsid w:val="006762CE"/>
    <w:rsid w:val="00765FB5"/>
    <w:rsid w:val="007A3449"/>
    <w:rsid w:val="007B3099"/>
    <w:rsid w:val="007F7F88"/>
    <w:rsid w:val="00860B64"/>
    <w:rsid w:val="00DD1C3A"/>
    <w:rsid w:val="00FD03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E984D2"/>
  <w15:chartTrackingRefBased/>
  <w15:docId w15:val="{2A620ADD-7AFB-41B7-A0D5-00B4E0DEC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1C3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D1C3A"/>
    <w:pPr>
      <w:tabs>
        <w:tab w:val="center" w:pos="4153"/>
        <w:tab w:val="right" w:pos="8306"/>
      </w:tabs>
    </w:pPr>
  </w:style>
  <w:style w:type="character" w:customStyle="1" w:styleId="a4">
    <w:name w:val="כותרת עליונה תו"/>
    <w:link w:val="a3"/>
    <w:rsid w:val="00DD1C3A"/>
    <w:rPr>
      <w:rFonts w:ascii="Times New Roman" w:eastAsia="Times New Roman" w:hAnsi="Times New Roman" w:cs="David"/>
      <w:sz w:val="24"/>
      <w:szCs w:val="24"/>
    </w:rPr>
  </w:style>
  <w:style w:type="paragraph" w:styleId="a5">
    <w:name w:val="footer"/>
    <w:basedOn w:val="a"/>
    <w:link w:val="a6"/>
    <w:rsid w:val="00DD1C3A"/>
    <w:pPr>
      <w:tabs>
        <w:tab w:val="center" w:pos="4153"/>
        <w:tab w:val="right" w:pos="8306"/>
      </w:tabs>
    </w:pPr>
  </w:style>
  <w:style w:type="character" w:customStyle="1" w:styleId="a6">
    <w:name w:val="כותרת תחתונה תו"/>
    <w:link w:val="a5"/>
    <w:rsid w:val="00DD1C3A"/>
    <w:rPr>
      <w:rFonts w:ascii="Times New Roman" w:eastAsia="Times New Roman" w:hAnsi="Times New Roman" w:cs="David"/>
      <w:sz w:val="24"/>
      <w:szCs w:val="24"/>
    </w:rPr>
  </w:style>
  <w:style w:type="table" w:styleId="a7">
    <w:name w:val="Table Grid"/>
    <w:basedOn w:val="a1"/>
    <w:rsid w:val="00DD1C3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D1C3A"/>
  </w:style>
  <w:style w:type="character" w:customStyle="1" w:styleId="a9">
    <w:name w:val="פיסקת רשימה תו"/>
    <w:link w:val="aa"/>
    <w:locked/>
    <w:rsid w:val="00DD1C3A"/>
    <w:rPr>
      <w:rFonts w:ascii="David" w:hAnsi="David" w:cs="David"/>
      <w:sz w:val="24"/>
      <w:szCs w:val="24"/>
    </w:rPr>
  </w:style>
  <w:style w:type="paragraph" w:styleId="aa">
    <w:name w:val="List Paragraph"/>
    <w:basedOn w:val="a"/>
    <w:link w:val="a9"/>
    <w:qFormat/>
    <w:rsid w:val="00DD1C3A"/>
    <w:pPr>
      <w:ind w:left="720"/>
      <w:contextualSpacing/>
    </w:pPr>
    <w:rPr>
      <w:rFonts w:ascii="David" w:eastAsia="Calibri" w:hAnsi="David"/>
    </w:rPr>
  </w:style>
  <w:style w:type="character" w:styleId="Hyperlink">
    <w:name w:val="Hyperlink"/>
    <w:rsid w:val="007F7F8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340.a" TargetMode="External"/><Relationship Id="rId26" Type="http://schemas.openxmlformats.org/officeDocument/2006/relationships/hyperlink" Target="http://www.nevo.co.il/case/28452933" TargetMode="External"/><Relationship Id="rId39" Type="http://schemas.openxmlformats.org/officeDocument/2006/relationships/footer" Target="footer1.xml"/><Relationship Id="rId21" Type="http://schemas.openxmlformats.org/officeDocument/2006/relationships/hyperlink" Target="http://www.nevo.co.il/case/28384637" TargetMode="External"/><Relationship Id="rId34" Type="http://schemas.openxmlformats.org/officeDocument/2006/relationships/hyperlink" Target="http://www.nevo.co.il/law/70301/140"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0" Type="http://schemas.openxmlformats.org/officeDocument/2006/relationships/hyperlink" Target="http://www.nevo.co.il/case/28266138" TargetMode="External"/><Relationship Id="rId29" Type="http://schemas.openxmlformats.org/officeDocument/2006/relationships/hyperlink" Target="http://www.nevo.co.il/case/30168342"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2" TargetMode="External"/><Relationship Id="rId24" Type="http://schemas.openxmlformats.org/officeDocument/2006/relationships/hyperlink" Target="http://www.nevo.co.il/case/27911638" TargetMode="External"/><Relationship Id="rId32" Type="http://schemas.openxmlformats.org/officeDocument/2006/relationships/hyperlink" Target="http://www.nevo.co.il/case/26905925"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27894608" TargetMode="External"/><Relationship Id="rId28" Type="http://schemas.openxmlformats.org/officeDocument/2006/relationships/hyperlink" Target="http://www.nevo.co.il/case/23750625"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29053448" TargetMode="External"/><Relationship Id="rId31" Type="http://schemas.openxmlformats.org/officeDocument/2006/relationships/hyperlink" Target="http://www.nevo.co.il/case/27404359"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8243273" TargetMode="External"/><Relationship Id="rId27" Type="http://schemas.openxmlformats.org/officeDocument/2006/relationships/hyperlink" Target="http://www.nevo.co.il/case/30336947" TargetMode="External"/><Relationship Id="rId30" Type="http://schemas.openxmlformats.org/officeDocument/2006/relationships/hyperlink" Target="http://www.nevo.co.il/case/29650897" TargetMode="External"/><Relationship Id="rId35" Type="http://schemas.openxmlformats.org/officeDocument/2006/relationships/hyperlink" Target="http://www.nevo.co.il/case/27594072" TargetMode="External"/><Relationship Id="rId8" Type="http://schemas.openxmlformats.org/officeDocument/2006/relationships/hyperlink" Target="http://www.nevo.co.il/law/70301/140" TargetMode="External"/><Relationship Id="rId3" Type="http://schemas.openxmlformats.org/officeDocument/2006/relationships/settings" Target="settings.xml"/><Relationship Id="rId12" Type="http://schemas.openxmlformats.org/officeDocument/2006/relationships/hyperlink" Target="http://www.nevo.co.il/law/70301/340.a"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28152132" TargetMode="External"/><Relationship Id="rId33" Type="http://schemas.openxmlformats.org/officeDocument/2006/relationships/hyperlink" Target="http://www.nevo.co.il/case/26492590"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2425</Words>
  <Characters>12130</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14526</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3407994</vt:i4>
      </vt:variant>
      <vt:variant>
        <vt:i4>84</vt:i4>
      </vt:variant>
      <vt:variant>
        <vt:i4>0</vt:i4>
      </vt:variant>
      <vt:variant>
        <vt:i4>5</vt:i4>
      </vt:variant>
      <vt:variant>
        <vt:lpwstr>http://www.nevo.co.il/case/27594072</vt:lpwstr>
      </vt:variant>
      <vt:variant>
        <vt:lpwstr/>
      </vt:variant>
      <vt:variant>
        <vt:i4>6357092</vt:i4>
      </vt:variant>
      <vt:variant>
        <vt:i4>81</vt:i4>
      </vt:variant>
      <vt:variant>
        <vt:i4>0</vt:i4>
      </vt:variant>
      <vt:variant>
        <vt:i4>5</vt:i4>
      </vt:variant>
      <vt:variant>
        <vt:lpwstr>http://www.nevo.co.il/law/70301/140</vt:lpwstr>
      </vt:variant>
      <vt:variant>
        <vt:lpwstr/>
      </vt:variant>
      <vt:variant>
        <vt:i4>3997822</vt:i4>
      </vt:variant>
      <vt:variant>
        <vt:i4>78</vt:i4>
      </vt:variant>
      <vt:variant>
        <vt:i4>0</vt:i4>
      </vt:variant>
      <vt:variant>
        <vt:i4>5</vt:i4>
      </vt:variant>
      <vt:variant>
        <vt:lpwstr>http://www.nevo.co.il/case/26492590</vt:lpwstr>
      </vt:variant>
      <vt:variant>
        <vt:lpwstr/>
      </vt:variant>
      <vt:variant>
        <vt:i4>3932283</vt:i4>
      </vt:variant>
      <vt:variant>
        <vt:i4>75</vt:i4>
      </vt:variant>
      <vt:variant>
        <vt:i4>0</vt:i4>
      </vt:variant>
      <vt:variant>
        <vt:i4>5</vt:i4>
      </vt:variant>
      <vt:variant>
        <vt:lpwstr>http://www.nevo.co.il/case/26905925</vt:lpwstr>
      </vt:variant>
      <vt:variant>
        <vt:lpwstr/>
      </vt:variant>
      <vt:variant>
        <vt:i4>3604592</vt:i4>
      </vt:variant>
      <vt:variant>
        <vt:i4>72</vt:i4>
      </vt:variant>
      <vt:variant>
        <vt:i4>0</vt:i4>
      </vt:variant>
      <vt:variant>
        <vt:i4>5</vt:i4>
      </vt:variant>
      <vt:variant>
        <vt:lpwstr>http://www.nevo.co.il/case/27404359</vt:lpwstr>
      </vt:variant>
      <vt:variant>
        <vt:lpwstr/>
      </vt:variant>
      <vt:variant>
        <vt:i4>3997808</vt:i4>
      </vt:variant>
      <vt:variant>
        <vt:i4>69</vt:i4>
      </vt:variant>
      <vt:variant>
        <vt:i4>0</vt:i4>
      </vt:variant>
      <vt:variant>
        <vt:i4>5</vt:i4>
      </vt:variant>
      <vt:variant>
        <vt:lpwstr>http://www.nevo.co.il/case/29650897</vt:lpwstr>
      </vt:variant>
      <vt:variant>
        <vt:lpwstr/>
      </vt:variant>
      <vt:variant>
        <vt:i4>4063345</vt:i4>
      </vt:variant>
      <vt:variant>
        <vt:i4>66</vt:i4>
      </vt:variant>
      <vt:variant>
        <vt:i4>0</vt:i4>
      </vt:variant>
      <vt:variant>
        <vt:i4>5</vt:i4>
      </vt:variant>
      <vt:variant>
        <vt:lpwstr>http://www.nevo.co.il/case/30168342</vt:lpwstr>
      </vt:variant>
      <vt:variant>
        <vt:lpwstr/>
      </vt:variant>
      <vt:variant>
        <vt:i4>3604596</vt:i4>
      </vt:variant>
      <vt:variant>
        <vt:i4>63</vt:i4>
      </vt:variant>
      <vt:variant>
        <vt:i4>0</vt:i4>
      </vt:variant>
      <vt:variant>
        <vt:i4>5</vt:i4>
      </vt:variant>
      <vt:variant>
        <vt:lpwstr>http://www.nevo.co.il/case/23750625</vt:lpwstr>
      </vt:variant>
      <vt:variant>
        <vt:lpwstr/>
      </vt:variant>
      <vt:variant>
        <vt:i4>3276926</vt:i4>
      </vt:variant>
      <vt:variant>
        <vt:i4>60</vt:i4>
      </vt:variant>
      <vt:variant>
        <vt:i4>0</vt:i4>
      </vt:variant>
      <vt:variant>
        <vt:i4>5</vt:i4>
      </vt:variant>
      <vt:variant>
        <vt:lpwstr>http://www.nevo.co.il/case/30336947</vt:lpwstr>
      </vt:variant>
      <vt:variant>
        <vt:lpwstr/>
      </vt:variant>
      <vt:variant>
        <vt:i4>3604592</vt:i4>
      </vt:variant>
      <vt:variant>
        <vt:i4>57</vt:i4>
      </vt:variant>
      <vt:variant>
        <vt:i4>0</vt:i4>
      </vt:variant>
      <vt:variant>
        <vt:i4>5</vt:i4>
      </vt:variant>
      <vt:variant>
        <vt:lpwstr>http://www.nevo.co.il/case/28452933</vt:lpwstr>
      </vt:variant>
      <vt:variant>
        <vt:lpwstr/>
      </vt:variant>
      <vt:variant>
        <vt:i4>3276920</vt:i4>
      </vt:variant>
      <vt:variant>
        <vt:i4>54</vt:i4>
      </vt:variant>
      <vt:variant>
        <vt:i4>0</vt:i4>
      </vt:variant>
      <vt:variant>
        <vt:i4>5</vt:i4>
      </vt:variant>
      <vt:variant>
        <vt:lpwstr>http://www.nevo.co.il/case/28152132</vt:lpwstr>
      </vt:variant>
      <vt:variant>
        <vt:lpwstr/>
      </vt:variant>
      <vt:variant>
        <vt:i4>3735668</vt:i4>
      </vt:variant>
      <vt:variant>
        <vt:i4>51</vt:i4>
      </vt:variant>
      <vt:variant>
        <vt:i4>0</vt:i4>
      </vt:variant>
      <vt:variant>
        <vt:i4>5</vt:i4>
      </vt:variant>
      <vt:variant>
        <vt:lpwstr>http://www.nevo.co.il/case/27911638</vt:lpwstr>
      </vt:variant>
      <vt:variant>
        <vt:lpwstr/>
      </vt:variant>
      <vt:variant>
        <vt:i4>4063356</vt:i4>
      </vt:variant>
      <vt:variant>
        <vt:i4>48</vt:i4>
      </vt:variant>
      <vt:variant>
        <vt:i4>0</vt:i4>
      </vt:variant>
      <vt:variant>
        <vt:i4>5</vt:i4>
      </vt:variant>
      <vt:variant>
        <vt:lpwstr>http://www.nevo.co.il/case/27894608</vt:lpwstr>
      </vt:variant>
      <vt:variant>
        <vt:lpwstr/>
      </vt:variant>
      <vt:variant>
        <vt:i4>3407994</vt:i4>
      </vt:variant>
      <vt:variant>
        <vt:i4>45</vt:i4>
      </vt:variant>
      <vt:variant>
        <vt:i4>0</vt:i4>
      </vt:variant>
      <vt:variant>
        <vt:i4>5</vt:i4>
      </vt:variant>
      <vt:variant>
        <vt:lpwstr>http://www.nevo.co.il/case/28243273</vt:lpwstr>
      </vt:variant>
      <vt:variant>
        <vt:lpwstr/>
      </vt:variant>
      <vt:variant>
        <vt:i4>3539058</vt:i4>
      </vt:variant>
      <vt:variant>
        <vt:i4>42</vt:i4>
      </vt:variant>
      <vt:variant>
        <vt:i4>0</vt:i4>
      </vt:variant>
      <vt:variant>
        <vt:i4>5</vt:i4>
      </vt:variant>
      <vt:variant>
        <vt:lpwstr>http://www.nevo.co.il/case/28384637</vt:lpwstr>
      </vt:variant>
      <vt:variant>
        <vt:lpwstr/>
      </vt:variant>
      <vt:variant>
        <vt:i4>3473531</vt:i4>
      </vt:variant>
      <vt:variant>
        <vt:i4>39</vt:i4>
      </vt:variant>
      <vt:variant>
        <vt:i4>0</vt:i4>
      </vt:variant>
      <vt:variant>
        <vt:i4>5</vt:i4>
      </vt:variant>
      <vt:variant>
        <vt:lpwstr>http://www.nevo.co.il/case/28266138</vt:lpwstr>
      </vt:variant>
      <vt:variant>
        <vt:lpwstr/>
      </vt:variant>
      <vt:variant>
        <vt:i4>3473532</vt:i4>
      </vt:variant>
      <vt:variant>
        <vt:i4>36</vt:i4>
      </vt:variant>
      <vt:variant>
        <vt:i4>0</vt:i4>
      </vt:variant>
      <vt:variant>
        <vt:i4>5</vt:i4>
      </vt:variant>
      <vt:variant>
        <vt:lpwstr>http://www.nevo.co.il/case/29053448</vt:lpwstr>
      </vt:variant>
      <vt:variant>
        <vt:lpwstr/>
      </vt:variant>
      <vt:variant>
        <vt:i4>5177430</vt:i4>
      </vt:variant>
      <vt:variant>
        <vt:i4>33</vt:i4>
      </vt:variant>
      <vt:variant>
        <vt:i4>0</vt:i4>
      </vt:variant>
      <vt:variant>
        <vt:i4>5</vt:i4>
      </vt:variant>
      <vt:variant>
        <vt:lpwstr>http://www.nevo.co.il/law/70301/340.a</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5177430</vt:i4>
      </vt:variant>
      <vt:variant>
        <vt:i4>15</vt:i4>
      </vt:variant>
      <vt:variant>
        <vt:i4>0</vt:i4>
      </vt:variant>
      <vt:variant>
        <vt:i4>5</vt:i4>
      </vt:variant>
      <vt:variant>
        <vt:lpwstr>http://www.nevo.co.il/law/70301/340.a</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2025-01-19T17:06:00Z</dcterms:created>
  <dcterms:modified xsi:type="dcterms:W3CDTF">2025-01-19T17:06:00Z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33318</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אלכסיי נוחימוביץ</vt:lpwstr>
  </property>
  <property fmtid="{D5CDD505-2E9C-101B-9397-08002B2CF9AE}" pid="10" name="LAWYER">
    <vt:lpwstr>אבי כהן</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20240714</vt:lpwstr>
  </property>
  <property fmtid="{D5CDD505-2E9C-101B-9397-08002B2CF9AE}" pid="14" name="TYPE_N_DATE">
    <vt:lpwstr>39020240714</vt:lpwstr>
  </property>
  <property fmtid="{D5CDD505-2E9C-101B-9397-08002B2CF9AE}" pid="15" name="CASESLISTTMP1">
    <vt:lpwstr>29053448;28266138;28384637;28243273;27894608;27911638;28152132;28452933;30336947;23750625;30168342;29650897;27404359;26905925;26492590;27594072</vt:lpwstr>
  </property>
  <property fmtid="{D5CDD505-2E9C-101B-9397-08002B2CF9AE}" pid="16" name="CASENOTES1">
    <vt:lpwstr>ProcID=133;209&amp;PartA=78&amp;PartC=21</vt:lpwstr>
  </property>
  <property fmtid="{D5CDD505-2E9C-101B-9397-08002B2CF9AE}" pid="17" name="CASENOTES2">
    <vt:lpwstr>ProcID=133&amp;PartA=113&amp;PartC=13</vt:lpwstr>
  </property>
  <property fmtid="{D5CDD505-2E9C-101B-9397-08002B2CF9AE}" pid="18" name="WORDNUMPAGES">
    <vt:lpwstr>8</vt:lpwstr>
  </property>
  <property fmtid="{D5CDD505-2E9C-101B-9397-08002B2CF9AE}" pid="19" name="TYPE_ABS_DATE">
    <vt:lpwstr>390020240714</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70301/144.b2;144.b;144.a:2;340.a;140</vt:lpwstr>
  </property>
</Properties>
</file>