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064B4" w:rsidRPr="007B11F8" w14:paraId="6C471A90" w14:textId="77777777" w:rsidTr="007619A9">
        <w:trPr>
          <w:trHeight w:hRule="exact" w:val="418"/>
          <w:jc w:val="center"/>
        </w:trPr>
        <w:tc>
          <w:tcPr>
            <w:tcW w:w="8721" w:type="dxa"/>
            <w:gridSpan w:val="2"/>
          </w:tcPr>
          <w:p w14:paraId="6679DE04" w14:textId="77777777" w:rsidR="003064B4" w:rsidRPr="007B11F8" w:rsidRDefault="003064B4" w:rsidP="0047505D">
            <w:pPr>
              <w:pStyle w:val="a3"/>
              <w:jc w:val="center"/>
              <w:rPr>
                <w:rFonts w:ascii="Tahoma" w:hAnsi="Tahoma" w:cs="Tahoma"/>
                <w:color w:val="000080"/>
                <w:rtl/>
              </w:rPr>
            </w:pPr>
            <w:bookmarkStart w:id="0" w:name="LastJudge"/>
            <w:r w:rsidRPr="007B11F8">
              <w:rPr>
                <w:rFonts w:ascii="Tahoma" w:hAnsi="Tahoma" w:cs="Tahoma"/>
                <w:b/>
                <w:bCs/>
                <w:color w:val="000080"/>
                <w:rtl/>
              </w:rPr>
              <w:t>בית המשפט המחוזי בירושלים</w:t>
            </w:r>
          </w:p>
        </w:tc>
      </w:tr>
      <w:tr w:rsidR="003064B4" w:rsidRPr="007B11F8" w14:paraId="5764B909" w14:textId="77777777" w:rsidTr="007619A9">
        <w:trPr>
          <w:trHeight w:val="337"/>
          <w:jc w:val="center"/>
        </w:trPr>
        <w:tc>
          <w:tcPr>
            <w:tcW w:w="5059" w:type="dxa"/>
          </w:tcPr>
          <w:p w14:paraId="7ED301B7" w14:textId="77777777" w:rsidR="003064B4" w:rsidRPr="007B11F8" w:rsidRDefault="003064B4" w:rsidP="0047505D">
            <w:pPr>
              <w:rPr>
                <w:rFonts w:cs="FrankRuehl"/>
                <w:sz w:val="28"/>
                <w:szCs w:val="28"/>
                <w:rtl/>
              </w:rPr>
            </w:pPr>
            <w:r w:rsidRPr="007B11F8">
              <w:rPr>
                <w:rFonts w:cs="FrankRuehl"/>
                <w:sz w:val="28"/>
                <w:szCs w:val="28"/>
                <w:rtl/>
              </w:rPr>
              <w:t>ת"פ</w:t>
            </w:r>
            <w:r w:rsidRPr="007B11F8">
              <w:rPr>
                <w:rFonts w:cs="FrankRuehl" w:hint="cs"/>
                <w:sz w:val="28"/>
                <w:szCs w:val="28"/>
                <w:rtl/>
              </w:rPr>
              <w:t xml:space="preserve"> </w:t>
            </w:r>
            <w:r w:rsidRPr="007B11F8">
              <w:rPr>
                <w:rFonts w:cs="FrankRuehl"/>
                <w:sz w:val="28"/>
                <w:szCs w:val="28"/>
                <w:rtl/>
              </w:rPr>
              <w:t>36508-10-23</w:t>
            </w:r>
            <w:r w:rsidRPr="007B11F8">
              <w:rPr>
                <w:rFonts w:cs="FrankRuehl" w:hint="cs"/>
                <w:sz w:val="28"/>
                <w:szCs w:val="28"/>
                <w:rtl/>
              </w:rPr>
              <w:t xml:space="preserve"> </w:t>
            </w:r>
            <w:r w:rsidRPr="007B11F8">
              <w:rPr>
                <w:rFonts w:cs="FrankRuehl"/>
                <w:sz w:val="28"/>
                <w:szCs w:val="28"/>
                <w:rtl/>
              </w:rPr>
              <w:t>מדינת ישראל נ' מחמוד(עציר)</w:t>
            </w:r>
          </w:p>
          <w:p w14:paraId="7FF5CFF9" w14:textId="77777777" w:rsidR="003064B4" w:rsidRPr="007B11F8" w:rsidRDefault="003064B4" w:rsidP="0047505D">
            <w:pPr>
              <w:pStyle w:val="a3"/>
              <w:rPr>
                <w:rFonts w:cs="FrankRuehl"/>
                <w:sz w:val="28"/>
                <w:szCs w:val="28"/>
                <w:rtl/>
              </w:rPr>
            </w:pPr>
          </w:p>
        </w:tc>
        <w:tc>
          <w:tcPr>
            <w:tcW w:w="3662" w:type="dxa"/>
          </w:tcPr>
          <w:p w14:paraId="14388576" w14:textId="77777777" w:rsidR="003064B4" w:rsidRPr="007B11F8" w:rsidRDefault="003064B4" w:rsidP="0047505D">
            <w:pPr>
              <w:pStyle w:val="a3"/>
              <w:jc w:val="right"/>
              <w:rPr>
                <w:rFonts w:cs="FrankRuehl"/>
                <w:sz w:val="28"/>
                <w:szCs w:val="28"/>
                <w:rtl/>
              </w:rPr>
            </w:pPr>
          </w:p>
        </w:tc>
      </w:tr>
    </w:tbl>
    <w:p w14:paraId="4E1B7ED0" w14:textId="77777777" w:rsidR="003064B4" w:rsidRPr="007B11F8" w:rsidRDefault="003064B4" w:rsidP="003064B4">
      <w:pPr>
        <w:pStyle w:val="a3"/>
        <w:rPr>
          <w:rtl/>
        </w:rPr>
      </w:pPr>
      <w:r w:rsidRPr="007B11F8">
        <w:rPr>
          <w:rFonts w:hint="cs"/>
          <w:rtl/>
        </w:rPr>
        <w:t xml:space="preserve"> </w:t>
      </w:r>
    </w:p>
    <w:p w14:paraId="0FDCC4A9" w14:textId="77777777" w:rsidR="003064B4" w:rsidRPr="007B11F8" w:rsidRDefault="003064B4" w:rsidP="003064B4">
      <w:pPr>
        <w:rPr>
          <w:rtl/>
        </w:rPr>
      </w:pPr>
    </w:p>
    <w:p w14:paraId="23714BBB" w14:textId="77777777" w:rsidR="003064B4" w:rsidRPr="007B11F8" w:rsidRDefault="003064B4" w:rsidP="003064B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664"/>
        <w:gridCol w:w="1555"/>
        <w:gridCol w:w="4678"/>
      </w:tblGrid>
      <w:tr w:rsidR="003064B4" w:rsidRPr="007B11F8" w14:paraId="18E0E747" w14:textId="77777777" w:rsidTr="003064B4">
        <w:trPr>
          <w:trHeight w:val="295"/>
          <w:jc w:val="center"/>
        </w:trPr>
        <w:tc>
          <w:tcPr>
            <w:tcW w:w="923" w:type="dxa"/>
            <w:tcBorders>
              <w:top w:val="nil"/>
              <w:left w:val="nil"/>
              <w:bottom w:val="nil"/>
              <w:right w:val="nil"/>
            </w:tcBorders>
            <w:shd w:val="clear" w:color="auto" w:fill="auto"/>
          </w:tcPr>
          <w:p w14:paraId="4C731196" w14:textId="77777777" w:rsidR="003064B4" w:rsidRPr="007B11F8" w:rsidRDefault="003064B4" w:rsidP="003064B4">
            <w:pPr>
              <w:jc w:val="both"/>
              <w:rPr>
                <w:rFonts w:ascii="David" w:hAnsi="David"/>
                <w:sz w:val="26"/>
                <w:szCs w:val="26"/>
              </w:rPr>
            </w:pPr>
            <w:r w:rsidRPr="007B11F8">
              <w:rPr>
                <w:rFonts w:ascii="David" w:hAnsi="David" w:hint="cs"/>
                <w:sz w:val="26"/>
                <w:szCs w:val="26"/>
                <w:rtl/>
              </w:rPr>
              <w:t>ל</w:t>
            </w:r>
            <w:r w:rsidRPr="007B11F8">
              <w:rPr>
                <w:rFonts w:ascii="David" w:hAnsi="David"/>
                <w:sz w:val="26"/>
                <w:szCs w:val="26"/>
                <w:rtl/>
              </w:rPr>
              <w:t xml:space="preserve">פני </w:t>
            </w:r>
          </w:p>
        </w:tc>
        <w:tc>
          <w:tcPr>
            <w:tcW w:w="7897" w:type="dxa"/>
            <w:gridSpan w:val="3"/>
            <w:tcBorders>
              <w:top w:val="nil"/>
              <w:left w:val="nil"/>
              <w:bottom w:val="nil"/>
              <w:right w:val="nil"/>
            </w:tcBorders>
            <w:shd w:val="clear" w:color="auto" w:fill="auto"/>
          </w:tcPr>
          <w:p w14:paraId="75767A5C" w14:textId="77777777" w:rsidR="003064B4" w:rsidRPr="007B11F8" w:rsidRDefault="003064B4" w:rsidP="0047505D">
            <w:pPr>
              <w:rPr>
                <w:rFonts w:ascii="David" w:hAnsi="David"/>
                <w:b/>
                <w:bCs/>
                <w:sz w:val="26"/>
                <w:szCs w:val="26"/>
                <w:rtl/>
              </w:rPr>
            </w:pPr>
            <w:r w:rsidRPr="007B11F8">
              <w:rPr>
                <w:rFonts w:ascii="David" w:hAnsi="David"/>
                <w:b/>
                <w:bCs/>
                <w:sz w:val="26"/>
                <w:szCs w:val="26"/>
                <w:rtl/>
              </w:rPr>
              <w:t>כבוד השופט  מרדכי כדורי</w:t>
            </w:r>
          </w:p>
          <w:p w14:paraId="5D411794" w14:textId="77777777" w:rsidR="003064B4" w:rsidRPr="007B11F8" w:rsidRDefault="003064B4" w:rsidP="0047505D">
            <w:pPr>
              <w:rPr>
                <w:rFonts w:ascii="David" w:hAnsi="David"/>
                <w:sz w:val="26"/>
                <w:szCs w:val="26"/>
                <w:rtl/>
              </w:rPr>
            </w:pPr>
          </w:p>
          <w:p w14:paraId="253261DB" w14:textId="77777777" w:rsidR="003064B4" w:rsidRPr="007B11F8" w:rsidRDefault="003064B4" w:rsidP="003064B4">
            <w:pPr>
              <w:jc w:val="both"/>
              <w:rPr>
                <w:rFonts w:ascii="David" w:hAnsi="David"/>
                <w:sz w:val="26"/>
                <w:szCs w:val="26"/>
              </w:rPr>
            </w:pPr>
          </w:p>
        </w:tc>
      </w:tr>
      <w:tr w:rsidR="003064B4" w:rsidRPr="007B11F8" w14:paraId="6F2F95ED" w14:textId="77777777" w:rsidTr="003064B4">
        <w:trPr>
          <w:trHeight w:val="355"/>
          <w:jc w:val="center"/>
        </w:trPr>
        <w:tc>
          <w:tcPr>
            <w:tcW w:w="923" w:type="dxa"/>
            <w:tcBorders>
              <w:top w:val="nil"/>
              <w:left w:val="nil"/>
              <w:bottom w:val="nil"/>
              <w:right w:val="nil"/>
            </w:tcBorders>
            <w:shd w:val="clear" w:color="auto" w:fill="auto"/>
          </w:tcPr>
          <w:p w14:paraId="071544AC" w14:textId="77777777" w:rsidR="003064B4" w:rsidRPr="007B11F8" w:rsidRDefault="003064B4" w:rsidP="003064B4">
            <w:pPr>
              <w:jc w:val="both"/>
              <w:rPr>
                <w:rFonts w:ascii="David" w:hAnsi="David"/>
                <w:sz w:val="26"/>
                <w:szCs w:val="26"/>
              </w:rPr>
            </w:pPr>
            <w:bookmarkStart w:id="1" w:name="FirstAppellant"/>
            <w:bookmarkStart w:id="2" w:name="FirstLawyer"/>
            <w:r w:rsidRPr="007B11F8">
              <w:rPr>
                <w:rFonts w:ascii="David" w:hAnsi="David"/>
                <w:sz w:val="26"/>
                <w:szCs w:val="26"/>
                <w:rtl/>
              </w:rPr>
              <w:t>בעניין:</w:t>
            </w:r>
          </w:p>
        </w:tc>
        <w:tc>
          <w:tcPr>
            <w:tcW w:w="1664" w:type="dxa"/>
            <w:tcBorders>
              <w:top w:val="nil"/>
              <w:left w:val="nil"/>
              <w:bottom w:val="nil"/>
              <w:right w:val="nil"/>
            </w:tcBorders>
            <w:shd w:val="clear" w:color="auto" w:fill="auto"/>
          </w:tcPr>
          <w:p w14:paraId="55F81E99" w14:textId="77777777" w:rsidR="003064B4" w:rsidRPr="007B11F8" w:rsidRDefault="003064B4" w:rsidP="003064B4">
            <w:pPr>
              <w:suppressLineNumbers/>
              <w:rPr>
                <w:rFonts w:ascii="David" w:hAnsi="David"/>
                <w:sz w:val="26"/>
                <w:szCs w:val="26"/>
              </w:rPr>
            </w:pPr>
          </w:p>
        </w:tc>
        <w:tc>
          <w:tcPr>
            <w:tcW w:w="6233" w:type="dxa"/>
            <w:gridSpan w:val="2"/>
            <w:tcBorders>
              <w:top w:val="nil"/>
              <w:left w:val="nil"/>
              <w:bottom w:val="nil"/>
              <w:right w:val="nil"/>
            </w:tcBorders>
            <w:shd w:val="clear" w:color="auto" w:fill="auto"/>
            <w:vAlign w:val="center"/>
          </w:tcPr>
          <w:p w14:paraId="2ABAC28D" w14:textId="77777777" w:rsidR="003064B4" w:rsidRPr="007B11F8" w:rsidRDefault="003064B4" w:rsidP="003064B4">
            <w:pPr>
              <w:suppressLineNumbers/>
              <w:rPr>
                <w:rFonts w:ascii="Arial" w:hAnsi="Arial"/>
                <w:b/>
                <w:bCs/>
                <w:sz w:val="26"/>
                <w:szCs w:val="26"/>
                <w:rtl/>
              </w:rPr>
            </w:pPr>
            <w:r w:rsidRPr="007B11F8">
              <w:rPr>
                <w:rFonts w:ascii="Arial" w:hAnsi="Arial"/>
                <w:b/>
                <w:bCs/>
                <w:sz w:val="26"/>
                <w:szCs w:val="26"/>
                <w:rtl/>
              </w:rPr>
              <w:t>מדינת ישראל</w:t>
            </w:r>
            <w:r w:rsidRPr="007B11F8">
              <w:rPr>
                <w:rFonts w:ascii="Arial" w:hAnsi="Arial" w:hint="cs"/>
                <w:b/>
                <w:bCs/>
                <w:sz w:val="26"/>
                <w:szCs w:val="26"/>
                <w:rtl/>
              </w:rPr>
              <w:t xml:space="preserve"> </w:t>
            </w:r>
          </w:p>
          <w:p w14:paraId="59C6756F" w14:textId="77777777" w:rsidR="003064B4" w:rsidRPr="007B11F8" w:rsidRDefault="003064B4" w:rsidP="003064B4">
            <w:pPr>
              <w:suppressLineNumbers/>
              <w:rPr>
                <w:sz w:val="26"/>
                <w:szCs w:val="26"/>
                <w:rtl/>
              </w:rPr>
            </w:pPr>
            <w:r w:rsidRPr="007B11F8">
              <w:rPr>
                <w:rFonts w:ascii="Arial" w:hAnsi="Arial"/>
                <w:sz w:val="26"/>
                <w:szCs w:val="26"/>
                <w:rtl/>
              </w:rPr>
              <w:t>ע"י ב"כ עוה"ד</w:t>
            </w:r>
            <w:r w:rsidRPr="007B11F8">
              <w:rPr>
                <w:rFonts w:hint="cs"/>
                <w:sz w:val="26"/>
                <w:szCs w:val="26"/>
                <w:rtl/>
              </w:rPr>
              <w:t xml:space="preserve"> איילה גלברד, הדר רובינשטיין</w:t>
            </w:r>
          </w:p>
          <w:p w14:paraId="2D9417D7" w14:textId="77777777" w:rsidR="003064B4" w:rsidRPr="007B11F8" w:rsidRDefault="003064B4" w:rsidP="003064B4">
            <w:pPr>
              <w:suppressLineNumbers/>
              <w:rPr>
                <w:sz w:val="26"/>
                <w:szCs w:val="26"/>
              </w:rPr>
            </w:pPr>
            <w:r w:rsidRPr="007B11F8">
              <w:rPr>
                <w:rFonts w:hint="cs"/>
                <w:sz w:val="26"/>
                <w:szCs w:val="26"/>
                <w:rtl/>
              </w:rPr>
              <w:t>מפרקליטות מחוז ירושלים (פלילי)</w:t>
            </w:r>
          </w:p>
          <w:p w14:paraId="256357E4" w14:textId="77777777" w:rsidR="003064B4" w:rsidRPr="007B11F8" w:rsidRDefault="003064B4" w:rsidP="003064B4">
            <w:pPr>
              <w:suppressLineNumbers/>
              <w:jc w:val="right"/>
            </w:pPr>
            <w:r w:rsidRPr="007B11F8">
              <w:rPr>
                <w:rFonts w:ascii="Arial" w:hAnsi="Arial" w:hint="cs"/>
                <w:b/>
                <w:bCs/>
                <w:sz w:val="26"/>
                <w:szCs w:val="26"/>
                <w:rtl/>
              </w:rPr>
              <w:t>ה</w:t>
            </w:r>
            <w:r w:rsidRPr="007B11F8">
              <w:rPr>
                <w:rFonts w:ascii="Arial" w:hAnsi="Arial"/>
                <w:b/>
                <w:bCs/>
                <w:sz w:val="26"/>
                <w:szCs w:val="26"/>
                <w:rtl/>
              </w:rPr>
              <w:t>מאשימה</w:t>
            </w:r>
          </w:p>
        </w:tc>
      </w:tr>
      <w:bookmarkEnd w:id="1"/>
      <w:bookmarkEnd w:id="2"/>
      <w:tr w:rsidR="003064B4" w:rsidRPr="007B11F8" w14:paraId="73006079" w14:textId="77777777" w:rsidTr="003064B4">
        <w:trPr>
          <w:trHeight w:val="355"/>
          <w:jc w:val="center"/>
        </w:trPr>
        <w:tc>
          <w:tcPr>
            <w:tcW w:w="923" w:type="dxa"/>
            <w:tcBorders>
              <w:top w:val="nil"/>
              <w:left w:val="nil"/>
              <w:bottom w:val="nil"/>
              <w:right w:val="nil"/>
            </w:tcBorders>
            <w:shd w:val="clear" w:color="auto" w:fill="auto"/>
          </w:tcPr>
          <w:p w14:paraId="0F97859C" w14:textId="77777777" w:rsidR="003064B4" w:rsidRPr="007B11F8" w:rsidRDefault="003064B4" w:rsidP="003064B4">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42ED6359" w14:textId="77777777" w:rsidR="003064B4" w:rsidRPr="007B11F8" w:rsidRDefault="003064B4" w:rsidP="003064B4">
            <w:pPr>
              <w:jc w:val="center"/>
              <w:rPr>
                <w:rFonts w:ascii="David" w:hAnsi="David"/>
                <w:b/>
                <w:bCs/>
                <w:sz w:val="26"/>
                <w:szCs w:val="26"/>
                <w:rtl/>
              </w:rPr>
            </w:pPr>
          </w:p>
          <w:p w14:paraId="28093795" w14:textId="77777777" w:rsidR="003064B4" w:rsidRPr="007B11F8" w:rsidRDefault="003064B4" w:rsidP="003064B4">
            <w:pPr>
              <w:jc w:val="center"/>
              <w:rPr>
                <w:rFonts w:ascii="David" w:hAnsi="David"/>
                <w:b/>
                <w:bCs/>
                <w:sz w:val="26"/>
                <w:szCs w:val="26"/>
                <w:rtl/>
              </w:rPr>
            </w:pPr>
            <w:r w:rsidRPr="007B11F8">
              <w:rPr>
                <w:rFonts w:ascii="David" w:hAnsi="David"/>
                <w:b/>
                <w:bCs/>
                <w:sz w:val="26"/>
                <w:szCs w:val="26"/>
                <w:rtl/>
              </w:rPr>
              <w:t>נגד</w:t>
            </w:r>
          </w:p>
          <w:p w14:paraId="04A61856" w14:textId="77777777" w:rsidR="003064B4" w:rsidRPr="007B11F8" w:rsidRDefault="003064B4" w:rsidP="003064B4">
            <w:pPr>
              <w:jc w:val="both"/>
              <w:rPr>
                <w:rFonts w:ascii="David" w:hAnsi="David"/>
                <w:sz w:val="26"/>
                <w:szCs w:val="26"/>
              </w:rPr>
            </w:pPr>
          </w:p>
        </w:tc>
      </w:tr>
      <w:tr w:rsidR="003064B4" w:rsidRPr="007B11F8" w14:paraId="288B4465" w14:textId="77777777" w:rsidTr="003064B4">
        <w:trPr>
          <w:trHeight w:val="355"/>
          <w:jc w:val="center"/>
        </w:trPr>
        <w:tc>
          <w:tcPr>
            <w:tcW w:w="923" w:type="dxa"/>
            <w:tcBorders>
              <w:top w:val="nil"/>
              <w:left w:val="nil"/>
              <w:bottom w:val="nil"/>
              <w:right w:val="nil"/>
            </w:tcBorders>
            <w:shd w:val="clear" w:color="auto" w:fill="auto"/>
          </w:tcPr>
          <w:p w14:paraId="7081FBDD" w14:textId="77777777" w:rsidR="003064B4" w:rsidRPr="007B11F8" w:rsidRDefault="003064B4" w:rsidP="0047505D">
            <w:pPr>
              <w:rPr>
                <w:rFonts w:ascii="David" w:hAnsi="David"/>
                <w:sz w:val="26"/>
                <w:szCs w:val="26"/>
                <w:rtl/>
              </w:rPr>
            </w:pPr>
          </w:p>
        </w:tc>
        <w:tc>
          <w:tcPr>
            <w:tcW w:w="1664" w:type="dxa"/>
            <w:tcBorders>
              <w:top w:val="nil"/>
              <w:left w:val="nil"/>
              <w:bottom w:val="nil"/>
              <w:right w:val="nil"/>
            </w:tcBorders>
            <w:shd w:val="clear" w:color="auto" w:fill="auto"/>
          </w:tcPr>
          <w:p w14:paraId="45A83B81" w14:textId="77777777" w:rsidR="003064B4" w:rsidRPr="007B11F8" w:rsidRDefault="003064B4" w:rsidP="0047505D">
            <w:pPr>
              <w:rPr>
                <w:rFonts w:ascii="Arial" w:hAnsi="Arial"/>
                <w:b/>
                <w:bCs/>
                <w:sz w:val="26"/>
                <w:szCs w:val="26"/>
                <w:rtl/>
              </w:rPr>
            </w:pPr>
          </w:p>
        </w:tc>
        <w:tc>
          <w:tcPr>
            <w:tcW w:w="6233" w:type="dxa"/>
            <w:gridSpan w:val="2"/>
            <w:tcBorders>
              <w:top w:val="nil"/>
              <w:left w:val="nil"/>
              <w:bottom w:val="nil"/>
              <w:right w:val="nil"/>
            </w:tcBorders>
            <w:shd w:val="clear" w:color="auto" w:fill="auto"/>
            <w:vAlign w:val="center"/>
          </w:tcPr>
          <w:p w14:paraId="61FFA532" w14:textId="77777777" w:rsidR="003064B4" w:rsidRPr="007B11F8" w:rsidRDefault="003064B4" w:rsidP="003064B4">
            <w:pPr>
              <w:suppressLineNumbers/>
              <w:rPr>
                <w:rFonts w:ascii="Arial" w:hAnsi="Arial"/>
                <w:b/>
                <w:bCs/>
                <w:sz w:val="26"/>
                <w:szCs w:val="26"/>
                <w:rtl/>
              </w:rPr>
            </w:pPr>
            <w:r w:rsidRPr="007B11F8">
              <w:rPr>
                <w:rFonts w:ascii="Arial" w:hAnsi="Arial"/>
                <w:b/>
                <w:bCs/>
                <w:sz w:val="26"/>
                <w:szCs w:val="26"/>
                <w:rtl/>
              </w:rPr>
              <w:t>מוחמד מחמוד (עציר)</w:t>
            </w:r>
          </w:p>
          <w:p w14:paraId="27714722" w14:textId="77777777" w:rsidR="003064B4" w:rsidRPr="007B11F8" w:rsidRDefault="003064B4" w:rsidP="003064B4">
            <w:pPr>
              <w:suppressLineNumbers/>
            </w:pPr>
            <w:r w:rsidRPr="007B11F8">
              <w:rPr>
                <w:rFonts w:ascii="Arial" w:hAnsi="Arial"/>
                <w:sz w:val="26"/>
                <w:szCs w:val="26"/>
                <w:rtl/>
              </w:rPr>
              <w:t>ע"י ב"כ עו"ד</w:t>
            </w:r>
            <w:r w:rsidRPr="007B11F8">
              <w:rPr>
                <w:rFonts w:ascii="Arial" w:hAnsi="Arial" w:hint="cs"/>
                <w:sz w:val="26"/>
                <w:szCs w:val="26"/>
                <w:rtl/>
              </w:rPr>
              <w:t xml:space="preserve"> מוחמד מחמוד</w:t>
            </w:r>
          </w:p>
          <w:p w14:paraId="3FC2A045" w14:textId="77777777" w:rsidR="003064B4" w:rsidRPr="007B11F8" w:rsidRDefault="003064B4" w:rsidP="003064B4">
            <w:pPr>
              <w:jc w:val="right"/>
              <w:rPr>
                <w:rFonts w:ascii="David" w:hAnsi="David"/>
                <w:sz w:val="26"/>
                <w:szCs w:val="26"/>
              </w:rPr>
            </w:pPr>
            <w:r w:rsidRPr="007B11F8">
              <w:rPr>
                <w:rFonts w:ascii="Arial" w:hAnsi="Arial"/>
                <w:b/>
                <w:bCs/>
                <w:sz w:val="26"/>
                <w:szCs w:val="26"/>
                <w:rtl/>
              </w:rPr>
              <w:t>הנאשם</w:t>
            </w:r>
          </w:p>
        </w:tc>
      </w:tr>
      <w:tr w:rsidR="003064B4" w:rsidRPr="007B11F8" w14:paraId="45B24C7C" w14:textId="77777777" w:rsidTr="003064B4">
        <w:trPr>
          <w:trHeight w:val="355"/>
          <w:jc w:val="center"/>
        </w:trPr>
        <w:tc>
          <w:tcPr>
            <w:tcW w:w="923" w:type="dxa"/>
            <w:tcBorders>
              <w:top w:val="nil"/>
              <w:left w:val="nil"/>
              <w:bottom w:val="nil"/>
              <w:right w:val="nil"/>
            </w:tcBorders>
            <w:shd w:val="clear" w:color="auto" w:fill="auto"/>
          </w:tcPr>
          <w:p w14:paraId="01CB9B8E" w14:textId="77777777" w:rsidR="003064B4" w:rsidRPr="007B11F8" w:rsidRDefault="003064B4" w:rsidP="003064B4">
            <w:pPr>
              <w:jc w:val="both"/>
              <w:rPr>
                <w:rFonts w:ascii="David" w:hAnsi="David"/>
                <w:sz w:val="26"/>
                <w:szCs w:val="26"/>
                <w:rtl/>
              </w:rPr>
            </w:pPr>
          </w:p>
        </w:tc>
        <w:tc>
          <w:tcPr>
            <w:tcW w:w="3219" w:type="dxa"/>
            <w:gridSpan w:val="2"/>
            <w:tcBorders>
              <w:top w:val="nil"/>
              <w:left w:val="nil"/>
              <w:bottom w:val="nil"/>
              <w:right w:val="nil"/>
            </w:tcBorders>
            <w:shd w:val="clear" w:color="auto" w:fill="auto"/>
          </w:tcPr>
          <w:p w14:paraId="7B1B4749" w14:textId="77777777" w:rsidR="003064B4" w:rsidRPr="007B11F8" w:rsidRDefault="003064B4" w:rsidP="003064B4">
            <w:pPr>
              <w:jc w:val="both"/>
              <w:rPr>
                <w:rFonts w:ascii="David" w:hAnsi="David"/>
                <w:sz w:val="26"/>
                <w:szCs w:val="26"/>
                <w:rtl/>
              </w:rPr>
            </w:pPr>
          </w:p>
        </w:tc>
        <w:tc>
          <w:tcPr>
            <w:tcW w:w="4678" w:type="dxa"/>
            <w:tcBorders>
              <w:top w:val="nil"/>
              <w:left w:val="nil"/>
              <w:bottom w:val="nil"/>
              <w:right w:val="nil"/>
            </w:tcBorders>
            <w:shd w:val="clear" w:color="auto" w:fill="auto"/>
          </w:tcPr>
          <w:p w14:paraId="608ABE45" w14:textId="77777777" w:rsidR="003064B4" w:rsidRPr="007B11F8" w:rsidRDefault="003064B4" w:rsidP="003064B4">
            <w:pPr>
              <w:jc w:val="right"/>
              <w:rPr>
                <w:rFonts w:ascii="David" w:hAnsi="David"/>
                <w:sz w:val="26"/>
                <w:szCs w:val="26"/>
              </w:rPr>
            </w:pPr>
          </w:p>
        </w:tc>
      </w:tr>
    </w:tbl>
    <w:p w14:paraId="642D0EB5" w14:textId="77777777" w:rsidR="007619A9" w:rsidRPr="007619A9" w:rsidRDefault="007619A9" w:rsidP="007619A9">
      <w:pPr>
        <w:spacing w:before="120" w:after="120" w:line="240" w:lineRule="exact"/>
        <w:ind w:left="283" w:hanging="283"/>
        <w:jc w:val="both"/>
        <w:rPr>
          <w:rFonts w:ascii="FrankRuehl" w:hAnsi="FrankRuehl" w:cs="FrankRuehl"/>
          <w:rtl/>
        </w:rPr>
      </w:pPr>
      <w:bookmarkStart w:id="3" w:name="LawTable"/>
      <w:bookmarkEnd w:id="3"/>
    </w:p>
    <w:p w14:paraId="2F9A118B" w14:textId="77777777" w:rsidR="007619A9" w:rsidRPr="007619A9" w:rsidRDefault="007619A9" w:rsidP="007619A9">
      <w:pPr>
        <w:spacing w:before="120" w:after="120" w:line="240" w:lineRule="exact"/>
        <w:ind w:left="283" w:hanging="283"/>
        <w:jc w:val="both"/>
        <w:rPr>
          <w:rFonts w:ascii="FrankRuehl" w:hAnsi="FrankRuehl" w:cs="FrankRuehl"/>
          <w:rtl/>
        </w:rPr>
      </w:pPr>
      <w:r w:rsidRPr="007619A9">
        <w:rPr>
          <w:rFonts w:ascii="FrankRuehl" w:hAnsi="FrankRuehl" w:cs="FrankRuehl"/>
          <w:rtl/>
        </w:rPr>
        <w:t xml:space="preserve">חקיקה שאוזכרה: </w:t>
      </w:r>
    </w:p>
    <w:p w14:paraId="449FC887" w14:textId="77777777" w:rsidR="007619A9" w:rsidRPr="007619A9" w:rsidRDefault="007619A9" w:rsidP="007619A9">
      <w:pPr>
        <w:spacing w:before="120" w:after="120" w:line="240" w:lineRule="exact"/>
        <w:ind w:left="283" w:hanging="283"/>
        <w:jc w:val="both"/>
        <w:rPr>
          <w:rFonts w:ascii="FrankRuehl" w:hAnsi="FrankRuehl" w:cs="FrankRuehl"/>
          <w:color w:val="0000FF"/>
          <w:rtl/>
        </w:rPr>
      </w:pPr>
      <w:hyperlink r:id="rId6" w:history="1">
        <w:r w:rsidRPr="007619A9">
          <w:rPr>
            <w:rStyle w:val="Hyperlink"/>
            <w:rFonts w:ascii="FrankRuehl" w:hAnsi="FrankRuehl" w:cs="FrankRuehl"/>
            <w:u w:val="none"/>
            <w:rtl/>
          </w:rPr>
          <w:t>חוק העונשין, תשל"ז-1977</w:t>
        </w:r>
      </w:hyperlink>
      <w:r w:rsidRPr="007619A9">
        <w:rPr>
          <w:rFonts w:ascii="FrankRuehl" w:hAnsi="FrankRuehl" w:cs="FrankRuehl"/>
          <w:color w:val="0000FF"/>
          <w:rtl/>
        </w:rPr>
        <w:t xml:space="preserve">: סע'  </w:t>
      </w:r>
      <w:hyperlink r:id="rId7" w:history="1">
        <w:r w:rsidRPr="007619A9">
          <w:rPr>
            <w:rStyle w:val="Hyperlink"/>
            <w:rFonts w:ascii="FrankRuehl" w:hAnsi="FrankRuehl" w:cs="FrankRuehl"/>
            <w:u w:val="none"/>
          </w:rPr>
          <w:t>25</w:t>
        </w:r>
      </w:hyperlink>
      <w:r w:rsidRPr="007619A9">
        <w:rPr>
          <w:rFonts w:ascii="FrankRuehl" w:hAnsi="FrankRuehl" w:cs="FrankRuehl"/>
          <w:color w:val="0000FF"/>
          <w:rtl/>
        </w:rPr>
        <w:t xml:space="preserve">, </w:t>
      </w:r>
      <w:hyperlink r:id="rId8" w:history="1">
        <w:r w:rsidRPr="007619A9">
          <w:rPr>
            <w:rStyle w:val="Hyperlink"/>
            <w:rFonts w:ascii="FrankRuehl" w:hAnsi="FrankRuehl" w:cs="FrankRuehl"/>
            <w:u w:val="none"/>
          </w:rPr>
          <w:t>125</w:t>
        </w:r>
      </w:hyperlink>
      <w:r w:rsidRPr="007619A9">
        <w:rPr>
          <w:rFonts w:ascii="FrankRuehl" w:hAnsi="FrankRuehl" w:cs="FrankRuehl"/>
          <w:color w:val="0000FF"/>
          <w:rtl/>
        </w:rPr>
        <w:t xml:space="preserve">, </w:t>
      </w:r>
      <w:hyperlink r:id="rId9" w:history="1">
        <w:r w:rsidRPr="007619A9">
          <w:rPr>
            <w:rStyle w:val="Hyperlink"/>
            <w:rFonts w:ascii="FrankRuehl" w:hAnsi="FrankRuehl" w:cs="FrankRuehl"/>
            <w:u w:val="none"/>
          </w:rPr>
          <w:t>144</w:t>
        </w:r>
      </w:hyperlink>
      <w:r w:rsidRPr="007619A9">
        <w:rPr>
          <w:rFonts w:ascii="FrankRuehl" w:hAnsi="FrankRuehl" w:cs="FrankRuehl"/>
          <w:color w:val="0000FF"/>
          <w:rtl/>
        </w:rPr>
        <w:t xml:space="preserve">(א), </w:t>
      </w:r>
      <w:hyperlink r:id="rId10" w:history="1">
        <w:r w:rsidRPr="007619A9">
          <w:rPr>
            <w:rStyle w:val="Hyperlink"/>
            <w:rFonts w:ascii="FrankRuehl" w:hAnsi="FrankRuehl" w:cs="FrankRuehl"/>
            <w:u w:val="none"/>
          </w:rPr>
          <w:t>274.1.</w:t>
        </w:r>
      </w:hyperlink>
      <w:r w:rsidRPr="007619A9">
        <w:rPr>
          <w:rFonts w:ascii="FrankRuehl" w:hAnsi="FrankRuehl" w:cs="FrankRuehl"/>
          <w:color w:val="0000FF"/>
          <w:rtl/>
        </w:rPr>
        <w:t xml:space="preserve">, </w:t>
      </w:r>
      <w:hyperlink r:id="rId11" w:history="1">
        <w:r w:rsidRPr="007619A9">
          <w:rPr>
            <w:rStyle w:val="Hyperlink"/>
            <w:rFonts w:ascii="FrankRuehl" w:hAnsi="FrankRuehl" w:cs="FrankRuehl"/>
            <w:u w:val="none"/>
          </w:rPr>
          <w:t>274.2.</w:t>
        </w:r>
      </w:hyperlink>
      <w:r w:rsidRPr="007619A9">
        <w:rPr>
          <w:rFonts w:ascii="FrankRuehl" w:hAnsi="FrankRuehl" w:cs="FrankRuehl"/>
          <w:color w:val="0000FF"/>
          <w:rtl/>
        </w:rPr>
        <w:t xml:space="preserve">, </w:t>
      </w:r>
      <w:hyperlink r:id="rId12" w:history="1">
        <w:r w:rsidRPr="007619A9">
          <w:rPr>
            <w:rStyle w:val="Hyperlink"/>
            <w:rFonts w:ascii="FrankRuehl" w:hAnsi="FrankRuehl" w:cs="FrankRuehl"/>
            <w:u w:val="none"/>
          </w:rPr>
          <w:t>274.3</w:t>
        </w:r>
      </w:hyperlink>
      <w:r w:rsidRPr="007619A9">
        <w:rPr>
          <w:rFonts w:ascii="FrankRuehl" w:hAnsi="FrankRuehl" w:cs="FrankRuehl"/>
          <w:color w:val="0000FF"/>
          <w:rtl/>
        </w:rPr>
        <w:t xml:space="preserve">, </w:t>
      </w:r>
      <w:hyperlink r:id="rId13" w:history="1">
        <w:r w:rsidRPr="007619A9">
          <w:rPr>
            <w:rStyle w:val="Hyperlink"/>
            <w:rFonts w:ascii="FrankRuehl" w:hAnsi="FrankRuehl" w:cs="FrankRuehl"/>
            <w:u w:val="none"/>
          </w:rPr>
          <w:t>448</w:t>
        </w:r>
      </w:hyperlink>
      <w:r w:rsidRPr="007619A9">
        <w:rPr>
          <w:rFonts w:ascii="FrankRuehl" w:hAnsi="FrankRuehl" w:cs="FrankRuehl"/>
          <w:color w:val="0000FF"/>
          <w:rtl/>
        </w:rPr>
        <w:t>(א)</w:t>
      </w:r>
    </w:p>
    <w:p w14:paraId="40DCC460" w14:textId="77777777" w:rsidR="007619A9" w:rsidRPr="007619A9" w:rsidRDefault="007619A9" w:rsidP="007619A9">
      <w:pPr>
        <w:spacing w:before="120" w:after="120" w:line="240" w:lineRule="exact"/>
        <w:ind w:left="283" w:hanging="283"/>
        <w:jc w:val="both"/>
        <w:rPr>
          <w:rFonts w:ascii="FrankRuehl" w:hAnsi="FrankRuehl" w:cs="FrankRuehl"/>
          <w:color w:val="0000FF"/>
          <w:rtl/>
        </w:rPr>
      </w:pPr>
      <w:hyperlink r:id="rId14" w:history="1">
        <w:r w:rsidRPr="007619A9">
          <w:rPr>
            <w:rStyle w:val="Hyperlink"/>
            <w:rFonts w:ascii="FrankRuehl" w:hAnsi="FrankRuehl" w:cs="FrankRuehl"/>
            <w:u w:val="none"/>
            <w:rtl/>
          </w:rPr>
          <w:t>חוק המאבק בטרור, תשע"ו-2016</w:t>
        </w:r>
      </w:hyperlink>
    </w:p>
    <w:p w14:paraId="70666ED7" w14:textId="77777777" w:rsidR="003064B4" w:rsidRPr="007619A9" w:rsidRDefault="003064B4" w:rsidP="007619A9">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064B4" w14:paraId="38A071FA" w14:textId="77777777" w:rsidTr="003064B4">
        <w:trPr>
          <w:trHeight w:val="355"/>
          <w:jc w:val="center"/>
        </w:trPr>
        <w:tc>
          <w:tcPr>
            <w:tcW w:w="8820" w:type="dxa"/>
            <w:tcBorders>
              <w:top w:val="nil"/>
              <w:left w:val="nil"/>
              <w:bottom w:val="nil"/>
              <w:right w:val="nil"/>
            </w:tcBorders>
            <w:shd w:val="clear" w:color="auto" w:fill="auto"/>
          </w:tcPr>
          <w:p w14:paraId="24B71163" w14:textId="77777777" w:rsidR="007B11F8" w:rsidRPr="007B11F8" w:rsidRDefault="007B11F8" w:rsidP="007B11F8">
            <w:pPr>
              <w:jc w:val="center"/>
              <w:rPr>
                <w:rFonts w:ascii="David" w:hAnsi="David"/>
                <w:b/>
                <w:bCs/>
                <w:sz w:val="32"/>
                <w:szCs w:val="32"/>
                <w:u w:val="single"/>
                <w:rtl/>
              </w:rPr>
            </w:pPr>
            <w:bookmarkStart w:id="5" w:name="PsakDin" w:colFirst="0" w:colLast="0"/>
            <w:bookmarkEnd w:id="0"/>
            <w:r w:rsidRPr="007B11F8">
              <w:rPr>
                <w:rFonts w:ascii="David" w:hAnsi="David"/>
                <w:b/>
                <w:bCs/>
                <w:sz w:val="32"/>
                <w:szCs w:val="32"/>
                <w:u w:val="single"/>
                <w:rtl/>
              </w:rPr>
              <w:t>גזר דין</w:t>
            </w:r>
          </w:p>
          <w:p w14:paraId="1E22D05E" w14:textId="77777777" w:rsidR="003064B4" w:rsidRPr="007B11F8" w:rsidRDefault="003064B4" w:rsidP="007B11F8">
            <w:pPr>
              <w:jc w:val="center"/>
              <w:rPr>
                <w:rFonts w:ascii="David" w:hAnsi="David"/>
                <w:bCs/>
                <w:sz w:val="32"/>
                <w:szCs w:val="32"/>
                <w:u w:val="single"/>
                <w:rtl/>
              </w:rPr>
            </w:pPr>
          </w:p>
        </w:tc>
      </w:tr>
      <w:bookmarkEnd w:id="5"/>
    </w:tbl>
    <w:p w14:paraId="7E4156C3" w14:textId="77777777" w:rsidR="003064B4" w:rsidRPr="000F2247" w:rsidRDefault="003064B4" w:rsidP="003064B4">
      <w:pPr>
        <w:rPr>
          <w:rFonts w:ascii="Arial" w:hAnsi="Arial"/>
          <w:b/>
          <w:bCs/>
          <w:sz w:val="26"/>
          <w:szCs w:val="26"/>
          <w:rtl/>
        </w:rPr>
      </w:pPr>
    </w:p>
    <w:p w14:paraId="2BAA79F7" w14:textId="77777777" w:rsidR="003064B4" w:rsidRPr="003949DF" w:rsidRDefault="003064B4" w:rsidP="003064B4">
      <w:pPr>
        <w:spacing w:line="360" w:lineRule="auto"/>
        <w:jc w:val="both"/>
        <w:rPr>
          <w:rFonts w:ascii="Calibri" w:eastAsia="Calibri" w:hAnsi="Calibri"/>
          <w:b/>
          <w:bCs/>
          <w:u w:val="single"/>
          <w:rtl/>
        </w:rPr>
      </w:pPr>
    </w:p>
    <w:p w14:paraId="4615CDC6" w14:textId="77777777" w:rsidR="003064B4" w:rsidRPr="003949DF" w:rsidRDefault="003064B4" w:rsidP="003064B4">
      <w:pPr>
        <w:spacing w:line="360" w:lineRule="auto"/>
        <w:ind w:left="360"/>
        <w:jc w:val="both"/>
        <w:outlineLvl w:val="0"/>
        <w:rPr>
          <w:rFonts w:ascii="Calibri" w:eastAsia="Calibri" w:hAnsi="Calibri"/>
          <w:b/>
          <w:bCs/>
          <w:u w:val="single"/>
          <w:rtl/>
        </w:rPr>
      </w:pPr>
      <w:r w:rsidRPr="003949DF">
        <w:rPr>
          <w:rFonts w:ascii="Calibri" w:eastAsia="Calibri" w:hAnsi="Calibri"/>
          <w:b/>
          <w:bCs/>
          <w:u w:val="single"/>
          <w:rtl/>
        </w:rPr>
        <w:t>הרקע:</w:t>
      </w:r>
    </w:p>
    <w:p w14:paraId="4D8404FD" w14:textId="77777777" w:rsidR="003064B4" w:rsidRPr="003949DF" w:rsidRDefault="003064B4" w:rsidP="003064B4">
      <w:pPr>
        <w:spacing w:line="360" w:lineRule="auto"/>
        <w:ind w:left="680" w:hanging="680"/>
        <w:jc w:val="both"/>
        <w:rPr>
          <w:rFonts w:ascii="David" w:eastAsia="Calibri" w:hAnsi="David"/>
          <w:rtl/>
        </w:rPr>
      </w:pPr>
      <w:r w:rsidRPr="003949DF">
        <w:rPr>
          <w:rFonts w:ascii="David" w:hAnsi="David"/>
          <w:rtl/>
        </w:rPr>
        <w:t>1.</w:t>
      </w:r>
      <w:r w:rsidRPr="003949DF">
        <w:rPr>
          <w:rFonts w:ascii="David" w:hAnsi="David"/>
          <w:rtl/>
        </w:rPr>
        <w:tab/>
      </w:r>
      <w:bookmarkStart w:id="6" w:name="ABSTRACT_START"/>
      <w:bookmarkEnd w:id="6"/>
      <w:r w:rsidRPr="003949DF">
        <w:rPr>
          <w:rFonts w:ascii="David" w:hAnsi="David"/>
          <w:rtl/>
        </w:rPr>
        <w:t xml:space="preserve">הנאשם הורשע על פי הודאתו שניתנה במסגרת הסדר טיעון, בעבירות של: </w:t>
      </w:r>
      <w:r w:rsidRPr="003949DF">
        <w:rPr>
          <w:rFonts w:ascii="David" w:hAnsi="David"/>
          <w:b/>
          <w:bCs/>
          <w:rtl/>
        </w:rPr>
        <w:t>החזקת נשק</w:t>
      </w:r>
      <w:r w:rsidRPr="003949DF">
        <w:rPr>
          <w:rFonts w:ascii="David" w:hAnsi="David"/>
          <w:rtl/>
        </w:rPr>
        <w:t xml:space="preserve">, לפי </w:t>
      </w:r>
      <w:hyperlink r:id="rId15" w:history="1">
        <w:r w:rsidR="007619A9" w:rsidRPr="007619A9">
          <w:rPr>
            <w:rStyle w:val="Hyperlink"/>
            <w:rFonts w:ascii="David" w:hAnsi="David"/>
            <w:color w:val="0000FF"/>
            <w:rtl/>
          </w:rPr>
          <w:t>סעיף 144(א)</w:t>
        </w:r>
      </w:hyperlink>
      <w:r w:rsidRPr="003949DF">
        <w:rPr>
          <w:rFonts w:ascii="David" w:hAnsi="David"/>
          <w:rtl/>
        </w:rPr>
        <w:t xml:space="preserve"> רישא ב</w:t>
      </w:r>
      <w:hyperlink r:id="rId16" w:history="1">
        <w:r w:rsidR="007B11F8" w:rsidRPr="007B11F8">
          <w:rPr>
            <w:rFonts w:ascii="David" w:hAnsi="David"/>
            <w:color w:val="0000FF"/>
            <w:u w:val="single"/>
            <w:rtl/>
          </w:rPr>
          <w:t>חוק העונשין</w:t>
        </w:r>
      </w:hyperlink>
      <w:r w:rsidRPr="003949DF">
        <w:rPr>
          <w:rFonts w:ascii="David" w:hAnsi="David"/>
          <w:rtl/>
        </w:rPr>
        <w:t xml:space="preserve"> התשל"ז- 1977 (להלן: "</w:t>
      </w:r>
      <w:r w:rsidRPr="003949DF">
        <w:rPr>
          <w:rFonts w:ascii="David" w:hAnsi="David"/>
          <w:b/>
          <w:bCs/>
          <w:rtl/>
        </w:rPr>
        <w:t>חוק העונשין</w:t>
      </w:r>
      <w:r w:rsidRPr="003949DF">
        <w:rPr>
          <w:rFonts w:ascii="David" w:hAnsi="David"/>
          <w:rtl/>
        </w:rPr>
        <w:t xml:space="preserve">"); </w:t>
      </w:r>
      <w:r w:rsidRPr="003949DF">
        <w:rPr>
          <w:rFonts w:ascii="David" w:hAnsi="David"/>
          <w:b/>
          <w:bCs/>
          <w:rtl/>
        </w:rPr>
        <w:t>ניסיון הצתה</w:t>
      </w:r>
      <w:r w:rsidRPr="003949DF">
        <w:rPr>
          <w:rFonts w:ascii="David" w:hAnsi="David"/>
          <w:rtl/>
        </w:rPr>
        <w:t xml:space="preserve">, לפי </w:t>
      </w:r>
      <w:hyperlink r:id="rId17" w:history="1">
        <w:r w:rsidR="007619A9" w:rsidRPr="007619A9">
          <w:rPr>
            <w:rStyle w:val="Hyperlink"/>
            <w:rFonts w:ascii="David" w:hAnsi="David"/>
            <w:color w:val="0000FF"/>
            <w:rtl/>
          </w:rPr>
          <w:t>סעיף 448(א)</w:t>
        </w:r>
      </w:hyperlink>
      <w:r w:rsidRPr="003949DF">
        <w:rPr>
          <w:rFonts w:ascii="David" w:hAnsi="David"/>
          <w:rtl/>
        </w:rPr>
        <w:t xml:space="preserve"> סיפא </w:t>
      </w:r>
      <w:r w:rsidRPr="009A061A">
        <w:rPr>
          <w:rFonts w:ascii="David" w:hAnsi="David"/>
          <w:rtl/>
        </w:rPr>
        <w:t xml:space="preserve">בצירוף </w:t>
      </w:r>
      <w:hyperlink r:id="rId18" w:history="1">
        <w:r w:rsidR="007619A9" w:rsidRPr="007619A9">
          <w:rPr>
            <w:rStyle w:val="Hyperlink"/>
            <w:rFonts w:ascii="David" w:hAnsi="David"/>
            <w:color w:val="0000FF"/>
            <w:rtl/>
          </w:rPr>
          <w:t>סעיף 25</w:t>
        </w:r>
      </w:hyperlink>
      <w:r w:rsidRPr="009A061A">
        <w:rPr>
          <w:rFonts w:ascii="David" w:hAnsi="David"/>
          <w:rtl/>
        </w:rPr>
        <w:t xml:space="preserve"> בחוק העונשין</w:t>
      </w:r>
      <w:r w:rsidRPr="003949DF">
        <w:rPr>
          <w:rFonts w:ascii="David" w:hAnsi="David"/>
          <w:rtl/>
        </w:rPr>
        <w:t xml:space="preserve">; שתי עבירות של </w:t>
      </w:r>
      <w:r w:rsidRPr="003949DF">
        <w:rPr>
          <w:rFonts w:ascii="David" w:hAnsi="David"/>
          <w:b/>
          <w:bCs/>
          <w:rtl/>
        </w:rPr>
        <w:t xml:space="preserve">ניסיון תקיפת שוטר </w:t>
      </w:r>
      <w:r w:rsidRPr="003949DF">
        <w:rPr>
          <w:rFonts w:ascii="David" w:hAnsi="David"/>
          <w:rtl/>
        </w:rPr>
        <w:t xml:space="preserve">בנסיבות מחמירות לפי </w:t>
      </w:r>
      <w:hyperlink r:id="rId19" w:history="1">
        <w:r w:rsidR="007619A9" w:rsidRPr="007619A9">
          <w:rPr>
            <w:rStyle w:val="Hyperlink"/>
            <w:rFonts w:ascii="David" w:hAnsi="David"/>
            <w:color w:val="0000FF"/>
            <w:rtl/>
          </w:rPr>
          <w:t>סעיף 274(1)+(2)+(3)</w:t>
        </w:r>
      </w:hyperlink>
      <w:r w:rsidRPr="003949DF">
        <w:rPr>
          <w:rFonts w:ascii="David" w:hAnsi="David"/>
          <w:rtl/>
        </w:rPr>
        <w:t xml:space="preserve"> בצירוף </w:t>
      </w:r>
      <w:hyperlink r:id="rId20" w:history="1">
        <w:r w:rsidR="007619A9" w:rsidRPr="007619A9">
          <w:rPr>
            <w:rStyle w:val="Hyperlink"/>
            <w:rFonts w:ascii="David" w:hAnsi="David"/>
            <w:color w:val="0000FF"/>
            <w:rtl/>
          </w:rPr>
          <w:t>סעיף 25</w:t>
        </w:r>
      </w:hyperlink>
      <w:r w:rsidRPr="003949DF">
        <w:rPr>
          <w:rFonts w:ascii="David" w:hAnsi="David"/>
          <w:rtl/>
        </w:rPr>
        <w:t xml:space="preserve"> בחוק העונשין; </w:t>
      </w:r>
      <w:r w:rsidRPr="003949DF">
        <w:rPr>
          <w:rFonts w:ascii="David" w:hAnsi="David"/>
          <w:b/>
          <w:bCs/>
          <w:rtl/>
        </w:rPr>
        <w:t xml:space="preserve">והתפרעות </w:t>
      </w:r>
      <w:r w:rsidRPr="003949DF">
        <w:rPr>
          <w:rFonts w:ascii="David" w:hAnsi="David"/>
          <w:rtl/>
        </w:rPr>
        <w:t xml:space="preserve">לפי </w:t>
      </w:r>
      <w:hyperlink r:id="rId21" w:history="1">
        <w:r w:rsidR="007619A9" w:rsidRPr="007619A9">
          <w:rPr>
            <w:rStyle w:val="Hyperlink"/>
            <w:rFonts w:ascii="David" w:hAnsi="David"/>
            <w:color w:val="0000FF"/>
            <w:rtl/>
          </w:rPr>
          <w:t>סעיף 125</w:t>
        </w:r>
      </w:hyperlink>
      <w:r w:rsidRPr="003949DF">
        <w:rPr>
          <w:rFonts w:ascii="David" w:hAnsi="David"/>
          <w:rtl/>
        </w:rPr>
        <w:t xml:space="preserve"> בחוק העונשין. </w:t>
      </w:r>
    </w:p>
    <w:p w14:paraId="5CC03281" w14:textId="77777777" w:rsidR="003064B4" w:rsidRPr="003949DF" w:rsidRDefault="003064B4" w:rsidP="003064B4">
      <w:pPr>
        <w:spacing w:line="360" w:lineRule="auto"/>
        <w:ind w:left="360"/>
        <w:jc w:val="both"/>
        <w:rPr>
          <w:rFonts w:ascii="Calibri" w:eastAsia="Calibri" w:hAnsi="Calibri"/>
        </w:rPr>
      </w:pPr>
      <w:bookmarkStart w:id="7" w:name="ABSTRACT_END"/>
      <w:bookmarkEnd w:id="7"/>
    </w:p>
    <w:p w14:paraId="545E5B79" w14:textId="77777777" w:rsidR="003064B4" w:rsidRPr="003949DF" w:rsidRDefault="003064B4" w:rsidP="003064B4">
      <w:pPr>
        <w:spacing w:line="360" w:lineRule="auto"/>
        <w:jc w:val="both"/>
        <w:outlineLvl w:val="1"/>
        <w:rPr>
          <w:rFonts w:ascii="Calibri" w:hAnsi="Calibri"/>
          <w:u w:val="single"/>
        </w:rPr>
      </w:pPr>
      <w:r w:rsidRPr="003949DF">
        <w:rPr>
          <w:rFonts w:ascii="Calibri" w:hAnsi="Calibri"/>
          <w:u w:val="single"/>
          <w:rtl/>
        </w:rPr>
        <w:t>עובדות כתב האישום המתוקן:</w:t>
      </w:r>
    </w:p>
    <w:p w14:paraId="42E81E47"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2.</w:t>
      </w:r>
      <w:r w:rsidRPr="003949DF">
        <w:rPr>
          <w:rFonts w:ascii="David" w:hAnsi="David"/>
          <w:rtl/>
        </w:rPr>
        <w:tab/>
        <w:t>כתב האישום המתוקן כולל בחובו שני אישומים, כדלהלן:</w:t>
      </w:r>
    </w:p>
    <w:p w14:paraId="5DDE6428" w14:textId="77777777" w:rsidR="003064B4" w:rsidRPr="003949DF" w:rsidRDefault="003064B4" w:rsidP="003064B4">
      <w:pPr>
        <w:spacing w:line="360" w:lineRule="auto"/>
        <w:ind w:left="680" w:hanging="680"/>
        <w:jc w:val="both"/>
        <w:rPr>
          <w:rFonts w:ascii="David" w:hAnsi="David"/>
          <w:rtl/>
        </w:rPr>
      </w:pPr>
    </w:p>
    <w:p w14:paraId="37B52E9E" w14:textId="77777777" w:rsidR="003064B4" w:rsidRPr="003949DF" w:rsidRDefault="003064B4" w:rsidP="003064B4">
      <w:pPr>
        <w:keepNext/>
        <w:keepLines/>
        <w:spacing w:before="40" w:line="360" w:lineRule="auto"/>
        <w:jc w:val="both"/>
        <w:outlineLvl w:val="2"/>
        <w:rPr>
          <w:rFonts w:ascii="David" w:hAnsi="David"/>
          <w:u w:val="single"/>
          <w:rtl/>
        </w:rPr>
      </w:pPr>
      <w:r w:rsidRPr="003949DF">
        <w:rPr>
          <w:rFonts w:ascii="David" w:hAnsi="David" w:hint="cs"/>
          <w:u w:val="single"/>
          <w:rtl/>
        </w:rPr>
        <w:lastRenderedPageBreak/>
        <w:t>האישום הראשון:</w:t>
      </w:r>
    </w:p>
    <w:p w14:paraId="3CCA464E" w14:textId="77777777" w:rsidR="003064B4" w:rsidRPr="003949DF" w:rsidRDefault="003064B4" w:rsidP="003064B4">
      <w:pPr>
        <w:spacing w:line="360" w:lineRule="auto"/>
        <w:ind w:left="680" w:hanging="680"/>
        <w:jc w:val="both"/>
        <w:rPr>
          <w:rFonts w:ascii="David" w:hAnsi="David"/>
        </w:rPr>
      </w:pPr>
      <w:r w:rsidRPr="003949DF">
        <w:rPr>
          <w:rFonts w:ascii="David" w:hAnsi="David"/>
          <w:rtl/>
        </w:rPr>
        <w:t>3.</w:t>
      </w:r>
      <w:r w:rsidRPr="003949DF">
        <w:rPr>
          <w:rFonts w:ascii="David" w:hAnsi="David"/>
          <w:rtl/>
        </w:rPr>
        <w:tab/>
        <w:t>ביום 3/7/2023 בסמוך לשעה 21:00 התפתחו הפרות סדר בכניסה לשכונת עיסאוויה בירושלים, בהן השתתפו למעלה מ-30 מתפרעים רעולי פנים. המתפרעים חסמו את ציר הנסיעה באמצעות פחי אשפה בוערים והציתו מספר מוקדי אש נוספים, במטרה למשוך למקום את כוחות הביטחון. עם כניסתו למקום של רכב משטרתי החלו המתפרעים ליידות לעברו באופן מסיבי עשרות בקבוקי תבערה, מאות אבנים וחפצים, ולירות לעברו זיקוקים. לרכב המשטרה נגרמו נזקים רבים, בהם נזק למיגון, נזקי פח ונזק למכסה המנוע.</w:t>
      </w:r>
    </w:p>
    <w:p w14:paraId="36F7EF2F" w14:textId="77777777" w:rsidR="003064B4" w:rsidRPr="003949DF" w:rsidRDefault="003064B4" w:rsidP="003064B4">
      <w:pPr>
        <w:spacing w:line="360" w:lineRule="auto"/>
        <w:ind w:left="680" w:hanging="680"/>
        <w:jc w:val="both"/>
        <w:rPr>
          <w:rFonts w:ascii="David" w:hAnsi="David"/>
          <w:rtl/>
        </w:rPr>
      </w:pPr>
    </w:p>
    <w:p w14:paraId="609FB789"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4.</w:t>
      </w:r>
      <w:r w:rsidRPr="003949DF">
        <w:rPr>
          <w:rFonts w:ascii="David" w:hAnsi="David"/>
          <w:rtl/>
        </w:rPr>
        <w:tab/>
        <w:t>הנאשם, שהשתתף בהתפרעות, הגיע למקום כשהוא רעול פנים, החזיק בקבוק תבערה ויידה אותו לעבר הכביש, על מנת לחסום את הדרך לכוחות הביטחון. בנוסף, הנאשם קיבל מאדם אחר, שזהותו לא ידועה, בקבוק תעברה נוסף, אותו העביר לידיו של אדם אחר שהשתתף בהתפרעות. כמו כן, הנאשם יידה מספר רב של אבנים לעבר כוחות הביטחון, ממרחק של כ- 50 מטרים.</w:t>
      </w:r>
    </w:p>
    <w:p w14:paraId="6A50FE53" w14:textId="77777777" w:rsidR="003064B4" w:rsidRPr="003949DF" w:rsidRDefault="003064B4" w:rsidP="003064B4">
      <w:pPr>
        <w:spacing w:line="360" w:lineRule="auto"/>
        <w:ind w:left="680" w:hanging="680"/>
        <w:jc w:val="both"/>
        <w:rPr>
          <w:rFonts w:ascii="David" w:hAnsi="David"/>
        </w:rPr>
      </w:pPr>
    </w:p>
    <w:p w14:paraId="4039A426" w14:textId="77777777" w:rsidR="003064B4" w:rsidRPr="003949DF" w:rsidRDefault="003064B4" w:rsidP="003064B4">
      <w:pPr>
        <w:keepNext/>
        <w:keepLines/>
        <w:spacing w:before="40" w:line="360" w:lineRule="auto"/>
        <w:jc w:val="both"/>
        <w:outlineLvl w:val="2"/>
        <w:rPr>
          <w:rFonts w:ascii="David" w:hAnsi="David"/>
          <w:u w:val="single"/>
          <w:rtl/>
        </w:rPr>
      </w:pPr>
      <w:r w:rsidRPr="003949DF">
        <w:rPr>
          <w:rFonts w:ascii="David" w:hAnsi="David" w:hint="cs"/>
          <w:u w:val="single"/>
          <w:rtl/>
        </w:rPr>
        <w:t>האישום השני:</w:t>
      </w:r>
    </w:p>
    <w:p w14:paraId="7E5B1227"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5.</w:t>
      </w:r>
      <w:r w:rsidRPr="003949DF">
        <w:rPr>
          <w:rFonts w:ascii="David" w:hAnsi="David"/>
          <w:rtl/>
        </w:rPr>
        <w:tab/>
        <w:t>ביום 21/9/2023 בשעות הערב ביצע דאוד עטייה (להלן: "</w:t>
      </w:r>
      <w:r w:rsidRPr="003949DF">
        <w:rPr>
          <w:rFonts w:ascii="David" w:hAnsi="David"/>
          <w:b/>
          <w:bCs/>
          <w:rtl/>
        </w:rPr>
        <w:t>המחבל</w:t>
      </w:r>
      <w:r w:rsidRPr="003949DF">
        <w:rPr>
          <w:rFonts w:ascii="David" w:hAnsi="David"/>
          <w:rtl/>
        </w:rPr>
        <w:t>") פיגוע בתחנת הרכבת הקלה בגבעת המבתר. בעקבות הפיגוע ולצורך חיפוש בביתו של המחבל, נכנסו כוחות ביטחון לשכונת עיסאוויה. נוכח כניסת כוחות הביטחון למקום התפתחו בשכונה הפרות סדר. בהתפרעות השתתפו עשרות מתפרעים רעולי פנים, שיידו באופן מסיבי בקבוקי תבערה, אבנים וחפצים לעבר כוחות הביטחון, וירו לעבר הכוחות זיקוקים בכינון ישיר.</w:t>
      </w:r>
    </w:p>
    <w:p w14:paraId="06D465E5" w14:textId="77777777" w:rsidR="003064B4" w:rsidRPr="003949DF" w:rsidRDefault="003064B4" w:rsidP="003064B4">
      <w:pPr>
        <w:spacing w:line="360" w:lineRule="auto"/>
        <w:ind w:left="680" w:hanging="680"/>
        <w:jc w:val="both"/>
        <w:rPr>
          <w:rFonts w:ascii="David" w:hAnsi="David"/>
          <w:rtl/>
        </w:rPr>
      </w:pPr>
    </w:p>
    <w:p w14:paraId="1D55C242"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6.</w:t>
      </w:r>
      <w:r w:rsidRPr="003949DF">
        <w:rPr>
          <w:rFonts w:ascii="David" w:hAnsi="David"/>
          <w:rtl/>
        </w:rPr>
        <w:tab/>
        <w:t xml:space="preserve"> בהמשך, לאחר שכוחות הביטחון סיימו את הפעילות בביתו של המחבל, שבו כוחות המשטרה ונתקלו ביידוי מסיבי של אבנים, בקבוקי תבערה, חפצים וירי זיקוקים בכינון ישיר.</w:t>
      </w:r>
    </w:p>
    <w:p w14:paraId="7E0A1D10" w14:textId="77777777" w:rsidR="003064B4" w:rsidRPr="003949DF" w:rsidRDefault="003064B4" w:rsidP="003064B4">
      <w:pPr>
        <w:spacing w:line="360" w:lineRule="auto"/>
        <w:ind w:left="680" w:hanging="680"/>
        <w:jc w:val="both"/>
        <w:rPr>
          <w:rFonts w:ascii="David" w:hAnsi="David"/>
          <w:rtl/>
        </w:rPr>
      </w:pPr>
    </w:p>
    <w:p w14:paraId="6509ECC4"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7.</w:t>
      </w:r>
      <w:r w:rsidRPr="003949DF">
        <w:rPr>
          <w:rFonts w:ascii="David" w:hAnsi="David"/>
          <w:rtl/>
        </w:rPr>
        <w:tab/>
        <w:t>הנאשם השתתף בהתפרעות, בכך שיידה אבן לעבר השוטרים ממרחק 50 מטרים.</w:t>
      </w:r>
    </w:p>
    <w:p w14:paraId="48CD0214" w14:textId="77777777" w:rsidR="003064B4" w:rsidRPr="003949DF" w:rsidRDefault="003064B4" w:rsidP="003064B4">
      <w:pPr>
        <w:spacing w:line="360" w:lineRule="auto"/>
        <w:ind w:left="680" w:hanging="680"/>
        <w:jc w:val="both"/>
        <w:rPr>
          <w:rFonts w:ascii="David" w:hAnsi="David"/>
          <w:rtl/>
        </w:rPr>
      </w:pPr>
    </w:p>
    <w:p w14:paraId="7BD5A229" w14:textId="77777777" w:rsidR="003064B4" w:rsidRPr="003949DF" w:rsidRDefault="003064B4" w:rsidP="003064B4">
      <w:pPr>
        <w:spacing w:line="360" w:lineRule="auto"/>
        <w:jc w:val="both"/>
        <w:outlineLvl w:val="0"/>
        <w:rPr>
          <w:rFonts w:ascii="Calibri" w:eastAsia="Calibri" w:hAnsi="Calibri"/>
          <w:b/>
          <w:bCs/>
          <w:u w:val="single"/>
          <w:rtl/>
        </w:rPr>
      </w:pPr>
      <w:r w:rsidRPr="003949DF">
        <w:rPr>
          <w:rFonts w:ascii="Calibri" w:eastAsia="Calibri" w:hAnsi="Calibri"/>
          <w:b/>
          <w:bCs/>
          <w:u w:val="single"/>
          <w:rtl/>
        </w:rPr>
        <w:t>חוות דעת ועדת האבחון:</w:t>
      </w:r>
    </w:p>
    <w:p w14:paraId="4DBB0A7C" w14:textId="77777777" w:rsidR="003064B4" w:rsidRPr="003949DF" w:rsidRDefault="003064B4" w:rsidP="003064B4">
      <w:pPr>
        <w:spacing w:line="360" w:lineRule="auto"/>
        <w:ind w:left="680" w:hanging="680"/>
        <w:jc w:val="both"/>
        <w:rPr>
          <w:rFonts w:ascii="David" w:eastAsia="Calibri" w:hAnsi="David"/>
          <w:rtl/>
        </w:rPr>
      </w:pPr>
      <w:r w:rsidRPr="003949DF">
        <w:rPr>
          <w:rFonts w:ascii="David" w:hAnsi="David"/>
          <w:rtl/>
        </w:rPr>
        <w:t>8.</w:t>
      </w:r>
      <w:r w:rsidRPr="003949DF">
        <w:rPr>
          <w:rFonts w:ascii="David" w:hAnsi="David"/>
          <w:rtl/>
        </w:rPr>
        <w:tab/>
        <w:t xml:space="preserve">בעניינו של הנאשם התקבלה חוות דעת שנערכה על ידי ועדת האבחון לפי חוק הסעד (טיפול באנשים עם מוגבלות שכלית-התפתחותית), תשכ"ט-1969, לפיה הנאשם אחראי למעשיו וכשיר לעמוד לדין. יחד עם זאת פירטה כי מדובר בצעיר כבן 23, המתפקד ברמה של מוגבלות שכלית התפתחותית קלה והסובל ממיקרוצפליה, </w:t>
      </w:r>
      <w:r w:rsidRPr="003949DF">
        <w:rPr>
          <w:rFonts w:ascii="David" w:hAnsi="David" w:cs="Calibri"/>
          <w:sz w:val="20"/>
          <w:szCs w:val="20"/>
        </w:rPr>
        <w:t>ADHD</w:t>
      </w:r>
      <w:r w:rsidRPr="003949DF">
        <w:rPr>
          <w:rFonts w:ascii="David" w:hAnsi="David"/>
          <w:rtl/>
        </w:rPr>
        <w:t xml:space="preserve"> ובעיות התנהגות. אשר לכישוריו האינטלקטואלים של הנאשם צוין כי קיימים: הנמכה משמעותית בתחום הקוגניטיבי וההסתגלותי; קשיים בתחום השליפה המילולית; קשיי תכנון ובקרה; תפקודים ניהוליים מוגבלים; קשיים בינאישיים משמעותיים; ביטחון עצמי נמוך; קשיי ויסות עצמי; </w:t>
      </w:r>
      <w:r w:rsidRPr="003949DF">
        <w:rPr>
          <w:rFonts w:ascii="David" w:hAnsi="David"/>
          <w:rtl/>
        </w:rPr>
        <w:lastRenderedPageBreak/>
        <w:t xml:space="preserve">קשיים בהפעלת שיקול דעת בוגר; חוסר הבנה תקין של מוסכמות חברתיות ונורמות; וסף תסכול נמוך. </w:t>
      </w:r>
    </w:p>
    <w:p w14:paraId="1B8E202C" w14:textId="77777777" w:rsidR="003064B4" w:rsidRPr="003949DF" w:rsidRDefault="003064B4" w:rsidP="003064B4">
      <w:pPr>
        <w:spacing w:line="360" w:lineRule="auto"/>
        <w:ind w:left="680" w:hanging="680"/>
        <w:jc w:val="both"/>
        <w:rPr>
          <w:rFonts w:ascii="David" w:hAnsi="David"/>
          <w:rtl/>
        </w:rPr>
      </w:pPr>
    </w:p>
    <w:p w14:paraId="36750BC1" w14:textId="77777777" w:rsidR="003064B4" w:rsidRPr="003949DF" w:rsidRDefault="003064B4" w:rsidP="003064B4">
      <w:pPr>
        <w:spacing w:line="360" w:lineRule="auto"/>
        <w:jc w:val="both"/>
        <w:outlineLvl w:val="0"/>
        <w:rPr>
          <w:rFonts w:ascii="Calibri" w:eastAsia="Calibri" w:hAnsi="Calibri"/>
          <w:b/>
          <w:bCs/>
          <w:u w:val="single"/>
        </w:rPr>
      </w:pPr>
      <w:r w:rsidRPr="003949DF">
        <w:rPr>
          <w:rFonts w:ascii="Calibri" w:eastAsia="Calibri" w:hAnsi="Calibri"/>
          <w:b/>
          <w:bCs/>
          <w:u w:val="single"/>
          <w:rtl/>
        </w:rPr>
        <w:t>ראיות לעונש:</w:t>
      </w:r>
    </w:p>
    <w:p w14:paraId="4350C7CD" w14:textId="77777777" w:rsidR="003064B4" w:rsidRPr="003949DF" w:rsidRDefault="003064B4" w:rsidP="003064B4">
      <w:pPr>
        <w:spacing w:line="360" w:lineRule="auto"/>
        <w:ind w:left="680" w:hanging="680"/>
        <w:jc w:val="both"/>
        <w:rPr>
          <w:rFonts w:ascii="David" w:eastAsia="Calibri" w:hAnsi="David"/>
          <w:rtl/>
        </w:rPr>
      </w:pPr>
      <w:r w:rsidRPr="003949DF">
        <w:rPr>
          <w:rFonts w:ascii="David" w:hAnsi="David"/>
          <w:rtl/>
        </w:rPr>
        <w:t>9.</w:t>
      </w:r>
      <w:r w:rsidRPr="003949DF">
        <w:rPr>
          <w:rFonts w:ascii="David" w:hAnsi="David"/>
          <w:rtl/>
        </w:rPr>
        <w:tab/>
        <w:t>המאשימה הגישה את גיליון הרישום הפלילי של הנאשם. כעולה ממנו, לנאשם שלוש הרשעות קודמות בגין שלושה מעשי עבירה קודמים של ניסיון לתקיפת שוטר, שני אירועים של השתתפות בהתפרעות ומעשה עבירה אחד של סיכון אדם בנתיב תחבורה. בגין הרשעותיו הקדמות הוטלו על הנאשם עונשים שחומרתם הלכה ועלתה. בעקבות הרשעתו הראשונה הוטל על הנאשם עונש מאסר על תנאי. הרשעתו השנייה לוותה בעונש מאסר בפועל למשך שבעה חודשים. בעקבות הרשעתו השלישית הוטל עליו עונש מאסר בפועל למשך עשרה חודשים.</w:t>
      </w:r>
    </w:p>
    <w:p w14:paraId="0D0DD167" w14:textId="77777777" w:rsidR="003064B4" w:rsidRPr="003949DF" w:rsidRDefault="003064B4" w:rsidP="003064B4">
      <w:pPr>
        <w:spacing w:line="360" w:lineRule="auto"/>
        <w:ind w:left="680" w:hanging="680"/>
        <w:jc w:val="both"/>
        <w:rPr>
          <w:rFonts w:ascii="David" w:hAnsi="David"/>
          <w:rtl/>
        </w:rPr>
      </w:pPr>
    </w:p>
    <w:p w14:paraId="66270C4C"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10.</w:t>
      </w:r>
      <w:r w:rsidRPr="003949DF">
        <w:rPr>
          <w:rFonts w:ascii="David" w:hAnsi="David"/>
          <w:rtl/>
        </w:rPr>
        <w:tab/>
        <w:t xml:space="preserve">ההגנה הפנתה לחוות הדעת של וועדת האבחון, שפורטה לעיל. </w:t>
      </w:r>
    </w:p>
    <w:p w14:paraId="030F9C13" w14:textId="77777777" w:rsidR="003064B4" w:rsidRPr="003949DF" w:rsidRDefault="003064B4" w:rsidP="003064B4">
      <w:pPr>
        <w:spacing w:line="360" w:lineRule="auto"/>
        <w:ind w:left="680" w:hanging="680"/>
        <w:jc w:val="both"/>
        <w:rPr>
          <w:rFonts w:ascii="David" w:hAnsi="David"/>
          <w:rtl/>
        </w:rPr>
      </w:pPr>
    </w:p>
    <w:p w14:paraId="08E33DED" w14:textId="77777777" w:rsidR="003064B4" w:rsidRPr="003949DF" w:rsidRDefault="003064B4" w:rsidP="003064B4">
      <w:pPr>
        <w:spacing w:line="360" w:lineRule="auto"/>
        <w:jc w:val="both"/>
        <w:outlineLvl w:val="0"/>
        <w:rPr>
          <w:rFonts w:ascii="Calibri" w:eastAsia="Calibri" w:hAnsi="Calibri"/>
          <w:b/>
          <w:bCs/>
          <w:u w:val="single"/>
        </w:rPr>
      </w:pPr>
      <w:r w:rsidRPr="003949DF">
        <w:rPr>
          <w:rFonts w:ascii="Calibri" w:eastAsia="Calibri" w:hAnsi="Calibri"/>
          <w:b/>
          <w:bCs/>
          <w:u w:val="single"/>
          <w:rtl/>
        </w:rPr>
        <w:t>תמצית טיעוני הצדדים לעונש:</w:t>
      </w:r>
    </w:p>
    <w:p w14:paraId="10CB6958" w14:textId="77777777" w:rsidR="003064B4" w:rsidRPr="003949DF" w:rsidRDefault="003064B4" w:rsidP="003064B4">
      <w:pPr>
        <w:spacing w:line="360" w:lineRule="auto"/>
        <w:jc w:val="both"/>
        <w:rPr>
          <w:rFonts w:ascii="Calibri" w:eastAsia="Calibri" w:hAnsi="Calibri"/>
          <w:rtl/>
        </w:rPr>
      </w:pPr>
    </w:p>
    <w:p w14:paraId="669520EF" w14:textId="77777777" w:rsidR="003064B4" w:rsidRPr="003949DF" w:rsidRDefault="003064B4" w:rsidP="003064B4">
      <w:pPr>
        <w:spacing w:line="360" w:lineRule="auto"/>
        <w:jc w:val="both"/>
        <w:outlineLvl w:val="1"/>
        <w:rPr>
          <w:rFonts w:ascii="Calibri" w:hAnsi="Calibri"/>
          <w:u w:val="single"/>
          <w:rtl/>
        </w:rPr>
      </w:pPr>
      <w:r w:rsidRPr="003949DF">
        <w:rPr>
          <w:rFonts w:ascii="Calibri" w:hAnsi="Calibri"/>
          <w:u w:val="single"/>
          <w:rtl/>
        </w:rPr>
        <w:t>תמצית טיעוני המאשימה:</w:t>
      </w:r>
    </w:p>
    <w:p w14:paraId="021D68D3"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11.</w:t>
      </w:r>
      <w:r w:rsidRPr="003949DF">
        <w:rPr>
          <w:rFonts w:ascii="David" w:hAnsi="David"/>
          <w:rtl/>
        </w:rPr>
        <w:tab/>
        <w:t xml:space="preserve">המאשימה טענה כי יש מתחם העונש ההולם למעשה העבירה באישום הראשון נע בין שלוש לשש שנות מאסר בפועל, ולמעשה העבירה באישום השני בין שמונה ל-20 חודשי מאסר בפועל, וכי העונש המתאים לנאשם עומד על 50 חודשי מאסר, ומבטא חפיפה קלה בין המתחמים. </w:t>
      </w:r>
    </w:p>
    <w:p w14:paraId="3D4B2957" w14:textId="77777777" w:rsidR="003064B4" w:rsidRPr="003949DF" w:rsidRDefault="003064B4" w:rsidP="003064B4">
      <w:pPr>
        <w:spacing w:line="360" w:lineRule="auto"/>
        <w:ind w:left="680" w:hanging="680"/>
        <w:jc w:val="both"/>
        <w:rPr>
          <w:rFonts w:ascii="David" w:hAnsi="David"/>
          <w:rtl/>
        </w:rPr>
      </w:pPr>
    </w:p>
    <w:p w14:paraId="077DBB6A" w14:textId="77777777" w:rsidR="003064B4" w:rsidRPr="003949DF" w:rsidRDefault="003064B4" w:rsidP="003064B4">
      <w:pPr>
        <w:spacing w:line="360" w:lineRule="auto"/>
        <w:ind w:left="680" w:hanging="680"/>
        <w:jc w:val="both"/>
        <w:rPr>
          <w:rFonts w:ascii="David" w:hAnsi="David"/>
        </w:rPr>
      </w:pPr>
      <w:r w:rsidRPr="003949DF">
        <w:rPr>
          <w:rFonts w:ascii="David" w:hAnsi="David"/>
          <w:rtl/>
        </w:rPr>
        <w:t>12.</w:t>
      </w:r>
      <w:r w:rsidRPr="003949DF">
        <w:rPr>
          <w:rFonts w:ascii="David" w:hAnsi="David"/>
          <w:rtl/>
        </w:rPr>
        <w:tab/>
        <w:t>המאשימה הדגישה בטיעוניה את פוטנציאל הנזק העצום הטמון באירועי התפרעות מעין אלה בהם הנאשם השתתף, את הסכנה לחיי אדם הנובעת משימוש בנשק מסוג בקבוק תבערה ואת מספרם הרב של האבנים שיודו לעבר כוחות הביטחון. לטענתה, במקרה זה קיימת חשיבות לשיקול ההרתעה, לנוכח ריבוי העבירות הדומות הנעברות באזור ירושלים.</w:t>
      </w:r>
    </w:p>
    <w:p w14:paraId="7D8B7C97" w14:textId="77777777" w:rsidR="003064B4" w:rsidRPr="003949DF" w:rsidRDefault="003064B4" w:rsidP="003064B4">
      <w:pPr>
        <w:spacing w:line="360" w:lineRule="auto"/>
        <w:ind w:left="680" w:hanging="680"/>
        <w:jc w:val="both"/>
        <w:rPr>
          <w:rFonts w:ascii="David" w:hAnsi="David"/>
          <w:rtl/>
        </w:rPr>
      </w:pPr>
    </w:p>
    <w:p w14:paraId="6B3797B3"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13.</w:t>
      </w:r>
      <w:r w:rsidRPr="003949DF">
        <w:rPr>
          <w:rFonts w:ascii="David" w:hAnsi="David"/>
          <w:rtl/>
        </w:rPr>
        <w:tab/>
        <w:t>לעמדת המאשימה, מדיניות הענישה בעבירות בהן הנאשם הורשע מחמירה. לתמיכה בעמדתה אשר למתחמי הענישה הפנתה לפסקי הדין הבאים:</w:t>
      </w:r>
    </w:p>
    <w:p w14:paraId="4EC3AF21" w14:textId="77777777" w:rsidR="003064B4" w:rsidRPr="003949DF" w:rsidRDefault="003064B4" w:rsidP="003064B4">
      <w:pPr>
        <w:spacing w:line="360" w:lineRule="auto"/>
        <w:ind w:left="680" w:hanging="680"/>
        <w:jc w:val="both"/>
        <w:rPr>
          <w:rFonts w:ascii="David" w:hAnsi="David"/>
          <w:rtl/>
        </w:rPr>
      </w:pPr>
    </w:p>
    <w:p w14:paraId="44225DA1" w14:textId="77777777" w:rsidR="003064B4" w:rsidRPr="003949DF" w:rsidRDefault="003064B4" w:rsidP="003064B4">
      <w:pPr>
        <w:spacing w:line="360" w:lineRule="auto"/>
        <w:ind w:left="1360" w:hanging="680"/>
        <w:jc w:val="both"/>
        <w:rPr>
          <w:rFonts w:ascii="Calibri" w:hAnsi="Calibri"/>
          <w:rtl/>
        </w:rPr>
      </w:pPr>
      <w:r w:rsidRPr="003949DF">
        <w:rPr>
          <w:rFonts w:ascii="Calibri" w:hAnsi="Calibri"/>
          <w:rtl/>
        </w:rPr>
        <w:t>א.</w:t>
      </w:r>
      <w:r w:rsidRPr="003949DF">
        <w:rPr>
          <w:rFonts w:ascii="Calibri" w:hAnsi="Calibri"/>
          <w:rtl/>
        </w:rPr>
        <w:tab/>
      </w:r>
      <w:hyperlink r:id="rId22" w:history="1">
        <w:r w:rsidR="007B11F8" w:rsidRPr="007B11F8">
          <w:rPr>
            <w:rFonts w:ascii="Calibri" w:hAnsi="Calibri" w:hint="eastAsia"/>
            <w:color w:val="0000FF"/>
            <w:u w:val="single"/>
            <w:rtl/>
          </w:rPr>
          <w:t>ע</w:t>
        </w:r>
        <w:r w:rsidR="007B11F8" w:rsidRPr="007B11F8">
          <w:rPr>
            <w:rFonts w:ascii="Calibri" w:hAnsi="Calibri"/>
            <w:color w:val="0000FF"/>
            <w:u w:val="single"/>
            <w:rtl/>
          </w:rPr>
          <w:t>"</w:t>
        </w:r>
        <w:r w:rsidR="007B11F8" w:rsidRPr="007B11F8">
          <w:rPr>
            <w:rFonts w:ascii="Calibri" w:hAnsi="Calibri" w:hint="eastAsia"/>
            <w:color w:val="0000FF"/>
            <w:u w:val="single"/>
            <w:rtl/>
          </w:rPr>
          <w:t>פ</w:t>
        </w:r>
        <w:r w:rsidR="007B11F8" w:rsidRPr="007B11F8">
          <w:rPr>
            <w:rFonts w:ascii="Calibri" w:hAnsi="Calibri"/>
            <w:color w:val="0000FF"/>
            <w:u w:val="single"/>
            <w:rtl/>
          </w:rPr>
          <w:t xml:space="preserve"> 3708/21</w:t>
        </w:r>
      </w:hyperlink>
      <w:r w:rsidRPr="003949DF">
        <w:rPr>
          <w:rFonts w:ascii="Calibri" w:hAnsi="Calibri"/>
          <w:rtl/>
        </w:rPr>
        <w:t xml:space="preserve"> </w:t>
      </w:r>
      <w:r w:rsidRPr="003949DF">
        <w:rPr>
          <w:rFonts w:ascii="Calibri" w:hAnsi="Calibri"/>
          <w:b/>
          <w:bCs/>
          <w:rtl/>
        </w:rPr>
        <w:t>פלוני נ' מדינת ישראל</w:t>
      </w:r>
      <w:r w:rsidRPr="003949DF">
        <w:rPr>
          <w:rFonts w:ascii="Calibri" w:hAnsi="Calibri"/>
          <w:rtl/>
        </w:rPr>
        <w:t xml:space="preserve">, 13/7/2021, בו נקבע: </w:t>
      </w:r>
    </w:p>
    <w:p w14:paraId="756EBEC1" w14:textId="77777777" w:rsidR="003064B4" w:rsidRPr="003949DF" w:rsidRDefault="003064B4" w:rsidP="003064B4">
      <w:pPr>
        <w:spacing w:line="360" w:lineRule="auto"/>
        <w:ind w:left="1785" w:right="864"/>
        <w:jc w:val="both"/>
        <w:rPr>
          <w:rFonts w:ascii="Calibri" w:eastAsia="Calibri" w:hAnsi="Calibri"/>
          <w:b/>
          <w:bCs/>
          <w:rtl/>
        </w:rPr>
      </w:pPr>
      <w:r w:rsidRPr="003949DF">
        <w:rPr>
          <w:rFonts w:ascii="Calibri" w:eastAsia="Calibri" w:hAnsi="Calibri"/>
          <w:b/>
          <w:bCs/>
          <w:rtl/>
        </w:rPr>
        <w:t xml:space="preserve">"אין צורך להאריך במילים על חומרת העבירות בהן הורשע המערער, עבירות שנועדו לפגוע בביטחון המדינה ממניעים אידיאולוגיים-לאומניים. בית משפט זה עמד על החומרה היתרה הנודעת לפעולות של יידוי אבנים והשלכת בקבוקי תבערה לעבר כלי תחבורה ולעבר כוחות הביטחון.... מדיניות הענישה הנוהגת בעבירות אלה היא מחמירה, וניתן בה משקל ממשי לשיקולי הרתעה. נסיבות ביצוע המעשים, ובכלל זה העובדה שהמעשים בוצעו בחבורה, לאחר תכנון מוקדם, ממניע אידיאולוגי-לאומני, כאשר טמון בהם פוטנציאל נזק משמעותי ביותר, מחייבות ענישה מחמירה..." </w:t>
      </w:r>
    </w:p>
    <w:p w14:paraId="3498E714" w14:textId="77777777" w:rsidR="003064B4" w:rsidRPr="003949DF" w:rsidRDefault="003064B4" w:rsidP="003064B4">
      <w:pPr>
        <w:spacing w:line="360" w:lineRule="auto"/>
        <w:jc w:val="both"/>
        <w:rPr>
          <w:rFonts w:ascii="Calibri" w:eastAsia="Calibri" w:hAnsi="Calibri"/>
          <w:rtl/>
        </w:rPr>
      </w:pPr>
    </w:p>
    <w:p w14:paraId="68E5B292" w14:textId="77777777" w:rsidR="003064B4" w:rsidRPr="003949DF" w:rsidRDefault="003064B4" w:rsidP="003064B4">
      <w:pPr>
        <w:spacing w:line="360" w:lineRule="auto"/>
        <w:ind w:left="1360" w:hanging="680"/>
        <w:jc w:val="both"/>
        <w:rPr>
          <w:rFonts w:ascii="Calibri" w:hAnsi="Calibri"/>
          <w:rtl/>
        </w:rPr>
      </w:pPr>
      <w:r w:rsidRPr="003949DF">
        <w:rPr>
          <w:rFonts w:ascii="Calibri" w:hAnsi="Calibri"/>
          <w:rtl/>
        </w:rPr>
        <w:t>ב.</w:t>
      </w:r>
      <w:r w:rsidRPr="003949DF">
        <w:rPr>
          <w:rFonts w:ascii="Calibri" w:hAnsi="Calibri"/>
          <w:rtl/>
        </w:rPr>
        <w:tab/>
      </w:r>
      <w:hyperlink r:id="rId23" w:history="1">
        <w:r w:rsidR="007B11F8" w:rsidRPr="007B11F8">
          <w:rPr>
            <w:rFonts w:ascii="Calibri" w:hAnsi="Calibri" w:hint="eastAsia"/>
            <w:color w:val="0000FF"/>
            <w:u w:val="single"/>
            <w:rtl/>
          </w:rPr>
          <w:t>ע</w:t>
        </w:r>
        <w:r w:rsidR="007B11F8" w:rsidRPr="007B11F8">
          <w:rPr>
            <w:rFonts w:ascii="Calibri" w:hAnsi="Calibri"/>
            <w:color w:val="0000FF"/>
            <w:u w:val="single"/>
            <w:rtl/>
          </w:rPr>
          <w:t>"</w:t>
        </w:r>
        <w:r w:rsidR="007B11F8" w:rsidRPr="007B11F8">
          <w:rPr>
            <w:rFonts w:ascii="Calibri" w:hAnsi="Calibri" w:hint="eastAsia"/>
            <w:color w:val="0000FF"/>
            <w:u w:val="single"/>
            <w:rtl/>
          </w:rPr>
          <w:t>פ</w:t>
        </w:r>
        <w:r w:rsidR="007B11F8" w:rsidRPr="007B11F8">
          <w:rPr>
            <w:rFonts w:ascii="Calibri" w:hAnsi="Calibri"/>
            <w:color w:val="0000FF"/>
            <w:u w:val="single"/>
            <w:rtl/>
          </w:rPr>
          <w:t xml:space="preserve"> 2090/22</w:t>
        </w:r>
      </w:hyperlink>
      <w:r w:rsidRPr="003949DF">
        <w:rPr>
          <w:rFonts w:ascii="Calibri" w:hAnsi="Calibri"/>
          <w:rtl/>
        </w:rPr>
        <w:t xml:space="preserve"> </w:t>
      </w:r>
      <w:r w:rsidRPr="003949DF">
        <w:rPr>
          <w:rFonts w:ascii="Calibri" w:hAnsi="Calibri"/>
          <w:b/>
          <w:bCs/>
          <w:rtl/>
        </w:rPr>
        <w:t>מדינת ישראל נ' פלוני</w:t>
      </w:r>
      <w:r w:rsidRPr="003949DF">
        <w:rPr>
          <w:rFonts w:ascii="Calibri" w:hAnsi="Calibri"/>
          <w:rtl/>
        </w:rPr>
        <w:t>, 29/5/2022: התקבל ערעור המדינה על עונש של 15 חודשי מאסר בפועל, שהוטל על נאשם קטין, שהורשע על פי הודאתו בעבירות של פעולה בנשק למטרות טרור ומעשה טרור של חבלה בכוונה מחמירה. המשיב, בהיותו כבן 17, השתתף כשהוא רעול פנים בהתפרעות מתוכננת ומאורגנת, במהלכה יידה יחד עם אחרים מספר בקבוקי תבערה לעבר עמדת פילבוקס. בקבוקי התבערה התנפצו על הכביש והחלו לבעור. שלושה שוטרים יצאו מהפילבוקס ורדפו אחר המתפרעים. המשיב ואחרים השליכו לעבר השוטרים ממרחק של כעשרה מטרים בקבוק תבערה נוסף, שנפל בסמוך לשוטרים באופן שסיכן את חייהם בצורה ממשית. מדובר היה בהרשעה שלישית של המשיב בעבירות דומות. נקבע, כי ריבוי ההרשעות ותכיפותן מעידים שאין מדובר במעידה מקרית, אלא בבחירה חוזרת ונשנית. בית המשפט החמיר בעונשו של המשיב, והעמידו על 25 חודשי מאסר בפועל.</w:t>
      </w:r>
    </w:p>
    <w:p w14:paraId="4F006FBE" w14:textId="77777777" w:rsidR="003064B4" w:rsidRPr="003949DF" w:rsidRDefault="003064B4" w:rsidP="003064B4">
      <w:pPr>
        <w:spacing w:line="360" w:lineRule="auto"/>
        <w:ind w:left="1360" w:hanging="680"/>
        <w:jc w:val="both"/>
        <w:rPr>
          <w:rFonts w:ascii="Calibri" w:hAnsi="Calibri"/>
          <w:rtl/>
        </w:rPr>
      </w:pPr>
    </w:p>
    <w:p w14:paraId="5ECBAAA8" w14:textId="77777777" w:rsidR="003064B4" w:rsidRPr="003949DF" w:rsidRDefault="003064B4" w:rsidP="003064B4">
      <w:pPr>
        <w:spacing w:line="360" w:lineRule="auto"/>
        <w:ind w:left="1360" w:hanging="680"/>
        <w:jc w:val="both"/>
        <w:rPr>
          <w:rFonts w:ascii="Calibri" w:hAnsi="Calibri"/>
          <w:rtl/>
        </w:rPr>
      </w:pPr>
      <w:r w:rsidRPr="003949DF">
        <w:rPr>
          <w:rFonts w:ascii="Calibri" w:hAnsi="Calibri"/>
          <w:rtl/>
        </w:rPr>
        <w:t>ג.</w:t>
      </w:r>
      <w:r w:rsidRPr="003949DF">
        <w:rPr>
          <w:rFonts w:ascii="Calibri" w:hAnsi="Calibri"/>
          <w:rtl/>
        </w:rPr>
        <w:tab/>
      </w:r>
      <w:hyperlink r:id="rId24" w:history="1">
        <w:r w:rsidR="007B11F8" w:rsidRPr="007B11F8">
          <w:rPr>
            <w:rFonts w:ascii="Calibri" w:hAnsi="Calibri" w:hint="eastAsia"/>
            <w:color w:val="0000FF"/>
            <w:u w:val="single"/>
            <w:rtl/>
          </w:rPr>
          <w:t>ע</w:t>
        </w:r>
        <w:r w:rsidR="007B11F8" w:rsidRPr="007B11F8">
          <w:rPr>
            <w:rFonts w:ascii="Calibri" w:hAnsi="Calibri"/>
            <w:color w:val="0000FF"/>
            <w:u w:val="single"/>
            <w:rtl/>
          </w:rPr>
          <w:t>"</w:t>
        </w:r>
        <w:r w:rsidR="007B11F8" w:rsidRPr="007B11F8">
          <w:rPr>
            <w:rFonts w:ascii="Calibri" w:hAnsi="Calibri" w:hint="eastAsia"/>
            <w:color w:val="0000FF"/>
            <w:u w:val="single"/>
            <w:rtl/>
          </w:rPr>
          <w:t>פ</w:t>
        </w:r>
        <w:r w:rsidR="007B11F8" w:rsidRPr="007B11F8">
          <w:rPr>
            <w:rFonts w:ascii="Calibri" w:hAnsi="Calibri"/>
            <w:color w:val="0000FF"/>
            <w:u w:val="single"/>
            <w:rtl/>
          </w:rPr>
          <w:t xml:space="preserve"> 292/22</w:t>
        </w:r>
      </w:hyperlink>
      <w:r w:rsidRPr="003949DF">
        <w:rPr>
          <w:rFonts w:ascii="Calibri" w:hAnsi="Calibri"/>
          <w:rtl/>
        </w:rPr>
        <w:t xml:space="preserve"> </w:t>
      </w:r>
      <w:r w:rsidRPr="003949DF">
        <w:rPr>
          <w:rFonts w:ascii="Calibri" w:hAnsi="Calibri"/>
          <w:b/>
          <w:bCs/>
          <w:rtl/>
        </w:rPr>
        <w:t>מדינת ישראל נ' חליל,</w:t>
      </w:r>
      <w:r w:rsidRPr="003949DF">
        <w:rPr>
          <w:rFonts w:ascii="Calibri" w:hAnsi="Calibri"/>
          <w:rtl/>
        </w:rPr>
        <w:t xml:space="preserve"> 29/5/2022: נדונו ערעורים הדדיים שהוגשו על גזר דין שניתן נגד נאשם שהורשע בעבירות של התפרעות (שלוש עבירות); הפרעה לשוטר בנסיבות מחמירות (שלוש עבירות); מעשה פזיזות ורשלנות (שתי עבירות); יצור נשק; והחזקת נשק. במהלך מבצע שומר החומות הנאשם השתתף בשלוש התפרעויות אלימות בתוך 48 שעות, בהם המתפרעים ידו לעבר כוחות משטרה אבנים, ברזלים ובקבוקי תבערה. בעברו, הנאשם הורשע בשני מקרים של התנהגות אלימה כלפי נציגי אכיפת החוק</w:t>
      </w:r>
      <w:r w:rsidRPr="003949DF">
        <w:rPr>
          <w:rFonts w:ascii="Calibri" w:hAnsi="Calibri"/>
        </w:rPr>
        <w:t>.</w:t>
      </w:r>
      <w:r w:rsidRPr="003949DF">
        <w:rPr>
          <w:rFonts w:ascii="Calibri" w:hAnsi="Calibri"/>
          <w:rtl/>
        </w:rPr>
        <w:t xml:space="preserve"> </w:t>
      </w:r>
      <w:r w:rsidRPr="003949DF">
        <w:rPr>
          <w:rFonts w:ascii="Calibri" w:hAnsi="Calibri" w:hint="cs"/>
          <w:rtl/>
        </w:rPr>
        <w:t>ערעור הנאשם נדחה, וערעור המדינה התקבל. נקבע, כי עונש המאסר בפועל למשך 20 חודשים שהוטל עליו בגזר הדין סוטה לקולה ממדיניות הענישה הנהוגה ולא משקף את חומרת מעשיו, וכי לא הובאו בחשבון כראוי שיקולי הרתעת הרבים והרתעת היחיד. עונש המאסר בפועל הוחמר והועמד על 32 חודשים.</w:t>
      </w:r>
    </w:p>
    <w:p w14:paraId="465ED8AE" w14:textId="77777777" w:rsidR="003064B4" w:rsidRPr="003949DF" w:rsidRDefault="003064B4" w:rsidP="003064B4">
      <w:pPr>
        <w:spacing w:line="360" w:lineRule="auto"/>
        <w:ind w:left="1360" w:hanging="680"/>
        <w:jc w:val="both"/>
        <w:rPr>
          <w:rFonts w:ascii="Calibri" w:hAnsi="Calibri"/>
          <w:rtl/>
        </w:rPr>
      </w:pPr>
    </w:p>
    <w:p w14:paraId="3FAB6965" w14:textId="77777777" w:rsidR="003064B4" w:rsidRPr="003949DF" w:rsidRDefault="003064B4" w:rsidP="003064B4">
      <w:pPr>
        <w:spacing w:line="360" w:lineRule="auto"/>
        <w:ind w:left="1360" w:hanging="680"/>
        <w:jc w:val="both"/>
        <w:rPr>
          <w:rFonts w:ascii="Calibri" w:hAnsi="Calibri"/>
          <w:rtl/>
        </w:rPr>
      </w:pPr>
      <w:r w:rsidRPr="003949DF">
        <w:rPr>
          <w:rFonts w:ascii="Calibri" w:hAnsi="Calibri"/>
          <w:rtl/>
        </w:rPr>
        <w:t>ד.</w:t>
      </w:r>
      <w:r w:rsidRPr="003949DF">
        <w:rPr>
          <w:rFonts w:ascii="Calibri" w:hAnsi="Calibri"/>
          <w:rtl/>
        </w:rPr>
        <w:tab/>
      </w:r>
      <w:hyperlink r:id="rId25" w:history="1">
        <w:r w:rsidR="007B11F8" w:rsidRPr="007B11F8">
          <w:rPr>
            <w:rFonts w:ascii="Calibri" w:hAnsi="Calibri" w:hint="eastAsia"/>
            <w:color w:val="0000FF"/>
            <w:u w:val="single"/>
            <w:rtl/>
          </w:rPr>
          <w:t>ע</w:t>
        </w:r>
        <w:r w:rsidR="007B11F8" w:rsidRPr="007B11F8">
          <w:rPr>
            <w:rFonts w:ascii="Calibri" w:hAnsi="Calibri"/>
            <w:color w:val="0000FF"/>
            <w:u w:val="single"/>
            <w:rtl/>
          </w:rPr>
          <w:t>"</w:t>
        </w:r>
        <w:r w:rsidR="007B11F8" w:rsidRPr="007B11F8">
          <w:rPr>
            <w:rFonts w:ascii="Calibri" w:hAnsi="Calibri" w:hint="eastAsia"/>
            <w:color w:val="0000FF"/>
            <w:u w:val="single"/>
            <w:rtl/>
          </w:rPr>
          <w:t>פ</w:t>
        </w:r>
        <w:r w:rsidR="007B11F8" w:rsidRPr="007B11F8">
          <w:rPr>
            <w:rFonts w:ascii="Calibri" w:hAnsi="Calibri"/>
            <w:color w:val="0000FF"/>
            <w:u w:val="single"/>
            <w:rtl/>
          </w:rPr>
          <w:t xml:space="preserve"> 1466/20</w:t>
        </w:r>
      </w:hyperlink>
      <w:r w:rsidRPr="003949DF">
        <w:rPr>
          <w:rFonts w:ascii="Calibri" w:hAnsi="Calibri"/>
          <w:rtl/>
        </w:rPr>
        <w:t xml:space="preserve"> </w:t>
      </w:r>
      <w:r w:rsidRPr="003949DF">
        <w:rPr>
          <w:rFonts w:ascii="Calibri" w:hAnsi="Calibri"/>
          <w:b/>
          <w:bCs/>
          <w:rtl/>
        </w:rPr>
        <w:t>מדינת ישראל נ' פלוני</w:t>
      </w:r>
      <w:r w:rsidRPr="003949DF">
        <w:rPr>
          <w:rFonts w:ascii="Calibri" w:hAnsi="Calibri"/>
          <w:rtl/>
        </w:rPr>
        <w:t xml:space="preserve">, 22/7/2020: בית המשפט העליון דן בערעור שהגישה המדינה על עונש מאסר בפועל למשך 26 חודשים שהוטל על נאשם קטין, שהורשע בעבירות שיוחסו לו בשני כתבי אישום שהוגשו נגדו, כדלהלן: ניסיון הצתה בנסיבות של מעשה טרור; הפרת הוראה חוקית; חבלה בכוונה מחמירה בנסיבות מעשה טרור; וסיוע לייצור נשק בנסיבות מעשה טרור. באחד מכתבי האישום פורט כי המשיב, שאמור היה לשהות במעצר בית, ושני שותפים הכינו שלושה בקבוקי תבערה. המשיב יידה את אחד הבקבוקים לעבר בית בו מתגוררות משפחות יהודיות, ושותפו </w:t>
      </w:r>
      <w:r>
        <w:rPr>
          <w:rFonts w:ascii="Calibri" w:hAnsi="Calibri" w:hint="cs"/>
          <w:rtl/>
        </w:rPr>
        <w:t>י</w:t>
      </w:r>
      <w:r w:rsidRPr="003949DF">
        <w:rPr>
          <w:rFonts w:ascii="Calibri" w:hAnsi="Calibri"/>
          <w:rtl/>
        </w:rPr>
        <w:t xml:space="preserve">ידה את שני הבקבוקים האחרים. אותה עת המשיב ואחד משותפיו היו רעולי פנים. בכתב האישום השני צוין כי פחות משנה קודם לכן המשיב ושלושה שותפים נוספים ידו בקבוקי תבערה אל עבר רכב הסעות של יהודים. המשיב סייע בהכנת הבקבוקים; החביא אותם בשקית; חבר לשותפים הנוספים; עטה את חולצתו על ראשו על מנת להקשות על זיהויו; ארב לרכב ההסעות; ויידה יחד עם שותפיו את בקבוקי התבערה על הרכב. בפסק הדין נקבע כי העונש שנגזר על המשיב לא נותן ביטוי להחמרת הענישה כמתחייב מחוק המאבק בטרור. עונשו של המשיב הוחמר והועמד על 32 חודשים, תוך שנקבע כי אילו נדרש היה לגזור את דינו מבראשית – היה העונש חמור אף יותר. </w:t>
      </w:r>
    </w:p>
    <w:p w14:paraId="2DF72DE5" w14:textId="77777777" w:rsidR="003064B4" w:rsidRPr="003949DF" w:rsidRDefault="003064B4" w:rsidP="003064B4">
      <w:pPr>
        <w:spacing w:line="360" w:lineRule="auto"/>
        <w:ind w:left="680" w:hanging="680"/>
        <w:jc w:val="both"/>
        <w:rPr>
          <w:rFonts w:ascii="David" w:hAnsi="David"/>
        </w:rPr>
      </w:pPr>
    </w:p>
    <w:p w14:paraId="7EA87ABC" w14:textId="77777777" w:rsidR="003064B4" w:rsidRPr="003949DF" w:rsidRDefault="003064B4" w:rsidP="003064B4">
      <w:pPr>
        <w:spacing w:line="360" w:lineRule="auto"/>
        <w:jc w:val="both"/>
        <w:outlineLvl w:val="1"/>
        <w:rPr>
          <w:rFonts w:ascii="Calibri" w:hAnsi="Calibri"/>
          <w:u w:val="single"/>
        </w:rPr>
      </w:pPr>
      <w:r w:rsidRPr="003949DF">
        <w:rPr>
          <w:rFonts w:ascii="Calibri" w:hAnsi="Calibri"/>
          <w:u w:val="single"/>
          <w:rtl/>
        </w:rPr>
        <w:t>תמצית טיעוני ההגנה:</w:t>
      </w:r>
    </w:p>
    <w:p w14:paraId="2079889E"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14.</w:t>
      </w:r>
      <w:r w:rsidRPr="003949DF">
        <w:rPr>
          <w:rFonts w:ascii="David" w:hAnsi="David"/>
          <w:rtl/>
        </w:rPr>
        <w:tab/>
        <w:t xml:space="preserve">ההגנה מצדה טענה כי: יש לקבוע מתחם ענישה אחד למעשי הנאשם בשני האישומים; כי המתחם נע בין עשרה חודשי מאסר בפועל לבין 25 חודשי מאסר בפועל; וכי העונש המתאים לנאשם לא צריך לעלות על 15 חודשי מאסר בפועל. </w:t>
      </w:r>
    </w:p>
    <w:p w14:paraId="717AD4DC" w14:textId="77777777" w:rsidR="003064B4" w:rsidRPr="003949DF" w:rsidRDefault="003064B4" w:rsidP="003064B4">
      <w:pPr>
        <w:spacing w:line="360" w:lineRule="auto"/>
        <w:ind w:left="680" w:hanging="680"/>
        <w:jc w:val="both"/>
        <w:rPr>
          <w:rFonts w:ascii="David" w:hAnsi="David"/>
          <w:rtl/>
        </w:rPr>
      </w:pPr>
    </w:p>
    <w:p w14:paraId="1044F65C"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15.</w:t>
      </w:r>
      <w:r w:rsidRPr="003949DF">
        <w:rPr>
          <w:rFonts w:ascii="David" w:hAnsi="David"/>
          <w:rtl/>
        </w:rPr>
        <w:tab/>
        <w:t xml:space="preserve">הסנגור טען, כי הפסיקה אליה המאשימה הפנתה עוסקת במעשי עבירה שונים וחמורים בהרבה. בניגוד למקרים שנדונו בפסקי הדין הנ"ל: במקרה זה לא יוחסו לנאשם עבירות לפי </w:t>
      </w:r>
      <w:hyperlink r:id="rId26" w:history="1">
        <w:r w:rsidR="007B11F8" w:rsidRPr="007B11F8">
          <w:rPr>
            <w:rFonts w:ascii="David" w:hAnsi="David"/>
            <w:color w:val="0000FF"/>
            <w:u w:val="single"/>
            <w:rtl/>
          </w:rPr>
          <w:t>חוק המאבק בטרור, תשע"ו-2016</w:t>
        </w:r>
      </w:hyperlink>
      <w:r w:rsidRPr="003949DF">
        <w:rPr>
          <w:rFonts w:ascii="David" w:hAnsi="David"/>
          <w:rtl/>
        </w:rPr>
        <w:t>; העבירות לא נעברו במהלך מבצע "שומר החומות" ולא כחלק מהתפרעויות המוניות; והנאשם לא עבר את העבירות כאשר הוא מפר תנאי שחרור או בעת שתלוי ועומד נגדו עונש מאסר על תנאי בעקבות הרשעה קודמת בעבירות דומות. הסנגור ציין כי האירועים התרחשו קודם לפרוץ מלחמת חרבות ברזל, וטען כי מאז שהמלחמה פרצה, כמעט שלא התרחשו התפרעויות במזרח ירושלים. הסנגור הוסיף והדגיש כי בסופו של דבר, איש לא נפגע כתוצאה ממעשיו של הנאשם.</w:t>
      </w:r>
    </w:p>
    <w:p w14:paraId="40ABD368" w14:textId="77777777" w:rsidR="003064B4" w:rsidRPr="003949DF" w:rsidRDefault="003064B4" w:rsidP="003064B4">
      <w:pPr>
        <w:spacing w:line="360" w:lineRule="auto"/>
        <w:ind w:left="680" w:hanging="680"/>
        <w:jc w:val="both"/>
        <w:rPr>
          <w:rFonts w:ascii="David" w:hAnsi="David"/>
          <w:rtl/>
        </w:rPr>
      </w:pPr>
    </w:p>
    <w:p w14:paraId="1ADA0829"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16.</w:t>
      </w:r>
      <w:r w:rsidRPr="003949DF">
        <w:rPr>
          <w:rFonts w:ascii="David" w:hAnsi="David"/>
          <w:rtl/>
        </w:rPr>
        <w:tab/>
        <w:t>ההגנה לא התעלמה מכך שאין מדובר בפעם הראשונה בה הנאשם הורשע בפלילים. יחד עם זאת טענה כי אין להתעלם מנסיבותיו האישיות ורמת התפקוד שלו, כמפורט בחוות דעת ועדת האבחון.</w:t>
      </w:r>
    </w:p>
    <w:p w14:paraId="3977DC65" w14:textId="77777777" w:rsidR="003064B4" w:rsidRPr="003949DF" w:rsidRDefault="003064B4" w:rsidP="003064B4">
      <w:pPr>
        <w:spacing w:line="360" w:lineRule="auto"/>
        <w:ind w:left="680" w:hanging="680"/>
        <w:jc w:val="both"/>
        <w:rPr>
          <w:rFonts w:ascii="David" w:hAnsi="David"/>
          <w:rtl/>
        </w:rPr>
      </w:pPr>
    </w:p>
    <w:p w14:paraId="464EDDD1"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17.</w:t>
      </w:r>
      <w:r w:rsidRPr="003949DF">
        <w:rPr>
          <w:rFonts w:ascii="David" w:hAnsi="David"/>
          <w:rtl/>
        </w:rPr>
        <w:tab/>
        <w:t>לביסוס עמדתה בנוגע למתחמי הענישה שנטענו על ידה, הפנתה ההגנה לפסקי הדין שלהלן:</w:t>
      </w:r>
    </w:p>
    <w:p w14:paraId="5AA06D92" w14:textId="77777777" w:rsidR="003064B4" w:rsidRPr="003949DF" w:rsidRDefault="003064B4" w:rsidP="003064B4">
      <w:pPr>
        <w:spacing w:line="360" w:lineRule="auto"/>
        <w:ind w:left="680" w:hanging="680"/>
        <w:jc w:val="both"/>
        <w:rPr>
          <w:rFonts w:ascii="David" w:hAnsi="David"/>
          <w:rtl/>
        </w:rPr>
      </w:pPr>
    </w:p>
    <w:p w14:paraId="5798614A" w14:textId="77777777" w:rsidR="003064B4" w:rsidRPr="003949DF" w:rsidRDefault="003064B4" w:rsidP="003064B4">
      <w:pPr>
        <w:spacing w:line="360" w:lineRule="auto"/>
        <w:ind w:left="1360" w:hanging="680"/>
        <w:jc w:val="both"/>
        <w:rPr>
          <w:rFonts w:ascii="Calibri" w:hAnsi="Calibri"/>
          <w:rtl/>
        </w:rPr>
      </w:pPr>
      <w:r w:rsidRPr="003949DF">
        <w:rPr>
          <w:rFonts w:ascii="Calibri" w:hAnsi="Calibri"/>
          <w:rtl/>
        </w:rPr>
        <w:t>א.</w:t>
      </w:r>
      <w:r w:rsidRPr="003949DF">
        <w:rPr>
          <w:rFonts w:ascii="Calibri" w:hAnsi="Calibri"/>
          <w:rtl/>
        </w:rPr>
        <w:tab/>
      </w:r>
      <w:hyperlink r:id="rId27" w:history="1">
        <w:r w:rsidR="007B11F8" w:rsidRPr="007B11F8">
          <w:rPr>
            <w:rFonts w:ascii="Calibri" w:hAnsi="Calibri" w:hint="eastAsia"/>
            <w:color w:val="0000FF"/>
            <w:u w:val="single"/>
            <w:rtl/>
          </w:rPr>
          <w:t>ת</w:t>
        </w:r>
        <w:r w:rsidR="007B11F8" w:rsidRPr="007B11F8">
          <w:rPr>
            <w:rFonts w:ascii="Calibri" w:hAnsi="Calibri"/>
            <w:color w:val="0000FF"/>
            <w:u w:val="single"/>
            <w:rtl/>
          </w:rPr>
          <w:t>"</w:t>
        </w:r>
        <w:r w:rsidR="007B11F8" w:rsidRPr="007B11F8">
          <w:rPr>
            <w:rFonts w:ascii="Calibri" w:hAnsi="Calibri" w:hint="eastAsia"/>
            <w:color w:val="0000FF"/>
            <w:u w:val="single"/>
            <w:rtl/>
          </w:rPr>
          <w:t>פ</w:t>
        </w:r>
        <w:r w:rsidR="007B11F8" w:rsidRPr="007B11F8">
          <w:rPr>
            <w:rFonts w:ascii="Calibri" w:hAnsi="Calibri"/>
            <w:color w:val="0000FF"/>
            <w:u w:val="single"/>
            <w:rtl/>
          </w:rPr>
          <w:t xml:space="preserve"> (</w:t>
        </w:r>
        <w:r w:rsidR="007B11F8" w:rsidRPr="007B11F8">
          <w:rPr>
            <w:rFonts w:ascii="Calibri" w:hAnsi="Calibri" w:hint="eastAsia"/>
            <w:color w:val="0000FF"/>
            <w:u w:val="single"/>
            <w:rtl/>
          </w:rPr>
          <w:t>מחוזי</w:t>
        </w:r>
        <w:r w:rsidR="007B11F8" w:rsidRPr="007B11F8">
          <w:rPr>
            <w:rFonts w:ascii="Calibri" w:hAnsi="Calibri"/>
            <w:color w:val="0000FF"/>
            <w:u w:val="single"/>
            <w:rtl/>
          </w:rPr>
          <w:t xml:space="preserve"> </w:t>
        </w:r>
        <w:r w:rsidR="007B11F8" w:rsidRPr="007B11F8">
          <w:rPr>
            <w:rFonts w:ascii="Calibri" w:hAnsi="Calibri" w:hint="eastAsia"/>
            <w:color w:val="0000FF"/>
            <w:u w:val="single"/>
            <w:rtl/>
          </w:rPr>
          <w:t>ירושלים</w:t>
        </w:r>
        <w:r w:rsidR="007B11F8" w:rsidRPr="007B11F8">
          <w:rPr>
            <w:rFonts w:ascii="Calibri" w:hAnsi="Calibri"/>
            <w:color w:val="0000FF"/>
            <w:u w:val="single"/>
            <w:rtl/>
          </w:rPr>
          <w:t>) 49029-05-22</w:t>
        </w:r>
      </w:hyperlink>
      <w:r w:rsidRPr="003949DF">
        <w:rPr>
          <w:rFonts w:ascii="Calibri" w:hAnsi="Calibri"/>
          <w:rtl/>
        </w:rPr>
        <w:t xml:space="preserve"> </w:t>
      </w:r>
      <w:r w:rsidRPr="003949DF">
        <w:rPr>
          <w:rFonts w:ascii="Calibri" w:hAnsi="Calibri"/>
          <w:b/>
          <w:bCs/>
          <w:rtl/>
        </w:rPr>
        <w:t>מדינת ישראל נ' אבו אלהווה</w:t>
      </w:r>
      <w:r w:rsidRPr="003949DF">
        <w:rPr>
          <w:rFonts w:ascii="Calibri" w:hAnsi="Calibri"/>
          <w:rtl/>
        </w:rPr>
        <w:t xml:space="preserve">, 15/3/2023: גזר דין שניתן בעניינו של נאשם שהורשע בארבע עבירות של התפרעות; שלוש עבירות של הפרעה לשוטר בנסיבות מחמירות; שתי עבירות של מעשה פזיזות ורשלנות באש או בחומר לקיח; עברה של חבלה בכוונה מחמירה; ועבירה של תקיפת שוטר בנסיבות מחמירות. על פי עובדות </w:t>
      </w:r>
      <w:r w:rsidRPr="003949DF">
        <w:rPr>
          <w:rFonts w:ascii="Calibri" w:hAnsi="Calibri"/>
          <w:b/>
          <w:bCs/>
          <w:rtl/>
        </w:rPr>
        <w:t>אישום מס' 1</w:t>
      </w:r>
      <w:r w:rsidRPr="003949DF">
        <w:rPr>
          <w:rFonts w:ascii="Calibri" w:hAnsi="Calibri"/>
          <w:rtl/>
        </w:rPr>
        <w:t xml:space="preserve">, הנאשם ואחרים יידו אבנים וזיקוקים לעבר רכב משטרתי. נקבע כי מתחם העונש ההולם למעשה זה נע בין שמונה לבין 22 חודשי מאסר בפועל. על פי עובדות </w:t>
      </w:r>
      <w:r w:rsidRPr="003949DF">
        <w:rPr>
          <w:rFonts w:ascii="Calibri" w:hAnsi="Calibri"/>
          <w:b/>
          <w:bCs/>
          <w:rtl/>
        </w:rPr>
        <w:t xml:space="preserve">אישום מס' </w:t>
      </w:r>
      <w:r w:rsidRPr="003949DF">
        <w:rPr>
          <w:rFonts w:ascii="Calibri" w:hAnsi="Calibri"/>
          <w:rtl/>
        </w:rPr>
        <w:t xml:space="preserve">2, הנאשם ואחרים התאספו ליד בית בו מתגוררים יהודים. שניים מבני החבורה ירו לעבר הבית זיקוקים, כשהם רעולי פנים. הנאשם ויתר בני החבורה עמדו על גגות סמוכים, והמתינו להגעת כוחות משטרה. כאשר הגיע למקום רכב משטרתי, יידה כל אחד מהם לעברו כשלוש אבנים. נקבע כי מתחם העונש ההולם למעשה זה נע בין שמונה לבין 22 חודשי מאסר בפועל. על פי עובדות </w:t>
      </w:r>
      <w:r w:rsidRPr="003949DF">
        <w:rPr>
          <w:rFonts w:ascii="Calibri" w:hAnsi="Calibri"/>
          <w:b/>
          <w:bCs/>
          <w:rtl/>
        </w:rPr>
        <w:t>אישום מס' 3</w:t>
      </w:r>
      <w:r w:rsidRPr="003949DF">
        <w:rPr>
          <w:rFonts w:ascii="Calibri" w:hAnsi="Calibri"/>
          <w:rtl/>
        </w:rPr>
        <w:t xml:space="preserve">, הנאשם חבר לשישה אחרים, שהשליכו בקבוקי תבערה ויידו אבנים לעבר בית בו מתגוררים יהודים. בקבוק תבערה אחד פגע בחלון שהחל לעלות באש. אב המשפחה חילץ מהחדר שהתמלא בעשן את בנו שישן בו, תינוק בן שנה וחצי. הנאשם ואחרים עמדו על גגות סמוכים כדי לתצפת ולהתעמת עם כוחות המשטרה. כאשר הגיע למקום רכב משטרתי, הנאשם וחלק מהמשתתפים האחרים התפרעו וירו לעברו זיקוקים. נקבע כי מתחם העונש ההולם למעשה זה נע בין 20 חודשי מאסר בפועל לבין 45 חודשי מאסר בפועל. על פי עובדות </w:t>
      </w:r>
      <w:r w:rsidRPr="003949DF">
        <w:rPr>
          <w:rFonts w:ascii="Calibri" w:hAnsi="Calibri"/>
          <w:b/>
          <w:bCs/>
          <w:rtl/>
        </w:rPr>
        <w:t>אישום מס' 4</w:t>
      </w:r>
      <w:r w:rsidRPr="003949DF">
        <w:rPr>
          <w:rFonts w:ascii="Calibri" w:hAnsi="Calibri"/>
          <w:rtl/>
        </w:rPr>
        <w:t>, הנאשם ואחרים יידו אבנים לעבר כוחות משטרה בהר הבית. הנאשם יידה מספר אבנים, כשהוא חובש כובע ועוטה מסכה. נקבע כי מתחם העונש ההולם למעשה עבירה זה נע בין שמונה חודשי מאסר בפועל לבין 24 חודשי מאסר בפועל. בסופו של דבר הוטל על הנאשם עונש כולל של 32 חודשי מאסר בפועל ועונשים נלווים.</w:t>
      </w:r>
    </w:p>
    <w:p w14:paraId="0BD93944" w14:textId="77777777" w:rsidR="003064B4" w:rsidRPr="003949DF" w:rsidRDefault="003064B4" w:rsidP="003064B4">
      <w:pPr>
        <w:spacing w:line="360" w:lineRule="auto"/>
        <w:ind w:left="1360" w:hanging="680"/>
        <w:jc w:val="both"/>
        <w:rPr>
          <w:rFonts w:ascii="Calibri" w:hAnsi="Calibri"/>
          <w:rtl/>
        </w:rPr>
      </w:pPr>
    </w:p>
    <w:p w14:paraId="27768FF7" w14:textId="77777777" w:rsidR="003064B4" w:rsidRPr="003949DF" w:rsidRDefault="003064B4" w:rsidP="003064B4">
      <w:pPr>
        <w:spacing w:line="360" w:lineRule="auto"/>
        <w:ind w:left="1360" w:hanging="680"/>
        <w:jc w:val="both"/>
        <w:rPr>
          <w:rFonts w:ascii="Calibri" w:hAnsi="Calibri"/>
          <w:rtl/>
        </w:rPr>
      </w:pPr>
      <w:r w:rsidRPr="003949DF">
        <w:rPr>
          <w:rFonts w:ascii="Calibri" w:hAnsi="Calibri"/>
          <w:rtl/>
        </w:rPr>
        <w:t>ב.</w:t>
      </w:r>
      <w:r w:rsidRPr="003949DF">
        <w:rPr>
          <w:rFonts w:ascii="Calibri" w:hAnsi="Calibri"/>
          <w:rtl/>
        </w:rPr>
        <w:tab/>
        <w:t xml:space="preserve">ת"פ (מחוזי ירושלים) 46706-02-22 </w:t>
      </w:r>
      <w:r w:rsidRPr="003949DF">
        <w:rPr>
          <w:rFonts w:ascii="Calibri" w:hAnsi="Calibri"/>
          <w:b/>
          <w:bCs/>
          <w:rtl/>
        </w:rPr>
        <w:t>מדינת ישראל נ' פלוני</w:t>
      </w:r>
      <w:r w:rsidRPr="003949DF">
        <w:rPr>
          <w:rFonts w:ascii="Calibri" w:hAnsi="Calibri"/>
          <w:rtl/>
        </w:rPr>
        <w:t>, 13/12/2022: גזר דין שניתן בעניינם של שלושה נאשמים, שיחד עם אחרים, לאחר תכנון מראש וכשהם עוטים כפפות ומסכות, נגשו לעבר שני בתים בהם מתגוררים יהודים, וממרחק של כ-30 מטר ירו לעברו זיקוקים ויידו לעברו בקבוקי תבערה ואבנים. שלושה בקבוקי תבערה נפלו במתחם הבתים ונדלקו. כתוצאה מכך הוצת רכוש ונגרם לו נזק בשווי של כ- 2,000 ₪. נקבע כי מתחם העונש ההולם למעשי העבירה של הנאשמים נע בין 16 לבין 24 חודשי מאסר בפועל.</w:t>
      </w:r>
    </w:p>
    <w:p w14:paraId="0A7DBB4B" w14:textId="77777777" w:rsidR="003064B4" w:rsidRPr="003949DF" w:rsidRDefault="003064B4" w:rsidP="003064B4">
      <w:pPr>
        <w:spacing w:line="360" w:lineRule="auto"/>
        <w:ind w:left="1360" w:hanging="680"/>
        <w:jc w:val="both"/>
        <w:rPr>
          <w:rFonts w:ascii="Calibri" w:hAnsi="Calibri"/>
          <w:rtl/>
        </w:rPr>
      </w:pPr>
    </w:p>
    <w:p w14:paraId="1486E771" w14:textId="77777777" w:rsidR="003064B4" w:rsidRPr="003949DF" w:rsidRDefault="003064B4" w:rsidP="003064B4">
      <w:pPr>
        <w:spacing w:line="360" w:lineRule="auto"/>
        <w:ind w:left="1360" w:hanging="680"/>
        <w:jc w:val="both"/>
        <w:rPr>
          <w:rFonts w:ascii="Arial" w:hAnsi="Arial"/>
          <w:rtl/>
        </w:rPr>
      </w:pPr>
      <w:r w:rsidRPr="003949DF">
        <w:rPr>
          <w:rFonts w:ascii="Calibri" w:hAnsi="Calibri"/>
          <w:rtl/>
        </w:rPr>
        <w:t>ג.</w:t>
      </w:r>
      <w:r w:rsidRPr="003949DF">
        <w:rPr>
          <w:rFonts w:ascii="Calibri" w:hAnsi="Calibri"/>
          <w:rtl/>
        </w:rPr>
        <w:tab/>
      </w:r>
      <w:hyperlink r:id="rId28" w:history="1">
        <w:r w:rsidR="007B11F8" w:rsidRPr="007B11F8">
          <w:rPr>
            <w:rFonts w:ascii="Calibri" w:hAnsi="Calibri" w:hint="eastAsia"/>
            <w:color w:val="0000FF"/>
            <w:u w:val="single"/>
            <w:rtl/>
          </w:rPr>
          <w:t>ת</w:t>
        </w:r>
        <w:r w:rsidR="007B11F8" w:rsidRPr="007B11F8">
          <w:rPr>
            <w:rFonts w:ascii="Calibri" w:hAnsi="Calibri"/>
            <w:color w:val="0000FF"/>
            <w:u w:val="single"/>
            <w:rtl/>
          </w:rPr>
          <w:t>"</w:t>
        </w:r>
        <w:r w:rsidR="007B11F8" w:rsidRPr="007B11F8">
          <w:rPr>
            <w:rFonts w:ascii="Calibri" w:hAnsi="Calibri" w:hint="eastAsia"/>
            <w:color w:val="0000FF"/>
            <w:u w:val="single"/>
            <w:rtl/>
          </w:rPr>
          <w:t>פ</w:t>
        </w:r>
        <w:r w:rsidR="007B11F8" w:rsidRPr="007B11F8">
          <w:rPr>
            <w:rFonts w:ascii="Calibri" w:hAnsi="Calibri"/>
            <w:color w:val="0000FF"/>
            <w:u w:val="single"/>
            <w:rtl/>
          </w:rPr>
          <w:t xml:space="preserve"> (</w:t>
        </w:r>
        <w:r w:rsidR="007B11F8" w:rsidRPr="007B11F8">
          <w:rPr>
            <w:rFonts w:ascii="Calibri" w:hAnsi="Calibri" w:hint="eastAsia"/>
            <w:color w:val="0000FF"/>
            <w:u w:val="single"/>
            <w:rtl/>
          </w:rPr>
          <w:t>מחוזי</w:t>
        </w:r>
        <w:r w:rsidR="007B11F8" w:rsidRPr="007B11F8">
          <w:rPr>
            <w:rFonts w:ascii="Calibri" w:hAnsi="Calibri"/>
            <w:color w:val="0000FF"/>
            <w:u w:val="single"/>
            <w:rtl/>
          </w:rPr>
          <w:t xml:space="preserve"> </w:t>
        </w:r>
        <w:r w:rsidR="007B11F8" w:rsidRPr="007B11F8">
          <w:rPr>
            <w:rFonts w:ascii="Calibri" w:hAnsi="Calibri" w:hint="eastAsia"/>
            <w:color w:val="0000FF"/>
            <w:u w:val="single"/>
            <w:rtl/>
          </w:rPr>
          <w:t>ירושלים</w:t>
        </w:r>
        <w:r w:rsidR="007B11F8" w:rsidRPr="007B11F8">
          <w:rPr>
            <w:rFonts w:ascii="Calibri" w:hAnsi="Calibri"/>
            <w:color w:val="0000FF"/>
            <w:u w:val="single"/>
            <w:rtl/>
          </w:rPr>
          <w:t>) 27544-05-22</w:t>
        </w:r>
      </w:hyperlink>
      <w:r w:rsidRPr="003949DF">
        <w:rPr>
          <w:rFonts w:ascii="Calibri" w:hAnsi="Calibri"/>
          <w:rtl/>
        </w:rPr>
        <w:t xml:space="preserve"> </w:t>
      </w:r>
      <w:r w:rsidRPr="003949DF">
        <w:rPr>
          <w:rFonts w:ascii="Calibri" w:hAnsi="Calibri"/>
          <w:b/>
          <w:bCs/>
          <w:rtl/>
        </w:rPr>
        <w:t xml:space="preserve">מדינת ישראל נ' אבו ג'נאם, </w:t>
      </w:r>
      <w:r w:rsidRPr="003949DF">
        <w:rPr>
          <w:rFonts w:ascii="Calibri" w:hAnsi="Calibri"/>
          <w:rtl/>
        </w:rPr>
        <w:t xml:space="preserve">9/5/2023: גזר דין בו נקבעו מתחמי ענישה שונים בנוגע למעשי עבירה שפורטו בשישה אישומים בהם הנאשם הורשע, כדלהלן: </w:t>
      </w:r>
      <w:r w:rsidRPr="003949DF">
        <w:rPr>
          <w:rFonts w:ascii="Arial" w:hAnsi="Arial"/>
          <w:b/>
          <w:bCs/>
          <w:rtl/>
        </w:rPr>
        <w:t>אישום מס' 1</w:t>
      </w:r>
      <w:r w:rsidRPr="003949DF">
        <w:rPr>
          <w:rFonts w:ascii="Arial" w:hAnsi="Arial"/>
          <w:rtl/>
        </w:rPr>
        <w:t xml:space="preserve">: במהלך חודש הרמדאן 2021 התרחשו התפרעויות ותקיפות אלימות לעבר אנשים וכלי רכב בעלי חזות או סממנים יהודים ולעבר כוחות המשטרה והביטחון, מתוך מניע גזעני ועל רקע לאומני. הנאשם ושני אחרים ביקשו לפגוע במצלמות אבטחה של משרד המשפטים. לאחר שהגיעו למקום, שני האחרים יידו אבנים לעבר המצלמות, בעוד הנאשם תצפת על מנת להזהירם מפני הגעת כוחות הביטחון. מתחם הענישה שנקבע למעשה זה נע בין שישה חודשי מאסר לבין 12 חודשי מאסר בפועל. </w:t>
      </w:r>
      <w:r w:rsidRPr="003949DF">
        <w:rPr>
          <w:rFonts w:ascii="Arial" w:hAnsi="Arial"/>
          <w:b/>
          <w:bCs/>
          <w:rtl/>
        </w:rPr>
        <w:t>אישום מס' 2</w:t>
      </w:r>
      <w:r w:rsidRPr="003949DF">
        <w:rPr>
          <w:rFonts w:ascii="Arial" w:hAnsi="Arial"/>
          <w:rtl/>
        </w:rPr>
        <w:t xml:space="preserve">: כעשרה ימים לאחר מכן, הנאשם וארבעה אחרים החליטו לפגוע בעמודי מצלמות של המשטרה בשכונת א-טור בירושלים. אחד האחרים החל לנסר עמוד מצלמות של המשטרה, בעוד הנאשם ויתר בני החבורה תצפתו על מנת להזהירו מפני הגעת כוחות הביטחון. מתחם הענישה שנקבע למעשה זה נע בין שישה חודשי מאסר לבין 12 חודשי מאסר בפועל. </w:t>
      </w:r>
      <w:r w:rsidRPr="003949DF">
        <w:rPr>
          <w:rFonts w:ascii="Arial" w:hAnsi="Arial"/>
          <w:b/>
          <w:bCs/>
          <w:rtl/>
        </w:rPr>
        <w:t xml:space="preserve">אישום מס' </w:t>
      </w:r>
      <w:r w:rsidRPr="003949DF">
        <w:rPr>
          <w:rFonts w:ascii="Arial" w:hAnsi="Arial"/>
          <w:rtl/>
        </w:rPr>
        <w:t xml:space="preserve">3: במהלך חודש ינואר 2022 הנאשם לקח מאחר זיקוקים במטרה לירות אותם לעבר בית בו מתגוררים יהודים. הנאשם ואדם נוסף הגיעו למקום כשהם חובשים כובע ועוטים מסכה. הנאשם ירה לעבר הבית זיקוקים ממרחק של 25 מטר. חלק מהזיקוקים פגעו בקירות הבית. האחר יידה לעבר הבית אבנים. נקבע כי מתחם העונש ההולם למעשה זה נע בין 18 חודשי מאסר בפועל לבין 54 חודשי מאסר בפועל. </w:t>
      </w:r>
      <w:r w:rsidRPr="003949DF">
        <w:rPr>
          <w:rFonts w:ascii="Arial" w:hAnsi="Arial"/>
          <w:b/>
          <w:bCs/>
          <w:rtl/>
        </w:rPr>
        <w:t xml:space="preserve">האישום מס' 4: </w:t>
      </w:r>
      <w:r w:rsidRPr="003949DF">
        <w:rPr>
          <w:rFonts w:ascii="Arial" w:hAnsi="Arial"/>
          <w:rtl/>
        </w:rPr>
        <w:t xml:space="preserve">הנאשם וארבעה אחרים תכננו להשליך בקבוקי תבערה לעבר בית בו מתגוררים יהודים. לאחר שהגיעו למקום סמוך לבית, האחרים הכינו בקבוקי תבערה, בעוד הנאשם ואחד המעורבים תצפתו במטרה להזהיר מפני הגעת כוחות הביטחון. כל אחד משלושת המעורבים הנוספים השליך בקבוק תבערה לעבר הבית ממרחק של כעשרים מטרים. מתחם הענישה שנקבע למעשה זה נע בין שישה חודשי מאסר לבין 12 חודשי מאסר בפועל. </w:t>
      </w:r>
      <w:r w:rsidRPr="003949DF">
        <w:rPr>
          <w:rFonts w:ascii="Arial" w:hAnsi="Arial"/>
          <w:b/>
          <w:bCs/>
          <w:rtl/>
        </w:rPr>
        <w:t>אישום מס' 5</w:t>
      </w:r>
      <w:r w:rsidRPr="003949DF">
        <w:rPr>
          <w:rFonts w:ascii="Arial" w:hAnsi="Arial"/>
          <w:rtl/>
        </w:rPr>
        <w:t xml:space="preserve">: בתחילת חודש הרמדאן 2022, בשעת לילה, בעקבות קריאתו של הנאשם לחמישה אחרים, בני החבורה עטו רעלות, יידו אבנים וירו זיקוקים לעבר ג'יפ משטרתי שעבר ברחוב. הנאשם יידה שלוש אבנים לעבר הג'יפ המשטרתי ממרחק של כעשרה מטרים. נקבע כי מתחם העונש ההולם למעשי הנאשם נע בין שישה חודשי מאסר בפועל לבין 18 חודשי מאסר בפועל. </w:t>
      </w:r>
      <w:r w:rsidRPr="003949DF">
        <w:rPr>
          <w:rFonts w:ascii="Arial" w:hAnsi="Arial"/>
          <w:b/>
          <w:bCs/>
          <w:rtl/>
        </w:rPr>
        <w:t>אישום מס' 6</w:t>
      </w:r>
      <w:r w:rsidRPr="003949DF">
        <w:rPr>
          <w:rFonts w:ascii="Arial" w:hAnsi="Arial"/>
          <w:rtl/>
        </w:rPr>
        <w:t>: כחודשיים לפני חודש הרמדאן 2022, החליטו הנאשם ואחר לרכוש זיקוקים לצורך שימוש נגד כוחות הביטחון במהלך עימותים בהר הבית ברמדאן. הנאשם והאחר אספו כסף לשם רכישת הזיקוקים. הנאשם הוסיף לכך מכספו האישי, והעביר את הכסף לאחר, על מנת שזה ירכוש את הזיקוקים. נקבע כי מתחם העונש ההולם למעשי הנאשם נע בין שישה חודשי מאסר בפועל לבין 18 חודשי מאסר בפועל. בסופו של דבר הוטל על הנאשם עונש כולל של ארבע שנות מאסר ועונשים נלווים.</w:t>
      </w:r>
    </w:p>
    <w:p w14:paraId="1669A090" w14:textId="77777777" w:rsidR="003064B4" w:rsidRPr="003949DF" w:rsidRDefault="003064B4" w:rsidP="003064B4">
      <w:pPr>
        <w:spacing w:line="360" w:lineRule="auto"/>
        <w:ind w:left="1360" w:hanging="680"/>
        <w:jc w:val="both"/>
        <w:rPr>
          <w:rFonts w:ascii="Arial" w:hAnsi="Arial"/>
          <w:rtl/>
        </w:rPr>
      </w:pPr>
    </w:p>
    <w:p w14:paraId="6D4164DD" w14:textId="77777777" w:rsidR="003064B4" w:rsidRPr="003949DF" w:rsidRDefault="003064B4" w:rsidP="003064B4">
      <w:pPr>
        <w:spacing w:line="360" w:lineRule="auto"/>
        <w:ind w:left="680" w:hanging="680"/>
        <w:jc w:val="both"/>
        <w:rPr>
          <w:rFonts w:ascii="Calibri" w:hAnsi="Calibri"/>
          <w:rtl/>
        </w:rPr>
      </w:pPr>
      <w:r w:rsidRPr="003949DF">
        <w:rPr>
          <w:rFonts w:ascii="Arial" w:hAnsi="Arial"/>
          <w:rtl/>
        </w:rPr>
        <w:t>18.</w:t>
      </w:r>
      <w:r w:rsidRPr="003949DF">
        <w:rPr>
          <w:rFonts w:ascii="Arial" w:hAnsi="Arial"/>
          <w:rtl/>
        </w:rPr>
        <w:tab/>
      </w:r>
      <w:r w:rsidRPr="003949DF">
        <w:rPr>
          <w:rFonts w:ascii="David" w:hAnsi="David"/>
          <w:rtl/>
        </w:rPr>
        <w:t>הנאשם בטיעוניו אמר שאין לו מה לומר, ושהוא רוצה להשתחרר, לחזור למוסד בו שהה ולהיות בכיתה עם חבריו.</w:t>
      </w:r>
    </w:p>
    <w:p w14:paraId="00C7671A" w14:textId="77777777" w:rsidR="003064B4" w:rsidRPr="003949DF" w:rsidRDefault="003064B4" w:rsidP="003064B4">
      <w:pPr>
        <w:spacing w:line="360" w:lineRule="auto"/>
        <w:ind w:left="1360" w:hanging="680"/>
        <w:jc w:val="both"/>
        <w:rPr>
          <w:rFonts w:ascii="Calibri" w:hAnsi="Calibri"/>
          <w:rtl/>
        </w:rPr>
      </w:pPr>
    </w:p>
    <w:p w14:paraId="7CCB0AD0" w14:textId="77777777" w:rsidR="003064B4" w:rsidRPr="003949DF" w:rsidRDefault="003064B4" w:rsidP="003064B4">
      <w:pPr>
        <w:spacing w:line="360" w:lineRule="auto"/>
        <w:jc w:val="both"/>
        <w:outlineLvl w:val="0"/>
        <w:rPr>
          <w:rFonts w:ascii="Calibri" w:eastAsia="Calibri" w:hAnsi="Calibri"/>
          <w:b/>
          <w:bCs/>
          <w:u w:val="single"/>
          <w:rtl/>
        </w:rPr>
      </w:pPr>
      <w:r w:rsidRPr="003949DF">
        <w:rPr>
          <w:rFonts w:ascii="Calibri" w:eastAsia="Calibri" w:hAnsi="Calibri"/>
          <w:b/>
          <w:bCs/>
          <w:u w:val="single"/>
          <w:rtl/>
        </w:rPr>
        <w:t>דיון ומסקנות:</w:t>
      </w:r>
    </w:p>
    <w:p w14:paraId="146ABA83" w14:textId="77777777" w:rsidR="003064B4" w:rsidRPr="003949DF" w:rsidRDefault="003064B4" w:rsidP="003064B4">
      <w:pPr>
        <w:spacing w:line="360" w:lineRule="auto"/>
        <w:jc w:val="both"/>
        <w:rPr>
          <w:rFonts w:ascii="Calibri" w:eastAsia="Calibri" w:hAnsi="Calibri"/>
          <w:rtl/>
        </w:rPr>
      </w:pPr>
    </w:p>
    <w:p w14:paraId="5D81F6A6" w14:textId="77777777" w:rsidR="003064B4" w:rsidRPr="003949DF" w:rsidRDefault="003064B4" w:rsidP="003064B4">
      <w:pPr>
        <w:spacing w:line="360" w:lineRule="auto"/>
        <w:jc w:val="both"/>
        <w:outlineLvl w:val="1"/>
        <w:rPr>
          <w:rFonts w:ascii="Calibri" w:hAnsi="Calibri"/>
          <w:u w:val="single"/>
          <w:rtl/>
        </w:rPr>
      </w:pPr>
      <w:r w:rsidRPr="003949DF">
        <w:rPr>
          <w:rFonts w:ascii="Calibri" w:hAnsi="Calibri"/>
          <w:u w:val="single"/>
          <w:rtl/>
        </w:rPr>
        <w:t>מתחמי הענישה:</w:t>
      </w:r>
    </w:p>
    <w:p w14:paraId="5DE02DF2"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19.</w:t>
      </w:r>
      <w:r w:rsidRPr="003949DF">
        <w:rPr>
          <w:rFonts w:ascii="David" w:hAnsi="David"/>
          <w:rtl/>
        </w:rPr>
        <w:tab/>
        <w:t>בשלב ראשון יש להכריע האם יש לקבוע שני מתחמי ענישה, כעמדת המאשימה, או מתחם עונש אחד, כעתירת ההגנה. לצורך זה יש לבחון אם העבירות נעברו ב"</w:t>
      </w:r>
      <w:r w:rsidRPr="003949DF">
        <w:rPr>
          <w:rFonts w:ascii="David" w:hAnsi="David"/>
          <w:b/>
          <w:bCs/>
          <w:rtl/>
        </w:rPr>
        <w:t>אירוע אחד</w:t>
      </w:r>
      <w:r w:rsidRPr="003949DF">
        <w:rPr>
          <w:rFonts w:ascii="David" w:hAnsi="David"/>
          <w:rtl/>
        </w:rPr>
        <w:t>", בגינו ייקבע מתחם ענישה כולל, או ב"</w:t>
      </w:r>
      <w:r w:rsidRPr="003949DF">
        <w:rPr>
          <w:rFonts w:ascii="David" w:hAnsi="David"/>
          <w:b/>
          <w:bCs/>
          <w:rtl/>
        </w:rPr>
        <w:t>כמה אירועים</w:t>
      </w:r>
      <w:r w:rsidRPr="003949DF">
        <w:rPr>
          <w:rFonts w:ascii="David" w:hAnsi="David"/>
          <w:rtl/>
        </w:rPr>
        <w:t>", אזי ייקבע מתחם ענישה נפרד לכל אחד מהאירועים. לשם כך יש לבחון האם העבירות מקיימות ביניהן "</w:t>
      </w:r>
      <w:r w:rsidRPr="003949DF">
        <w:rPr>
          <w:rFonts w:ascii="David" w:hAnsi="David"/>
          <w:b/>
          <w:bCs/>
          <w:rtl/>
        </w:rPr>
        <w:t>קשר ענייני הדוק</w:t>
      </w:r>
      <w:r w:rsidRPr="003949DF">
        <w:rPr>
          <w:rFonts w:ascii="David" w:hAnsi="David"/>
          <w:rtl/>
        </w:rPr>
        <w:t>" – אז יש לראות בהן "</w:t>
      </w:r>
      <w:r w:rsidRPr="003949DF">
        <w:rPr>
          <w:rFonts w:ascii="David" w:hAnsi="David"/>
          <w:b/>
          <w:bCs/>
          <w:rtl/>
        </w:rPr>
        <w:t>אירוע אחד</w:t>
      </w:r>
      <w:r w:rsidRPr="003949DF">
        <w:rPr>
          <w:rFonts w:ascii="David" w:hAnsi="David"/>
          <w:rtl/>
        </w:rPr>
        <w:t>", אם לאו – אז הן יראו כ"</w:t>
      </w:r>
      <w:r w:rsidRPr="003949DF">
        <w:rPr>
          <w:rFonts w:ascii="David" w:hAnsi="David"/>
          <w:b/>
          <w:bCs/>
          <w:rtl/>
        </w:rPr>
        <w:t>כמה אירועים</w:t>
      </w:r>
      <w:r w:rsidRPr="003949DF">
        <w:rPr>
          <w:rFonts w:ascii="David" w:hAnsi="David"/>
          <w:rtl/>
        </w:rPr>
        <w:t>". במסגרת בחינה זו על בית המשפט לתת את דעתו על הנסיבות העובדתיות הרלוונטיות לעבירות. בין היתר יבחן: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ומה מספר הנפגעים שכלפיהם בוצעו העבירות. כמו כן, על בית המשפט לבחון האם השקפה על העבירות כעל כמה אירועים תהא מלאכותית, באופן שיגרע ממהות העניין בכללותו, או שלא ישקף את סיפור המעשה כהווייתו (</w:t>
      </w:r>
      <w:hyperlink r:id="rId29" w:history="1">
        <w:r w:rsidR="007B11F8" w:rsidRPr="007B11F8">
          <w:rPr>
            <w:rFonts w:ascii="David" w:hAnsi="David"/>
            <w:color w:val="0000FF"/>
            <w:u w:val="single"/>
            <w:rtl/>
          </w:rPr>
          <w:t>ע"פ 2240/21</w:t>
        </w:r>
      </w:hyperlink>
      <w:r w:rsidRPr="003949DF">
        <w:rPr>
          <w:rFonts w:ascii="David" w:hAnsi="David"/>
          <w:rtl/>
        </w:rPr>
        <w:t xml:space="preserve"> </w:t>
      </w:r>
      <w:r w:rsidRPr="003949DF">
        <w:rPr>
          <w:rFonts w:ascii="David" w:hAnsi="David"/>
          <w:b/>
          <w:bCs/>
          <w:rtl/>
        </w:rPr>
        <w:t>מדינת ישראל נ' שחר</w:t>
      </w:r>
      <w:r w:rsidRPr="003949DF">
        <w:rPr>
          <w:rFonts w:ascii="David" w:hAnsi="David"/>
          <w:rtl/>
        </w:rPr>
        <w:t>, 8/11/2021).</w:t>
      </w:r>
    </w:p>
    <w:p w14:paraId="7C4F8F7A" w14:textId="77777777" w:rsidR="003064B4" w:rsidRPr="003949DF" w:rsidRDefault="003064B4" w:rsidP="003064B4">
      <w:pPr>
        <w:spacing w:line="360" w:lineRule="auto"/>
        <w:ind w:left="680" w:hanging="680"/>
        <w:jc w:val="both"/>
        <w:rPr>
          <w:rFonts w:ascii="David" w:hAnsi="David"/>
          <w:rtl/>
        </w:rPr>
      </w:pPr>
    </w:p>
    <w:p w14:paraId="1340311C"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20.</w:t>
      </w:r>
      <w:r w:rsidRPr="003949DF">
        <w:rPr>
          <w:rFonts w:ascii="David" w:hAnsi="David"/>
          <w:rtl/>
        </w:rPr>
        <w:tab/>
        <w:t>יישום השיקולים האמורים במקרה זה מחייב את המסקנה לפיה מדובר בשני אירועים. אמנם, בשני המקרים המתפרעים, והנאשם בכלל, בטאו תפיסות לאומניות אלימות. אולם, השקפה על מעשיו של שהנאשם כעל אירוע אחד תהייה מלאכותית. ההתפרעויות בהן הנאשם נטל חלק התרחשו במועדים שונים (3/7/2023; 21/9/202</w:t>
      </w:r>
      <w:r>
        <w:rPr>
          <w:rFonts w:ascii="David" w:hAnsi="David" w:hint="cs"/>
          <w:rtl/>
        </w:rPr>
        <w:t>3</w:t>
      </w:r>
      <w:r w:rsidRPr="003949DF">
        <w:rPr>
          <w:rFonts w:ascii="David" w:hAnsi="David"/>
          <w:rtl/>
        </w:rPr>
        <w:t>), במקומות שונים (בכניסה לשכונת עיסאוויה; בשכונת עיסאוויה), ועל רקע שאינו זהה (התפרעות נגד כוחות הביטחון שהתחרשה מבלי שקדם לה אירוע נקודתי; התפרעות נגד כוחות הביטחון שפעלו במקום בעקבות פיגוע טרור). זאת ועוד. המתפרעים, כך יש להניח, אדישים לזהותם האישית-אינדיבידואלית של אנשי כוחות הביטחון כלפיהם התפרעו. אולם מעשי המתפרעים לא פגעו רק בכוחות הביטחון כקבוצה, אלא בכל אחד מהלוחמים והלוחמות שהרכיבו את הכוחות ושנדרשו להתייצב אישית מול הפרות הסדר. כיוון שאין להניח כי בשני המקרים הכוחות שפעלו בשטח הורכבו בדיוק מאותם לוחמים, יש להניח שמדובר בנפגעי עבירה שונים.</w:t>
      </w:r>
    </w:p>
    <w:p w14:paraId="20A8C754" w14:textId="77777777" w:rsidR="003064B4" w:rsidRPr="003949DF" w:rsidRDefault="003064B4" w:rsidP="003064B4">
      <w:pPr>
        <w:spacing w:line="360" w:lineRule="auto"/>
        <w:ind w:left="680" w:hanging="680"/>
        <w:jc w:val="both"/>
        <w:rPr>
          <w:rFonts w:ascii="David" w:hAnsi="David"/>
          <w:rtl/>
        </w:rPr>
      </w:pPr>
    </w:p>
    <w:p w14:paraId="05F3B849"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21.</w:t>
      </w:r>
      <w:r w:rsidRPr="003949DF">
        <w:rPr>
          <w:rFonts w:ascii="David" w:hAnsi="David"/>
          <w:rtl/>
        </w:rPr>
        <w:tab/>
        <w:t xml:space="preserve">התפרעות כלפי כוחות הביטחון פוגעת בסדר הציבורי, בביטחון הציבור ובשלטון החוק ומצרה את רגליו של הציבור מלעשות שימוש בשטח הציבורי בו ההתפרעות מתקיימת. שעה שהמתפרעים מוסיפים ומיידים כלפי כוחות הביטחון אבנים ובקבוקי תבערה, או יורים לעברם זיקוקים, נפגעים, בנוסף, גם הערכים של הגנת החיים, שלמות הגוף ותחושת הביטחון האישית והכללית. הפסיקה חזרה ועמדה על החומרה הטמונה בעבירות של יידוי אבנים ובקבוקי תבערה, במיוחד כאשר הן נעשות כחלק מהתפרעות המונים, כלפי כוחות הביטחון ומתוך מניע אידיאולוגי או לאומני. לנוכח זאת הודגש באופן עקבי הצורך לנקוט במדיניות ענישה מרתיעה כלפיהן (ראו: </w:t>
      </w:r>
      <w:hyperlink r:id="rId30" w:history="1">
        <w:r w:rsidR="007B11F8" w:rsidRPr="007B11F8">
          <w:rPr>
            <w:rFonts w:ascii="David" w:hAnsi="David"/>
            <w:color w:val="0000FF"/>
            <w:u w:val="single"/>
            <w:rtl/>
          </w:rPr>
          <w:t>ע"פ 1925/23</w:t>
        </w:r>
      </w:hyperlink>
      <w:r w:rsidRPr="003949DF">
        <w:rPr>
          <w:rFonts w:ascii="David" w:hAnsi="David"/>
          <w:rtl/>
        </w:rPr>
        <w:t xml:space="preserve"> </w:t>
      </w:r>
      <w:r w:rsidRPr="003949DF">
        <w:rPr>
          <w:rFonts w:ascii="David" w:hAnsi="David"/>
          <w:b/>
          <w:bCs/>
          <w:rtl/>
        </w:rPr>
        <w:t>מדינת ישראל נ' אבו הדוואן</w:t>
      </w:r>
      <w:r w:rsidRPr="003949DF">
        <w:rPr>
          <w:rFonts w:ascii="David" w:hAnsi="David"/>
          <w:rtl/>
        </w:rPr>
        <w:t>, 7/8/2023 ופסקי הדין הנזכרים בפסקה 8 של פסק הדין).</w:t>
      </w:r>
    </w:p>
    <w:p w14:paraId="71F18908" w14:textId="77777777" w:rsidR="003064B4" w:rsidRPr="003949DF" w:rsidRDefault="003064B4" w:rsidP="003064B4">
      <w:pPr>
        <w:spacing w:line="360" w:lineRule="auto"/>
        <w:ind w:left="680" w:hanging="680"/>
        <w:jc w:val="both"/>
        <w:rPr>
          <w:rFonts w:ascii="David" w:hAnsi="David"/>
        </w:rPr>
      </w:pPr>
    </w:p>
    <w:p w14:paraId="5A22E0CE"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22.</w:t>
      </w:r>
      <w:r w:rsidRPr="003949DF">
        <w:rPr>
          <w:rFonts w:ascii="David" w:hAnsi="David"/>
          <w:rtl/>
        </w:rPr>
        <w:tab/>
        <w:t>כעולה מהפסיקה אליה הצדדים הפנו, וכפי שצוין בפסיקה, בעבירות מסוג העבירות בהן הנאשם הורשע קיים מנעד רחב של עונשים, ואלה מוטלים בהתאם לטיבו של מעשה העבירה ולנסיבותיו האישיות של העושה, כשהמגמה בשנים האחרונות היא לעבר החמרה בענישה (</w:t>
      </w:r>
      <w:hyperlink r:id="rId31" w:history="1">
        <w:r w:rsidR="007B11F8" w:rsidRPr="007B11F8">
          <w:rPr>
            <w:rFonts w:ascii="David" w:hAnsi="David"/>
            <w:color w:val="0000FF"/>
            <w:u w:val="single"/>
            <w:rtl/>
          </w:rPr>
          <w:t>ע"פ 2390/17</w:t>
        </w:r>
      </w:hyperlink>
      <w:r w:rsidRPr="003949DF">
        <w:rPr>
          <w:rFonts w:ascii="David" w:hAnsi="David"/>
          <w:rtl/>
        </w:rPr>
        <w:t xml:space="preserve"> </w:t>
      </w:r>
      <w:r w:rsidRPr="003949DF">
        <w:rPr>
          <w:rFonts w:ascii="David" w:hAnsi="David"/>
          <w:b/>
          <w:bCs/>
          <w:rtl/>
        </w:rPr>
        <w:t>מרזיק נ' מדינת ישראל</w:t>
      </w:r>
      <w:r w:rsidRPr="003949DF">
        <w:rPr>
          <w:rFonts w:ascii="David" w:hAnsi="David"/>
          <w:rtl/>
        </w:rPr>
        <w:t xml:space="preserve">, 28/12/2017; </w:t>
      </w:r>
      <w:hyperlink r:id="rId32" w:history="1">
        <w:r w:rsidR="007B11F8" w:rsidRPr="007B11F8">
          <w:rPr>
            <w:rFonts w:ascii="David" w:hAnsi="David"/>
            <w:color w:val="0000FF"/>
            <w:u w:val="single"/>
            <w:rtl/>
          </w:rPr>
          <w:t>ע"פ 5300/16</w:t>
        </w:r>
      </w:hyperlink>
      <w:r w:rsidRPr="003949DF">
        <w:rPr>
          <w:rFonts w:ascii="David" w:hAnsi="David"/>
          <w:rtl/>
        </w:rPr>
        <w:t xml:space="preserve"> </w:t>
      </w:r>
      <w:r w:rsidRPr="003949DF">
        <w:rPr>
          <w:rFonts w:ascii="David" w:hAnsi="David"/>
          <w:b/>
          <w:bCs/>
          <w:rtl/>
        </w:rPr>
        <w:t>מדינת ישראל נ' נגאר</w:t>
      </w:r>
      <w:r w:rsidRPr="003949DF">
        <w:rPr>
          <w:rFonts w:ascii="David" w:hAnsi="David"/>
          <w:rtl/>
        </w:rPr>
        <w:t xml:space="preserve">, 8/1/2017). </w:t>
      </w:r>
    </w:p>
    <w:p w14:paraId="07172411" w14:textId="77777777" w:rsidR="003064B4" w:rsidRPr="003949DF" w:rsidRDefault="003064B4" w:rsidP="003064B4">
      <w:pPr>
        <w:spacing w:line="360" w:lineRule="auto"/>
        <w:ind w:left="680" w:hanging="680"/>
        <w:jc w:val="both"/>
        <w:rPr>
          <w:rFonts w:ascii="David" w:hAnsi="David"/>
        </w:rPr>
      </w:pPr>
    </w:p>
    <w:p w14:paraId="1DCF62DD"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23.</w:t>
      </w:r>
      <w:r w:rsidRPr="003949DF">
        <w:rPr>
          <w:rFonts w:ascii="David" w:hAnsi="David"/>
          <w:rtl/>
        </w:rPr>
        <w:tab/>
        <w:t xml:space="preserve">במקרה שלפניי יש להביא בחשבון כי בשני המקרים השתתפו בהתפרעות עשרות מתפרעים, שיידו כלפי כוחות הביטחון באופן מסיבי אבנים ובקבוקי תבערה וירו לכיוונם זיקוקים. בנוסף, באירוע השני, המתפרעים פעלו </w:t>
      </w:r>
      <w:r>
        <w:rPr>
          <w:rFonts w:ascii="David" w:hAnsi="David" w:hint="cs"/>
          <w:rtl/>
        </w:rPr>
        <w:t xml:space="preserve">באופן שיש בו </w:t>
      </w:r>
      <w:r w:rsidRPr="003949DF">
        <w:rPr>
          <w:rFonts w:ascii="David" w:hAnsi="David"/>
          <w:rtl/>
        </w:rPr>
        <w:t>להכשיל</w:t>
      </w:r>
      <w:r>
        <w:rPr>
          <w:rFonts w:ascii="David" w:hAnsi="David" w:hint="cs"/>
          <w:rtl/>
        </w:rPr>
        <w:t xml:space="preserve"> או להכביד על </w:t>
      </w:r>
      <w:r w:rsidRPr="003949DF">
        <w:rPr>
          <w:rFonts w:ascii="David" w:hAnsi="David"/>
          <w:rtl/>
        </w:rPr>
        <w:t>השוטרים לבצע את מלאכתם – חיפוש בביתו של מחבל, זמן קצר לאחר פיגוע שהוציא לפועל. עוד יש להביא בחשבון שחלקו היחסי של הנאשם בהתפרעות אינו זהה. באירוע הראשון, הנאשם י</w:t>
      </w:r>
      <w:r>
        <w:rPr>
          <w:rFonts w:ascii="David" w:hAnsi="David" w:hint="cs"/>
          <w:rtl/>
        </w:rPr>
        <w:t>י</w:t>
      </w:r>
      <w:r w:rsidRPr="003949DF">
        <w:rPr>
          <w:rFonts w:ascii="David" w:hAnsi="David"/>
          <w:rtl/>
        </w:rPr>
        <w:t>דה בקבוק תבערה אחד לעבר הכביש, העביר לאחר בקבוק תבערה נוסף, ויידה מספר רב של אבנים לעבר כוחות הביטחון ממרחק של כ-50 מטרים. באירוע השני, הנאשם י</w:t>
      </w:r>
      <w:r>
        <w:rPr>
          <w:rFonts w:ascii="David" w:hAnsi="David" w:hint="cs"/>
          <w:rtl/>
        </w:rPr>
        <w:t>י</w:t>
      </w:r>
      <w:r w:rsidRPr="003949DF">
        <w:rPr>
          <w:rFonts w:ascii="David" w:hAnsi="David"/>
          <w:rtl/>
        </w:rPr>
        <w:t xml:space="preserve">דה אבן אחת לעבר השוטרים ממרחק של 50 מטרים. </w:t>
      </w:r>
    </w:p>
    <w:p w14:paraId="38108516" w14:textId="77777777" w:rsidR="003064B4" w:rsidRPr="003949DF" w:rsidRDefault="003064B4" w:rsidP="003064B4">
      <w:pPr>
        <w:spacing w:line="360" w:lineRule="auto"/>
        <w:ind w:left="680" w:hanging="680"/>
        <w:jc w:val="both"/>
        <w:rPr>
          <w:rFonts w:ascii="David" w:hAnsi="David"/>
          <w:rtl/>
        </w:rPr>
      </w:pPr>
    </w:p>
    <w:p w14:paraId="6CCE7DCC"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24.</w:t>
      </w:r>
      <w:r w:rsidRPr="003949DF">
        <w:rPr>
          <w:rFonts w:ascii="David" w:hAnsi="David"/>
          <w:rtl/>
        </w:rPr>
        <w:tab/>
      </w:r>
      <w:r>
        <w:rPr>
          <w:rFonts w:ascii="David" w:hAnsi="David" w:hint="cs"/>
          <w:rtl/>
        </w:rPr>
        <w:t xml:space="preserve">כמו כן </w:t>
      </w:r>
      <w:r w:rsidRPr="003949DF">
        <w:rPr>
          <w:rFonts w:ascii="David" w:hAnsi="David"/>
          <w:rtl/>
        </w:rPr>
        <w:t xml:space="preserve">יש להתחשב בכך שבאירוע הראשון הנאשם יידה את בקבוק התבערה לעבר הכביש, במטרה לחסום את דרכם של כוחות הביטחון, ולא ישירות לעבר כוחות הביטחון. אולם, יידוי של בקבוק תבערה נועד לגרום לכך שהחומר הדליק שבו, המתפזר לכל עבר, יבער ויבעיר את סביבה. לאחר יידוי בקבוק התבערה, אין בידיו של המיידה להגביל את פיזור החומר הדליק, לשלוט על הנזקים שייגרמו כתוצאה מהתבערה או להבטיח שלא ייגרמו נזקים כבדים לגוף ולרכוש (השוו: </w:t>
      </w:r>
      <w:hyperlink r:id="rId33" w:history="1">
        <w:r w:rsidR="007B11F8" w:rsidRPr="007B11F8">
          <w:rPr>
            <w:rFonts w:ascii="David" w:hAnsi="David"/>
            <w:color w:val="0000FF"/>
            <w:u w:val="single"/>
            <w:rtl/>
          </w:rPr>
          <w:t>ע"פ 3116/13</w:t>
        </w:r>
      </w:hyperlink>
      <w:r w:rsidRPr="003949DF">
        <w:rPr>
          <w:rFonts w:ascii="David" w:hAnsi="David"/>
          <w:rtl/>
        </w:rPr>
        <w:t xml:space="preserve"> </w:t>
      </w:r>
      <w:r w:rsidRPr="003949DF">
        <w:rPr>
          <w:rFonts w:ascii="David" w:hAnsi="David"/>
          <w:b/>
          <w:bCs/>
          <w:rtl/>
        </w:rPr>
        <w:t>קבלאן נ' מדינת ישראל</w:t>
      </w:r>
      <w:r w:rsidRPr="003949DF">
        <w:rPr>
          <w:rFonts w:ascii="David" w:hAnsi="David"/>
          <w:rtl/>
        </w:rPr>
        <w:t xml:space="preserve"> 15/10/2013; </w:t>
      </w:r>
      <w:hyperlink r:id="rId34" w:history="1">
        <w:r w:rsidR="007B11F8" w:rsidRPr="007B11F8">
          <w:rPr>
            <w:rFonts w:ascii="David" w:hAnsi="David"/>
            <w:color w:val="0000FF"/>
            <w:u w:val="single"/>
            <w:rtl/>
          </w:rPr>
          <w:t>ע"פ 4311/12</w:t>
        </w:r>
      </w:hyperlink>
      <w:r w:rsidRPr="003949DF">
        <w:rPr>
          <w:rFonts w:ascii="David" w:hAnsi="David"/>
          <w:rtl/>
        </w:rPr>
        <w:t xml:space="preserve"> </w:t>
      </w:r>
      <w:r w:rsidRPr="003949DF">
        <w:rPr>
          <w:rFonts w:ascii="David" w:hAnsi="David"/>
          <w:b/>
          <w:bCs/>
          <w:rtl/>
        </w:rPr>
        <w:t xml:space="preserve">סורי נ' מדינת ישראל </w:t>
      </w:r>
      <w:r w:rsidRPr="003949DF">
        <w:rPr>
          <w:rFonts w:ascii="David" w:hAnsi="David"/>
          <w:rtl/>
        </w:rPr>
        <w:t>8/11/2012). בנוסף, הנאשם היה אדיש לאפשרות שהאדם אליו העביר בקבוק תבערה נוסף יידה אותו לעבר כוחות הביטחון.</w:t>
      </w:r>
    </w:p>
    <w:p w14:paraId="48BCEF06" w14:textId="77777777" w:rsidR="003064B4" w:rsidRPr="003949DF" w:rsidRDefault="003064B4" w:rsidP="003064B4">
      <w:pPr>
        <w:spacing w:line="360" w:lineRule="auto"/>
        <w:ind w:left="680" w:hanging="680"/>
        <w:jc w:val="both"/>
        <w:rPr>
          <w:rFonts w:ascii="David" w:hAnsi="David"/>
          <w:rtl/>
        </w:rPr>
      </w:pPr>
    </w:p>
    <w:p w14:paraId="132A9306"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25.</w:t>
      </w:r>
      <w:r w:rsidRPr="003949DF">
        <w:rPr>
          <w:rFonts w:ascii="David" w:hAnsi="David"/>
          <w:rtl/>
        </w:rPr>
        <w:tab/>
        <w:t xml:space="preserve">כפי שנטען על ידי הסנגור, יש גם להביא בחשבון כי בניגוד למרבית הפסיקה אליה הפנתה המאשימה, במקרה זה לא יוחסה לנאשם עבירה לפי </w:t>
      </w:r>
      <w:hyperlink r:id="rId35" w:history="1">
        <w:r w:rsidR="007B11F8" w:rsidRPr="007B11F8">
          <w:rPr>
            <w:rFonts w:ascii="David" w:hAnsi="David"/>
            <w:color w:val="0000FF"/>
            <w:u w:val="single"/>
            <w:rtl/>
          </w:rPr>
          <w:t>חוק המאבק בטרור, תשע"ו-2016</w:t>
        </w:r>
      </w:hyperlink>
      <w:r w:rsidRPr="003949DF">
        <w:rPr>
          <w:rFonts w:ascii="David" w:hAnsi="David"/>
          <w:rtl/>
        </w:rPr>
        <w:t xml:space="preserve">, על החמרת הענישה המתחייבת לפיו. </w:t>
      </w:r>
    </w:p>
    <w:p w14:paraId="6356F87D" w14:textId="77777777" w:rsidR="003064B4" w:rsidRPr="003949DF" w:rsidRDefault="003064B4" w:rsidP="003064B4">
      <w:pPr>
        <w:spacing w:line="360" w:lineRule="auto"/>
        <w:ind w:left="680" w:hanging="680"/>
        <w:jc w:val="both"/>
        <w:rPr>
          <w:rFonts w:ascii="David" w:hAnsi="David"/>
          <w:rtl/>
        </w:rPr>
      </w:pPr>
    </w:p>
    <w:p w14:paraId="1A87ACCD"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26.</w:t>
      </w:r>
      <w:r w:rsidRPr="003949DF">
        <w:rPr>
          <w:rFonts w:ascii="David" w:hAnsi="David"/>
          <w:rtl/>
        </w:rPr>
        <w:tab/>
        <w:t xml:space="preserve">לאור כל האמור, בהתחשב באמור לעיל אשר לערכים החברתיים שנפגעו מביצוע העבירות, במידת הפגיעה בהם, במדיניות הענישה הנהוגה ובנסיבות הקשורות בביצוע העבירות, נראה לי כי מתחמי העונש ההולמים למעשי העבירה של הנאשם הם: </w:t>
      </w:r>
      <w:r w:rsidRPr="003949DF">
        <w:rPr>
          <w:rFonts w:ascii="David" w:hAnsi="David"/>
          <w:b/>
          <w:bCs/>
          <w:rtl/>
        </w:rPr>
        <w:t>באישום הראשון</w:t>
      </w:r>
      <w:r w:rsidRPr="003949DF">
        <w:rPr>
          <w:rFonts w:ascii="David" w:hAnsi="David"/>
          <w:rtl/>
        </w:rPr>
        <w:t xml:space="preserve"> – בין 12 חודשי מאסר בפועל, לבין 36 חודשי מאסר בפועל; </w:t>
      </w:r>
      <w:r w:rsidRPr="003949DF">
        <w:rPr>
          <w:rFonts w:ascii="David" w:hAnsi="David"/>
          <w:b/>
          <w:bCs/>
          <w:rtl/>
        </w:rPr>
        <w:t>באישום השני</w:t>
      </w:r>
      <w:r w:rsidRPr="003949DF">
        <w:rPr>
          <w:rFonts w:ascii="David" w:hAnsi="David"/>
          <w:rtl/>
        </w:rPr>
        <w:t xml:space="preserve"> – בין שמונה חודשי מאסר בפועל לבין 24 חודשי מאסר בפועל.</w:t>
      </w:r>
    </w:p>
    <w:p w14:paraId="61FD02B2" w14:textId="77777777" w:rsidR="003064B4" w:rsidRPr="003949DF" w:rsidRDefault="003064B4" w:rsidP="003064B4">
      <w:pPr>
        <w:spacing w:line="360" w:lineRule="auto"/>
        <w:ind w:left="680" w:hanging="680"/>
        <w:jc w:val="both"/>
        <w:rPr>
          <w:rFonts w:ascii="David" w:hAnsi="David"/>
          <w:rtl/>
        </w:rPr>
      </w:pPr>
    </w:p>
    <w:p w14:paraId="425D58C8" w14:textId="77777777" w:rsidR="003064B4" w:rsidRPr="003949DF" w:rsidRDefault="003064B4" w:rsidP="003064B4">
      <w:pPr>
        <w:spacing w:line="360" w:lineRule="auto"/>
        <w:jc w:val="both"/>
        <w:outlineLvl w:val="0"/>
        <w:rPr>
          <w:rFonts w:ascii="Calibri" w:eastAsia="Calibri" w:hAnsi="Calibri"/>
          <w:b/>
          <w:bCs/>
          <w:u w:val="single"/>
          <w:rtl/>
        </w:rPr>
      </w:pPr>
      <w:r w:rsidRPr="003949DF">
        <w:rPr>
          <w:rFonts w:ascii="Calibri" w:eastAsia="Calibri" w:hAnsi="Calibri"/>
          <w:b/>
          <w:bCs/>
          <w:u w:val="single"/>
          <w:rtl/>
        </w:rPr>
        <w:t>העונש המתאים לנאשם:</w:t>
      </w:r>
    </w:p>
    <w:p w14:paraId="1223BCA3" w14:textId="77777777" w:rsidR="003064B4" w:rsidRPr="003949DF" w:rsidRDefault="003064B4" w:rsidP="003064B4">
      <w:pPr>
        <w:spacing w:line="360" w:lineRule="auto"/>
        <w:ind w:left="680" w:hanging="680"/>
        <w:jc w:val="both"/>
        <w:rPr>
          <w:rFonts w:ascii="David" w:eastAsia="Calibri" w:hAnsi="David"/>
          <w:rtl/>
        </w:rPr>
      </w:pPr>
      <w:r w:rsidRPr="003949DF">
        <w:rPr>
          <w:rFonts w:ascii="David" w:hAnsi="David"/>
          <w:rtl/>
        </w:rPr>
        <w:t>27.</w:t>
      </w:r>
      <w:r w:rsidRPr="003949DF">
        <w:rPr>
          <w:rFonts w:ascii="David" w:hAnsi="David"/>
          <w:rtl/>
        </w:rPr>
        <w:tab/>
        <w:t xml:space="preserve">לצורך קביעת העונש המתאים בתוך מתחמי הענישה הנ"ל יש להביא בחשבון, לטובתו של הנאשם, את הודאתו, אשר ניתנה בשלב מוקדם מאוד של ההליכים, כבר בשלב הדיון המקדמי. עוד יש להתחשב בנסיבותיו האישיות הלא פשוטות – רמת התפקוד שלו והליקויים מהם הוא סובל, כעולה מחוות דעתה של ועדת האבחון שפורטה לעיל. לחובתו של הנאשם עומד עברו הפלילי. זו פעם רביעית בה הנאשם מורשע בעבירה של ניסיון תקיפת שוטר, ופעם שלישית בה הוא מורשע בעבירה של השתתפות בהתפרעות. העונשים שהוטלו עליו עד כה, כולל עונשי מאסר בפועל, לא הועילו, ולא היה בהם כדי לגרום לו להימנע ממעורבות נוספת בעבירות דומות. </w:t>
      </w:r>
    </w:p>
    <w:p w14:paraId="000873BD" w14:textId="77777777" w:rsidR="003064B4" w:rsidRPr="003949DF" w:rsidRDefault="003064B4" w:rsidP="003064B4">
      <w:pPr>
        <w:spacing w:line="360" w:lineRule="auto"/>
        <w:ind w:left="680" w:hanging="680"/>
        <w:jc w:val="both"/>
        <w:rPr>
          <w:rFonts w:ascii="David" w:hAnsi="David"/>
          <w:rtl/>
        </w:rPr>
      </w:pPr>
    </w:p>
    <w:p w14:paraId="5F4CC7D0" w14:textId="77777777" w:rsidR="003064B4" w:rsidRPr="003949DF" w:rsidRDefault="003064B4" w:rsidP="003064B4">
      <w:pPr>
        <w:spacing w:line="360" w:lineRule="auto"/>
        <w:ind w:left="680" w:hanging="680"/>
        <w:jc w:val="both"/>
        <w:rPr>
          <w:rFonts w:ascii="David" w:hAnsi="David"/>
          <w:rtl/>
        </w:rPr>
      </w:pPr>
      <w:r w:rsidRPr="003949DF">
        <w:rPr>
          <w:rFonts w:ascii="David" w:hAnsi="David"/>
          <w:rtl/>
        </w:rPr>
        <w:t>28.</w:t>
      </w:r>
      <w:r w:rsidRPr="003949DF">
        <w:rPr>
          <w:rFonts w:ascii="David" w:hAnsi="David"/>
          <w:rtl/>
        </w:rPr>
        <w:tab/>
        <w:t>על שתי כפות המאזניים עומדים אפוא שיקולים בעלי משקל של ממש, לקולה ולחומרה. עברו הפלילי של הנאשם מחייב להטיל עליו עונש משמעותי. ברם, הודאתו בשלב מוקדם של ההליך בצירוף נסיבותיו האישיות ממתנות את העונש המתאים לו, ומצדיקות להטיל עליו עונש כולל, שיביא לידי ביטוי חפיפה מסוימת של העונשים.</w:t>
      </w:r>
    </w:p>
    <w:p w14:paraId="1F9A7293" w14:textId="77777777" w:rsidR="003064B4" w:rsidRPr="003949DF" w:rsidRDefault="003064B4" w:rsidP="003064B4">
      <w:pPr>
        <w:spacing w:line="360" w:lineRule="auto"/>
        <w:ind w:left="680" w:hanging="680"/>
        <w:jc w:val="both"/>
        <w:rPr>
          <w:rFonts w:ascii="David" w:hAnsi="David"/>
          <w:rtl/>
        </w:rPr>
      </w:pPr>
    </w:p>
    <w:p w14:paraId="032A23C2" w14:textId="77777777" w:rsidR="003064B4" w:rsidRPr="003949DF" w:rsidRDefault="003064B4" w:rsidP="003064B4">
      <w:pPr>
        <w:spacing w:line="360" w:lineRule="auto"/>
        <w:jc w:val="both"/>
        <w:outlineLvl w:val="0"/>
        <w:rPr>
          <w:rFonts w:ascii="Calibri" w:eastAsia="Calibri" w:hAnsi="Calibri"/>
          <w:b/>
          <w:bCs/>
          <w:u w:val="single"/>
          <w:rtl/>
        </w:rPr>
      </w:pPr>
      <w:r w:rsidRPr="003949DF">
        <w:rPr>
          <w:rFonts w:ascii="Calibri" w:eastAsia="Calibri" w:hAnsi="Calibri"/>
          <w:b/>
          <w:bCs/>
          <w:u w:val="single"/>
          <w:rtl/>
        </w:rPr>
        <w:t>התוצאה:</w:t>
      </w:r>
    </w:p>
    <w:p w14:paraId="02AA7F5B" w14:textId="77777777" w:rsidR="003064B4" w:rsidRPr="003949DF" w:rsidRDefault="003064B4" w:rsidP="003064B4">
      <w:pPr>
        <w:spacing w:line="360" w:lineRule="auto"/>
        <w:ind w:left="680" w:hanging="680"/>
        <w:jc w:val="both"/>
        <w:rPr>
          <w:rFonts w:ascii="David" w:eastAsia="Calibri" w:hAnsi="David"/>
          <w:rtl/>
        </w:rPr>
      </w:pPr>
      <w:r w:rsidRPr="003949DF">
        <w:rPr>
          <w:rFonts w:ascii="David" w:hAnsi="David"/>
          <w:rtl/>
        </w:rPr>
        <w:t>29.</w:t>
      </w:r>
      <w:r w:rsidRPr="003949DF">
        <w:rPr>
          <w:rFonts w:ascii="David" w:hAnsi="David"/>
          <w:rtl/>
        </w:rPr>
        <w:tab/>
        <w:t>אני דן אפוא את הנאשם לעונשים הבאים:</w:t>
      </w:r>
    </w:p>
    <w:p w14:paraId="61E46A2D" w14:textId="77777777" w:rsidR="003064B4" w:rsidRPr="003949DF" w:rsidRDefault="003064B4" w:rsidP="003064B4">
      <w:pPr>
        <w:spacing w:line="360" w:lineRule="auto"/>
        <w:ind w:left="720" w:hanging="720"/>
        <w:jc w:val="both"/>
        <w:rPr>
          <w:rFonts w:ascii="Calibri" w:eastAsia="Calibri" w:hAnsi="Calibri"/>
          <w:rtl/>
        </w:rPr>
      </w:pPr>
    </w:p>
    <w:p w14:paraId="12CA1FF4" w14:textId="77777777" w:rsidR="003064B4" w:rsidRPr="003949DF" w:rsidRDefault="003064B4" w:rsidP="003064B4">
      <w:pPr>
        <w:spacing w:line="360" w:lineRule="auto"/>
        <w:ind w:left="1360" w:hanging="680"/>
        <w:jc w:val="both"/>
        <w:rPr>
          <w:rFonts w:ascii="Calibri" w:hAnsi="Calibri"/>
          <w:rtl/>
        </w:rPr>
      </w:pPr>
      <w:r w:rsidRPr="003949DF">
        <w:rPr>
          <w:rFonts w:ascii="Calibri" w:hAnsi="Calibri"/>
          <w:rtl/>
        </w:rPr>
        <w:t>א.</w:t>
      </w:r>
      <w:r w:rsidRPr="003949DF">
        <w:rPr>
          <w:rFonts w:ascii="Calibri" w:hAnsi="Calibri"/>
          <w:rtl/>
        </w:rPr>
        <w:tab/>
        <w:t xml:space="preserve">מאסר בפועל למשך </w:t>
      </w:r>
      <w:r>
        <w:rPr>
          <w:rFonts w:ascii="Calibri" w:hAnsi="Calibri" w:hint="cs"/>
          <w:rtl/>
        </w:rPr>
        <w:t>27</w:t>
      </w:r>
      <w:r w:rsidRPr="003949DF">
        <w:rPr>
          <w:rFonts w:ascii="Calibri" w:hAnsi="Calibri"/>
          <w:rtl/>
        </w:rPr>
        <w:t xml:space="preserve"> חודשים, בקיזוז ימי מעצרו מיום 11/10/2023.</w:t>
      </w:r>
    </w:p>
    <w:p w14:paraId="6F389D25" w14:textId="77777777" w:rsidR="003064B4" w:rsidRPr="003949DF" w:rsidRDefault="003064B4" w:rsidP="003064B4">
      <w:pPr>
        <w:spacing w:line="360" w:lineRule="auto"/>
        <w:ind w:left="720" w:hanging="720"/>
        <w:jc w:val="both"/>
        <w:rPr>
          <w:rFonts w:ascii="Calibri" w:eastAsia="Calibri" w:hAnsi="Calibri"/>
          <w:rtl/>
        </w:rPr>
      </w:pPr>
    </w:p>
    <w:p w14:paraId="69F1758C" w14:textId="77777777" w:rsidR="003064B4" w:rsidRPr="003949DF" w:rsidRDefault="003064B4" w:rsidP="003064B4">
      <w:pPr>
        <w:spacing w:line="360" w:lineRule="auto"/>
        <w:ind w:left="1360" w:hanging="680"/>
        <w:jc w:val="both"/>
        <w:rPr>
          <w:rFonts w:ascii="Calibri" w:hAnsi="Calibri"/>
        </w:rPr>
      </w:pPr>
      <w:r w:rsidRPr="003949DF">
        <w:rPr>
          <w:rFonts w:ascii="Calibri" w:hAnsi="Calibri"/>
          <w:rtl/>
        </w:rPr>
        <w:t>ב.</w:t>
      </w:r>
      <w:r w:rsidRPr="003949DF">
        <w:rPr>
          <w:rFonts w:ascii="Calibri" w:hAnsi="Calibri"/>
          <w:rtl/>
        </w:rPr>
        <w:tab/>
        <w:t>מאסר למשך תשעה חודשים וזאת על תנאי למשך שלוש שנים מיום שחרורו ממאסר, אם יעבור איזו מהעבירות בהן הורשע.</w:t>
      </w:r>
    </w:p>
    <w:p w14:paraId="6F376548" w14:textId="77777777" w:rsidR="003064B4" w:rsidRPr="003949DF" w:rsidRDefault="003064B4" w:rsidP="003064B4">
      <w:pPr>
        <w:spacing w:line="360" w:lineRule="auto"/>
        <w:ind w:left="720" w:hanging="720"/>
        <w:jc w:val="both"/>
        <w:rPr>
          <w:rFonts w:ascii="Calibri" w:eastAsia="Calibri" w:hAnsi="Calibri"/>
          <w:rtl/>
        </w:rPr>
      </w:pPr>
    </w:p>
    <w:p w14:paraId="3B356ACD" w14:textId="77777777" w:rsidR="003064B4" w:rsidRPr="003949DF" w:rsidRDefault="003064B4" w:rsidP="003064B4">
      <w:pPr>
        <w:spacing w:line="360" w:lineRule="auto"/>
        <w:ind w:left="720" w:hanging="720"/>
        <w:jc w:val="both"/>
        <w:rPr>
          <w:rFonts w:ascii="Calibri" w:eastAsia="Calibri" w:hAnsi="Calibri"/>
          <w:rtl/>
        </w:rPr>
      </w:pPr>
    </w:p>
    <w:p w14:paraId="0B4F06D4" w14:textId="77777777" w:rsidR="003064B4" w:rsidRPr="003949DF" w:rsidRDefault="003064B4" w:rsidP="003064B4">
      <w:pPr>
        <w:spacing w:line="360" w:lineRule="auto"/>
        <w:ind w:left="720" w:hanging="720"/>
        <w:jc w:val="both"/>
        <w:rPr>
          <w:rFonts w:ascii="Calibri" w:eastAsia="Calibri" w:hAnsi="Calibri"/>
          <w:rtl/>
        </w:rPr>
      </w:pPr>
      <w:r w:rsidRPr="003949DF">
        <w:rPr>
          <w:rFonts w:ascii="Calibri" w:eastAsia="Calibri" w:hAnsi="Calibri"/>
          <w:rtl/>
        </w:rPr>
        <w:t>זכות ערעור לבית המשפט העליון תוך 45 יום מהיום.</w:t>
      </w:r>
    </w:p>
    <w:p w14:paraId="71C5AA03" w14:textId="77777777" w:rsidR="003064B4" w:rsidRDefault="003064B4" w:rsidP="003064B4">
      <w:pPr>
        <w:rPr>
          <w:rFonts w:ascii="Arial" w:hAnsi="Arial"/>
          <w:b/>
          <w:bCs/>
          <w:sz w:val="26"/>
          <w:szCs w:val="26"/>
          <w:rtl/>
        </w:rPr>
      </w:pPr>
    </w:p>
    <w:p w14:paraId="47181B5E" w14:textId="77777777" w:rsidR="003064B4" w:rsidRPr="007B11F8" w:rsidRDefault="007B11F8" w:rsidP="003064B4">
      <w:pPr>
        <w:rPr>
          <w:rFonts w:ascii="Arial" w:hAnsi="Arial"/>
          <w:b/>
          <w:bCs/>
          <w:color w:val="FFFFFF"/>
          <w:sz w:val="2"/>
          <w:szCs w:val="2"/>
          <w:rtl/>
        </w:rPr>
      </w:pPr>
      <w:r w:rsidRPr="007B11F8">
        <w:rPr>
          <w:rFonts w:ascii="Arial" w:hAnsi="Arial"/>
          <w:b/>
          <w:bCs/>
          <w:color w:val="FFFFFF"/>
          <w:sz w:val="2"/>
          <w:szCs w:val="2"/>
          <w:rtl/>
        </w:rPr>
        <w:t>5129371</w:t>
      </w:r>
    </w:p>
    <w:p w14:paraId="02DEBCBE" w14:textId="77777777" w:rsidR="003064B4" w:rsidRPr="007B11F8" w:rsidRDefault="007B11F8" w:rsidP="003064B4">
      <w:pPr>
        <w:rPr>
          <w:rFonts w:ascii="Arial" w:hAnsi="Arial"/>
          <w:b/>
          <w:bCs/>
          <w:color w:val="FFFFFF"/>
          <w:sz w:val="2"/>
          <w:szCs w:val="2"/>
          <w:rtl/>
        </w:rPr>
      </w:pPr>
      <w:r w:rsidRPr="007B11F8">
        <w:rPr>
          <w:rFonts w:ascii="Arial" w:hAnsi="Arial"/>
          <w:b/>
          <w:bCs/>
          <w:color w:val="FFFFFF"/>
          <w:sz w:val="2"/>
          <w:szCs w:val="2"/>
          <w:rtl/>
        </w:rPr>
        <w:t>54678313</w:t>
      </w:r>
    </w:p>
    <w:p w14:paraId="35FB8576" w14:textId="77777777" w:rsidR="003064B4" w:rsidRPr="000F2247" w:rsidRDefault="003064B4" w:rsidP="003064B4">
      <w:pPr>
        <w:rPr>
          <w:rFonts w:ascii="Arial" w:hAnsi="Arial"/>
          <w:b/>
          <w:bCs/>
          <w:sz w:val="26"/>
          <w:szCs w:val="26"/>
          <w:rtl/>
        </w:rPr>
      </w:pPr>
    </w:p>
    <w:p w14:paraId="0D3BE1CE" w14:textId="77777777" w:rsidR="003064B4" w:rsidRPr="000F2247" w:rsidRDefault="007B11F8" w:rsidP="003064B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ניסן תשפ"ד, 18 אפריל 2024, במעמד הצדדים. </w:t>
      </w:r>
      <w:bookmarkEnd w:id="8"/>
      <w:r w:rsidR="003064B4">
        <w:rPr>
          <w:rFonts w:ascii="Arial" w:hAnsi="Arial"/>
          <w:b/>
          <w:bCs/>
          <w:sz w:val="26"/>
          <w:szCs w:val="26"/>
          <w:rtl/>
        </w:rPr>
        <w:tab/>
      </w:r>
      <w:r w:rsidR="003064B4">
        <w:rPr>
          <w:rFonts w:ascii="Arial" w:hAnsi="Arial"/>
          <w:b/>
          <w:bCs/>
          <w:sz w:val="26"/>
          <w:szCs w:val="26"/>
          <w:rtl/>
        </w:rPr>
        <w:tab/>
      </w:r>
      <w:r w:rsidR="003064B4">
        <w:rPr>
          <w:rFonts w:ascii="Arial" w:hAnsi="Arial"/>
          <w:b/>
          <w:bCs/>
          <w:sz w:val="26"/>
          <w:szCs w:val="26"/>
          <w:rtl/>
        </w:rPr>
        <w:tab/>
      </w:r>
      <w:r w:rsidR="003064B4">
        <w:rPr>
          <w:rFonts w:ascii="Arial" w:hAnsi="Arial"/>
          <w:b/>
          <w:bCs/>
          <w:sz w:val="26"/>
          <w:szCs w:val="26"/>
          <w:rtl/>
        </w:rPr>
        <w:tab/>
      </w:r>
      <w:r w:rsidR="003064B4">
        <w:rPr>
          <w:rFonts w:ascii="Arial" w:hAnsi="Arial"/>
          <w:b/>
          <w:bCs/>
          <w:sz w:val="26"/>
          <w:szCs w:val="26"/>
          <w:rtl/>
        </w:rPr>
        <w:tab/>
      </w:r>
      <w:r w:rsidR="003064B4">
        <w:rPr>
          <w:rFonts w:ascii="Arial" w:hAnsi="Arial"/>
          <w:b/>
          <w:bCs/>
          <w:sz w:val="26"/>
          <w:szCs w:val="26"/>
          <w:rtl/>
        </w:rPr>
        <w:tab/>
      </w:r>
      <w:r w:rsidR="003064B4">
        <w:rPr>
          <w:rFonts w:ascii="Arial" w:hAnsi="Arial"/>
          <w:b/>
          <w:bCs/>
          <w:sz w:val="26"/>
          <w:szCs w:val="26"/>
          <w:rtl/>
        </w:rPr>
        <w:tab/>
      </w:r>
      <w:r w:rsidR="003064B4">
        <w:rPr>
          <w:rFonts w:ascii="Arial" w:hAnsi="Arial" w:hint="cs"/>
          <w:b/>
          <w:bCs/>
          <w:sz w:val="26"/>
          <w:szCs w:val="26"/>
          <w:rtl/>
        </w:rPr>
        <w:t xml:space="preserve">         </w:t>
      </w:r>
    </w:p>
    <w:p w14:paraId="4D524F76" w14:textId="77777777" w:rsidR="003064B4" w:rsidRDefault="003064B4" w:rsidP="007B11F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9BF4179" w14:textId="77777777" w:rsidR="003064B4" w:rsidRPr="007619A9" w:rsidRDefault="007619A9" w:rsidP="003064B4">
      <w:pPr>
        <w:jc w:val="center"/>
        <w:rPr>
          <w:rFonts w:ascii="Arial" w:hAnsi="Arial"/>
          <w:b/>
          <w:bCs/>
          <w:color w:val="FFFFFF"/>
          <w:sz w:val="2"/>
          <w:szCs w:val="2"/>
          <w:rtl/>
        </w:rPr>
      </w:pPr>
      <w:r w:rsidRPr="007619A9">
        <w:rPr>
          <w:rFonts w:ascii="Arial" w:hAnsi="Arial"/>
          <w:b/>
          <w:bCs/>
          <w:color w:val="FFFFFF"/>
          <w:sz w:val="2"/>
          <w:szCs w:val="2"/>
          <w:rtl/>
        </w:rPr>
        <w:t>5129371</w:t>
      </w:r>
    </w:p>
    <w:p w14:paraId="693FB677" w14:textId="77777777" w:rsidR="00FC0ACD" w:rsidRPr="007619A9" w:rsidRDefault="007619A9" w:rsidP="007B11F8">
      <w:pPr>
        <w:keepNext/>
        <w:rPr>
          <w:rFonts w:ascii="David" w:hAnsi="David"/>
          <w:color w:val="FFFFFF"/>
          <w:sz w:val="2"/>
          <w:szCs w:val="2"/>
          <w:rtl/>
        </w:rPr>
      </w:pPr>
      <w:r w:rsidRPr="007619A9">
        <w:rPr>
          <w:rFonts w:ascii="David" w:hAnsi="David"/>
          <w:color w:val="FFFFFF"/>
          <w:sz w:val="2"/>
          <w:szCs w:val="2"/>
          <w:rtl/>
        </w:rPr>
        <w:t>54678313</w:t>
      </w:r>
    </w:p>
    <w:p w14:paraId="4C47E891" w14:textId="77777777" w:rsidR="007B11F8" w:rsidRPr="007B11F8" w:rsidRDefault="007B11F8" w:rsidP="007B11F8">
      <w:pPr>
        <w:keepNext/>
        <w:rPr>
          <w:rFonts w:ascii="David" w:hAnsi="David"/>
          <w:color w:val="000000"/>
          <w:sz w:val="22"/>
          <w:szCs w:val="22"/>
          <w:rtl/>
        </w:rPr>
      </w:pPr>
      <w:r w:rsidRPr="007B11F8">
        <w:rPr>
          <w:rFonts w:ascii="David" w:hAnsi="David"/>
          <w:color w:val="000000"/>
          <w:sz w:val="22"/>
          <w:szCs w:val="22"/>
          <w:rtl/>
        </w:rPr>
        <w:t>מרדכי כדורי 54678313</w:t>
      </w:r>
    </w:p>
    <w:p w14:paraId="7DB1EDBF" w14:textId="77777777" w:rsidR="007B11F8" w:rsidRDefault="007B11F8" w:rsidP="007B11F8">
      <w:r w:rsidRPr="007B11F8">
        <w:rPr>
          <w:color w:val="000000"/>
          <w:rtl/>
        </w:rPr>
        <w:t>נוסח מסמך זה כפוף לשינויי ניסוח ועריכה</w:t>
      </w:r>
    </w:p>
    <w:p w14:paraId="2DFAA7E2" w14:textId="77777777" w:rsidR="007B11F8" w:rsidRDefault="007B11F8" w:rsidP="007B11F8">
      <w:pPr>
        <w:rPr>
          <w:rtl/>
        </w:rPr>
      </w:pPr>
    </w:p>
    <w:p w14:paraId="0407475F" w14:textId="77777777" w:rsidR="007B11F8" w:rsidRDefault="007B11F8" w:rsidP="007B11F8">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sectPr w:rsidR="007B11F8" w:rsidSect="007619A9">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048F2" w14:textId="77777777" w:rsidR="008F66AF" w:rsidRDefault="008F66AF" w:rsidP="0078184A">
      <w:r>
        <w:separator/>
      </w:r>
    </w:p>
  </w:endnote>
  <w:endnote w:type="continuationSeparator" w:id="0">
    <w:p w14:paraId="416A0064" w14:textId="77777777" w:rsidR="008F66AF" w:rsidRDefault="008F66AF" w:rsidP="0078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31AA1" w14:textId="77777777" w:rsidR="007619A9" w:rsidRDefault="007619A9" w:rsidP="007619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617A44" w14:textId="77777777" w:rsidR="0047505D" w:rsidRPr="007619A9" w:rsidRDefault="007619A9" w:rsidP="007619A9">
    <w:pPr>
      <w:pStyle w:val="a5"/>
      <w:pBdr>
        <w:top w:val="single" w:sz="4" w:space="1" w:color="auto"/>
        <w:between w:val="single" w:sz="4" w:space="0" w:color="auto"/>
      </w:pBdr>
      <w:spacing w:after="60"/>
      <w:jc w:val="center"/>
      <w:rPr>
        <w:rFonts w:ascii="FrankRuehl" w:hAnsi="FrankRuehl" w:cs="FrankRuehl"/>
        <w:color w:val="000000"/>
      </w:rPr>
    </w:pPr>
    <w:r w:rsidRPr="007619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18E7D" w14:textId="77777777" w:rsidR="007619A9" w:rsidRDefault="007619A9" w:rsidP="007619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35947">
      <w:rPr>
        <w:rFonts w:ascii="FrankRuehl" w:hAnsi="FrankRuehl" w:cs="FrankRuehl"/>
        <w:noProof/>
        <w:rtl/>
      </w:rPr>
      <w:t>1</w:t>
    </w:r>
    <w:r>
      <w:rPr>
        <w:rFonts w:ascii="FrankRuehl" w:hAnsi="FrankRuehl" w:cs="FrankRuehl"/>
        <w:rtl/>
      </w:rPr>
      <w:fldChar w:fldCharType="end"/>
    </w:r>
  </w:p>
  <w:p w14:paraId="30643F08" w14:textId="77777777" w:rsidR="0047505D" w:rsidRPr="007619A9" w:rsidRDefault="007619A9" w:rsidP="007619A9">
    <w:pPr>
      <w:pStyle w:val="a5"/>
      <w:pBdr>
        <w:top w:val="single" w:sz="4" w:space="1" w:color="auto"/>
        <w:between w:val="single" w:sz="4" w:space="0" w:color="auto"/>
      </w:pBdr>
      <w:spacing w:after="60"/>
      <w:jc w:val="center"/>
      <w:rPr>
        <w:rFonts w:ascii="FrankRuehl" w:hAnsi="FrankRuehl" w:cs="FrankRuehl"/>
        <w:color w:val="000000"/>
      </w:rPr>
    </w:pPr>
    <w:r w:rsidRPr="007619A9">
      <w:rPr>
        <w:rFonts w:ascii="FrankRuehl" w:hAnsi="FrankRuehl" w:cs="FrankRuehl"/>
        <w:color w:val="000000"/>
      </w:rPr>
      <w:pict w14:anchorId="165EC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3F154" w14:textId="77777777" w:rsidR="008F66AF" w:rsidRDefault="008F66AF" w:rsidP="0078184A">
      <w:r>
        <w:separator/>
      </w:r>
    </w:p>
  </w:footnote>
  <w:footnote w:type="continuationSeparator" w:id="0">
    <w:p w14:paraId="4A9574A9" w14:textId="77777777" w:rsidR="008F66AF" w:rsidRDefault="008F66AF" w:rsidP="00781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DB06D" w14:textId="77777777" w:rsidR="007B11F8" w:rsidRPr="007619A9" w:rsidRDefault="007619A9" w:rsidP="007619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36508-10-23</w:t>
    </w:r>
    <w:r>
      <w:rPr>
        <w:rFonts w:ascii="David" w:hAnsi="David"/>
        <w:color w:val="000000"/>
        <w:sz w:val="22"/>
        <w:szCs w:val="22"/>
        <w:rtl/>
      </w:rPr>
      <w:tab/>
      <w:t xml:space="preserve"> מדינת ישראל נ' מוחמד מחמוד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45AB8" w14:textId="77777777" w:rsidR="007B11F8" w:rsidRPr="007619A9" w:rsidRDefault="007619A9" w:rsidP="007619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36508-10-23</w:t>
    </w:r>
    <w:r>
      <w:rPr>
        <w:rFonts w:ascii="David" w:hAnsi="David"/>
        <w:color w:val="000000"/>
        <w:sz w:val="22"/>
        <w:szCs w:val="22"/>
        <w:rtl/>
      </w:rPr>
      <w:tab/>
      <w:t xml:space="preserve"> מדינת ישראל נ' מוחמד מחמוד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64B4"/>
    <w:rsid w:val="001B5A3B"/>
    <w:rsid w:val="003064B4"/>
    <w:rsid w:val="0047505D"/>
    <w:rsid w:val="0050617A"/>
    <w:rsid w:val="007619A9"/>
    <w:rsid w:val="0078184A"/>
    <w:rsid w:val="007B11F8"/>
    <w:rsid w:val="007B3A24"/>
    <w:rsid w:val="008F66AF"/>
    <w:rsid w:val="00A35947"/>
    <w:rsid w:val="00FC0A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CFFE8F"/>
  <w15:chartTrackingRefBased/>
  <w15:docId w15:val="{2EEE8A67-F2EA-4A9C-99B0-7DD661F4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64B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64B4"/>
    <w:pPr>
      <w:tabs>
        <w:tab w:val="center" w:pos="4153"/>
        <w:tab w:val="right" w:pos="8306"/>
      </w:tabs>
    </w:pPr>
  </w:style>
  <w:style w:type="character" w:customStyle="1" w:styleId="a4">
    <w:name w:val="כותרת עליונה תו"/>
    <w:link w:val="a3"/>
    <w:rsid w:val="003064B4"/>
    <w:rPr>
      <w:rFonts w:ascii="Times New Roman" w:eastAsia="Times New Roman" w:hAnsi="Times New Roman" w:cs="David"/>
      <w:sz w:val="24"/>
      <w:szCs w:val="24"/>
    </w:rPr>
  </w:style>
  <w:style w:type="paragraph" w:styleId="a5">
    <w:name w:val="footer"/>
    <w:basedOn w:val="a"/>
    <w:link w:val="a6"/>
    <w:rsid w:val="003064B4"/>
    <w:pPr>
      <w:tabs>
        <w:tab w:val="center" w:pos="4153"/>
        <w:tab w:val="right" w:pos="8306"/>
      </w:tabs>
    </w:pPr>
  </w:style>
  <w:style w:type="character" w:customStyle="1" w:styleId="a6">
    <w:name w:val="כותרת תחתונה תו"/>
    <w:link w:val="a5"/>
    <w:rsid w:val="003064B4"/>
    <w:rPr>
      <w:rFonts w:ascii="Times New Roman" w:eastAsia="Times New Roman" w:hAnsi="Times New Roman" w:cs="David"/>
      <w:sz w:val="24"/>
      <w:szCs w:val="24"/>
    </w:rPr>
  </w:style>
  <w:style w:type="table" w:styleId="a7">
    <w:name w:val="Table Grid"/>
    <w:basedOn w:val="a1"/>
    <w:rsid w:val="003064B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064B4"/>
  </w:style>
  <w:style w:type="character" w:styleId="Hyperlink">
    <w:name w:val="Hyperlink"/>
    <w:rsid w:val="007B11F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48.a" TargetMode="External"/><Relationship Id="rId18" Type="http://schemas.openxmlformats.org/officeDocument/2006/relationships/hyperlink" Target="http://www.nevo.co.il/law/70301/25" TargetMode="External"/><Relationship Id="rId26" Type="http://schemas.openxmlformats.org/officeDocument/2006/relationships/hyperlink" Target="http://www.nevo.co.il/law/141771" TargetMode="External"/><Relationship Id="rId39" Type="http://schemas.openxmlformats.org/officeDocument/2006/relationships/footer" Target="footer1.xml"/><Relationship Id="rId21" Type="http://schemas.openxmlformats.org/officeDocument/2006/relationships/hyperlink" Target="http://www.nevo.co.il/law/70301/125" TargetMode="External"/><Relationship Id="rId34" Type="http://schemas.openxmlformats.org/officeDocument/2006/relationships/hyperlink" Target="http://www.nevo.co.il/case/5587202" TargetMode="External"/><Relationship Id="rId42" Type="http://schemas.openxmlformats.org/officeDocument/2006/relationships/theme" Target="theme/theme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25" TargetMode="External"/><Relationship Id="rId29" Type="http://schemas.openxmlformats.org/officeDocument/2006/relationships/hyperlink" Target="http://www.nevo.co.il/case/27513365"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74.2." TargetMode="External"/><Relationship Id="rId24" Type="http://schemas.openxmlformats.org/officeDocument/2006/relationships/hyperlink" Target="http://www.nevo.co.il/case/28243256" TargetMode="External"/><Relationship Id="rId32" Type="http://schemas.openxmlformats.org/officeDocument/2006/relationships/hyperlink" Target="http://www.nevo.co.il/case/21476010"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8429424" TargetMode="External"/><Relationship Id="rId28" Type="http://schemas.openxmlformats.org/officeDocument/2006/relationships/hyperlink" Target="http://www.nevo.co.il/case/28601584"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274.1." TargetMode="External"/><Relationship Id="rId19" Type="http://schemas.openxmlformats.org/officeDocument/2006/relationships/hyperlink" Target="http://www.nevo.co.il/law/70301/274.1.;274.2.;274.3" TargetMode="External"/><Relationship Id="rId31" Type="http://schemas.openxmlformats.org/officeDocument/2006/relationships/hyperlink" Target="http://www.nevo.co.il/case/22401477"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141771" TargetMode="External"/><Relationship Id="rId22" Type="http://schemas.openxmlformats.org/officeDocument/2006/relationships/hyperlink" Target="http://www.nevo.co.il/case/27654256" TargetMode="External"/><Relationship Id="rId27" Type="http://schemas.openxmlformats.org/officeDocument/2006/relationships/hyperlink" Target="http://www.nevo.co.il/case/28630522" TargetMode="External"/><Relationship Id="rId30" Type="http://schemas.openxmlformats.org/officeDocument/2006/relationships/hyperlink" Target="http://www.nevo.co.il/case/29466637" TargetMode="External"/><Relationship Id="rId35" Type="http://schemas.openxmlformats.org/officeDocument/2006/relationships/hyperlink" Target="http://www.nevo.co.il/law/141771" TargetMode="External"/><Relationship Id="rId8" Type="http://schemas.openxmlformats.org/officeDocument/2006/relationships/hyperlink" Target="http://www.nevo.co.il/law/70301/125" TargetMode="External"/><Relationship Id="rId3" Type="http://schemas.openxmlformats.org/officeDocument/2006/relationships/webSettings" Target="webSettings.xml"/><Relationship Id="rId12" Type="http://schemas.openxmlformats.org/officeDocument/2006/relationships/hyperlink" Target="http://www.nevo.co.il/law/70301/274.3" TargetMode="External"/><Relationship Id="rId17" Type="http://schemas.openxmlformats.org/officeDocument/2006/relationships/hyperlink" Target="http://www.nevo.co.il/law/70301/448.a" TargetMode="External"/><Relationship Id="rId25" Type="http://schemas.openxmlformats.org/officeDocument/2006/relationships/hyperlink" Target="http://www.nevo.co.il/case/26489415" TargetMode="External"/><Relationship Id="rId33" Type="http://schemas.openxmlformats.org/officeDocument/2006/relationships/hyperlink" Target="http://www.nevo.co.il/case/6959068"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3376</Words>
  <Characters>16882</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20218</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4718679</vt:i4>
      </vt:variant>
      <vt:variant>
        <vt:i4>87</vt:i4>
      </vt:variant>
      <vt:variant>
        <vt:i4>0</vt:i4>
      </vt:variant>
      <vt:variant>
        <vt:i4>5</vt:i4>
      </vt:variant>
      <vt:variant>
        <vt:lpwstr>http://www.nevo.co.il/law/141771</vt:lpwstr>
      </vt:variant>
      <vt:variant>
        <vt:lpwstr/>
      </vt:variant>
      <vt:variant>
        <vt:i4>3997814</vt:i4>
      </vt:variant>
      <vt:variant>
        <vt:i4>84</vt:i4>
      </vt:variant>
      <vt:variant>
        <vt:i4>0</vt:i4>
      </vt:variant>
      <vt:variant>
        <vt:i4>5</vt:i4>
      </vt:variant>
      <vt:variant>
        <vt:lpwstr>http://www.nevo.co.il/case/5587202</vt:lpwstr>
      </vt:variant>
      <vt:variant>
        <vt:lpwstr/>
      </vt:variant>
      <vt:variant>
        <vt:i4>3866738</vt:i4>
      </vt:variant>
      <vt:variant>
        <vt:i4>81</vt:i4>
      </vt:variant>
      <vt:variant>
        <vt:i4>0</vt:i4>
      </vt:variant>
      <vt:variant>
        <vt:i4>5</vt:i4>
      </vt:variant>
      <vt:variant>
        <vt:lpwstr>http://www.nevo.co.il/case/6959068</vt:lpwstr>
      </vt:variant>
      <vt:variant>
        <vt:lpwstr/>
      </vt:variant>
      <vt:variant>
        <vt:i4>3211378</vt:i4>
      </vt:variant>
      <vt:variant>
        <vt:i4>78</vt:i4>
      </vt:variant>
      <vt:variant>
        <vt:i4>0</vt:i4>
      </vt:variant>
      <vt:variant>
        <vt:i4>5</vt:i4>
      </vt:variant>
      <vt:variant>
        <vt:lpwstr>http://www.nevo.co.il/case/21476010</vt:lpwstr>
      </vt:variant>
      <vt:variant>
        <vt:lpwstr/>
      </vt:variant>
      <vt:variant>
        <vt:i4>3145842</vt:i4>
      </vt:variant>
      <vt:variant>
        <vt:i4>75</vt:i4>
      </vt:variant>
      <vt:variant>
        <vt:i4>0</vt:i4>
      </vt:variant>
      <vt:variant>
        <vt:i4>5</vt:i4>
      </vt:variant>
      <vt:variant>
        <vt:lpwstr>http://www.nevo.co.il/case/22401477</vt:lpwstr>
      </vt:variant>
      <vt:variant>
        <vt:lpwstr/>
      </vt:variant>
      <vt:variant>
        <vt:i4>3342461</vt:i4>
      </vt:variant>
      <vt:variant>
        <vt:i4>72</vt:i4>
      </vt:variant>
      <vt:variant>
        <vt:i4>0</vt:i4>
      </vt:variant>
      <vt:variant>
        <vt:i4>5</vt:i4>
      </vt:variant>
      <vt:variant>
        <vt:lpwstr>http://www.nevo.co.il/case/29466637</vt:lpwstr>
      </vt:variant>
      <vt:variant>
        <vt:lpwstr/>
      </vt:variant>
      <vt:variant>
        <vt:i4>3276913</vt:i4>
      </vt:variant>
      <vt:variant>
        <vt:i4>69</vt:i4>
      </vt:variant>
      <vt:variant>
        <vt:i4>0</vt:i4>
      </vt:variant>
      <vt:variant>
        <vt:i4>5</vt:i4>
      </vt:variant>
      <vt:variant>
        <vt:lpwstr>http://www.nevo.co.il/case/27513365</vt:lpwstr>
      </vt:variant>
      <vt:variant>
        <vt:lpwstr/>
      </vt:variant>
      <vt:variant>
        <vt:i4>3997817</vt:i4>
      </vt:variant>
      <vt:variant>
        <vt:i4>66</vt:i4>
      </vt:variant>
      <vt:variant>
        <vt:i4>0</vt:i4>
      </vt:variant>
      <vt:variant>
        <vt:i4>5</vt:i4>
      </vt:variant>
      <vt:variant>
        <vt:lpwstr>http://www.nevo.co.il/case/28601584</vt:lpwstr>
      </vt:variant>
      <vt:variant>
        <vt:lpwstr/>
      </vt:variant>
      <vt:variant>
        <vt:i4>3539066</vt:i4>
      </vt:variant>
      <vt:variant>
        <vt:i4>63</vt:i4>
      </vt:variant>
      <vt:variant>
        <vt:i4>0</vt:i4>
      </vt:variant>
      <vt:variant>
        <vt:i4>5</vt:i4>
      </vt:variant>
      <vt:variant>
        <vt:lpwstr>http://www.nevo.co.il/case/28630522</vt:lpwstr>
      </vt:variant>
      <vt:variant>
        <vt:lpwstr/>
      </vt:variant>
      <vt:variant>
        <vt:i4>4718679</vt:i4>
      </vt:variant>
      <vt:variant>
        <vt:i4>60</vt:i4>
      </vt:variant>
      <vt:variant>
        <vt:i4>0</vt:i4>
      </vt:variant>
      <vt:variant>
        <vt:i4>5</vt:i4>
      </vt:variant>
      <vt:variant>
        <vt:lpwstr>http://www.nevo.co.il/law/141771</vt:lpwstr>
      </vt:variant>
      <vt:variant>
        <vt:lpwstr/>
      </vt:variant>
      <vt:variant>
        <vt:i4>4063358</vt:i4>
      </vt:variant>
      <vt:variant>
        <vt:i4>57</vt:i4>
      </vt:variant>
      <vt:variant>
        <vt:i4>0</vt:i4>
      </vt:variant>
      <vt:variant>
        <vt:i4>5</vt:i4>
      </vt:variant>
      <vt:variant>
        <vt:lpwstr>http://www.nevo.co.il/case/26489415</vt:lpwstr>
      </vt:variant>
      <vt:variant>
        <vt:lpwstr/>
      </vt:variant>
      <vt:variant>
        <vt:i4>3539066</vt:i4>
      </vt:variant>
      <vt:variant>
        <vt:i4>54</vt:i4>
      </vt:variant>
      <vt:variant>
        <vt:i4>0</vt:i4>
      </vt:variant>
      <vt:variant>
        <vt:i4>5</vt:i4>
      </vt:variant>
      <vt:variant>
        <vt:lpwstr>http://www.nevo.co.il/case/28243256</vt:lpwstr>
      </vt:variant>
      <vt:variant>
        <vt:lpwstr/>
      </vt:variant>
      <vt:variant>
        <vt:i4>3997818</vt:i4>
      </vt:variant>
      <vt:variant>
        <vt:i4>51</vt:i4>
      </vt:variant>
      <vt:variant>
        <vt:i4>0</vt:i4>
      </vt:variant>
      <vt:variant>
        <vt:i4>5</vt:i4>
      </vt:variant>
      <vt:variant>
        <vt:lpwstr>http://www.nevo.co.il/case/28429424</vt:lpwstr>
      </vt:variant>
      <vt:variant>
        <vt:lpwstr/>
      </vt:variant>
      <vt:variant>
        <vt:i4>3473524</vt:i4>
      </vt:variant>
      <vt:variant>
        <vt:i4>48</vt:i4>
      </vt:variant>
      <vt:variant>
        <vt:i4>0</vt:i4>
      </vt:variant>
      <vt:variant>
        <vt:i4>5</vt:i4>
      </vt:variant>
      <vt:variant>
        <vt:lpwstr>http://www.nevo.co.il/case/27654256</vt:lpwstr>
      </vt:variant>
      <vt:variant>
        <vt:lpwstr/>
      </vt:variant>
      <vt:variant>
        <vt:i4>6750308</vt:i4>
      </vt:variant>
      <vt:variant>
        <vt:i4>45</vt:i4>
      </vt:variant>
      <vt:variant>
        <vt:i4>0</vt:i4>
      </vt:variant>
      <vt:variant>
        <vt:i4>5</vt:i4>
      </vt:variant>
      <vt:variant>
        <vt:lpwstr>http://www.nevo.co.il/law/70301/125</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7602280</vt:i4>
      </vt:variant>
      <vt:variant>
        <vt:i4>39</vt:i4>
      </vt:variant>
      <vt:variant>
        <vt:i4>0</vt:i4>
      </vt:variant>
      <vt:variant>
        <vt:i4>5</vt:i4>
      </vt:variant>
      <vt:variant>
        <vt:lpwstr>http://www.nevo.co.il/law/70301/274.1.;274.2.;274.3</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5177433</vt:i4>
      </vt:variant>
      <vt:variant>
        <vt:i4>33</vt:i4>
      </vt:variant>
      <vt:variant>
        <vt:i4>0</vt:i4>
      </vt:variant>
      <vt:variant>
        <vt:i4>5</vt:i4>
      </vt:variant>
      <vt:variant>
        <vt:lpwstr>http://www.nevo.co.il/law/70301/448.a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4718679</vt:i4>
      </vt:variant>
      <vt:variant>
        <vt:i4>24</vt:i4>
      </vt:variant>
      <vt:variant>
        <vt:i4>0</vt:i4>
      </vt:variant>
      <vt:variant>
        <vt:i4>5</vt:i4>
      </vt:variant>
      <vt:variant>
        <vt:lpwstr>http://www.nevo.co.il/law/141771</vt:lpwstr>
      </vt:variant>
      <vt:variant>
        <vt:lpwstr/>
      </vt:variant>
      <vt:variant>
        <vt:i4>5177433</vt:i4>
      </vt:variant>
      <vt:variant>
        <vt:i4>21</vt:i4>
      </vt:variant>
      <vt:variant>
        <vt:i4>0</vt:i4>
      </vt:variant>
      <vt:variant>
        <vt:i4>5</vt:i4>
      </vt:variant>
      <vt:variant>
        <vt:lpwstr>http://www.nevo.co.il/law/70301/448.a</vt:lpwstr>
      </vt:variant>
      <vt:variant>
        <vt:lpwstr/>
      </vt:variant>
      <vt:variant>
        <vt:i4>4980819</vt:i4>
      </vt:variant>
      <vt:variant>
        <vt:i4>18</vt:i4>
      </vt:variant>
      <vt:variant>
        <vt:i4>0</vt:i4>
      </vt:variant>
      <vt:variant>
        <vt:i4>5</vt:i4>
      </vt:variant>
      <vt:variant>
        <vt:lpwstr>http://www.nevo.co.il/law/70301/274.3</vt:lpwstr>
      </vt:variant>
      <vt:variant>
        <vt:lpwstr/>
      </vt:variant>
      <vt:variant>
        <vt:i4>6422625</vt:i4>
      </vt:variant>
      <vt:variant>
        <vt:i4>15</vt:i4>
      </vt:variant>
      <vt:variant>
        <vt:i4>0</vt:i4>
      </vt:variant>
      <vt:variant>
        <vt:i4>5</vt:i4>
      </vt:variant>
      <vt:variant>
        <vt:lpwstr>http://www.nevo.co.il/law/70301/274.2.</vt:lpwstr>
      </vt:variant>
      <vt:variant>
        <vt:lpwstr/>
      </vt:variant>
      <vt:variant>
        <vt:i4>6422626</vt:i4>
      </vt:variant>
      <vt:variant>
        <vt:i4>12</vt:i4>
      </vt:variant>
      <vt:variant>
        <vt:i4>0</vt:i4>
      </vt:variant>
      <vt:variant>
        <vt:i4>5</vt:i4>
      </vt:variant>
      <vt:variant>
        <vt:lpwstr>http://www.nevo.co.il/law/70301/274.1.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6750308</vt:i4>
      </vt:variant>
      <vt:variant>
        <vt:i4>6</vt:i4>
      </vt:variant>
      <vt:variant>
        <vt:i4>0</vt:i4>
      </vt:variant>
      <vt:variant>
        <vt:i4>5</vt:i4>
      </vt:variant>
      <vt:variant>
        <vt:lpwstr>http://www.nevo.co.il/law/70301/125</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2025-01-19T17:06:00Z</dcterms:created>
  <dcterms:modified xsi:type="dcterms:W3CDTF">2025-01-19T17:06:00Z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36508</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מחמוד</vt:lpwstr>
  </property>
  <property fmtid="{D5CDD505-2E9C-101B-9397-08002B2CF9AE}" pid="10" name="LAWYER">
    <vt:lpwstr>איילה גלברד;הדר רובינשטיין ;מוחמד מחמוד</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20240418</vt:lpwstr>
  </property>
  <property fmtid="{D5CDD505-2E9C-101B-9397-08002B2CF9AE}" pid="14" name="TYPE_N_DATE">
    <vt:lpwstr>39020240418</vt:lpwstr>
  </property>
  <property fmtid="{D5CDD505-2E9C-101B-9397-08002B2CF9AE}" pid="15" name="CASESLISTTMP1">
    <vt:lpwstr>27654256;28429424;28243256;26489415;28630522;28601584;27513365;29466637;22401477;21476010;6959068;5587202</vt:lpwstr>
  </property>
  <property fmtid="{D5CDD505-2E9C-101B-9397-08002B2CF9AE}" pid="16" name="CASENOTES1">
    <vt:lpwstr>ProcID=209&amp;PartA=46706&amp;PartB=02&amp;PartC=22</vt:lpwstr>
  </property>
  <property fmtid="{D5CDD505-2E9C-101B-9397-08002B2CF9AE}" pid="17" name="WORDNUMPAGES">
    <vt:lpwstr>11</vt:lpwstr>
  </property>
  <property fmtid="{D5CDD505-2E9C-101B-9397-08002B2CF9AE}" pid="18" name="TYPE_ABS_DATE">
    <vt:lpwstr>390020240418</vt:lpwstr>
  </property>
  <property fmtid="{D5CDD505-2E9C-101B-9397-08002B2CF9AE}" pid="19" name="ISABSTRACT">
    <vt:lpwstr>Y</vt:lpwstr>
  </property>
  <property fmtid="{D5CDD505-2E9C-101B-9397-08002B2CF9AE}" pid="20" name="LAWLISTTMP1">
    <vt:lpwstr>70301/144.a;448.a;025:2;274.1;274.2;274.3;125</vt:lpwstr>
  </property>
  <property fmtid="{D5CDD505-2E9C-101B-9397-08002B2CF9AE}" pid="21" name="LAWLISTTMP2">
    <vt:lpwstr>141771:2</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