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809"/>
        <w:gridCol w:w="1696"/>
      </w:tblGrid>
      <w:tr w:rsidR="000C0B2C" w:rsidRPr="000C0B2C" w14:paraId="26A97237" w14:textId="77777777" w:rsidTr="00343076">
        <w:trPr>
          <w:trHeight w:hRule="exact" w:val="418"/>
          <w:jc w:val="center"/>
        </w:trPr>
        <w:tc>
          <w:tcPr>
            <w:tcW w:w="8505" w:type="dxa"/>
            <w:gridSpan w:val="2"/>
          </w:tcPr>
          <w:p w14:paraId="0175FE4D" w14:textId="77777777" w:rsidR="000C0B2C" w:rsidRPr="000C0B2C" w:rsidRDefault="000C0B2C" w:rsidP="00343076">
            <w:pPr>
              <w:pStyle w:val="a3"/>
              <w:jc w:val="center"/>
              <w:rPr>
                <w:rFonts w:ascii="Tahoma" w:hAnsi="Tahoma" w:cs="Tahoma"/>
                <w:color w:val="000080"/>
                <w:rtl/>
              </w:rPr>
            </w:pPr>
            <w:bookmarkStart w:id="0" w:name="LastJudge"/>
            <w:r w:rsidRPr="000C0B2C">
              <w:rPr>
                <w:rFonts w:ascii="Tahoma" w:hAnsi="Tahoma" w:cs="Tahoma"/>
                <w:b/>
                <w:bCs/>
                <w:color w:val="000080"/>
                <w:rtl/>
              </w:rPr>
              <w:t>בית המשפט המחוזי בחיפה</w:t>
            </w:r>
          </w:p>
        </w:tc>
      </w:tr>
      <w:tr w:rsidR="000C0B2C" w:rsidRPr="002173D4" w14:paraId="4D20D265" w14:textId="77777777" w:rsidTr="00343076">
        <w:trPr>
          <w:trHeight w:val="337"/>
          <w:jc w:val="center"/>
        </w:trPr>
        <w:tc>
          <w:tcPr>
            <w:tcW w:w="6809" w:type="dxa"/>
          </w:tcPr>
          <w:p w14:paraId="4D8F8232" w14:textId="77777777" w:rsidR="000C0B2C" w:rsidRPr="002173D4" w:rsidRDefault="000C0B2C" w:rsidP="002173D4">
            <w:pPr>
              <w:spacing w:before="120" w:after="120" w:line="240" w:lineRule="exact"/>
              <w:rPr>
                <w:b/>
                <w:bCs/>
                <w:sz w:val="26"/>
                <w:szCs w:val="26"/>
                <w:rtl/>
              </w:rPr>
            </w:pPr>
            <w:r w:rsidRPr="002173D4">
              <w:rPr>
                <w:b/>
                <w:bCs/>
                <w:sz w:val="26"/>
                <w:szCs w:val="26"/>
                <w:rtl/>
              </w:rPr>
              <w:t>ת"פ</w:t>
            </w:r>
            <w:r w:rsidRPr="002173D4">
              <w:rPr>
                <w:rFonts w:hint="cs"/>
                <w:b/>
                <w:bCs/>
                <w:sz w:val="26"/>
                <w:szCs w:val="26"/>
                <w:rtl/>
              </w:rPr>
              <w:t xml:space="preserve"> </w:t>
            </w:r>
            <w:r w:rsidRPr="002173D4">
              <w:rPr>
                <w:b/>
                <w:bCs/>
                <w:sz w:val="26"/>
                <w:szCs w:val="26"/>
                <w:rtl/>
              </w:rPr>
              <w:t>52322-10-23</w:t>
            </w:r>
            <w:r w:rsidRPr="002173D4">
              <w:rPr>
                <w:rFonts w:hint="cs"/>
                <w:b/>
                <w:bCs/>
                <w:sz w:val="26"/>
                <w:szCs w:val="26"/>
                <w:rtl/>
              </w:rPr>
              <w:t xml:space="preserve"> </w:t>
            </w:r>
            <w:r w:rsidRPr="002173D4">
              <w:rPr>
                <w:b/>
                <w:bCs/>
                <w:sz w:val="26"/>
                <w:szCs w:val="26"/>
                <w:rtl/>
              </w:rPr>
              <w:t>מדינת ישראל נ' עראבי</w:t>
            </w:r>
            <w:r w:rsidRPr="002173D4">
              <w:rPr>
                <w:rFonts w:hint="cs"/>
                <w:b/>
                <w:bCs/>
                <w:sz w:val="26"/>
                <w:szCs w:val="26"/>
                <w:rtl/>
              </w:rPr>
              <w:t xml:space="preserve"> </w:t>
            </w:r>
            <w:r w:rsidRPr="002173D4">
              <w:rPr>
                <w:b/>
                <w:bCs/>
                <w:sz w:val="26"/>
                <w:szCs w:val="26"/>
                <w:rtl/>
              </w:rPr>
              <w:t>(עצור</w:t>
            </w:r>
            <w:r w:rsidRPr="002173D4">
              <w:rPr>
                <w:rFonts w:hint="cs"/>
                <w:b/>
                <w:bCs/>
                <w:sz w:val="26"/>
                <w:szCs w:val="26"/>
                <w:rtl/>
              </w:rPr>
              <w:t xml:space="preserve"> </w:t>
            </w:r>
            <w:r w:rsidRPr="002173D4">
              <w:rPr>
                <w:b/>
                <w:bCs/>
                <w:sz w:val="26"/>
                <w:szCs w:val="26"/>
                <w:rtl/>
              </w:rPr>
              <w:t>בפיקוח)</w:t>
            </w:r>
          </w:p>
        </w:tc>
        <w:tc>
          <w:tcPr>
            <w:tcW w:w="1696" w:type="dxa"/>
          </w:tcPr>
          <w:p w14:paraId="158291D2" w14:textId="77777777" w:rsidR="000C0B2C" w:rsidRPr="002173D4" w:rsidRDefault="000C0B2C" w:rsidP="002173D4">
            <w:pPr>
              <w:pStyle w:val="a3"/>
              <w:spacing w:before="120" w:after="120" w:line="240" w:lineRule="exact"/>
              <w:jc w:val="right"/>
              <w:rPr>
                <w:b/>
                <w:bCs/>
                <w:sz w:val="26"/>
                <w:szCs w:val="26"/>
                <w:rtl/>
              </w:rPr>
            </w:pPr>
          </w:p>
        </w:tc>
      </w:tr>
    </w:tbl>
    <w:p w14:paraId="7F3453DD" w14:textId="77777777" w:rsidR="007559FB" w:rsidRPr="002173D4" w:rsidRDefault="000C0B2C" w:rsidP="002173D4">
      <w:pPr>
        <w:pStyle w:val="a3"/>
        <w:spacing w:before="120" w:after="120" w:line="240" w:lineRule="exact"/>
        <w:rPr>
          <w:rtl/>
        </w:rPr>
      </w:pPr>
      <w:r w:rsidRPr="002173D4">
        <w:rPr>
          <w:rFonts w:hint="cs"/>
          <w:rtl/>
        </w:rPr>
        <w:t xml:space="preserve"> </w:t>
      </w:r>
    </w:p>
    <w:tbl>
      <w:tblPr>
        <w:bidiVisual/>
        <w:tblW w:w="0" w:type="dxa"/>
        <w:tblInd w:w="-28" w:type="dxa"/>
        <w:tblLayout w:type="fixed"/>
        <w:tblLook w:val="01E0" w:firstRow="1" w:lastRow="1" w:firstColumn="1" w:lastColumn="1" w:noHBand="0" w:noVBand="0"/>
      </w:tblPr>
      <w:tblGrid>
        <w:gridCol w:w="3240"/>
        <w:gridCol w:w="5562"/>
      </w:tblGrid>
      <w:tr w:rsidR="000C0B2C" w:rsidRPr="002173D4" w14:paraId="425FF631" w14:textId="77777777" w:rsidTr="00343076">
        <w:tc>
          <w:tcPr>
            <w:tcW w:w="8802" w:type="dxa"/>
            <w:gridSpan w:val="2"/>
            <w:shd w:val="clear" w:color="auto" w:fill="auto"/>
          </w:tcPr>
          <w:p w14:paraId="15824A10" w14:textId="77777777" w:rsidR="000C0B2C" w:rsidRPr="002173D4" w:rsidRDefault="000C0B2C" w:rsidP="002173D4">
            <w:pPr>
              <w:spacing w:before="120" w:after="120" w:line="240" w:lineRule="exact"/>
              <w:rPr>
                <w:rFonts w:ascii="David" w:hAnsi="David"/>
                <w:b/>
                <w:bCs/>
                <w:sz w:val="26"/>
                <w:szCs w:val="26"/>
              </w:rPr>
            </w:pPr>
            <w:r w:rsidRPr="002173D4">
              <w:rPr>
                <w:rFonts w:ascii="David" w:hAnsi="David" w:hint="cs"/>
                <w:b/>
                <w:bCs/>
                <w:sz w:val="26"/>
                <w:szCs w:val="26"/>
                <w:rtl/>
              </w:rPr>
              <w:t>לפני כבוד השופט אמיר טובי, שופט בכיר</w:t>
            </w:r>
          </w:p>
        </w:tc>
      </w:tr>
      <w:tr w:rsidR="000C0B2C" w:rsidRPr="002173D4" w14:paraId="5417A655" w14:textId="77777777" w:rsidTr="00343076">
        <w:tc>
          <w:tcPr>
            <w:tcW w:w="3240" w:type="dxa"/>
            <w:shd w:val="clear" w:color="auto" w:fill="auto"/>
          </w:tcPr>
          <w:p w14:paraId="7674A059" w14:textId="77777777" w:rsidR="000C0B2C" w:rsidRPr="002173D4" w:rsidRDefault="000C0B2C" w:rsidP="002173D4">
            <w:pPr>
              <w:spacing w:before="120" w:after="120" w:line="240" w:lineRule="exact"/>
              <w:ind w:left="26"/>
              <w:rPr>
                <w:rFonts w:ascii="David" w:hAnsi="David"/>
                <w:b/>
                <w:bCs/>
                <w:sz w:val="26"/>
                <w:szCs w:val="26"/>
                <w:rtl/>
              </w:rPr>
            </w:pPr>
            <w:bookmarkStart w:id="1" w:name="FirstAppellant"/>
            <w:r w:rsidRPr="002173D4">
              <w:rPr>
                <w:rFonts w:ascii="David" w:hAnsi="David" w:hint="cs"/>
                <w:b/>
                <w:bCs/>
                <w:sz w:val="26"/>
                <w:szCs w:val="26"/>
                <w:rtl/>
              </w:rPr>
              <w:t>המאשימה</w:t>
            </w:r>
          </w:p>
        </w:tc>
        <w:tc>
          <w:tcPr>
            <w:tcW w:w="5562" w:type="dxa"/>
            <w:shd w:val="clear" w:color="auto" w:fill="auto"/>
          </w:tcPr>
          <w:p w14:paraId="73385B68" w14:textId="77777777" w:rsidR="000C0B2C" w:rsidRPr="002173D4" w:rsidRDefault="000C0B2C" w:rsidP="002173D4">
            <w:pPr>
              <w:spacing w:before="120" w:after="120" w:line="240" w:lineRule="exact"/>
              <w:rPr>
                <w:rFonts w:ascii="David" w:hAnsi="David"/>
                <w:b/>
                <w:bCs/>
                <w:sz w:val="26"/>
                <w:szCs w:val="26"/>
                <w:rtl/>
              </w:rPr>
            </w:pPr>
            <w:r w:rsidRPr="002173D4">
              <w:rPr>
                <w:rFonts w:ascii="David" w:hAnsi="David" w:hint="cs"/>
                <w:b/>
                <w:bCs/>
                <w:sz w:val="26"/>
                <w:szCs w:val="26"/>
                <w:rtl/>
              </w:rPr>
              <w:t>מדינת ישראל</w:t>
            </w:r>
          </w:p>
        </w:tc>
      </w:tr>
      <w:bookmarkEnd w:id="1"/>
      <w:tr w:rsidR="000C0B2C" w:rsidRPr="002173D4" w14:paraId="162D74A4" w14:textId="77777777" w:rsidTr="00343076">
        <w:tc>
          <w:tcPr>
            <w:tcW w:w="8802" w:type="dxa"/>
            <w:gridSpan w:val="2"/>
            <w:shd w:val="clear" w:color="auto" w:fill="auto"/>
          </w:tcPr>
          <w:p w14:paraId="2A54E6F8" w14:textId="77777777" w:rsidR="000C0B2C" w:rsidRPr="002173D4" w:rsidRDefault="000C0B2C" w:rsidP="002173D4">
            <w:pPr>
              <w:spacing w:before="120" w:after="120" w:line="240" w:lineRule="exact"/>
              <w:jc w:val="center"/>
              <w:rPr>
                <w:rFonts w:ascii="David" w:hAnsi="David" w:hint="cs"/>
                <w:b/>
                <w:bCs/>
                <w:sz w:val="26"/>
                <w:szCs w:val="26"/>
                <w:rtl/>
              </w:rPr>
            </w:pPr>
            <w:r w:rsidRPr="002173D4">
              <w:rPr>
                <w:rFonts w:ascii="David" w:hAnsi="David" w:hint="cs"/>
                <w:b/>
                <w:bCs/>
                <w:sz w:val="26"/>
                <w:szCs w:val="26"/>
                <w:rtl/>
              </w:rPr>
              <w:t>נגד</w:t>
            </w:r>
          </w:p>
        </w:tc>
      </w:tr>
      <w:tr w:rsidR="000C0B2C" w:rsidRPr="002173D4" w14:paraId="51824DFC" w14:textId="77777777" w:rsidTr="00343076">
        <w:tc>
          <w:tcPr>
            <w:tcW w:w="3240" w:type="dxa"/>
            <w:shd w:val="clear" w:color="auto" w:fill="auto"/>
          </w:tcPr>
          <w:p w14:paraId="68E0620F" w14:textId="77777777" w:rsidR="000C0B2C" w:rsidRPr="002173D4" w:rsidRDefault="000C0B2C" w:rsidP="002173D4">
            <w:pPr>
              <w:spacing w:before="120" w:after="120" w:line="240" w:lineRule="exact"/>
              <w:ind w:left="26"/>
              <w:rPr>
                <w:rFonts w:ascii="David" w:hAnsi="David"/>
                <w:b/>
                <w:bCs/>
                <w:sz w:val="26"/>
                <w:szCs w:val="26"/>
              </w:rPr>
            </w:pPr>
            <w:r w:rsidRPr="002173D4">
              <w:rPr>
                <w:rFonts w:ascii="David" w:hAnsi="David" w:hint="cs"/>
                <w:b/>
                <w:bCs/>
                <w:sz w:val="26"/>
                <w:szCs w:val="26"/>
                <w:rtl/>
              </w:rPr>
              <w:t>הנאשם</w:t>
            </w:r>
          </w:p>
        </w:tc>
        <w:tc>
          <w:tcPr>
            <w:tcW w:w="5562" w:type="dxa"/>
            <w:shd w:val="clear" w:color="auto" w:fill="auto"/>
          </w:tcPr>
          <w:p w14:paraId="031ED948" w14:textId="77777777" w:rsidR="000C0B2C" w:rsidRPr="002173D4" w:rsidRDefault="000C0B2C" w:rsidP="002173D4">
            <w:pPr>
              <w:spacing w:before="120" w:after="120" w:line="240" w:lineRule="exact"/>
              <w:rPr>
                <w:rFonts w:ascii="David" w:hAnsi="David"/>
                <w:b/>
                <w:bCs/>
                <w:sz w:val="26"/>
                <w:szCs w:val="26"/>
                <w:rtl/>
              </w:rPr>
            </w:pPr>
            <w:r w:rsidRPr="002173D4">
              <w:rPr>
                <w:rFonts w:ascii="David" w:hAnsi="David" w:hint="cs"/>
                <w:b/>
                <w:bCs/>
                <w:sz w:val="26"/>
                <w:szCs w:val="26"/>
                <w:rtl/>
              </w:rPr>
              <w:t xml:space="preserve">סנד עראבי, ת"ז </w:t>
            </w:r>
            <w:r w:rsidRPr="002173D4">
              <w:rPr>
                <w:rFonts w:ascii="David" w:hAnsi="David"/>
                <w:b/>
                <w:bCs/>
                <w:sz w:val="26"/>
                <w:szCs w:val="26"/>
              </w:rPr>
              <w:t>xxxxxxxxxx</w:t>
            </w:r>
            <w:r w:rsidRPr="002173D4">
              <w:rPr>
                <w:rFonts w:ascii="David" w:hAnsi="David" w:hint="cs"/>
                <w:b/>
                <w:bCs/>
                <w:sz w:val="26"/>
                <w:szCs w:val="26"/>
                <w:rtl/>
              </w:rPr>
              <w:t>(עצור בפיקוח)</w:t>
            </w:r>
          </w:p>
        </w:tc>
      </w:tr>
    </w:tbl>
    <w:p w14:paraId="0EF6AA8C" w14:textId="77777777" w:rsidR="00411A3C" w:rsidRPr="002173D4" w:rsidRDefault="00411A3C" w:rsidP="002173D4">
      <w:pPr>
        <w:spacing w:before="120" w:after="120" w:line="240" w:lineRule="exact"/>
        <w:rPr>
          <w:b/>
          <w:bCs/>
          <w:sz w:val="26"/>
          <w:szCs w:val="26"/>
          <w:rtl/>
        </w:rPr>
      </w:pPr>
      <w:r w:rsidRPr="002173D4">
        <w:rPr>
          <w:rFonts w:hint="cs"/>
          <w:b/>
          <w:bCs/>
          <w:sz w:val="26"/>
          <w:szCs w:val="26"/>
          <w:rtl/>
        </w:rPr>
        <w:t>נוכחים:</w:t>
      </w:r>
    </w:p>
    <w:p w14:paraId="27F979DA" w14:textId="77777777" w:rsidR="00411A3C" w:rsidRPr="002173D4" w:rsidRDefault="00411A3C" w:rsidP="002173D4">
      <w:pPr>
        <w:spacing w:before="120" w:after="120" w:line="240" w:lineRule="exact"/>
        <w:rPr>
          <w:b/>
          <w:bCs/>
          <w:sz w:val="26"/>
          <w:szCs w:val="26"/>
          <w:rtl/>
        </w:rPr>
      </w:pPr>
      <w:bookmarkStart w:id="2" w:name="FirstLawyer"/>
      <w:r w:rsidRPr="002173D4">
        <w:rPr>
          <w:rFonts w:hint="cs"/>
          <w:b/>
          <w:bCs/>
          <w:sz w:val="26"/>
          <w:szCs w:val="26"/>
          <w:rtl/>
        </w:rPr>
        <w:t>ב"כ</w:t>
      </w:r>
      <w:bookmarkEnd w:id="2"/>
      <w:r w:rsidRPr="002173D4">
        <w:rPr>
          <w:rFonts w:hint="cs"/>
          <w:b/>
          <w:bCs/>
          <w:sz w:val="26"/>
          <w:szCs w:val="26"/>
          <w:rtl/>
        </w:rPr>
        <w:t xml:space="preserve"> המאשימה: עו"ד</w:t>
      </w:r>
      <w:r w:rsidR="004D20A0" w:rsidRPr="002173D4">
        <w:rPr>
          <w:rFonts w:hint="cs"/>
          <w:b/>
          <w:bCs/>
          <w:sz w:val="26"/>
          <w:szCs w:val="26"/>
          <w:rtl/>
        </w:rPr>
        <w:t xml:space="preserve"> מונא מנסור</w:t>
      </w:r>
    </w:p>
    <w:p w14:paraId="28C4747E" w14:textId="77777777" w:rsidR="00411A3C" w:rsidRPr="002173D4" w:rsidRDefault="00411A3C" w:rsidP="002173D4">
      <w:pPr>
        <w:spacing w:before="120" w:after="120" w:line="240" w:lineRule="exact"/>
        <w:rPr>
          <w:b/>
          <w:bCs/>
          <w:sz w:val="26"/>
          <w:szCs w:val="26"/>
          <w:rtl/>
        </w:rPr>
      </w:pPr>
      <w:r w:rsidRPr="002173D4">
        <w:rPr>
          <w:rFonts w:hint="cs"/>
          <w:b/>
          <w:bCs/>
          <w:sz w:val="26"/>
          <w:szCs w:val="26"/>
          <w:rtl/>
        </w:rPr>
        <w:t xml:space="preserve">ב"כ הנאשם: עו"ד סאהר פאר </w:t>
      </w:r>
    </w:p>
    <w:p w14:paraId="13B5C684" w14:textId="77777777" w:rsidR="00411A3C" w:rsidRPr="002173D4" w:rsidRDefault="00411A3C" w:rsidP="002173D4">
      <w:pPr>
        <w:spacing w:before="120" w:after="120" w:line="240" w:lineRule="exact"/>
        <w:rPr>
          <w:b/>
          <w:bCs/>
          <w:sz w:val="26"/>
          <w:szCs w:val="26"/>
          <w:rtl/>
        </w:rPr>
      </w:pPr>
      <w:r w:rsidRPr="002173D4">
        <w:rPr>
          <w:rFonts w:hint="cs"/>
          <w:b/>
          <w:bCs/>
          <w:sz w:val="26"/>
          <w:szCs w:val="26"/>
          <w:rtl/>
        </w:rPr>
        <w:t>הנאשם בעצמו</w:t>
      </w:r>
    </w:p>
    <w:p w14:paraId="3F8D6708" w14:textId="77777777" w:rsidR="00411A3C" w:rsidRPr="000C0B2C" w:rsidRDefault="00411A3C"/>
    <w:p w14:paraId="2EB676C6" w14:textId="77777777" w:rsidR="002173D4" w:rsidRPr="002173D4" w:rsidRDefault="002173D4" w:rsidP="002173D4">
      <w:pPr>
        <w:spacing w:before="120" w:after="120" w:line="240" w:lineRule="exact"/>
        <w:ind w:left="283" w:hanging="283"/>
        <w:jc w:val="both"/>
        <w:rPr>
          <w:rFonts w:ascii="FrankRuehl" w:hAnsi="FrankRuehl" w:cs="FrankRuehl"/>
          <w:rtl/>
        </w:rPr>
      </w:pPr>
      <w:bookmarkStart w:id="3" w:name="LawTable"/>
      <w:bookmarkEnd w:id="3"/>
      <w:r w:rsidRPr="002173D4">
        <w:rPr>
          <w:rFonts w:ascii="FrankRuehl" w:hAnsi="FrankRuehl" w:cs="FrankRuehl"/>
          <w:rtl/>
        </w:rPr>
        <w:t xml:space="preserve">חקיקה שאוזכרה: </w:t>
      </w:r>
    </w:p>
    <w:p w14:paraId="28F74DBE" w14:textId="77777777" w:rsidR="002173D4" w:rsidRPr="002173D4" w:rsidRDefault="002173D4" w:rsidP="002173D4">
      <w:pPr>
        <w:spacing w:before="120" w:after="120" w:line="240" w:lineRule="exact"/>
        <w:ind w:left="283" w:hanging="283"/>
        <w:jc w:val="both"/>
        <w:rPr>
          <w:rFonts w:ascii="FrankRuehl" w:hAnsi="FrankRuehl" w:cs="FrankRuehl"/>
          <w:color w:val="0000FF"/>
          <w:rtl/>
        </w:rPr>
      </w:pPr>
      <w:hyperlink r:id="rId8" w:history="1">
        <w:r w:rsidRPr="002173D4">
          <w:rPr>
            <w:rStyle w:val="Hyperlink"/>
            <w:rFonts w:ascii="FrankRuehl" w:hAnsi="FrankRuehl" w:cs="FrankRuehl"/>
            <w:u w:val="none"/>
            <w:rtl/>
          </w:rPr>
          <w:t>חוק העונשין, תשל"ז-1977</w:t>
        </w:r>
      </w:hyperlink>
      <w:r w:rsidRPr="002173D4">
        <w:rPr>
          <w:rFonts w:ascii="FrankRuehl" w:hAnsi="FrankRuehl" w:cs="FrankRuehl"/>
          <w:color w:val="0000FF"/>
          <w:rtl/>
        </w:rPr>
        <w:t xml:space="preserve">: סע'  </w:t>
      </w:r>
      <w:hyperlink r:id="rId9" w:history="1">
        <w:r w:rsidRPr="002173D4">
          <w:rPr>
            <w:rStyle w:val="Hyperlink"/>
            <w:rFonts w:ascii="FrankRuehl" w:hAnsi="FrankRuehl" w:cs="FrankRuehl"/>
            <w:u w:val="none"/>
          </w:rPr>
          <w:t>40</w:t>
        </w:r>
        <w:r w:rsidRPr="002173D4">
          <w:rPr>
            <w:rStyle w:val="Hyperlink"/>
            <w:rFonts w:ascii="FrankRuehl" w:hAnsi="FrankRuehl" w:cs="FrankRuehl"/>
            <w:u w:val="none"/>
            <w:rtl/>
          </w:rPr>
          <w:t>ד</w:t>
        </w:r>
      </w:hyperlink>
      <w:r w:rsidRPr="002173D4">
        <w:rPr>
          <w:rFonts w:ascii="FrankRuehl" w:hAnsi="FrankRuehl" w:cs="FrankRuehl"/>
          <w:color w:val="0000FF"/>
          <w:rtl/>
        </w:rPr>
        <w:t xml:space="preserve">, </w:t>
      </w:r>
      <w:hyperlink r:id="rId10" w:history="1">
        <w:r w:rsidRPr="002173D4">
          <w:rPr>
            <w:rStyle w:val="Hyperlink"/>
            <w:rFonts w:ascii="FrankRuehl" w:hAnsi="FrankRuehl" w:cs="FrankRuehl"/>
            <w:u w:val="none"/>
          </w:rPr>
          <w:t>144</w:t>
        </w:r>
      </w:hyperlink>
      <w:r w:rsidRPr="002173D4">
        <w:rPr>
          <w:rFonts w:ascii="FrankRuehl" w:hAnsi="FrankRuehl" w:cs="FrankRuehl"/>
          <w:color w:val="0000FF"/>
          <w:rtl/>
        </w:rPr>
        <w:t xml:space="preserve">, </w:t>
      </w:r>
      <w:hyperlink r:id="rId11" w:history="1">
        <w:r w:rsidRPr="002173D4">
          <w:rPr>
            <w:rStyle w:val="Hyperlink"/>
            <w:rFonts w:ascii="FrankRuehl" w:hAnsi="FrankRuehl" w:cs="FrankRuehl"/>
            <w:u w:val="none"/>
          </w:rPr>
          <w:t>144</w:t>
        </w:r>
      </w:hyperlink>
      <w:r w:rsidRPr="002173D4">
        <w:rPr>
          <w:rFonts w:ascii="FrankRuehl" w:hAnsi="FrankRuehl" w:cs="FrankRuehl"/>
          <w:color w:val="0000FF"/>
          <w:rtl/>
        </w:rPr>
        <w:t xml:space="preserve">(ב), </w:t>
      </w:r>
      <w:hyperlink r:id="rId12" w:history="1">
        <w:r w:rsidRPr="002173D4">
          <w:rPr>
            <w:rStyle w:val="Hyperlink"/>
            <w:rFonts w:ascii="FrankRuehl" w:hAnsi="FrankRuehl" w:cs="FrankRuehl"/>
            <w:u w:val="none"/>
          </w:rPr>
          <w:t>144</w:t>
        </w:r>
      </w:hyperlink>
      <w:r w:rsidRPr="002173D4">
        <w:rPr>
          <w:rFonts w:ascii="FrankRuehl" w:hAnsi="FrankRuehl" w:cs="FrankRuehl"/>
          <w:color w:val="0000FF"/>
          <w:rtl/>
        </w:rPr>
        <w:t xml:space="preserve">(ג), </w:t>
      </w:r>
      <w:hyperlink r:id="rId13" w:history="1">
        <w:r w:rsidRPr="002173D4">
          <w:rPr>
            <w:rStyle w:val="Hyperlink"/>
            <w:rFonts w:ascii="FrankRuehl" w:hAnsi="FrankRuehl" w:cs="FrankRuehl"/>
            <w:u w:val="none"/>
          </w:rPr>
          <w:t>340</w:t>
        </w:r>
        <w:r w:rsidRPr="002173D4">
          <w:rPr>
            <w:rStyle w:val="Hyperlink"/>
            <w:rFonts w:ascii="FrankRuehl" w:hAnsi="FrankRuehl" w:cs="FrankRuehl"/>
            <w:u w:val="none"/>
            <w:rtl/>
          </w:rPr>
          <w:t>א</w:t>
        </w:r>
      </w:hyperlink>
      <w:r w:rsidRPr="002173D4">
        <w:rPr>
          <w:rFonts w:ascii="FrankRuehl" w:hAnsi="FrankRuehl" w:cs="FrankRuehl"/>
          <w:color w:val="0000FF"/>
          <w:rtl/>
        </w:rPr>
        <w:t>(א)</w:t>
      </w:r>
    </w:p>
    <w:p w14:paraId="326E3443" w14:textId="77777777" w:rsidR="002173D4" w:rsidRPr="002173D4" w:rsidRDefault="002173D4" w:rsidP="002173D4">
      <w:pPr>
        <w:spacing w:before="120" w:after="120" w:line="240" w:lineRule="exact"/>
        <w:ind w:left="283" w:hanging="283"/>
        <w:jc w:val="both"/>
        <w:rPr>
          <w:rFonts w:ascii="FrankRuehl" w:hAnsi="FrankRuehl" w:cs="FrankRuehl"/>
          <w:color w:val="0000FF"/>
          <w:rtl/>
        </w:rPr>
      </w:pPr>
      <w:hyperlink r:id="rId14" w:history="1">
        <w:r w:rsidRPr="002173D4">
          <w:rPr>
            <w:rStyle w:val="Hyperlink"/>
            <w:rFonts w:ascii="FrankRuehl" w:hAnsi="FrankRuehl" w:cs="FrankRuehl"/>
            <w:u w:val="none"/>
            <w:rtl/>
          </w:rPr>
          <w:t>פקודת סדר הדין הפלילי (מעצר וחיפוש) [נוסח חדש], תשכ"ט-1969</w:t>
        </w:r>
      </w:hyperlink>
      <w:r w:rsidRPr="002173D4">
        <w:rPr>
          <w:rFonts w:ascii="FrankRuehl" w:hAnsi="FrankRuehl" w:cs="FrankRuehl"/>
          <w:color w:val="0000FF"/>
          <w:rtl/>
        </w:rPr>
        <w:t xml:space="preserve">: סע'  </w:t>
      </w:r>
      <w:hyperlink r:id="rId15" w:history="1">
        <w:r w:rsidRPr="002173D4">
          <w:rPr>
            <w:rStyle w:val="Hyperlink"/>
            <w:rFonts w:ascii="FrankRuehl" w:hAnsi="FrankRuehl" w:cs="FrankRuehl"/>
            <w:u w:val="none"/>
          </w:rPr>
          <w:t>39</w:t>
        </w:r>
      </w:hyperlink>
    </w:p>
    <w:p w14:paraId="48D7B7B2" w14:textId="77777777" w:rsidR="00507694" w:rsidRDefault="00507694" w:rsidP="002173D4">
      <w:pPr>
        <w:rPr>
          <w:rFonts w:ascii="Arial" w:hAnsi="Arial" w:hint="cs"/>
          <w:rtl/>
        </w:rPr>
      </w:pPr>
      <w:bookmarkStart w:id="4" w:name="LawTable_End"/>
      <w:bookmarkEnd w:id="4"/>
    </w:p>
    <w:p w14:paraId="16AEFAD6" w14:textId="77777777" w:rsidR="000C09C3" w:rsidRPr="009355E2" w:rsidRDefault="000C09C3" w:rsidP="000C09C3">
      <w:pPr>
        <w:pBdr>
          <w:top w:val="single" w:sz="4" w:space="1" w:color="auto"/>
          <w:bottom w:val="single" w:sz="4" w:space="1" w:color="auto"/>
        </w:pBdr>
        <w:spacing w:after="120" w:line="320" w:lineRule="exact"/>
        <w:jc w:val="both"/>
        <w:rPr>
          <w:rFonts w:eastAsia="Calibri" w:cs="FrankRuehl"/>
          <w:szCs w:val="26"/>
          <w:rtl/>
        </w:rPr>
      </w:pPr>
      <w:bookmarkStart w:id="5" w:name="ABSTRACT_START"/>
      <w:bookmarkEnd w:id="5"/>
      <w:r w:rsidRPr="009355E2">
        <w:rPr>
          <w:rFonts w:eastAsia="Calibri" w:cs="FrankRuehl" w:hint="cs"/>
          <w:szCs w:val="26"/>
          <w:rtl/>
        </w:rPr>
        <w:t>מיני-רציו:</w:t>
      </w:r>
    </w:p>
    <w:p w14:paraId="51D9AF0B" w14:textId="77777777" w:rsidR="000C09C3" w:rsidRPr="009355E2" w:rsidRDefault="000C09C3" w:rsidP="000C09C3">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9355E2">
        <w:rPr>
          <w:rFonts w:cs="FrankRuehl" w:hint="cs"/>
          <w:szCs w:val="26"/>
          <w:rtl/>
        </w:rPr>
        <w:t>בית המשפט גזר על נאשם שהורשע בעבירות נשק</w:t>
      </w:r>
      <w:r w:rsidRPr="009355E2">
        <w:rPr>
          <w:rFonts w:eastAsia="Calibri" w:cs="FrankRuehl" w:hint="cs"/>
          <w:szCs w:val="26"/>
          <w:rtl/>
        </w:rPr>
        <w:t xml:space="preserve"> וירי מנשק חם</w:t>
      </w:r>
      <w:r w:rsidRPr="009355E2">
        <w:rPr>
          <w:rFonts w:cs="FrankRuehl" w:hint="cs"/>
          <w:szCs w:val="26"/>
          <w:rtl/>
        </w:rPr>
        <w:t xml:space="preserve"> </w:t>
      </w:r>
      <w:r w:rsidRPr="009355E2">
        <w:rPr>
          <w:rFonts w:cs="FrankRuehl"/>
          <w:szCs w:val="26"/>
          <w:rtl/>
        </w:rPr>
        <w:t>–</w:t>
      </w:r>
      <w:r w:rsidRPr="009355E2">
        <w:rPr>
          <w:rFonts w:cs="FrankRuehl" w:hint="cs"/>
          <w:szCs w:val="26"/>
          <w:rtl/>
        </w:rPr>
        <w:t xml:space="preserve"> </w:t>
      </w:r>
      <w:r w:rsidRPr="009355E2">
        <w:rPr>
          <w:rFonts w:eastAsia="Calibri" w:cs="FrankRuehl" w:hint="cs"/>
          <w:szCs w:val="26"/>
          <w:rtl/>
        </w:rPr>
        <w:t>30 חודשי מאסר בפועל, שני מאסרים על תנאי וחילוט הרכב ששימש בביצוע העבירות.</w:t>
      </w:r>
    </w:p>
    <w:p w14:paraId="271D27E4" w14:textId="77777777" w:rsidR="000C09C3" w:rsidRPr="009355E2" w:rsidRDefault="000C09C3" w:rsidP="000C09C3">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9355E2">
        <w:rPr>
          <w:rFonts w:cs="FrankRuehl" w:hint="cs"/>
          <w:szCs w:val="26"/>
          <w:rtl/>
        </w:rPr>
        <w:t xml:space="preserve">עונשין </w:t>
      </w:r>
      <w:r w:rsidRPr="009355E2">
        <w:rPr>
          <w:rFonts w:cs="FrankRuehl"/>
          <w:szCs w:val="26"/>
          <w:rtl/>
        </w:rPr>
        <w:t>–</w:t>
      </w:r>
      <w:r w:rsidRPr="009355E2">
        <w:rPr>
          <w:rFonts w:cs="FrankRuehl" w:hint="cs"/>
          <w:szCs w:val="26"/>
          <w:rtl/>
        </w:rPr>
        <w:t xml:space="preserve"> ענישה </w:t>
      </w:r>
      <w:r w:rsidRPr="009355E2">
        <w:rPr>
          <w:rFonts w:cs="FrankRuehl"/>
          <w:szCs w:val="26"/>
          <w:rtl/>
        </w:rPr>
        <w:t>–</w:t>
      </w:r>
      <w:r w:rsidRPr="009355E2">
        <w:rPr>
          <w:rFonts w:cs="FrankRuehl" w:hint="cs"/>
          <w:szCs w:val="26"/>
          <w:rtl/>
        </w:rPr>
        <w:t xml:space="preserve"> מדיניות ענישה: עבירות נשק</w:t>
      </w:r>
    </w:p>
    <w:p w14:paraId="24902913" w14:textId="77777777" w:rsidR="000C09C3" w:rsidRPr="009355E2" w:rsidRDefault="000C09C3" w:rsidP="000C09C3">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9355E2">
        <w:rPr>
          <w:rFonts w:cs="FrankRuehl" w:hint="cs"/>
          <w:szCs w:val="26"/>
          <w:rtl/>
        </w:rPr>
        <w:t xml:space="preserve">עונשין </w:t>
      </w:r>
      <w:r w:rsidRPr="009355E2">
        <w:rPr>
          <w:rFonts w:cs="FrankRuehl"/>
          <w:szCs w:val="26"/>
          <w:rtl/>
        </w:rPr>
        <w:t>–</w:t>
      </w:r>
      <w:r w:rsidRPr="009355E2">
        <w:rPr>
          <w:rFonts w:cs="FrankRuehl" w:hint="cs"/>
          <w:szCs w:val="26"/>
          <w:rtl/>
        </w:rPr>
        <w:t xml:space="preserve"> ענישה </w:t>
      </w:r>
      <w:r w:rsidRPr="009355E2">
        <w:rPr>
          <w:rFonts w:cs="FrankRuehl"/>
          <w:szCs w:val="26"/>
          <w:rtl/>
        </w:rPr>
        <w:t>–</w:t>
      </w:r>
      <w:r w:rsidRPr="009355E2">
        <w:rPr>
          <w:rFonts w:cs="FrankRuehl" w:hint="cs"/>
          <w:szCs w:val="26"/>
          <w:rtl/>
        </w:rPr>
        <w:t xml:space="preserve"> שיקולים</w:t>
      </w:r>
    </w:p>
    <w:p w14:paraId="4984902C" w14:textId="77777777" w:rsidR="000C09C3" w:rsidRPr="009355E2" w:rsidRDefault="000C09C3" w:rsidP="000C09C3">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D9BD2C1" w14:textId="77777777" w:rsidR="000C09C3" w:rsidRPr="009355E2" w:rsidRDefault="000C09C3" w:rsidP="000C09C3">
      <w:pPr>
        <w:pBdr>
          <w:top w:val="single" w:sz="4" w:space="1" w:color="auto"/>
          <w:bottom w:val="single" w:sz="4" w:space="1" w:color="auto"/>
        </w:pBdr>
        <w:spacing w:after="120" w:line="320" w:lineRule="exact"/>
        <w:jc w:val="both"/>
        <w:rPr>
          <w:rFonts w:eastAsia="Calibri" w:cs="FrankRuehl"/>
          <w:szCs w:val="26"/>
          <w:rtl/>
        </w:rPr>
      </w:pPr>
      <w:r w:rsidRPr="009355E2">
        <w:rPr>
          <w:rFonts w:eastAsia="Calibri" w:cs="FrankRuehl" w:hint="cs"/>
          <w:szCs w:val="26"/>
          <w:rtl/>
        </w:rPr>
        <w:t>הצדדים הגיעו להסדר טיעון, ללא הסכמה עונשית, במסגרתו הודה הנאשם בעבירות בנשק (נשיאה והובלה) ועבירה של ירי מנשק חם (שתי עבירות).</w:t>
      </w:r>
    </w:p>
    <w:p w14:paraId="5DF13018" w14:textId="77777777" w:rsidR="000C09C3" w:rsidRDefault="000C09C3" w:rsidP="000C09C3">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8CEFDD6" w14:textId="77777777" w:rsidR="000C09C3" w:rsidRPr="009355E2" w:rsidRDefault="000C09C3" w:rsidP="000C09C3">
      <w:pPr>
        <w:pBdr>
          <w:top w:val="single" w:sz="4" w:space="1" w:color="auto"/>
          <w:bottom w:val="single" w:sz="4" w:space="1" w:color="auto"/>
        </w:pBdr>
        <w:spacing w:after="120" w:line="320" w:lineRule="exact"/>
        <w:jc w:val="both"/>
        <w:rPr>
          <w:rFonts w:cs="FrankRuehl"/>
          <w:szCs w:val="26"/>
          <w:rtl/>
        </w:rPr>
      </w:pPr>
      <w:r w:rsidRPr="009355E2">
        <w:rPr>
          <w:rFonts w:cs="FrankRuehl"/>
          <w:szCs w:val="26"/>
          <w:rtl/>
        </w:rPr>
        <w:t>בית המשפט המחוזי</w:t>
      </w:r>
      <w:r w:rsidRPr="009355E2">
        <w:rPr>
          <w:rFonts w:cs="FrankRuehl" w:hint="cs"/>
          <w:szCs w:val="26"/>
          <w:rtl/>
        </w:rPr>
        <w:t xml:space="preserve"> גזר את הדין כדלהלן:</w:t>
      </w:r>
    </w:p>
    <w:p w14:paraId="07ECAA8D" w14:textId="77777777" w:rsidR="000C09C3" w:rsidRPr="009355E2" w:rsidRDefault="000C09C3" w:rsidP="000C09C3">
      <w:pPr>
        <w:pBdr>
          <w:top w:val="single" w:sz="4" w:space="1" w:color="auto"/>
          <w:bottom w:val="single" w:sz="4" w:space="1" w:color="auto"/>
        </w:pBdr>
        <w:spacing w:after="120" w:line="320" w:lineRule="exact"/>
        <w:jc w:val="both"/>
        <w:rPr>
          <w:rFonts w:eastAsia="Calibri" w:cs="FrankRuehl"/>
          <w:szCs w:val="26"/>
          <w:rtl/>
        </w:rPr>
      </w:pPr>
      <w:r w:rsidRPr="009355E2">
        <w:rPr>
          <w:rFonts w:eastAsia="Calibri" w:cs="FrankRuehl" w:hint="cs"/>
          <w:szCs w:val="26"/>
          <w:rtl/>
        </w:rPr>
        <w:t xml:space="preserve">אכן הענישה היא לעולם אינדיבידואלית. עם זאת, עברייני הנשק המשתוללים במרחב הציבורי וזורעים פורענות והרס בחברה, הם תמיד יחידים היוצרים, בהצטרפותם ליחידים אחרים, תמונה קשה ועגומה של חברה רווית אלימות, קטל ובריונות. מספר הנרצחים בחברה הערבית מתחילת השנה ועד היום עומד על 111 קורבנות. אין להשלים עם מציאות עגומה זו ויש להילחם בה בנחישות. בעתות חירום כגון אלו נסוג האינטרס האישי של הנאשם בפני הצורך בהרתעת הרבים על ידי הטלת ענישה מחמירה. </w:t>
      </w:r>
    </w:p>
    <w:p w14:paraId="1D57925B" w14:textId="77777777" w:rsidR="000C09C3" w:rsidRPr="009355E2" w:rsidRDefault="000C09C3" w:rsidP="000C09C3">
      <w:pPr>
        <w:pBdr>
          <w:top w:val="single" w:sz="4" w:space="1" w:color="auto"/>
          <w:bottom w:val="single" w:sz="4" w:space="1" w:color="auto"/>
        </w:pBdr>
        <w:spacing w:after="120" w:line="320" w:lineRule="exact"/>
        <w:jc w:val="both"/>
        <w:rPr>
          <w:rFonts w:eastAsia="Calibri" w:cs="FrankRuehl"/>
          <w:szCs w:val="26"/>
          <w:rtl/>
        </w:rPr>
      </w:pPr>
      <w:r w:rsidRPr="009355E2">
        <w:rPr>
          <w:rFonts w:eastAsia="Calibri" w:cs="FrankRuehl" w:hint="cs"/>
          <w:szCs w:val="26"/>
          <w:rtl/>
        </w:rPr>
        <w:t xml:space="preserve">בשים לב לערכים החברתיים המוגנים שנפגעו מביצוע העבירות בענייננו, לנסיבות ביצוען ולמדיניות הענישה הנוהגת, מתחם העונש ההולם נע ביום 28 </w:t>
      </w:r>
      <w:r w:rsidRPr="009355E2">
        <w:rPr>
          <w:rFonts w:eastAsia="Calibri" w:cs="FrankRuehl"/>
          <w:szCs w:val="26"/>
          <w:rtl/>
        </w:rPr>
        <w:t>–</w:t>
      </w:r>
      <w:r w:rsidRPr="009355E2">
        <w:rPr>
          <w:rFonts w:eastAsia="Calibri" w:cs="FrankRuehl" w:hint="cs"/>
          <w:szCs w:val="26"/>
          <w:rtl/>
        </w:rPr>
        <w:t xml:space="preserve"> 48 חודשי מאסר לריצוי בפועל, לצד עונשים נלווים.</w:t>
      </w:r>
      <w:r w:rsidRPr="009355E2">
        <w:rPr>
          <w:rFonts w:cs="FrankRuehl" w:hint="cs"/>
          <w:szCs w:val="26"/>
          <w:rtl/>
        </w:rPr>
        <w:t xml:space="preserve"> </w:t>
      </w:r>
      <w:r w:rsidRPr="009355E2">
        <w:rPr>
          <w:rFonts w:cs="FrankRuehl" w:hint="cs"/>
          <w:szCs w:val="26"/>
          <w:rtl/>
        </w:rPr>
        <w:lastRenderedPageBreak/>
        <w:t xml:space="preserve">בהתחשב בכל הנתונים והשיקולים הצריכים לעניין, יש לגזור על הנאשם </w:t>
      </w:r>
      <w:r w:rsidRPr="009355E2">
        <w:rPr>
          <w:rFonts w:eastAsia="Calibri" w:cs="FrankRuehl" w:hint="cs"/>
          <w:szCs w:val="26"/>
          <w:rtl/>
        </w:rPr>
        <w:t>30 חודשי מאסר לריצוי בפועל, שני מאסרים על תנאי וחילוט הרכב ששימש את הנאשם בביצוע העבירות.</w:t>
      </w:r>
    </w:p>
    <w:p w14:paraId="43966A33" w14:textId="77777777" w:rsidR="000C09C3" w:rsidRPr="002173D4" w:rsidRDefault="000C09C3" w:rsidP="002173D4">
      <w:pPr>
        <w:rPr>
          <w:rFonts w:ascii="Arial" w:hAnsi="Arial" w:hint="cs"/>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C0B2C" w14:paraId="49E79095" w14:textId="77777777" w:rsidTr="00343076">
        <w:trPr>
          <w:trHeight w:val="355"/>
          <w:jc w:val="center"/>
        </w:trPr>
        <w:tc>
          <w:tcPr>
            <w:tcW w:w="8820" w:type="dxa"/>
            <w:tcBorders>
              <w:top w:val="nil"/>
              <w:left w:val="nil"/>
              <w:bottom w:val="nil"/>
              <w:right w:val="nil"/>
            </w:tcBorders>
            <w:shd w:val="clear" w:color="auto" w:fill="auto"/>
          </w:tcPr>
          <w:p w14:paraId="7C7508C1" w14:textId="77777777" w:rsidR="000C0B2C" w:rsidRPr="000C0B2C" w:rsidRDefault="000C0B2C" w:rsidP="000C0B2C">
            <w:pPr>
              <w:jc w:val="center"/>
              <w:rPr>
                <w:rFonts w:ascii="Arial" w:hAnsi="Arial"/>
                <w:b/>
                <w:bCs/>
                <w:sz w:val="32"/>
                <w:szCs w:val="32"/>
                <w:u w:val="single"/>
                <w:rtl/>
              </w:rPr>
            </w:pPr>
            <w:bookmarkStart w:id="7" w:name="PsakDin" w:colFirst="0" w:colLast="0"/>
            <w:bookmarkEnd w:id="0"/>
            <w:r w:rsidRPr="000C0B2C">
              <w:rPr>
                <w:rFonts w:ascii="Arial" w:hAnsi="Arial"/>
                <w:b/>
                <w:bCs/>
                <w:sz w:val="32"/>
                <w:szCs w:val="32"/>
                <w:u w:val="single"/>
                <w:rtl/>
              </w:rPr>
              <w:t>גזר דין</w:t>
            </w:r>
          </w:p>
          <w:p w14:paraId="30DDD956" w14:textId="77777777" w:rsidR="000C0B2C" w:rsidRPr="000C0B2C" w:rsidRDefault="000C0B2C" w:rsidP="000C0B2C">
            <w:pPr>
              <w:jc w:val="center"/>
              <w:rPr>
                <w:rFonts w:ascii="Arial" w:hAnsi="Arial"/>
                <w:bCs/>
                <w:sz w:val="32"/>
                <w:szCs w:val="32"/>
                <w:u w:val="single"/>
                <w:rtl/>
              </w:rPr>
            </w:pPr>
          </w:p>
        </w:tc>
      </w:tr>
      <w:bookmarkEnd w:id="7"/>
    </w:tbl>
    <w:p w14:paraId="53A283E3" w14:textId="77777777" w:rsidR="000C0B2C" w:rsidRPr="00B05847" w:rsidRDefault="000C0B2C">
      <w:pPr>
        <w:rPr>
          <w:rFonts w:ascii="Arial" w:hAnsi="Arial"/>
          <w:rtl/>
        </w:rPr>
      </w:pPr>
    </w:p>
    <w:p w14:paraId="1CAA7A8D" w14:textId="77777777" w:rsidR="00507694" w:rsidRPr="00B05847" w:rsidRDefault="00507694">
      <w:pPr>
        <w:rPr>
          <w:rFonts w:ascii="Arial" w:hAnsi="Arial"/>
          <w:rtl/>
        </w:rPr>
      </w:pPr>
    </w:p>
    <w:p w14:paraId="532C39F4" w14:textId="77777777" w:rsidR="004A2463" w:rsidRPr="004A2463" w:rsidRDefault="004A2463" w:rsidP="004A2463">
      <w:pPr>
        <w:tabs>
          <w:tab w:val="left" w:pos="567"/>
          <w:tab w:val="left" w:pos="1134"/>
          <w:tab w:val="left" w:pos="1701"/>
        </w:tabs>
        <w:spacing w:line="360" w:lineRule="auto"/>
        <w:jc w:val="both"/>
        <w:rPr>
          <w:rFonts w:ascii="David" w:eastAsia="Calibri" w:hAnsi="David"/>
          <w:u w:val="single"/>
          <w:rtl/>
        </w:rPr>
      </w:pPr>
      <w:r w:rsidRPr="004A2463">
        <w:rPr>
          <w:rFonts w:ascii="David" w:eastAsia="Calibri" w:hAnsi="David" w:hint="cs"/>
          <w:u w:val="single"/>
          <w:rtl/>
        </w:rPr>
        <w:t>ההליך וכתב האישום</w:t>
      </w:r>
    </w:p>
    <w:p w14:paraId="62B83176" w14:textId="77777777" w:rsidR="004A2463" w:rsidRPr="004A2463" w:rsidRDefault="004A2463" w:rsidP="004A2463">
      <w:pPr>
        <w:tabs>
          <w:tab w:val="left" w:pos="567"/>
          <w:tab w:val="left" w:pos="1134"/>
          <w:tab w:val="left" w:pos="1701"/>
        </w:tabs>
        <w:spacing w:line="360" w:lineRule="auto"/>
        <w:jc w:val="both"/>
        <w:rPr>
          <w:rFonts w:ascii="David" w:eastAsia="Calibri" w:hAnsi="David"/>
          <w:u w:val="single"/>
          <w:rtl/>
        </w:rPr>
      </w:pPr>
    </w:p>
    <w:p w14:paraId="4F4E6451"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r w:rsidRPr="004A2463">
        <w:rPr>
          <w:rFonts w:ascii="David" w:eastAsia="Calibri" w:hAnsi="David" w:hint="cs"/>
          <w:rtl/>
        </w:rPr>
        <w:t>1.</w:t>
      </w:r>
      <w:r w:rsidRPr="004A2463">
        <w:rPr>
          <w:rFonts w:ascii="David" w:eastAsia="Calibri" w:hAnsi="David" w:hint="cs"/>
          <w:rtl/>
        </w:rPr>
        <w:tab/>
        <w:t>הצדדים הגיעו להסדר טיעון, במסגרתו תוקן כתב האישום והנאשם הודה והורשע בעבירות שיוחסו לו בכתב האישום המתוקן (להלן: "כתב האישום"). הסדר הטיעון לא כלל הסכמה עונשית ולעניין זה נקבע כי כל צד יטען את טענותיו באופן חופשי.</w:t>
      </w:r>
    </w:p>
    <w:p w14:paraId="0D6B5936" w14:textId="77777777" w:rsidR="004A2463" w:rsidRPr="004A2463" w:rsidRDefault="004A2463" w:rsidP="004A2463">
      <w:pPr>
        <w:tabs>
          <w:tab w:val="left" w:pos="567"/>
          <w:tab w:val="left" w:pos="1134"/>
          <w:tab w:val="left" w:pos="1701"/>
        </w:tabs>
        <w:spacing w:line="360" w:lineRule="auto"/>
        <w:jc w:val="both"/>
        <w:rPr>
          <w:rFonts w:ascii="David" w:eastAsia="Calibri" w:hAnsi="David"/>
          <w:rtl/>
        </w:rPr>
      </w:pPr>
    </w:p>
    <w:p w14:paraId="6A4A21AA"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r w:rsidRPr="004A2463">
        <w:rPr>
          <w:rFonts w:ascii="David" w:eastAsia="Calibri" w:hAnsi="David" w:hint="cs"/>
          <w:rtl/>
        </w:rPr>
        <w:t>2.</w:t>
      </w:r>
      <w:r w:rsidRPr="004A2463">
        <w:rPr>
          <w:rFonts w:ascii="David" w:eastAsia="Calibri" w:hAnsi="David" w:hint="cs"/>
          <w:rtl/>
        </w:rPr>
        <w:tab/>
        <w:t>בעובדות כתב האישום נאמר כי הנאשם הוא הבעלים של רכב מזדה שנת 2010 (להלן: "הרכב") וכי בין הנאשם לבין מוחמד שחאדה (להלן: "מוחמד") היכרות מוקדמת.</w:t>
      </w:r>
    </w:p>
    <w:p w14:paraId="38FA67AD"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p>
    <w:p w14:paraId="7968276B"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r w:rsidRPr="004A2463">
        <w:rPr>
          <w:rFonts w:ascii="David" w:eastAsia="Calibri" w:hAnsi="David"/>
          <w:rtl/>
        </w:rPr>
        <w:tab/>
      </w:r>
      <w:r w:rsidRPr="004A2463">
        <w:rPr>
          <w:rFonts w:ascii="David" w:eastAsia="Calibri" w:hAnsi="David" w:hint="cs"/>
          <w:rtl/>
        </w:rPr>
        <w:t>ביום 14.8.2023, עובר לשעה 23:28 או בסמוך לכך, בשכונת מגורים בכפר מג'ד אל כרום, נהג הנאשם ברכב כשלצדו במושב שליד הנהג מוחמד. באותה עת נשא הנאשם והוביל אקדח חצי אוטומטי עם מחסנית תואמת ותחמושת הכוללת לכל הפחות שישה כדורים תואמים, בלא רשות על פי דין, וזאת בסיועו של מוחמד. מדובר באקדח שהינו כלי נשק אשר סוגל לירות כדור שבכוחו להמית אדם, במחסנית שהיא אביזר לכלי נשק ובכדורים שהם תחמושת לנשק.</w:t>
      </w:r>
    </w:p>
    <w:p w14:paraId="2BBD3054"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p>
    <w:p w14:paraId="13F3D51E"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r w:rsidRPr="004A2463">
        <w:rPr>
          <w:rFonts w:ascii="David" w:eastAsia="Calibri" w:hAnsi="David"/>
          <w:rtl/>
        </w:rPr>
        <w:tab/>
      </w:r>
      <w:r w:rsidRPr="004A2463">
        <w:rPr>
          <w:rFonts w:ascii="David" w:eastAsia="Calibri" w:hAnsi="David" w:hint="cs"/>
          <w:rtl/>
        </w:rPr>
        <w:t>בהגיע הנאשם סמוך למוקד הרפואי ברחוב אבן סינא במג'ד אל כרום, הוא ירה דרך חלון הרכב השמאלי מספר יריות באוויר שלא כדין, וזאת בסיועו של מוחמד, שהתבטא בנוכחותו ברכב ובחיזוק ידי הנאשם במעשיו. בחלוף מספר דקות של נסיעה מזירת הירי הראשונה, שב הנאשם וירה דרך חלון הרכב השמאלי מספר יריות באוויר שלא כדין, בסיועו של מוחמד. בסך הכל ירה הנאשם בסיועו של מוחמד בשתי הזירות, לכל הפחות חמש יריות מהנשק שלא כדין. בהמשך, המשיכו השניים בנסיעה עד שנעצרו על ידי המשטרה, ובמהלך חיפוש שנערך ברכב נתפסו חמישה תרמילים סמוך לכיסא הנהג וכדור חי.</w:t>
      </w:r>
    </w:p>
    <w:p w14:paraId="0C43A822"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p>
    <w:p w14:paraId="1A95D7BA"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r w:rsidRPr="004A2463">
        <w:rPr>
          <w:rFonts w:ascii="David" w:eastAsia="Calibri" w:hAnsi="David" w:hint="cs"/>
          <w:rtl/>
        </w:rPr>
        <w:t>3.</w:t>
      </w:r>
      <w:r w:rsidRPr="004A2463">
        <w:rPr>
          <w:rFonts w:ascii="David" w:eastAsia="Calibri" w:hAnsi="David" w:hint="cs"/>
          <w:rtl/>
        </w:rPr>
        <w:tab/>
        <w:t xml:space="preserve">כתב האישום ייחס לנאשם עבירות בנשק (נשיאה והובלה), לפי </w:t>
      </w:r>
      <w:hyperlink r:id="rId16" w:history="1">
        <w:r w:rsidR="00AB0E0E" w:rsidRPr="00AB0E0E">
          <w:rPr>
            <w:rStyle w:val="Hyperlink"/>
            <w:rFonts w:ascii="David" w:eastAsia="Calibri" w:hAnsi="David" w:hint="eastAsia"/>
            <w:rtl/>
          </w:rPr>
          <w:t>סעיפים</w:t>
        </w:r>
        <w:r w:rsidR="00AB0E0E" w:rsidRPr="00AB0E0E">
          <w:rPr>
            <w:rStyle w:val="Hyperlink"/>
            <w:rFonts w:ascii="David" w:eastAsia="Calibri" w:hAnsi="David"/>
            <w:rtl/>
          </w:rPr>
          <w:t xml:space="preserve"> 144(ב)</w:t>
        </w:r>
      </w:hyperlink>
      <w:r w:rsidRPr="004A2463">
        <w:rPr>
          <w:rFonts w:ascii="David" w:eastAsia="Calibri" w:hAnsi="David" w:hint="cs"/>
          <w:rtl/>
        </w:rPr>
        <w:t xml:space="preserve"> רישא וסיפא  +</w:t>
      </w:r>
      <w:hyperlink r:id="rId17" w:history="1">
        <w:r w:rsidR="00AB0E0E" w:rsidRPr="00AB0E0E">
          <w:rPr>
            <w:rStyle w:val="Hyperlink"/>
            <w:rFonts w:ascii="David" w:eastAsia="Calibri" w:hAnsi="David"/>
            <w:rtl/>
          </w:rPr>
          <w:t>144(ג)</w:t>
        </w:r>
      </w:hyperlink>
      <w:r w:rsidRPr="004A2463">
        <w:rPr>
          <w:rFonts w:ascii="David" w:eastAsia="Calibri" w:hAnsi="David" w:hint="cs"/>
          <w:rtl/>
        </w:rPr>
        <w:t xml:space="preserve"> ל</w:t>
      </w:r>
      <w:hyperlink r:id="rId18" w:history="1">
        <w:r w:rsidR="000C0B2C" w:rsidRPr="000C0B2C">
          <w:rPr>
            <w:rFonts w:ascii="David" w:eastAsia="Calibri" w:hAnsi="David"/>
            <w:color w:val="0000FF"/>
            <w:u w:val="single"/>
            <w:rtl/>
          </w:rPr>
          <w:t>חוק העונשין</w:t>
        </w:r>
      </w:hyperlink>
      <w:r w:rsidRPr="004A2463">
        <w:rPr>
          <w:rFonts w:ascii="David" w:eastAsia="Calibri" w:hAnsi="David" w:hint="cs"/>
          <w:rtl/>
        </w:rPr>
        <w:t xml:space="preserve">, התשל"ז-1977 (להלן: "חוק העונשין"), ועבירה של ירי מנשק חם, לפי </w:t>
      </w:r>
      <w:hyperlink r:id="rId19" w:history="1">
        <w:r w:rsidR="00AB0E0E" w:rsidRPr="00AB0E0E">
          <w:rPr>
            <w:rStyle w:val="Hyperlink"/>
            <w:rFonts w:ascii="David" w:eastAsia="Calibri" w:hAnsi="David" w:hint="eastAsia"/>
            <w:rtl/>
          </w:rPr>
          <w:t>סעיף</w:t>
        </w:r>
        <w:r w:rsidR="00AB0E0E" w:rsidRPr="00AB0E0E">
          <w:rPr>
            <w:rStyle w:val="Hyperlink"/>
            <w:rFonts w:ascii="David" w:eastAsia="Calibri" w:hAnsi="David"/>
            <w:rtl/>
          </w:rPr>
          <w:t xml:space="preserve"> 340א(א)</w:t>
        </w:r>
      </w:hyperlink>
      <w:r w:rsidRPr="004A2463">
        <w:rPr>
          <w:rFonts w:ascii="David" w:eastAsia="Calibri" w:hAnsi="David" w:hint="cs"/>
          <w:rtl/>
        </w:rPr>
        <w:t xml:space="preserve"> לחוק העונשין (שתי עבירות).</w:t>
      </w:r>
    </w:p>
    <w:p w14:paraId="0181B6F7"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p>
    <w:p w14:paraId="6854E4A4"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r w:rsidRPr="004A2463">
        <w:rPr>
          <w:rFonts w:ascii="David" w:eastAsia="Calibri" w:hAnsi="David" w:hint="cs"/>
          <w:rtl/>
        </w:rPr>
        <w:t>4.</w:t>
      </w:r>
      <w:r w:rsidRPr="004A2463">
        <w:rPr>
          <w:rFonts w:ascii="David" w:eastAsia="Calibri" w:hAnsi="David" w:hint="cs"/>
          <w:rtl/>
        </w:rPr>
        <w:tab/>
        <w:t>לאחר הרשעת הנאשם, נעתרתי לבקשת סנגורו והוריתי על הפנייתו לשירות המבחן לצורך עריכת תסקיר בעניינו, בטרם שמיעת טיעוני הצדדים לעונש.</w:t>
      </w:r>
    </w:p>
    <w:p w14:paraId="1BD4494A"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Pr>
      </w:pPr>
    </w:p>
    <w:p w14:paraId="3A0C556E"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u w:val="single"/>
          <w:rtl/>
        </w:rPr>
      </w:pPr>
      <w:r w:rsidRPr="004A2463">
        <w:rPr>
          <w:rFonts w:ascii="David" w:eastAsia="Calibri" w:hAnsi="David" w:hint="cs"/>
          <w:u w:val="single"/>
          <w:rtl/>
        </w:rPr>
        <w:t>תסקיר שירות המבחן</w:t>
      </w:r>
    </w:p>
    <w:p w14:paraId="0636239F"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u w:val="single"/>
          <w:rtl/>
        </w:rPr>
      </w:pPr>
    </w:p>
    <w:p w14:paraId="66014940"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r w:rsidRPr="004A2463">
        <w:rPr>
          <w:rFonts w:ascii="David" w:eastAsia="Calibri" w:hAnsi="David" w:hint="cs"/>
          <w:rtl/>
        </w:rPr>
        <w:lastRenderedPageBreak/>
        <w:t>5.</w:t>
      </w:r>
      <w:r w:rsidRPr="004A2463">
        <w:rPr>
          <w:rFonts w:ascii="David" w:eastAsia="Calibri" w:hAnsi="David" w:hint="cs"/>
          <w:rtl/>
        </w:rPr>
        <w:tab/>
        <w:t>בתסקיר שירות המבחן מיום 23.7.2024 נאמר כי מדובר בצעיר בן 26, רווק, בן למשפחה המונה שבע נפשות. מקורותיו עולה כי בגיל צעיר מאוד הוא ושלושה מאחיו הוצאו למסגרות חוץ ביתיות על ידי המחלקה לשירותים חברתיים בשל התמכרות הוריו לסמים. בהיותו בן 14, הוא ואחיו חזרו להתגורר עם האם, המוכרת כנפגעת נפש ואשר התמודדה עם מצוקה כלכלית קיומית. בנסיבות, נאלץ הנאשם לעזוב את המסגרת הלימודית ולהשתלב בשוק העבודה על מנת לסייע בפרנסת המשפחה, וגילה יציבות תעסוקתית לאורך השנים. מדיווחיו עולה כי הוא השלים שש שנות לימוד בלבד.</w:t>
      </w:r>
    </w:p>
    <w:p w14:paraId="5A6408D2"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p>
    <w:p w14:paraId="4AB341B2"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r w:rsidRPr="004A2463">
        <w:rPr>
          <w:rFonts w:ascii="David" w:eastAsia="Calibri" w:hAnsi="David" w:hint="cs"/>
          <w:rtl/>
        </w:rPr>
        <w:t>6.</w:t>
      </w:r>
      <w:r w:rsidRPr="004A2463">
        <w:rPr>
          <w:rFonts w:ascii="David" w:eastAsia="Calibri" w:hAnsi="David" w:hint="cs"/>
          <w:rtl/>
        </w:rPr>
        <w:tab/>
        <w:t>צוין כי מעיון בגיליון רישומו הפלילי עולה כי לחובתו של הנאשם שלוש הרשעות קודמות בגין עבירות מתחום הסמים והרכוש, אותן ביצע בין השנים 2016-2013 ועליהן חלה התיישנות.</w:t>
      </w:r>
    </w:p>
    <w:p w14:paraId="59EC2899"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p>
    <w:p w14:paraId="53DE54BD"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r w:rsidRPr="004A2463">
        <w:rPr>
          <w:rFonts w:ascii="David" w:eastAsia="Calibri" w:hAnsi="David" w:hint="cs"/>
          <w:rtl/>
        </w:rPr>
        <w:t>7.</w:t>
      </w:r>
      <w:r w:rsidRPr="004A2463">
        <w:rPr>
          <w:rFonts w:ascii="David" w:eastAsia="Calibri" w:hAnsi="David" w:hint="cs"/>
          <w:rtl/>
        </w:rPr>
        <w:tab/>
        <w:t xml:space="preserve">שירות המבחן התרשם כי הנאשם לוקח אחריות מלאה על ביצוע העבירות מושא הדיון, אך מתקשה לזהות את דפוסי חשיבתו העומדים בבסיס ביצוע העבירות. לדברי הנאשם, בזמן שבילה עם חבריו הוא התבקש לקחת נשק ולהסתירו ברכבו, אך התקשה להסביר מדוע פנו דווקא אליו ומדוע הוא נענה לבקשה. שירות המבחן ציין כי במהלך השיחה עם הנאשם הוא הביע צער על התנהלותו וטען כי לא חשב על החומרה שבמעשיו ועל השלכותיהם. </w:t>
      </w:r>
    </w:p>
    <w:p w14:paraId="1365CABA"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p>
    <w:p w14:paraId="431F02E8"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r w:rsidRPr="004A2463">
        <w:rPr>
          <w:rFonts w:ascii="David" w:eastAsia="Calibri" w:hAnsi="David" w:hint="cs"/>
          <w:rtl/>
        </w:rPr>
        <w:t>8.</w:t>
      </w:r>
      <w:r w:rsidRPr="004A2463">
        <w:rPr>
          <w:rFonts w:ascii="David" w:eastAsia="Calibri" w:hAnsi="David" w:hint="cs"/>
          <w:rtl/>
        </w:rPr>
        <w:tab/>
        <w:t xml:space="preserve">בהתייחס לדפוסי השימוש בסמים, דיווח הנאשם כי מגיל 16 החל לצרוך סמים מסוג נייס גאי. לדבריו, בני משפחתו ניסו לסייע לו לחדול משימוש בסמים, אך הדבר לא צלח. בהיותו כבן 22, נחשף הנאשם לסמים מסוג גראס, אך מאז מעצרו באיזוק אלקטרוני בגין מעורבותו בתיק הנוכחי הוא נגמל לחלוטין מסמים. שירות המבחן ציין כי בדיקת שתן שנמסרה העידה על ניקיונו של הנאשם מסמים. </w:t>
      </w:r>
    </w:p>
    <w:p w14:paraId="17BF671C"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p>
    <w:p w14:paraId="24E35512"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r w:rsidRPr="004A2463">
        <w:rPr>
          <w:rFonts w:ascii="David" w:eastAsia="Calibri" w:hAnsi="David" w:hint="cs"/>
          <w:rtl/>
        </w:rPr>
        <w:t>9.</w:t>
      </w:r>
      <w:r w:rsidRPr="004A2463">
        <w:rPr>
          <w:rFonts w:ascii="David" w:eastAsia="Calibri" w:hAnsi="David" w:hint="cs"/>
          <w:rtl/>
        </w:rPr>
        <w:tab/>
        <w:t>בבואו להעריך את הסיכון להישנות התנהגות עבריינית מצדו של הנאשם בעתיד אל מול סיכויי שיקומו, ציין שירות המבחן בין גורמי הסיכון את חומרת העבירות ואת הנזקים שעלולים היו להיגרם כתוצאה מהן, את דפוסי אישיותו וחשיבתו (אימפולסיביות, זהות לא מגובשת, ביטחון ודימוי עצמי נמוכים), את קשייו הרגשיים עמם התפתח לאורך השנים ואת בחירתו להשתמש בסמים כדרך התמודדות עם קשייו אלה. עוד הפנה שירות המבחן לקשייו של הנאשם להפעיל שיקול דעת באשר להשלכות מעשיו ואת נטייתו לרצות את סביבתו החברתית על מנת לחוש שייכות וקבלה, תוך קושי ניכר להציב גבולות. בין גורמי הסיכוי מנה שירות המבחן את המוטיבציה שהנאשם מבטא לנהל אורח חיים תקין, כפי שבאה לידי ביטוי בהשתלבותו בקבוצת עצורי בית במסגרת שירות המבחן. כן נשקלה יכולתו ליטול אחריות על מעשיו ולהכיר בפסול שבהתנהלותו, את ניקיונו מסמים כיום ואת הרתיעה מפני ההליך המשפטי המתנהל נגדו. בסיכומו של דבר, העריך שירות המבחן כי קיים סיכון להישנות עבירות בעתיד, מבלי לציין את מידתו.</w:t>
      </w:r>
    </w:p>
    <w:p w14:paraId="40435A59"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p>
    <w:p w14:paraId="72EDD4C2"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r w:rsidRPr="004A2463">
        <w:rPr>
          <w:rFonts w:ascii="David" w:eastAsia="Calibri" w:hAnsi="David" w:hint="cs"/>
          <w:rtl/>
        </w:rPr>
        <w:t>10.</w:t>
      </w:r>
      <w:r w:rsidRPr="004A2463">
        <w:rPr>
          <w:rFonts w:ascii="David" w:eastAsia="Calibri" w:hAnsi="David" w:hint="cs"/>
          <w:rtl/>
        </w:rPr>
        <w:tab/>
        <w:t>שירות המבחן ציין כי בבואו להמליץ בעניינו של הנאשם הוא התלבט רבות, שכן מחד ביטא הנאשם רצון להשתלב בטיפול במסגרת השירות, אך מאידך מדובר בעבירות חמורות ועומדת בעינה ההתרשמות מהנאשם שפורטה לעיל והערכת הסיכון לגביו. לפיכך, לא בא שירות המבחן בהמלצה טיפולית לגבי הנאשם והמליץ להטיל עליו ענישה מוחשית בדמות מאסר בפועל שתחדד עבורו את חומרת מעשיו. זאת, לצד מאסר מותנה וקנס. נוכח נכונותו של הנאשם להשתלב בהליך טיפולי משמעותי, המליץ שירות המבחן להמליץ בפני רשויות שב"ס לשבץ את הנאשם בתכנית טיפולית במסגרת מאסרו.</w:t>
      </w:r>
    </w:p>
    <w:p w14:paraId="2907FACF"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p>
    <w:p w14:paraId="322D9311"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u w:val="single"/>
          <w:rtl/>
        </w:rPr>
      </w:pPr>
      <w:r w:rsidRPr="004A2463">
        <w:rPr>
          <w:rFonts w:ascii="David" w:eastAsia="Calibri" w:hAnsi="David" w:hint="cs"/>
          <w:u w:val="single"/>
          <w:rtl/>
        </w:rPr>
        <w:t>ראיות לעונש</w:t>
      </w:r>
    </w:p>
    <w:p w14:paraId="196FD20A"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u w:val="single"/>
          <w:rtl/>
        </w:rPr>
      </w:pPr>
    </w:p>
    <w:p w14:paraId="71D97B75"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r w:rsidRPr="004A2463">
        <w:rPr>
          <w:rFonts w:ascii="David" w:eastAsia="Calibri" w:hAnsi="David" w:hint="cs"/>
          <w:rtl/>
        </w:rPr>
        <w:t>11.</w:t>
      </w:r>
      <w:r w:rsidRPr="004A2463">
        <w:rPr>
          <w:rFonts w:ascii="David" w:eastAsia="Calibri" w:hAnsi="David" w:hint="cs"/>
          <w:rtl/>
        </w:rPr>
        <w:tab/>
        <w:t>במסגרת הראיות לעונש הגישה המאשימה את תדפיס רישומו הפלילי של הנאשם (מע/1) וכן את תדפיס רישומו התעבורתי (מע/2). מהמידע הפלילי שהוגש עולה כי לחובתו של הנאשם שלוש הרשעות קודמות מבית משפט השלום לנוער, שתיים מתוכן בגין עבירות רכוש והרשעה אחת בגין החזקה/שימוש בסמים לצריכה עצמית.</w:t>
      </w:r>
    </w:p>
    <w:p w14:paraId="3F622FB0"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p>
    <w:p w14:paraId="34CC5A44"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r w:rsidRPr="004A2463">
        <w:rPr>
          <w:rFonts w:ascii="David" w:eastAsia="Calibri" w:hAnsi="David"/>
          <w:rtl/>
        </w:rPr>
        <w:tab/>
      </w:r>
      <w:r w:rsidRPr="004A2463">
        <w:rPr>
          <w:rFonts w:ascii="David" w:eastAsia="Calibri" w:hAnsi="David" w:hint="cs"/>
          <w:rtl/>
        </w:rPr>
        <w:t>הנאשם הגיש במסגרת הראיות לעונש סיכום מידע רפואי מיום 25.6.2024 (נע/1), ממנו עולה כי הוא סובל מבעיה אורולוגית וכי עבר לפני כעשרה ימים ניתוח להוצאת אבצס פריאנלי והוא מצוי כעת בתהליך של ריפוי.</w:t>
      </w:r>
    </w:p>
    <w:p w14:paraId="1EAFA8B0"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p>
    <w:p w14:paraId="53E73470"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u w:val="single"/>
          <w:rtl/>
        </w:rPr>
      </w:pPr>
      <w:r w:rsidRPr="004A2463">
        <w:rPr>
          <w:rFonts w:ascii="David" w:eastAsia="Calibri" w:hAnsi="David" w:hint="cs"/>
          <w:u w:val="single"/>
          <w:rtl/>
        </w:rPr>
        <w:t>טיעוני הצדדים לעונש</w:t>
      </w:r>
    </w:p>
    <w:p w14:paraId="67D397FC"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u w:val="single"/>
          <w:rtl/>
        </w:rPr>
      </w:pPr>
    </w:p>
    <w:p w14:paraId="3B7A7C95"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r w:rsidRPr="004A2463">
        <w:rPr>
          <w:rFonts w:ascii="David" w:eastAsia="Calibri" w:hAnsi="David" w:hint="cs"/>
          <w:rtl/>
        </w:rPr>
        <w:t>12.</w:t>
      </w:r>
      <w:r w:rsidRPr="004A2463">
        <w:rPr>
          <w:rFonts w:ascii="David" w:eastAsia="Calibri" w:hAnsi="David" w:hint="cs"/>
          <w:rtl/>
        </w:rPr>
        <w:tab/>
        <w:t xml:space="preserve">בטיעוניה לעונש ציינה ב"כ המאשימה כי הערך החברתי המוגן שנפגע ממעשיו של הנאשם הינו שלום הציבור וביטחונו והגנה על חיי אדם. בתוך כך, הפנתה לפסיקת בית המשפט העליון, שעמד על חומרת העבירות בנשק ועל מגמת ההחמרה בענישה שיש להטיל על נאשמים המעורבים בעבירות אלו. </w:t>
      </w:r>
    </w:p>
    <w:p w14:paraId="650A3864"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p>
    <w:p w14:paraId="5422537B"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r w:rsidRPr="004A2463">
        <w:rPr>
          <w:rFonts w:ascii="David" w:eastAsia="Calibri" w:hAnsi="David" w:hint="cs"/>
          <w:rtl/>
        </w:rPr>
        <w:t>13.</w:t>
      </w:r>
      <w:r w:rsidRPr="004A2463">
        <w:rPr>
          <w:rFonts w:ascii="David" w:eastAsia="Calibri" w:hAnsi="David" w:hint="cs"/>
          <w:rtl/>
        </w:rPr>
        <w:tab/>
        <w:t xml:space="preserve">בנסיבות הקשורות בביצוע העבירות, הפנתה המאשימה לעובדה שהירי בוצע קרוב למוקד רפואי, כך שפוטנציאל הנזק שעלול היה להיגרם הוא גבוה. ביחס לחלקו היחסי של הנאשם בביצוע העבירות, טענה המאשימה כי מדובר במי שביצע את העבירות בסיועו של אחר ולא בצוותא חדא. </w:t>
      </w:r>
    </w:p>
    <w:p w14:paraId="43E978E4"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p>
    <w:p w14:paraId="6ECF892F"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r w:rsidRPr="004A2463">
        <w:rPr>
          <w:rFonts w:ascii="David" w:eastAsia="Calibri" w:hAnsi="David" w:hint="cs"/>
          <w:rtl/>
        </w:rPr>
        <w:t>14.</w:t>
      </w:r>
      <w:r w:rsidRPr="004A2463">
        <w:rPr>
          <w:rFonts w:ascii="David" w:eastAsia="Calibri" w:hAnsi="David" w:hint="cs"/>
          <w:rtl/>
        </w:rPr>
        <w:tab/>
        <w:t>בהתייחס לתסקיר שירות המבחן, טענה המאשימה כי הגם שעולה ממנו כי הנאשם נוטל אחריות מלאה על מעשיו, הוא מתקשה לזהות את דפוסי חשיבתו הבעייתיים. עוד הוסיפה המאשימה כי הנאשם הביע אמנם רצון להשתלב בהליך טיפולי, אך נוכח חומרת העבירות בהן הורשע ובשים לב להערכת הסיכון להישנות עבירות בעתיד, לא בא שירות המבחן בסופו של דבר בהמלצה טיפולית לגביו, אלא המליץ על הטלת עונש ממשי בדמות מאסר בפועל ועונשים נלווים.</w:t>
      </w:r>
    </w:p>
    <w:p w14:paraId="2ACEBF6B"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p>
    <w:p w14:paraId="589242B6"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r w:rsidRPr="004A2463">
        <w:rPr>
          <w:rFonts w:ascii="David" w:eastAsia="Calibri" w:hAnsi="David" w:hint="cs"/>
          <w:rtl/>
        </w:rPr>
        <w:t>15.</w:t>
      </w:r>
      <w:r w:rsidRPr="004A2463">
        <w:rPr>
          <w:rFonts w:ascii="David" w:eastAsia="Calibri" w:hAnsi="David" w:hint="cs"/>
          <w:rtl/>
        </w:rPr>
        <w:tab/>
        <w:t>לעמדת המאשימה, מתחם העונש ההולם בגין שלוש העבירות המיוחסות לנאשם נע בין 5-3 שנות מאסר, כאשר את העונש יש לגזור ברף הבינוני-עליון של המתחם המוצע. בנוסף, עתרה המאשימה להטיל על הנאשם מאסר מותנה וקנס, וכן לפסול את רישיון הנהיגה שלו פסילה בפועל ופסילה על תנאי. כמו כן, עתרה לחלט את הרכב באמצעותו ביצע הנאשם את העבירות.</w:t>
      </w:r>
    </w:p>
    <w:p w14:paraId="7E162DF5"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p>
    <w:p w14:paraId="33EE1B26"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r w:rsidRPr="004A2463">
        <w:rPr>
          <w:rFonts w:ascii="David" w:eastAsia="Calibri" w:hAnsi="David" w:hint="cs"/>
          <w:rtl/>
        </w:rPr>
        <w:t>16.</w:t>
      </w:r>
      <w:r w:rsidRPr="004A2463">
        <w:rPr>
          <w:rFonts w:ascii="David" w:eastAsia="Calibri" w:hAnsi="David" w:hint="cs"/>
          <w:rtl/>
        </w:rPr>
        <w:tab/>
        <w:t>בפתח טיעוניו לעונש טען הסנגור כי מבלי להקל ראש בחומרת העבירות בהן הורשע הנאשם, הוא מבקש להקל עמו. ב"כ הנאשם, הפנה לעיקרון היסוד לפיו ענישה היא לעולם אינדיבידואלית, וציין כי אל לנו לשפוט את הנאשם בחומרה יתרה בשל ריבוי מקרי הרצח במגזר הערבי בעת האחרונה, אלא יש להענישו לפי מעשיו.</w:t>
      </w:r>
    </w:p>
    <w:p w14:paraId="5094401E"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p>
    <w:p w14:paraId="626CAB65"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r w:rsidRPr="004A2463">
        <w:rPr>
          <w:rFonts w:ascii="David" w:eastAsia="Calibri" w:hAnsi="David" w:hint="cs"/>
          <w:rtl/>
        </w:rPr>
        <w:t>17.</w:t>
      </w:r>
      <w:r w:rsidRPr="004A2463">
        <w:rPr>
          <w:rFonts w:ascii="David" w:eastAsia="Calibri" w:hAnsi="David" w:hint="cs"/>
          <w:rtl/>
        </w:rPr>
        <w:tab/>
        <w:t>בהתייחס לנסיבות ביצוע העבירה, ציין הסנגור כי מדובר בירי באוויר ולא כזה שנעשה במסגרת תכנית עבריינית או תוך קשירת קשר לביצוע פשע. מדובר אמנם באירוע חמור, אך יש ליתן את הדעת לכך שבמסגרת תיקון כתב האישום הומרה העבירה של ירי באזור מגורים לעבירה פחותה בחומרתה, ותיקון זה צריך לקבל ביטוי גם בעונש.</w:t>
      </w:r>
    </w:p>
    <w:p w14:paraId="7DF81C20"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p>
    <w:p w14:paraId="325C010B"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r w:rsidRPr="004A2463">
        <w:rPr>
          <w:rFonts w:ascii="David" w:eastAsia="Calibri" w:hAnsi="David" w:hint="cs"/>
          <w:rtl/>
        </w:rPr>
        <w:t>18.</w:t>
      </w:r>
      <w:r w:rsidRPr="004A2463">
        <w:rPr>
          <w:rFonts w:ascii="David" w:eastAsia="Calibri" w:hAnsi="David" w:hint="cs"/>
          <w:rtl/>
        </w:rPr>
        <w:tab/>
        <w:t xml:space="preserve">לגבי התסקיר, טענה ההגנה כי בסיכומו של דבר מדובר בתסקיר חיובי וכי הימנעות שירות המבחן מלבוא בהמלצה שיקומית נעוצה בחומרת העבירות בהן הורשע הנאשם. נאמר כי ככלל, בעבירות בנשק לא בא שירות המבחן בהמלצה שיקומית. </w:t>
      </w:r>
    </w:p>
    <w:p w14:paraId="0EA0E1EF"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p>
    <w:p w14:paraId="4D08469F"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r w:rsidRPr="004A2463">
        <w:rPr>
          <w:rFonts w:ascii="David" w:eastAsia="Calibri" w:hAnsi="David" w:hint="cs"/>
          <w:rtl/>
        </w:rPr>
        <w:t>19.</w:t>
      </w:r>
      <w:r w:rsidRPr="004A2463">
        <w:rPr>
          <w:rFonts w:ascii="David" w:eastAsia="Calibri" w:hAnsi="David" w:hint="cs"/>
          <w:rtl/>
        </w:rPr>
        <w:tab/>
        <w:t>לאחר שהפנה לפסיקה הרלוונטית המלמדת על מדיניות הענישה הנוהגת, עתר הסנגור לקבוע בענייננו מתחם הנע בין 36-18 חודשי מאסר. לצד זאת, טען כי יש לחרוג ממתחם העונש ההולם ולהימנע משליחתו של הנאשם לכלא. בהקשר זה, הפנה ב"כ הנאשם לתסקיר, ממנו עולה תמונה של נסיבות חיים קשות ועצובות. נאמר כי מדובר בבן למשפחה המונה שבע נפשות, שהוריו מעולם לא מילאו את תפקידם ההורי בשל התמכרותם לסמים. זאת, בנוסף לעובדה שאמו הינה פגועת נפש. בשל חוסר התפקוד של ההורים, הוצאו הנאשם ואחיו למסגרות חוץ ביתיות, ואם לא די בכך, הרי שבהמשך עזב אביו את הבית והתחתן עם אישה אחרת. בנסיבות, נאלץ הנאשם לקחת פיקוד, עזב את הלימודים והשתלב בשוק העבודה על מנת לפרנס את המשפחה. לטענת הסנגור, שירות המבחן התרשם כי נסיבות חייו הקשות של הנאשם, ילדותו המוזנחת והטלטלות שעבר בחייו, היוו בסיס להסתבכותו באירוע מושא הדיון. עוד הוסיף כי גורמי הסיכוי בעניינו של הנאשם עולים על גורמי הסיכון והפנה להליך הטיפולי אותו עבר הנאשם במסגרת שירות המבחן. נאמר כי הנאשם הגיע לכל המפגשים, הוא נגמל בכוחות עצמו מסמים וכל הבדיקות שעבר היו נקיות. לטענת הסנגור, מדובר בתיק ייחודי עם נאשם ייחודי, ולא בכדי, בשונה מהרוב המוחלט של נאשמים בעבירות נשק, נעצר הנאשם באיזוק אלקטרוני ולא מאחורי סורג ובריח.</w:t>
      </w:r>
    </w:p>
    <w:p w14:paraId="518A0F76"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p>
    <w:p w14:paraId="38800992"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r w:rsidRPr="004A2463">
        <w:rPr>
          <w:rFonts w:ascii="David" w:eastAsia="Calibri" w:hAnsi="David" w:hint="cs"/>
          <w:rtl/>
        </w:rPr>
        <w:t>20.</w:t>
      </w:r>
      <w:r w:rsidRPr="004A2463">
        <w:rPr>
          <w:rFonts w:ascii="David" w:eastAsia="Calibri" w:hAnsi="David" w:hint="cs"/>
          <w:rtl/>
        </w:rPr>
        <w:tab/>
        <w:t>בסיכומו של דבר, ביקש ב"כ הנאשם לסטות לקולא ממתחם העונש לו עתר ולהשית על הנאשם עונש מאסר שירוצה בעבודות שירות. לחילופין, עתר לגזור על הנאשם עונש מאסר לתקופה שתהיה מתחת לרף התחתון של המתחם, תוך סטייה הימנו מטעמי שיקום.</w:t>
      </w:r>
    </w:p>
    <w:p w14:paraId="22FBE881"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p>
    <w:p w14:paraId="351354C3"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u w:val="single"/>
          <w:rtl/>
        </w:rPr>
      </w:pPr>
      <w:r w:rsidRPr="004A2463">
        <w:rPr>
          <w:rFonts w:ascii="David" w:eastAsia="Calibri" w:hAnsi="David" w:hint="cs"/>
          <w:u w:val="single"/>
          <w:rtl/>
        </w:rPr>
        <w:t>דברו האחרון של הנאשם</w:t>
      </w:r>
    </w:p>
    <w:p w14:paraId="41A783A6"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u w:val="single"/>
          <w:rtl/>
        </w:rPr>
      </w:pPr>
    </w:p>
    <w:p w14:paraId="527243BB"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r w:rsidRPr="004A2463">
        <w:rPr>
          <w:rFonts w:ascii="David" w:eastAsia="Calibri" w:hAnsi="David" w:hint="cs"/>
          <w:rtl/>
        </w:rPr>
        <w:t>21.</w:t>
      </w:r>
      <w:r w:rsidRPr="004A2463">
        <w:rPr>
          <w:rFonts w:ascii="David" w:eastAsia="Calibri" w:hAnsi="David" w:hint="cs"/>
          <w:rtl/>
        </w:rPr>
        <w:tab/>
        <w:t>בדברו האחרון אמר הנאשם כי הוא מצר על העבירה החמורה שביצע ומודע לטעות שעשה ונוטל עליה אחריות מלאה. עוד הוסיף כי הוא מודע לכך שיש מחיר אותו הוא ישלם בגין מעשיו, אך ביקש להקל עמו. לדבריו, הוא בנה את עצמו מאפס, למד מקצוע, אך הטעות שעשה החזירה אותו כמה שנים לאחור ועל כך הוא מצר צער רב. הנאשם הוסיף כי הוא מבקש הזדמנות לשקם את חייו וכי בבסיסו הוא אינו אדם רע ואינו עבריין.</w:t>
      </w:r>
    </w:p>
    <w:p w14:paraId="049D4144"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p>
    <w:p w14:paraId="1FDD8980"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u w:val="single"/>
          <w:rtl/>
        </w:rPr>
      </w:pPr>
      <w:r w:rsidRPr="004A2463">
        <w:rPr>
          <w:rFonts w:ascii="David" w:eastAsia="Calibri" w:hAnsi="David" w:hint="cs"/>
          <w:u w:val="single"/>
          <w:rtl/>
        </w:rPr>
        <w:t>דיון והכרעה</w:t>
      </w:r>
    </w:p>
    <w:p w14:paraId="10F0A508"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u w:val="single"/>
          <w:rtl/>
        </w:rPr>
      </w:pPr>
    </w:p>
    <w:p w14:paraId="7AF7D9DA"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r w:rsidRPr="004A2463">
        <w:rPr>
          <w:rFonts w:ascii="David" w:eastAsia="Calibri" w:hAnsi="David" w:hint="cs"/>
          <w:rtl/>
        </w:rPr>
        <w:t>22.</w:t>
      </w:r>
      <w:r w:rsidRPr="004A2463">
        <w:rPr>
          <w:rFonts w:ascii="David" w:eastAsia="Calibri" w:hAnsi="David" w:hint="cs"/>
          <w:rtl/>
        </w:rPr>
        <w:tab/>
        <w:t xml:space="preserve">הערכים החברתיים המוגנים שנפגעו מביצוע העבירות בענייננו הם שמירה על חיי אדם, שלמות גופו ובטחונו של הציבור ושמירת הסדר הציבורי. </w:t>
      </w:r>
    </w:p>
    <w:p w14:paraId="116D7802"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p>
    <w:p w14:paraId="2FA1A94A"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r w:rsidRPr="004A2463">
        <w:rPr>
          <w:rFonts w:ascii="David" w:eastAsia="Calibri" w:hAnsi="David" w:hint="cs"/>
          <w:rtl/>
        </w:rPr>
        <w:t>23.</w:t>
      </w:r>
      <w:r w:rsidRPr="004A2463">
        <w:rPr>
          <w:rFonts w:ascii="David" w:eastAsia="Calibri" w:hAnsi="David" w:hint="cs"/>
          <w:rtl/>
        </w:rPr>
        <w:tab/>
        <w:t xml:space="preserve">בפתח טיעוניו, הפנה ב"כ הנאשם למושכלות ראשונים כי ענישה היא לעולם אינדיבידואלית. נטען כי אין להחמיר עם הנאשם מעבר למתחייב, רק על שום היקפן של עבירות הנשק שהפכו למכת מדינה ואין להיפרע ממנו בגין אותה תופעה אכזרית ומכוערת. יש להעניש את הנאשם בגין מעשיו הוא ולא בגין תחלואי החברה. </w:t>
      </w:r>
    </w:p>
    <w:p w14:paraId="67E83713"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p>
    <w:p w14:paraId="5295C0C6" w14:textId="77777777" w:rsidR="004A2463" w:rsidRPr="004A2463" w:rsidRDefault="004A2463" w:rsidP="00411A3C">
      <w:pPr>
        <w:tabs>
          <w:tab w:val="left" w:pos="567"/>
          <w:tab w:val="left" w:pos="1134"/>
          <w:tab w:val="left" w:pos="1701"/>
        </w:tabs>
        <w:spacing w:line="360" w:lineRule="auto"/>
        <w:ind w:left="567" w:hanging="567"/>
        <w:jc w:val="both"/>
        <w:rPr>
          <w:rFonts w:ascii="David" w:eastAsia="Calibri" w:hAnsi="David"/>
          <w:rtl/>
        </w:rPr>
      </w:pPr>
      <w:r w:rsidRPr="004A2463">
        <w:rPr>
          <w:rFonts w:ascii="David" w:eastAsia="Calibri" w:hAnsi="David"/>
          <w:rtl/>
        </w:rPr>
        <w:tab/>
      </w:r>
      <w:r w:rsidRPr="004A2463">
        <w:rPr>
          <w:rFonts w:ascii="David" w:eastAsia="Calibri" w:hAnsi="David" w:hint="cs"/>
          <w:rtl/>
        </w:rPr>
        <w:t>אכן הענישה היא לעולם אינדיבידואלית.  יחד עם זאת, עברייני הנשק המשתוללים במרחב הציבורי וזורעים פורענות והרס בחברה, הם תמיד יחידים היוצרים, בהצטרפותם ליחידים אחרים, תמונה קשה ועגומה של חברה רווית אלימות, קטל ובריונות. מספר הנרצחים בחברה הערבית מתחילת השנה ועד למועד כתיבת גזר דין זה עומד על 111 קורבנות (בבוקרו של יום מתן גזר הדין, לאחר חלוף ימים בודדים בלבד ע</w:t>
      </w:r>
      <w:r w:rsidR="00204A5A">
        <w:rPr>
          <w:rFonts w:ascii="David" w:eastAsia="Calibri" w:hAnsi="David" w:hint="cs"/>
          <w:rtl/>
        </w:rPr>
        <w:t>ו</w:t>
      </w:r>
      <w:r w:rsidRPr="004A2463">
        <w:rPr>
          <w:rFonts w:ascii="David" w:eastAsia="Calibri" w:hAnsi="David" w:hint="cs"/>
          <w:rtl/>
        </w:rPr>
        <w:t>מד המספר על 123 נרצחים). מדובר על כ- 4 נרצחים מדי שבוע. אין להשלים בשום אופן ופנים עם מציאות עגומה זו ויש להילחם בה בנחישות ובכל תוקף. בעתות חירום כגון אלו נסוג האינטרס האישי של הנאשם בפני הצורך בהרתעת הרבים על ידי הטלת ענישה מחמירה. עמד על כך בית המשפט לאחרונה ב</w:t>
      </w:r>
      <w:hyperlink r:id="rId20" w:history="1">
        <w:r w:rsidR="000C0B2C" w:rsidRPr="000C0B2C">
          <w:rPr>
            <w:rFonts w:ascii="David" w:eastAsia="Calibri" w:hAnsi="David"/>
            <w:color w:val="0000FF"/>
            <w:u w:val="single"/>
            <w:rtl/>
          </w:rPr>
          <w:t>ע"פ 7971/23</w:t>
        </w:r>
      </w:hyperlink>
      <w:r w:rsidR="000C0B2C">
        <w:rPr>
          <w:rFonts w:ascii="David" w:eastAsia="Calibri" w:hAnsi="David"/>
          <w:rtl/>
        </w:rPr>
        <w:t xml:space="preserve"> </w:t>
      </w:r>
      <w:r w:rsidRPr="004A2463">
        <w:rPr>
          <w:rFonts w:ascii="David" w:eastAsia="Calibri" w:hAnsi="David"/>
          <w:b/>
          <w:bCs/>
          <w:rtl/>
        </w:rPr>
        <w:t>מג'ד אגבאריה נ' מדינת ישראל</w:t>
      </w:r>
      <w:r w:rsidR="000C0B2C">
        <w:rPr>
          <w:rFonts w:ascii="David" w:eastAsia="Calibri" w:hAnsi="David"/>
          <w:rtl/>
        </w:rPr>
        <w:t xml:space="preserve"> </w:t>
      </w:r>
      <w:r w:rsidR="002173D4">
        <w:rPr>
          <w:rFonts w:ascii="David" w:eastAsia="Calibri" w:hAnsi="David" w:hint="cs"/>
          <w:rtl/>
        </w:rPr>
        <w:t xml:space="preserve">[נבו] </w:t>
      </w:r>
      <w:r w:rsidRPr="004A2463">
        <w:rPr>
          <w:rFonts w:ascii="David" w:eastAsia="Calibri" w:hAnsi="David"/>
          <w:rtl/>
        </w:rPr>
        <w:t xml:space="preserve">(26.05.2024) </w:t>
      </w:r>
      <w:r w:rsidRPr="004A2463">
        <w:rPr>
          <w:rFonts w:ascii="David" w:eastAsia="Calibri" w:hAnsi="David" w:hint="cs"/>
          <w:rtl/>
        </w:rPr>
        <w:t>בקבעו כי:</w:t>
      </w:r>
    </w:p>
    <w:p w14:paraId="561142D8"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r w:rsidRPr="004A2463">
        <w:rPr>
          <w:rFonts w:ascii="David" w:eastAsia="Calibri" w:hAnsi="David" w:hint="cs"/>
          <w:rtl/>
        </w:rPr>
        <w:t xml:space="preserve"> </w:t>
      </w:r>
    </w:p>
    <w:p w14:paraId="6F3E4D48" w14:textId="77777777" w:rsidR="004A2463" w:rsidRPr="004A2463" w:rsidRDefault="004A2463" w:rsidP="004A2463">
      <w:pPr>
        <w:tabs>
          <w:tab w:val="left" w:pos="567"/>
          <w:tab w:val="left" w:pos="1134"/>
          <w:tab w:val="left" w:pos="1701"/>
        </w:tabs>
        <w:spacing w:line="360" w:lineRule="auto"/>
        <w:ind w:left="1418" w:right="1418"/>
        <w:jc w:val="both"/>
        <w:rPr>
          <w:rFonts w:ascii="David" w:eastAsia="Calibri" w:hAnsi="David"/>
          <w:rtl/>
        </w:rPr>
      </w:pPr>
      <w:r w:rsidRPr="004A2463">
        <w:rPr>
          <w:rFonts w:ascii="David" w:eastAsia="Calibri" w:hAnsi="David"/>
          <w:rtl/>
        </w:rPr>
        <w:t>"</w:t>
      </w:r>
      <w:r w:rsidRPr="004A2463">
        <w:rPr>
          <w:rFonts w:ascii="David" w:eastAsia="Calibri" w:hAnsi="David" w:hint="cs"/>
          <w:rtl/>
        </w:rPr>
        <w:t>ע</w:t>
      </w:r>
      <w:r w:rsidRPr="004A2463">
        <w:rPr>
          <w:rFonts w:ascii="David" w:eastAsia="Calibri" w:hAnsi="David"/>
          <w:rtl/>
        </w:rPr>
        <w:t xml:space="preserve">בירות הנשק מצויות על סדר יומו של בית משפט זה דרך שגרה. עובדה זו מהווה השתקפות של תמונת האלימות והפשיעה בנשק הגואה בחברה הישראלית, ובחברה הערבית בפרט; של תמונת הקורבנות מעבירות הנשק המציגה גידול מידי שנה; ושל רמת האכיפה בכל המתייחס להחזקת נשק לא חוקי. כבר תואר כי המצב הגיע לכדי מצב חירום לאומי. על רקע זה, ניכרת בפסיקה מגמה של הקשחת מדיניות הענישה בעבירות נשק, תוך מתן משקל מרכזי לשיקול של הרתעת הכלל (ראו: </w:t>
      </w:r>
      <w:hyperlink r:id="rId21" w:history="1">
        <w:r w:rsidR="000C0B2C" w:rsidRPr="000C0B2C">
          <w:rPr>
            <w:rFonts w:ascii="David" w:eastAsia="Calibri" w:hAnsi="David"/>
            <w:color w:val="0000FF"/>
            <w:u w:val="single"/>
            <w:rtl/>
          </w:rPr>
          <w:t>ע"פ 1695/22</w:t>
        </w:r>
      </w:hyperlink>
      <w:r w:rsidRPr="004A2463">
        <w:rPr>
          <w:rFonts w:ascii="David" w:eastAsia="Calibri" w:hAnsi="David"/>
          <w:rtl/>
        </w:rPr>
        <w:t xml:space="preserve"> מדינת ישראל נ' גנאים, פסקה 11 [נבו] (29.3.2022); </w:t>
      </w:r>
      <w:hyperlink r:id="rId22" w:history="1">
        <w:r w:rsidR="000C0B2C" w:rsidRPr="000C0B2C">
          <w:rPr>
            <w:rFonts w:ascii="David" w:eastAsia="Calibri" w:hAnsi="David"/>
            <w:color w:val="0000FF"/>
            <w:u w:val="single"/>
            <w:rtl/>
          </w:rPr>
          <w:t>ע"פ 309/22</w:t>
        </w:r>
      </w:hyperlink>
      <w:r w:rsidRPr="004A2463">
        <w:rPr>
          <w:rFonts w:ascii="David" w:eastAsia="Calibri" w:hAnsi="David"/>
          <w:rtl/>
        </w:rPr>
        <w:t xml:space="preserve"> מדינת ישראל נ' ביאדסה, פסקה 6 [נבו] (10.5.2022) (להלן: עניין ביאדסה)). ענישה זו כוללת לרוב עונשי מאסר ממושכים לריצוי בפועל, המושתים גם על נאשמים צעירים נעדרי עבר פלילי (</w:t>
      </w:r>
      <w:hyperlink r:id="rId23" w:history="1">
        <w:r w:rsidR="000C0B2C" w:rsidRPr="000C0B2C">
          <w:rPr>
            <w:rFonts w:ascii="David" w:eastAsia="Calibri" w:hAnsi="David"/>
            <w:color w:val="0000FF"/>
            <w:u w:val="single"/>
            <w:rtl/>
          </w:rPr>
          <w:t>ע"פ 5330/20</w:t>
        </w:r>
      </w:hyperlink>
      <w:r w:rsidRPr="004A2463">
        <w:rPr>
          <w:rFonts w:ascii="David" w:eastAsia="Calibri" w:hAnsi="David"/>
          <w:rtl/>
        </w:rPr>
        <w:t xml:space="preserve"> ענבתאוי נ' מדינת ישראל, פסקה 14 [נבו]</w:t>
      </w:r>
      <w:r w:rsidRPr="004A2463">
        <w:rPr>
          <w:rFonts w:ascii="David" w:eastAsia="Calibri" w:hAnsi="David"/>
        </w:rPr>
        <w:t xml:space="preserve"> (22.11.2020)</w:t>
      </w:r>
      <w:r w:rsidRPr="004A2463">
        <w:rPr>
          <w:rFonts w:ascii="David" w:eastAsia="Calibri" w:hAnsi="David"/>
          <w:rtl/>
        </w:rPr>
        <w:t>)</w:t>
      </w:r>
      <w:r w:rsidRPr="004A2463">
        <w:rPr>
          <w:rFonts w:ascii="David" w:eastAsia="Calibri" w:hAnsi="David"/>
        </w:rPr>
        <w:t>."</w:t>
      </w:r>
    </w:p>
    <w:p w14:paraId="4427A3D0" w14:textId="77777777" w:rsidR="004A2463" w:rsidRPr="004A2463" w:rsidRDefault="004A2463" w:rsidP="004A2463">
      <w:pPr>
        <w:tabs>
          <w:tab w:val="left" w:pos="567"/>
          <w:tab w:val="left" w:pos="1134"/>
          <w:tab w:val="left" w:pos="1701"/>
        </w:tabs>
        <w:spacing w:line="360" w:lineRule="auto"/>
        <w:jc w:val="both"/>
        <w:rPr>
          <w:rFonts w:ascii="David" w:eastAsia="Calibri" w:hAnsi="David"/>
          <w:rtl/>
        </w:rPr>
      </w:pPr>
    </w:p>
    <w:p w14:paraId="3FC448B1" w14:textId="77777777" w:rsidR="004A2463" w:rsidRPr="004A2463" w:rsidRDefault="004A2463" w:rsidP="004A2463">
      <w:pPr>
        <w:tabs>
          <w:tab w:val="left" w:pos="567"/>
          <w:tab w:val="left" w:pos="1134"/>
          <w:tab w:val="left" w:pos="1701"/>
        </w:tabs>
        <w:spacing w:line="360" w:lineRule="auto"/>
        <w:jc w:val="both"/>
        <w:rPr>
          <w:rFonts w:ascii="David" w:eastAsia="Calibri" w:hAnsi="David"/>
          <w:rtl/>
        </w:rPr>
      </w:pPr>
      <w:r w:rsidRPr="004A2463">
        <w:rPr>
          <w:rFonts w:ascii="David" w:eastAsia="Calibri" w:hAnsi="David" w:hint="cs"/>
          <w:rtl/>
        </w:rPr>
        <w:tab/>
        <w:t>יפים לעניין זה גם הדברים שנאמרו ב</w:t>
      </w:r>
      <w:hyperlink r:id="rId24" w:history="1">
        <w:r w:rsidR="000C0B2C" w:rsidRPr="000C0B2C">
          <w:rPr>
            <w:rFonts w:ascii="David" w:eastAsia="Calibri" w:hAnsi="David"/>
            <w:color w:val="0000FF"/>
            <w:u w:val="single"/>
            <w:rtl/>
          </w:rPr>
          <w:t>ע"פ 6753/23</w:t>
        </w:r>
      </w:hyperlink>
      <w:r w:rsidR="000C0B2C">
        <w:rPr>
          <w:rFonts w:ascii="David" w:eastAsia="Calibri" w:hAnsi="David"/>
          <w:rtl/>
        </w:rPr>
        <w:t xml:space="preserve"> </w:t>
      </w:r>
      <w:r w:rsidRPr="004A2463">
        <w:rPr>
          <w:rFonts w:ascii="David" w:eastAsia="Calibri" w:hAnsi="David"/>
          <w:b/>
          <w:bCs/>
          <w:rtl/>
        </w:rPr>
        <w:t>בסול נ' מדינת ישראל</w:t>
      </w:r>
      <w:r w:rsidR="000C0B2C">
        <w:rPr>
          <w:rFonts w:ascii="David" w:eastAsia="Calibri" w:hAnsi="David"/>
          <w:rtl/>
        </w:rPr>
        <w:t xml:space="preserve"> </w:t>
      </w:r>
      <w:r w:rsidR="002173D4">
        <w:rPr>
          <w:rFonts w:ascii="David" w:eastAsia="Calibri" w:hAnsi="David" w:hint="cs"/>
          <w:rtl/>
        </w:rPr>
        <w:t>[נבו]</w:t>
      </w:r>
      <w:r w:rsidR="002173D4" w:rsidRPr="004A2463">
        <w:rPr>
          <w:rFonts w:ascii="David" w:eastAsia="Calibri" w:hAnsi="David"/>
          <w:rtl/>
        </w:rPr>
        <w:t xml:space="preserve"> </w:t>
      </w:r>
      <w:r w:rsidRPr="004A2463">
        <w:rPr>
          <w:rFonts w:ascii="David" w:eastAsia="Calibri" w:hAnsi="David"/>
          <w:rtl/>
        </w:rPr>
        <w:t xml:space="preserve">(01.04.2024) </w:t>
      </w:r>
      <w:r w:rsidRPr="004A2463">
        <w:rPr>
          <w:rFonts w:ascii="David" w:eastAsia="Calibri" w:hAnsi="David" w:hint="cs"/>
          <w:rtl/>
        </w:rPr>
        <w:t xml:space="preserve">כי: </w:t>
      </w:r>
    </w:p>
    <w:p w14:paraId="682577E1"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p>
    <w:p w14:paraId="0074DAD1" w14:textId="77777777" w:rsidR="004A2463" w:rsidRPr="004A2463" w:rsidRDefault="004A2463" w:rsidP="004A2463">
      <w:pPr>
        <w:tabs>
          <w:tab w:val="left" w:pos="567"/>
          <w:tab w:val="left" w:pos="1134"/>
          <w:tab w:val="left" w:pos="1701"/>
        </w:tabs>
        <w:spacing w:line="360" w:lineRule="auto"/>
        <w:ind w:left="1418" w:right="1418"/>
        <w:jc w:val="both"/>
        <w:rPr>
          <w:rFonts w:ascii="David" w:eastAsia="Calibri" w:hAnsi="David"/>
          <w:rtl/>
        </w:rPr>
      </w:pPr>
      <w:r w:rsidRPr="004A2463">
        <w:rPr>
          <w:rFonts w:ascii="David" w:eastAsia="Calibri" w:hAnsi="David"/>
          <w:rtl/>
        </w:rPr>
        <w:t xml:space="preserve">"בית משפט זה עמד פעמים רבות על הצורך בהטלת ענישה מחמירה ומרתיעה לשם מיגור עבירות הנשק, אשר הפכו זה מכבר ל"מכת מדינה" של ממש (ראו למשל: </w:t>
      </w:r>
      <w:hyperlink r:id="rId25" w:history="1">
        <w:r w:rsidR="000C0B2C" w:rsidRPr="000C0B2C">
          <w:rPr>
            <w:rFonts w:ascii="David" w:eastAsia="Calibri" w:hAnsi="David"/>
            <w:color w:val="0000FF"/>
            <w:u w:val="single"/>
            <w:rtl/>
          </w:rPr>
          <w:t>ע"פ 5681/23</w:t>
        </w:r>
      </w:hyperlink>
      <w:r w:rsidRPr="004A2463">
        <w:rPr>
          <w:rFonts w:ascii="David" w:eastAsia="Calibri" w:hAnsi="David"/>
          <w:rtl/>
        </w:rPr>
        <w:t xml:space="preserve"> חווא נ' מדינת ישראל, פסקה 11 [פורסם בנבו] (20.12.2023); </w:t>
      </w:r>
      <w:hyperlink r:id="rId26" w:history="1">
        <w:r w:rsidR="000C0B2C" w:rsidRPr="000C0B2C">
          <w:rPr>
            <w:rFonts w:ascii="David" w:eastAsia="Calibri" w:hAnsi="David"/>
            <w:color w:val="0000FF"/>
            <w:u w:val="single"/>
            <w:rtl/>
          </w:rPr>
          <w:t>ע"פ 147/21</w:t>
        </w:r>
      </w:hyperlink>
      <w:r w:rsidRPr="004A2463">
        <w:rPr>
          <w:rFonts w:ascii="David" w:eastAsia="Calibri" w:hAnsi="David"/>
          <w:rtl/>
        </w:rPr>
        <w:t xml:space="preserve"> מדינת ישראל נ' ביטון, פסקה 7 [פורסם בנבו</w:t>
      </w:r>
      <w:r w:rsidRPr="004A2463">
        <w:rPr>
          <w:rFonts w:ascii="David" w:eastAsia="Calibri" w:hAnsi="David" w:hint="cs"/>
          <w:rtl/>
        </w:rPr>
        <w:t>]</w:t>
      </w:r>
      <w:r w:rsidRPr="004A2463">
        <w:rPr>
          <w:rFonts w:ascii="David" w:eastAsia="Calibri" w:hAnsi="David"/>
        </w:rPr>
        <w:t xml:space="preserve"> </w:t>
      </w:r>
      <w:r w:rsidRPr="004A2463">
        <w:rPr>
          <w:rFonts w:ascii="David" w:eastAsia="Calibri" w:hAnsi="David" w:hint="cs"/>
          <w:rtl/>
        </w:rPr>
        <w:t>(</w:t>
      </w:r>
      <w:r w:rsidRPr="004A2463">
        <w:rPr>
          <w:rFonts w:ascii="David" w:eastAsia="Calibri" w:hAnsi="David"/>
        </w:rPr>
        <w:t>14.2.2021</w:t>
      </w:r>
      <w:r w:rsidRPr="004A2463">
        <w:rPr>
          <w:rFonts w:ascii="David" w:eastAsia="Calibri" w:hAnsi="David"/>
          <w:rtl/>
        </w:rPr>
        <w:t xml:space="preserve">). הדברים נכונים עת עסקינן בעבירות של נשיאה והובלה של נשק (ראו למשל: </w:t>
      </w:r>
      <w:hyperlink r:id="rId27" w:history="1">
        <w:r w:rsidR="000C0B2C" w:rsidRPr="000C0B2C">
          <w:rPr>
            <w:rFonts w:ascii="David" w:eastAsia="Calibri" w:hAnsi="David"/>
            <w:color w:val="0000FF"/>
            <w:u w:val="single"/>
            <w:rtl/>
          </w:rPr>
          <w:t>ע"פ 5602/22</w:t>
        </w:r>
      </w:hyperlink>
      <w:r w:rsidRPr="004A2463">
        <w:rPr>
          <w:rFonts w:ascii="David" w:eastAsia="Calibri" w:hAnsi="David"/>
          <w:rtl/>
        </w:rPr>
        <w:t xml:space="preserve"> מדינת ישראל נ' פלוני, פסקה 16 [פורסם בנבו]</w:t>
      </w:r>
      <w:r w:rsidRPr="004A2463">
        <w:rPr>
          <w:rFonts w:ascii="David" w:eastAsia="Calibri" w:hAnsi="David" w:hint="cs"/>
          <w:rtl/>
        </w:rPr>
        <w:t xml:space="preserve"> </w:t>
      </w:r>
      <w:r w:rsidRPr="004A2463">
        <w:rPr>
          <w:rFonts w:ascii="David" w:eastAsia="Calibri" w:hAnsi="David"/>
        </w:rPr>
        <w:t xml:space="preserve"> (14.9.2022)</w:t>
      </w:r>
      <w:r w:rsidRPr="004A2463">
        <w:rPr>
          <w:rFonts w:ascii="David" w:eastAsia="Calibri" w:hAnsi="David"/>
          <w:rtl/>
        </w:rPr>
        <w:t>), והם נכונים ביתר שאת כאשר מדובר, כמו במקרה שלפנינו, באירוע בו נעשה שימוש בפועל בנשק ונורו יריות</w:t>
      </w:r>
      <w:r w:rsidRPr="004A2463">
        <w:rPr>
          <w:rFonts w:ascii="David" w:eastAsia="Calibri" w:hAnsi="David"/>
        </w:rPr>
        <w:t>"</w:t>
      </w:r>
      <w:r w:rsidRPr="004A2463">
        <w:rPr>
          <w:rFonts w:ascii="David" w:eastAsia="Calibri" w:hAnsi="David" w:hint="cs"/>
          <w:rtl/>
        </w:rPr>
        <w:t xml:space="preserve">. </w:t>
      </w:r>
    </w:p>
    <w:p w14:paraId="1DFB42DE"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p>
    <w:p w14:paraId="4B41084E" w14:textId="77777777" w:rsidR="004A2463" w:rsidRPr="004A2463" w:rsidRDefault="004A2463" w:rsidP="004A2463">
      <w:pPr>
        <w:tabs>
          <w:tab w:val="left" w:pos="567"/>
          <w:tab w:val="left" w:pos="1134"/>
          <w:tab w:val="left" w:pos="1701"/>
        </w:tabs>
        <w:spacing w:line="360" w:lineRule="auto"/>
        <w:ind w:left="567"/>
        <w:jc w:val="both"/>
        <w:rPr>
          <w:rFonts w:ascii="Calibri" w:eastAsia="Calibri" w:hAnsi="Calibri"/>
        </w:rPr>
      </w:pPr>
      <w:r w:rsidRPr="004A2463">
        <w:rPr>
          <w:rFonts w:ascii="David" w:eastAsia="Calibri" w:hAnsi="David" w:hint="cs"/>
          <w:rtl/>
        </w:rPr>
        <w:t>ראו עוד בנדון:</w:t>
      </w:r>
      <w:r w:rsidRPr="004A2463">
        <w:rPr>
          <w:rFonts w:ascii="Calibri" w:eastAsia="Calibri" w:hAnsi="Calibri"/>
          <w:rtl/>
        </w:rPr>
        <w:t xml:space="preserve"> </w:t>
      </w:r>
      <w:hyperlink r:id="rId28" w:history="1">
        <w:r w:rsidR="000C0B2C" w:rsidRPr="000C0B2C">
          <w:rPr>
            <w:rFonts w:ascii="Calibri" w:eastAsia="Calibri" w:hAnsi="Calibri" w:hint="cs"/>
            <w:color w:val="0000FF"/>
            <w:u w:val="single"/>
            <w:rtl/>
          </w:rPr>
          <w:t>ע</w:t>
        </w:r>
        <w:r w:rsidR="000C0B2C" w:rsidRPr="000C0B2C">
          <w:rPr>
            <w:rFonts w:ascii="Calibri" w:eastAsia="Calibri" w:hAnsi="Calibri"/>
            <w:color w:val="0000FF"/>
            <w:u w:val="single"/>
            <w:rtl/>
          </w:rPr>
          <w:t>"</w:t>
        </w:r>
        <w:r w:rsidR="000C0B2C" w:rsidRPr="000C0B2C">
          <w:rPr>
            <w:rFonts w:ascii="Calibri" w:eastAsia="Calibri" w:hAnsi="Calibri" w:hint="cs"/>
            <w:color w:val="0000FF"/>
            <w:u w:val="single"/>
            <w:rtl/>
          </w:rPr>
          <w:t>פ</w:t>
        </w:r>
        <w:r w:rsidR="000C0B2C" w:rsidRPr="000C0B2C">
          <w:rPr>
            <w:rFonts w:ascii="Calibri" w:eastAsia="Calibri" w:hAnsi="Calibri"/>
            <w:color w:val="0000FF"/>
            <w:u w:val="single"/>
            <w:rtl/>
          </w:rPr>
          <w:t xml:space="preserve"> 2033/21</w:t>
        </w:r>
      </w:hyperlink>
      <w:r w:rsidRPr="004A2463">
        <w:rPr>
          <w:rFonts w:ascii="Calibri" w:eastAsia="Calibri" w:hAnsi="Calibri"/>
          <w:rtl/>
        </w:rPr>
        <w:t xml:space="preserve"> </w:t>
      </w:r>
      <w:r w:rsidRPr="004A2463">
        <w:rPr>
          <w:rFonts w:ascii="Calibri" w:eastAsia="Calibri" w:hAnsi="Calibri"/>
          <w:b/>
          <w:bCs/>
          <w:rtl/>
        </w:rPr>
        <w:t xml:space="preserve">זועבי נ' מדינת ישראל </w:t>
      </w:r>
      <w:r w:rsidR="002173D4">
        <w:rPr>
          <w:rFonts w:ascii="David" w:eastAsia="Calibri" w:hAnsi="David" w:hint="cs"/>
          <w:rtl/>
        </w:rPr>
        <w:t>[נבו]</w:t>
      </w:r>
      <w:r w:rsidR="002173D4" w:rsidRPr="004A2463">
        <w:rPr>
          <w:rFonts w:ascii="Calibri" w:eastAsia="Calibri" w:hAnsi="Calibri"/>
          <w:rtl/>
        </w:rPr>
        <w:t xml:space="preserve"> </w:t>
      </w:r>
      <w:r w:rsidRPr="004A2463">
        <w:rPr>
          <w:rFonts w:ascii="Calibri" w:eastAsia="Calibri" w:hAnsi="Calibri"/>
          <w:rtl/>
        </w:rPr>
        <w:t xml:space="preserve">(30.8.21); </w:t>
      </w:r>
      <w:hyperlink r:id="rId29" w:history="1">
        <w:r w:rsidR="000C0B2C" w:rsidRPr="000C0B2C">
          <w:rPr>
            <w:rFonts w:ascii="Calibri" w:eastAsia="Calibri" w:hAnsi="Calibri" w:hint="cs"/>
            <w:color w:val="0000FF"/>
            <w:u w:val="single"/>
            <w:rtl/>
          </w:rPr>
          <w:t>ע</w:t>
        </w:r>
        <w:r w:rsidR="000C0B2C" w:rsidRPr="000C0B2C">
          <w:rPr>
            <w:rFonts w:ascii="Calibri" w:eastAsia="Calibri" w:hAnsi="Calibri"/>
            <w:color w:val="0000FF"/>
            <w:u w:val="single"/>
            <w:rtl/>
          </w:rPr>
          <w:t>"</w:t>
        </w:r>
        <w:r w:rsidR="000C0B2C" w:rsidRPr="000C0B2C">
          <w:rPr>
            <w:rFonts w:ascii="Calibri" w:eastAsia="Calibri" w:hAnsi="Calibri" w:hint="cs"/>
            <w:color w:val="0000FF"/>
            <w:u w:val="single"/>
            <w:rtl/>
          </w:rPr>
          <w:t>פ</w:t>
        </w:r>
        <w:r w:rsidR="000C0B2C" w:rsidRPr="000C0B2C">
          <w:rPr>
            <w:rFonts w:ascii="Calibri" w:eastAsia="Calibri" w:hAnsi="Calibri"/>
            <w:color w:val="0000FF"/>
            <w:u w:val="single"/>
            <w:rtl/>
          </w:rPr>
          <w:t xml:space="preserve"> 7473/20</w:t>
        </w:r>
      </w:hyperlink>
      <w:r w:rsidRPr="004A2463">
        <w:rPr>
          <w:rFonts w:ascii="Calibri" w:eastAsia="Calibri" w:hAnsi="Calibri"/>
          <w:rtl/>
        </w:rPr>
        <w:t xml:space="preserve"> </w:t>
      </w:r>
      <w:r w:rsidRPr="004A2463">
        <w:rPr>
          <w:rFonts w:ascii="Calibri" w:eastAsia="Calibri" w:hAnsi="Calibri"/>
          <w:b/>
          <w:bCs/>
          <w:rtl/>
        </w:rPr>
        <w:t xml:space="preserve">מדינת ישראל נ' מחאמיד </w:t>
      </w:r>
      <w:r w:rsidR="002173D4">
        <w:rPr>
          <w:rFonts w:ascii="David" w:eastAsia="Calibri" w:hAnsi="David" w:hint="cs"/>
          <w:rtl/>
        </w:rPr>
        <w:t>[נבו]</w:t>
      </w:r>
      <w:r w:rsidR="002173D4" w:rsidRPr="004A2463">
        <w:rPr>
          <w:rFonts w:ascii="Calibri" w:eastAsia="Calibri" w:hAnsi="Calibri"/>
          <w:rtl/>
        </w:rPr>
        <w:t xml:space="preserve"> </w:t>
      </w:r>
      <w:r w:rsidRPr="004A2463">
        <w:rPr>
          <w:rFonts w:ascii="Calibri" w:eastAsia="Calibri" w:hAnsi="Calibri"/>
          <w:rtl/>
        </w:rPr>
        <w:t xml:space="preserve">(29.6.21); </w:t>
      </w:r>
      <w:hyperlink r:id="rId30" w:history="1">
        <w:r w:rsidR="000C0B2C" w:rsidRPr="000C0B2C">
          <w:rPr>
            <w:rFonts w:ascii="Calibri" w:eastAsia="Calibri" w:hAnsi="Calibri" w:hint="cs"/>
            <w:color w:val="0000FF"/>
            <w:u w:val="single"/>
            <w:rtl/>
          </w:rPr>
          <w:t>ע</w:t>
        </w:r>
        <w:r w:rsidR="000C0B2C" w:rsidRPr="000C0B2C">
          <w:rPr>
            <w:rFonts w:ascii="Calibri" w:eastAsia="Calibri" w:hAnsi="Calibri"/>
            <w:color w:val="0000FF"/>
            <w:u w:val="single"/>
            <w:rtl/>
          </w:rPr>
          <w:t>"</w:t>
        </w:r>
        <w:r w:rsidR="000C0B2C" w:rsidRPr="000C0B2C">
          <w:rPr>
            <w:rFonts w:ascii="Calibri" w:eastAsia="Calibri" w:hAnsi="Calibri" w:hint="cs"/>
            <w:color w:val="0000FF"/>
            <w:u w:val="single"/>
            <w:rtl/>
          </w:rPr>
          <w:t>פ</w:t>
        </w:r>
        <w:r w:rsidR="000C0B2C" w:rsidRPr="000C0B2C">
          <w:rPr>
            <w:rFonts w:ascii="Calibri" w:eastAsia="Calibri" w:hAnsi="Calibri"/>
            <w:color w:val="0000FF"/>
            <w:u w:val="single"/>
            <w:rtl/>
          </w:rPr>
          <w:t xml:space="preserve"> 135/17</w:t>
        </w:r>
      </w:hyperlink>
      <w:r w:rsidRPr="004A2463">
        <w:rPr>
          <w:rFonts w:ascii="Calibri" w:eastAsia="Calibri" w:hAnsi="Calibri"/>
          <w:rtl/>
        </w:rPr>
        <w:t xml:space="preserve"> </w:t>
      </w:r>
      <w:r w:rsidRPr="004A2463">
        <w:rPr>
          <w:rFonts w:ascii="Calibri" w:eastAsia="Calibri" w:hAnsi="Calibri"/>
          <w:b/>
          <w:bCs/>
          <w:rtl/>
        </w:rPr>
        <w:t>מדינת ישראל נ' בסל</w:t>
      </w:r>
      <w:r w:rsidRPr="004A2463">
        <w:rPr>
          <w:rFonts w:ascii="Calibri" w:eastAsia="Calibri" w:hAnsi="Calibri"/>
          <w:rtl/>
        </w:rPr>
        <w:t xml:space="preserve"> </w:t>
      </w:r>
      <w:r w:rsidR="002173D4">
        <w:rPr>
          <w:rFonts w:ascii="David" w:eastAsia="Calibri" w:hAnsi="David" w:hint="cs"/>
          <w:rtl/>
        </w:rPr>
        <w:t>[נבו]</w:t>
      </w:r>
      <w:r w:rsidR="002173D4" w:rsidRPr="004A2463">
        <w:rPr>
          <w:rFonts w:ascii="Calibri" w:eastAsia="Calibri" w:hAnsi="Calibri"/>
          <w:rtl/>
        </w:rPr>
        <w:t xml:space="preserve"> </w:t>
      </w:r>
      <w:r w:rsidRPr="004A2463">
        <w:rPr>
          <w:rFonts w:ascii="Calibri" w:eastAsia="Calibri" w:hAnsi="Calibri"/>
          <w:rtl/>
        </w:rPr>
        <w:t xml:space="preserve">(08.03.17); </w:t>
      </w:r>
      <w:hyperlink r:id="rId31" w:history="1">
        <w:r w:rsidR="000C0B2C" w:rsidRPr="000C0B2C">
          <w:rPr>
            <w:rFonts w:ascii="Calibri" w:eastAsia="Calibri" w:hAnsi="Calibri" w:hint="cs"/>
            <w:color w:val="0000FF"/>
            <w:u w:val="single"/>
            <w:rtl/>
          </w:rPr>
          <w:t>רע</w:t>
        </w:r>
        <w:r w:rsidR="000C0B2C" w:rsidRPr="000C0B2C">
          <w:rPr>
            <w:rFonts w:ascii="Calibri" w:eastAsia="Calibri" w:hAnsi="Calibri"/>
            <w:color w:val="0000FF"/>
            <w:u w:val="single"/>
            <w:rtl/>
          </w:rPr>
          <w:t>"</w:t>
        </w:r>
        <w:r w:rsidR="000C0B2C" w:rsidRPr="000C0B2C">
          <w:rPr>
            <w:rFonts w:ascii="Calibri" w:eastAsia="Calibri" w:hAnsi="Calibri" w:hint="cs"/>
            <w:color w:val="0000FF"/>
            <w:u w:val="single"/>
            <w:rtl/>
          </w:rPr>
          <w:t>פ</w:t>
        </w:r>
        <w:r w:rsidR="000C0B2C" w:rsidRPr="000C0B2C">
          <w:rPr>
            <w:rFonts w:ascii="Calibri" w:eastAsia="Calibri" w:hAnsi="Calibri"/>
            <w:color w:val="0000FF"/>
            <w:u w:val="single"/>
            <w:rtl/>
          </w:rPr>
          <w:t xml:space="preserve"> 4079/21</w:t>
        </w:r>
      </w:hyperlink>
      <w:r w:rsidRPr="004A2463">
        <w:rPr>
          <w:rFonts w:ascii="Calibri" w:eastAsia="Calibri" w:hAnsi="Calibri"/>
          <w:rtl/>
        </w:rPr>
        <w:t xml:space="preserve"> </w:t>
      </w:r>
      <w:r w:rsidRPr="004A2463">
        <w:rPr>
          <w:rFonts w:ascii="Calibri" w:eastAsia="Calibri" w:hAnsi="Calibri"/>
          <w:b/>
          <w:bCs/>
          <w:rtl/>
        </w:rPr>
        <w:t>פלוני נ' מדינת ישראל</w:t>
      </w:r>
      <w:r w:rsidRPr="004A2463">
        <w:rPr>
          <w:rFonts w:ascii="Calibri" w:eastAsia="Calibri" w:hAnsi="Calibri"/>
          <w:rtl/>
        </w:rPr>
        <w:t xml:space="preserve"> </w:t>
      </w:r>
      <w:r w:rsidR="002173D4">
        <w:rPr>
          <w:rFonts w:ascii="David" w:eastAsia="Calibri" w:hAnsi="David" w:hint="cs"/>
          <w:rtl/>
        </w:rPr>
        <w:t>[נבו]</w:t>
      </w:r>
      <w:r w:rsidR="002173D4" w:rsidRPr="004A2463">
        <w:rPr>
          <w:rFonts w:ascii="Calibri" w:eastAsia="Calibri" w:hAnsi="Calibri"/>
          <w:rtl/>
        </w:rPr>
        <w:t xml:space="preserve"> </w:t>
      </w:r>
      <w:r w:rsidRPr="004A2463">
        <w:rPr>
          <w:rFonts w:ascii="Calibri" w:eastAsia="Calibri" w:hAnsi="Calibri"/>
          <w:rtl/>
        </w:rPr>
        <w:t xml:space="preserve">(20.6.21); </w:t>
      </w:r>
      <w:hyperlink r:id="rId32" w:history="1">
        <w:r w:rsidR="000C0B2C" w:rsidRPr="000C0B2C">
          <w:rPr>
            <w:rFonts w:ascii="Calibri" w:eastAsia="Calibri" w:hAnsi="Calibri" w:hint="cs"/>
            <w:color w:val="0000FF"/>
            <w:u w:val="single"/>
            <w:rtl/>
          </w:rPr>
          <w:t>ע</w:t>
        </w:r>
        <w:r w:rsidR="000C0B2C" w:rsidRPr="000C0B2C">
          <w:rPr>
            <w:rFonts w:ascii="Calibri" w:eastAsia="Calibri" w:hAnsi="Calibri"/>
            <w:color w:val="0000FF"/>
            <w:u w:val="single"/>
            <w:rtl/>
          </w:rPr>
          <w:t>"</w:t>
        </w:r>
        <w:r w:rsidR="000C0B2C" w:rsidRPr="000C0B2C">
          <w:rPr>
            <w:rFonts w:ascii="Calibri" w:eastAsia="Calibri" w:hAnsi="Calibri" w:hint="cs"/>
            <w:color w:val="0000FF"/>
            <w:u w:val="single"/>
            <w:rtl/>
          </w:rPr>
          <w:t>פ</w:t>
        </w:r>
        <w:r w:rsidR="000C0B2C" w:rsidRPr="000C0B2C">
          <w:rPr>
            <w:rFonts w:ascii="Calibri" w:eastAsia="Calibri" w:hAnsi="Calibri"/>
            <w:color w:val="0000FF"/>
            <w:u w:val="single"/>
            <w:rtl/>
          </w:rPr>
          <w:t xml:space="preserve"> 6277/20</w:t>
        </w:r>
      </w:hyperlink>
      <w:r w:rsidRPr="004A2463">
        <w:rPr>
          <w:rFonts w:ascii="Calibri" w:eastAsia="Calibri" w:hAnsi="Calibri"/>
          <w:rtl/>
        </w:rPr>
        <w:t xml:space="preserve"> </w:t>
      </w:r>
      <w:r w:rsidRPr="004A2463">
        <w:rPr>
          <w:rFonts w:ascii="Calibri" w:eastAsia="Calibri" w:hAnsi="Calibri"/>
          <w:b/>
          <w:bCs/>
          <w:rtl/>
        </w:rPr>
        <w:t>היילי נ' מדינת ישראל</w:t>
      </w:r>
      <w:r w:rsidRPr="004A2463">
        <w:rPr>
          <w:rFonts w:ascii="Calibri" w:eastAsia="Calibri" w:hAnsi="Calibri"/>
          <w:rtl/>
        </w:rPr>
        <w:t xml:space="preserve"> </w:t>
      </w:r>
      <w:r w:rsidR="002173D4">
        <w:rPr>
          <w:rFonts w:ascii="David" w:eastAsia="Calibri" w:hAnsi="David" w:hint="cs"/>
          <w:rtl/>
        </w:rPr>
        <w:t>[נבו]</w:t>
      </w:r>
      <w:r w:rsidR="002173D4" w:rsidRPr="004A2463">
        <w:rPr>
          <w:rFonts w:ascii="Calibri" w:eastAsia="Calibri" w:hAnsi="Calibri"/>
          <w:rtl/>
        </w:rPr>
        <w:t xml:space="preserve"> </w:t>
      </w:r>
      <w:r w:rsidRPr="004A2463">
        <w:rPr>
          <w:rFonts w:ascii="Calibri" w:eastAsia="Calibri" w:hAnsi="Calibri"/>
          <w:rtl/>
        </w:rPr>
        <w:t xml:space="preserve">(24.3.21); </w:t>
      </w:r>
      <w:hyperlink r:id="rId33" w:history="1">
        <w:r w:rsidR="000C0B2C" w:rsidRPr="000C0B2C">
          <w:rPr>
            <w:rFonts w:ascii="Calibri" w:eastAsia="Calibri" w:hAnsi="Calibri" w:hint="cs"/>
            <w:color w:val="0000FF"/>
            <w:u w:val="single"/>
            <w:rtl/>
          </w:rPr>
          <w:t>ע</w:t>
        </w:r>
        <w:r w:rsidR="000C0B2C" w:rsidRPr="000C0B2C">
          <w:rPr>
            <w:rFonts w:ascii="Calibri" w:eastAsia="Calibri" w:hAnsi="Calibri"/>
            <w:color w:val="0000FF"/>
            <w:u w:val="single"/>
            <w:rtl/>
          </w:rPr>
          <w:t>"</w:t>
        </w:r>
        <w:r w:rsidR="000C0B2C" w:rsidRPr="000C0B2C">
          <w:rPr>
            <w:rFonts w:ascii="Calibri" w:eastAsia="Calibri" w:hAnsi="Calibri" w:hint="cs"/>
            <w:color w:val="0000FF"/>
            <w:u w:val="single"/>
            <w:rtl/>
          </w:rPr>
          <w:t>פ</w:t>
        </w:r>
        <w:r w:rsidR="000C0B2C" w:rsidRPr="000C0B2C">
          <w:rPr>
            <w:rFonts w:ascii="Calibri" w:eastAsia="Calibri" w:hAnsi="Calibri"/>
            <w:color w:val="0000FF"/>
            <w:u w:val="single"/>
            <w:rtl/>
          </w:rPr>
          <w:t xml:space="preserve"> 147/21</w:t>
        </w:r>
      </w:hyperlink>
      <w:r w:rsidRPr="004A2463">
        <w:rPr>
          <w:rFonts w:ascii="Calibri" w:eastAsia="Calibri" w:hAnsi="Calibri"/>
          <w:rtl/>
        </w:rPr>
        <w:t xml:space="preserve"> </w:t>
      </w:r>
      <w:r w:rsidRPr="004A2463">
        <w:rPr>
          <w:rFonts w:ascii="Calibri" w:eastAsia="Calibri" w:hAnsi="Calibri"/>
          <w:b/>
          <w:bCs/>
          <w:rtl/>
        </w:rPr>
        <w:t>מדינת ישראל נ' ביטון</w:t>
      </w:r>
      <w:r w:rsidRPr="004A2463">
        <w:rPr>
          <w:rFonts w:ascii="Calibri" w:eastAsia="Calibri" w:hAnsi="Calibri"/>
          <w:rtl/>
        </w:rPr>
        <w:t xml:space="preserve"> </w:t>
      </w:r>
      <w:r w:rsidR="002173D4">
        <w:rPr>
          <w:rFonts w:ascii="David" w:eastAsia="Calibri" w:hAnsi="David" w:hint="cs"/>
          <w:rtl/>
        </w:rPr>
        <w:t>[נבו]</w:t>
      </w:r>
      <w:r w:rsidR="002173D4" w:rsidRPr="004A2463">
        <w:rPr>
          <w:rFonts w:ascii="Calibri" w:eastAsia="Calibri" w:hAnsi="Calibri"/>
          <w:rtl/>
        </w:rPr>
        <w:t xml:space="preserve"> </w:t>
      </w:r>
      <w:r w:rsidRPr="004A2463">
        <w:rPr>
          <w:rFonts w:ascii="Calibri" w:eastAsia="Calibri" w:hAnsi="Calibri"/>
          <w:rtl/>
        </w:rPr>
        <w:t xml:space="preserve">(14.2.21); </w:t>
      </w:r>
      <w:hyperlink r:id="rId34" w:history="1">
        <w:r w:rsidR="000C0B2C" w:rsidRPr="000C0B2C">
          <w:rPr>
            <w:rFonts w:ascii="Calibri" w:eastAsia="Calibri" w:hAnsi="Calibri" w:hint="cs"/>
            <w:color w:val="0000FF"/>
            <w:u w:val="single"/>
            <w:rtl/>
          </w:rPr>
          <w:t>ע</w:t>
        </w:r>
        <w:r w:rsidR="000C0B2C" w:rsidRPr="000C0B2C">
          <w:rPr>
            <w:rFonts w:ascii="Calibri" w:eastAsia="Calibri" w:hAnsi="Calibri"/>
            <w:color w:val="0000FF"/>
            <w:u w:val="single"/>
            <w:rtl/>
          </w:rPr>
          <w:t>"</w:t>
        </w:r>
        <w:r w:rsidR="000C0B2C" w:rsidRPr="000C0B2C">
          <w:rPr>
            <w:rFonts w:ascii="Calibri" w:eastAsia="Calibri" w:hAnsi="Calibri" w:hint="cs"/>
            <w:color w:val="0000FF"/>
            <w:u w:val="single"/>
            <w:rtl/>
          </w:rPr>
          <w:t>פ</w:t>
        </w:r>
        <w:r w:rsidR="000C0B2C" w:rsidRPr="000C0B2C">
          <w:rPr>
            <w:rFonts w:ascii="Calibri" w:eastAsia="Calibri" w:hAnsi="Calibri"/>
            <w:color w:val="0000FF"/>
            <w:u w:val="single"/>
            <w:rtl/>
          </w:rPr>
          <w:t xml:space="preserve"> 2564/19</w:t>
        </w:r>
      </w:hyperlink>
      <w:r w:rsidRPr="004A2463">
        <w:rPr>
          <w:rFonts w:ascii="Calibri" w:eastAsia="Calibri" w:hAnsi="Calibri"/>
          <w:rtl/>
        </w:rPr>
        <w:t xml:space="preserve"> </w:t>
      </w:r>
      <w:r w:rsidRPr="004A2463">
        <w:rPr>
          <w:rFonts w:ascii="Calibri" w:eastAsia="Calibri" w:hAnsi="Calibri"/>
          <w:b/>
          <w:bCs/>
          <w:rtl/>
        </w:rPr>
        <w:t>אזברגה נ' מדינת ישראל</w:t>
      </w:r>
      <w:r w:rsidRPr="004A2463">
        <w:rPr>
          <w:rFonts w:ascii="Calibri" w:eastAsia="Calibri" w:hAnsi="Calibri"/>
          <w:rtl/>
        </w:rPr>
        <w:t xml:space="preserve"> </w:t>
      </w:r>
      <w:r w:rsidR="002173D4">
        <w:rPr>
          <w:rFonts w:ascii="David" w:eastAsia="Calibri" w:hAnsi="David" w:hint="cs"/>
          <w:rtl/>
        </w:rPr>
        <w:t>[נבו]</w:t>
      </w:r>
      <w:r w:rsidR="002173D4" w:rsidRPr="004A2463">
        <w:rPr>
          <w:rFonts w:ascii="Calibri" w:eastAsia="Calibri" w:hAnsi="Calibri"/>
          <w:rtl/>
        </w:rPr>
        <w:t xml:space="preserve"> </w:t>
      </w:r>
      <w:r w:rsidRPr="004A2463">
        <w:rPr>
          <w:rFonts w:ascii="Calibri" w:eastAsia="Calibri" w:hAnsi="Calibri"/>
          <w:rtl/>
        </w:rPr>
        <w:t>(18.7.19).</w:t>
      </w:r>
    </w:p>
    <w:p w14:paraId="18E86C85" w14:textId="77777777" w:rsidR="004A2463" w:rsidRPr="004A2463" w:rsidRDefault="004A2463" w:rsidP="004A2463">
      <w:pPr>
        <w:tabs>
          <w:tab w:val="left" w:pos="567"/>
          <w:tab w:val="left" w:pos="1134"/>
          <w:tab w:val="left" w:pos="1701"/>
        </w:tabs>
        <w:spacing w:line="360" w:lineRule="auto"/>
        <w:jc w:val="both"/>
        <w:rPr>
          <w:rFonts w:ascii="David" w:eastAsia="Calibri" w:hAnsi="David"/>
          <w:rtl/>
        </w:rPr>
      </w:pPr>
    </w:p>
    <w:p w14:paraId="2797F3BF"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r w:rsidRPr="004A2463">
        <w:rPr>
          <w:rFonts w:ascii="David" w:eastAsia="Calibri" w:hAnsi="David" w:hint="cs"/>
          <w:rtl/>
        </w:rPr>
        <w:t>24.</w:t>
      </w:r>
      <w:r w:rsidRPr="004A2463">
        <w:rPr>
          <w:rFonts w:ascii="David" w:eastAsia="Calibri" w:hAnsi="David"/>
          <w:rtl/>
        </w:rPr>
        <w:tab/>
      </w:r>
      <w:r w:rsidRPr="004A2463">
        <w:rPr>
          <w:rFonts w:ascii="David" w:eastAsia="Calibri" w:hAnsi="David" w:hint="cs"/>
          <w:rtl/>
        </w:rPr>
        <w:t xml:space="preserve">אף המחוקק נרתם למלחמה בתופעה זו של עבריינות בנשק, וזאת בדרך של תיקון </w:t>
      </w:r>
      <w:hyperlink r:id="rId35" w:history="1">
        <w:r w:rsidR="000C0B2C" w:rsidRPr="000C0B2C">
          <w:rPr>
            <w:rFonts w:ascii="David" w:eastAsia="Calibri" w:hAnsi="David"/>
            <w:color w:val="0000FF"/>
            <w:u w:val="single"/>
            <w:rtl/>
          </w:rPr>
          <w:t>חוק העונשין</w:t>
        </w:r>
      </w:hyperlink>
      <w:r w:rsidRPr="004A2463">
        <w:rPr>
          <w:rFonts w:ascii="David" w:eastAsia="Calibri" w:hAnsi="David" w:hint="cs"/>
          <w:rtl/>
        </w:rPr>
        <w:t xml:space="preserve"> שנכנס לתוקפו ביום 8.12.2021 ונועד להחמיר בענישה תוך קביעת עונשי מינימום לעבירות בנשק ובכללן רכישה, החזקה, נשיאה והובלה. בתיקון זה נקבע כי בתקופה של שלוש שנים מיום פרסומו, לא יפחת עונשו של מי שהורשע בעבירות המנויות </w:t>
      </w:r>
      <w:hyperlink r:id="rId36" w:history="1">
        <w:r w:rsidR="00AB0E0E" w:rsidRPr="00AB0E0E">
          <w:rPr>
            <w:rStyle w:val="Hyperlink"/>
            <w:rFonts w:ascii="David" w:eastAsia="Calibri" w:hAnsi="David" w:hint="eastAsia"/>
            <w:rtl/>
          </w:rPr>
          <w:t>בסעיף</w:t>
        </w:r>
        <w:r w:rsidR="00AB0E0E" w:rsidRPr="00AB0E0E">
          <w:rPr>
            <w:rStyle w:val="Hyperlink"/>
            <w:rFonts w:ascii="David" w:eastAsia="Calibri" w:hAnsi="David"/>
            <w:rtl/>
          </w:rPr>
          <w:t xml:space="preserve"> 144</w:t>
        </w:r>
      </w:hyperlink>
      <w:r w:rsidRPr="004A2463">
        <w:rPr>
          <w:rFonts w:ascii="David" w:eastAsia="Calibri" w:hAnsi="David" w:hint="cs"/>
          <w:rtl/>
        </w:rPr>
        <w:t xml:space="preserve"> ל</w:t>
      </w:r>
      <w:hyperlink r:id="rId37" w:history="1">
        <w:r w:rsidR="000C0B2C" w:rsidRPr="000C0B2C">
          <w:rPr>
            <w:rFonts w:ascii="David" w:eastAsia="Calibri" w:hAnsi="David"/>
            <w:color w:val="0000FF"/>
            <w:u w:val="single"/>
            <w:rtl/>
          </w:rPr>
          <w:t>חוק העונשין</w:t>
        </w:r>
      </w:hyperlink>
      <w:r w:rsidRPr="004A2463">
        <w:rPr>
          <w:rFonts w:ascii="David" w:eastAsia="Calibri" w:hAnsi="David" w:hint="cs"/>
          <w:rtl/>
        </w:rPr>
        <w:t xml:space="preserve"> מרבע העונש המרבי שנקבע לאותה עבירה, אלא אם כן יחליט בית המשפט, מטעמים מיוחדים שיירשמו, להקל בעונש. בנוסף, נקבע כי עונש מאסר על פי אותו סעיף לא יהא כולו על תנאי, בהיעדר טעמים מיוחדים לכך. </w:t>
      </w:r>
    </w:p>
    <w:p w14:paraId="0B6EC087"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p>
    <w:p w14:paraId="32DCC23A"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r w:rsidRPr="004A2463">
        <w:rPr>
          <w:rFonts w:ascii="David" w:eastAsia="Calibri" w:hAnsi="David" w:hint="cs"/>
          <w:rtl/>
        </w:rPr>
        <w:t>25.</w:t>
      </w:r>
      <w:r w:rsidRPr="004A2463">
        <w:rPr>
          <w:rFonts w:ascii="David" w:eastAsia="Calibri" w:hAnsi="David" w:hint="cs"/>
          <w:rtl/>
        </w:rPr>
        <w:tab/>
        <w:t xml:space="preserve">אלא שהחמרת הענישה אינה הפתרון היחיד, וספק אם היא הפתרון היעיל ביותר למיגור התופעה של העבירות בנשק. מוטלת אחריות גם על החברה האזרחית להתגייס למלחמה זו הן בדרך של חינוך, הן בדרך של הגברת הפיקוח של הורים ובני משפחה על מתבגרים והגברת המודעות אצל הצעירים ביחס לסכנות הטמונות בעבירות אלו, והן בדרך של הוקעה של כל מי שמהין לאחוז בידו נשק - הוקעה פומבית, ברורה וחד משמעית. </w:t>
      </w:r>
    </w:p>
    <w:p w14:paraId="5A13F3F9"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p>
    <w:p w14:paraId="4A838D8B"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r w:rsidRPr="004A2463">
        <w:rPr>
          <w:rFonts w:ascii="David" w:eastAsia="Calibri" w:hAnsi="David" w:hint="cs"/>
          <w:rtl/>
        </w:rPr>
        <w:t>26.</w:t>
      </w:r>
      <w:r w:rsidRPr="004A2463">
        <w:rPr>
          <w:rFonts w:ascii="David" w:eastAsia="Calibri" w:hAnsi="David"/>
          <w:rtl/>
        </w:rPr>
        <w:tab/>
      </w:r>
      <w:r w:rsidRPr="004A2463">
        <w:rPr>
          <w:rFonts w:ascii="David" w:eastAsia="Calibri" w:hAnsi="David" w:hint="cs"/>
          <w:rtl/>
        </w:rPr>
        <w:t xml:space="preserve">בנוסף, מוטלת אחריות גם על יתר רשויות המדינה ובראשם המשטרה להילחם בנחישות בעברייני הנשק, החל מאיסוף הנשקים מידי המחזיקים בהם באופן בלתי חוקי, עובר בשיטור ופיקוח מוגברים במרחבים הציבוריים וכלה בפיענוח המקרים בהם נעשה שימוש בנשק והבאת העבריינים לדין. בלא מעט ישובים מעשי הירי הם דבר של שגרה, מעשה של יום ביומו. שיעור מקרי הירי המפוענחים, גם כשאלה מסתיימים בתוצאה קטלנית, הוא זעום ורחוק מלהיות משביע רצון. אני ער לכך שהמשטרה אינה שוקטת על שמריה, אך המבחן הוא מבחן התוצאה. כאשר שיעור הפענוחים הוא כה נמוך ייתכן שיש מקום לערוך בדק בית ובחינה מחודשת ומעמיקה של דרכי הפעולה, על מנת ליתן הגנה למגזרים נרחבים החשים לא אחת כי הופקרו לגורלם. </w:t>
      </w:r>
    </w:p>
    <w:p w14:paraId="33D9F187" w14:textId="77777777" w:rsidR="004A2463" w:rsidRPr="004A2463" w:rsidRDefault="004A2463" w:rsidP="004A2463">
      <w:pPr>
        <w:tabs>
          <w:tab w:val="left" w:pos="567"/>
          <w:tab w:val="left" w:pos="1134"/>
          <w:tab w:val="left" w:pos="1701"/>
        </w:tabs>
        <w:spacing w:line="360" w:lineRule="auto"/>
        <w:jc w:val="both"/>
        <w:rPr>
          <w:rFonts w:ascii="David" w:eastAsia="Calibri" w:hAnsi="David"/>
          <w:rtl/>
        </w:rPr>
      </w:pPr>
    </w:p>
    <w:p w14:paraId="4B138E53"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r w:rsidRPr="004A2463">
        <w:rPr>
          <w:rFonts w:ascii="David" w:eastAsia="Calibri" w:hAnsi="David" w:hint="cs"/>
          <w:rtl/>
        </w:rPr>
        <w:t>27.</w:t>
      </w:r>
      <w:r w:rsidRPr="004A2463">
        <w:rPr>
          <w:rFonts w:ascii="David" w:eastAsia="Calibri" w:hAnsi="David" w:hint="cs"/>
          <w:rtl/>
        </w:rPr>
        <w:tab/>
        <w:t xml:space="preserve">בבחינת הנסיבות הקשורות בביצוע העבירות בענייננו, נתתי דעתי לכך שלא מדובר בעבירה של נשיאה והובלה של נשק בלבד, עבירה חמורה בפני עצמה, אלא גם בשימוש באותו נשק על ידי ירי של לא פחות מחמשה כדורים. מכתב האישום עולה עוד כי הירי בוצע בשכונת מגורים, בסמוך למוקד רפואי, עובדה שיש בה כדי להוסיף לפוטנציאל המסוכנות הטמון במעשים. רק במזל הסתיים האירוע ללא נפגעים או חלילה אבדות בנפש. </w:t>
      </w:r>
    </w:p>
    <w:p w14:paraId="4847EE87"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p>
    <w:p w14:paraId="0A968BDC"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r w:rsidRPr="004A2463">
        <w:rPr>
          <w:rFonts w:ascii="David" w:eastAsia="Calibri" w:hAnsi="David"/>
          <w:rtl/>
        </w:rPr>
        <w:tab/>
      </w:r>
      <w:r w:rsidRPr="004A2463">
        <w:rPr>
          <w:rFonts w:ascii="David" w:eastAsia="Calibri" w:hAnsi="David" w:hint="cs"/>
          <w:rtl/>
        </w:rPr>
        <w:t xml:space="preserve">נתתי דעתי גם לסוג הנשק שנתפס ברשות הנאשם, אקדח חצי אוטומטי שפגיעתו הפוטנציאלית קטנה מנשקים עוצמתיים יותר כגון נשקים ורובים אוטומטיים. </w:t>
      </w:r>
    </w:p>
    <w:p w14:paraId="4C803017"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p>
    <w:p w14:paraId="6CC1D2E5"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r w:rsidRPr="004A2463">
        <w:rPr>
          <w:rFonts w:ascii="David" w:eastAsia="Calibri" w:hAnsi="David"/>
          <w:rtl/>
        </w:rPr>
        <w:tab/>
      </w:r>
      <w:r w:rsidRPr="004A2463">
        <w:rPr>
          <w:rFonts w:ascii="David" w:eastAsia="Calibri" w:hAnsi="David" w:hint="cs"/>
          <w:rtl/>
        </w:rPr>
        <w:t xml:space="preserve">בנוסף, ראיתי להביא בחשבון את העובדה שהנאשם לא סיפק הסבר כיצד השיג את הנשק ומה מידת קרבתו לעולם הפשע והעבריינות. הגרסה אותה הביא בפני שירות המבחן אינה מספקת מענה משכנע לשאלות אלו. </w:t>
      </w:r>
    </w:p>
    <w:p w14:paraId="62C494A6"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p>
    <w:p w14:paraId="2A878F14" w14:textId="77777777" w:rsidR="004A2463" w:rsidRPr="004A2463" w:rsidRDefault="004A2463" w:rsidP="004A2463">
      <w:pPr>
        <w:tabs>
          <w:tab w:val="left" w:pos="567"/>
          <w:tab w:val="left" w:pos="1134"/>
          <w:tab w:val="left" w:leader="hyphen" w:pos="1701"/>
        </w:tabs>
        <w:spacing w:line="360" w:lineRule="auto"/>
        <w:ind w:left="567" w:hanging="567"/>
        <w:jc w:val="both"/>
        <w:rPr>
          <w:rFonts w:ascii="David" w:eastAsia="Calibri" w:hAnsi="David"/>
          <w:rtl/>
        </w:rPr>
      </w:pPr>
      <w:r w:rsidRPr="004A2463">
        <w:rPr>
          <w:rFonts w:ascii="David" w:eastAsia="Calibri" w:hAnsi="David" w:hint="cs"/>
          <w:rtl/>
        </w:rPr>
        <w:t>28.</w:t>
      </w:r>
      <w:r w:rsidRPr="004A2463">
        <w:rPr>
          <w:rFonts w:ascii="David" w:eastAsia="Calibri" w:hAnsi="David" w:hint="cs"/>
          <w:rtl/>
        </w:rPr>
        <w:tab/>
      </w:r>
      <w:r w:rsidRPr="004A2463">
        <w:rPr>
          <w:rFonts w:ascii="David" w:eastAsia="Calibri" w:hAnsi="David"/>
          <w:rtl/>
        </w:rPr>
        <w:t xml:space="preserve">בבואי לבחון את מדיניות הענישה הנוהגת לגבי עבירות </w:t>
      </w:r>
      <w:r w:rsidRPr="004A2463">
        <w:rPr>
          <w:rFonts w:ascii="David" w:eastAsia="Calibri" w:hAnsi="David" w:hint="cs"/>
          <w:rtl/>
        </w:rPr>
        <w:t xml:space="preserve">הנשק </w:t>
      </w:r>
      <w:r w:rsidRPr="004A2463">
        <w:rPr>
          <w:rFonts w:ascii="David" w:eastAsia="Calibri" w:hAnsi="David"/>
          <w:rtl/>
        </w:rPr>
        <w:t xml:space="preserve">בהן הורשע הנאשם, אני רואה להפנות </w:t>
      </w:r>
      <w:r w:rsidRPr="004A2463">
        <w:rPr>
          <w:rFonts w:ascii="David" w:eastAsia="Calibri" w:hAnsi="David" w:hint="cs"/>
          <w:rtl/>
        </w:rPr>
        <w:t>בראש ובראשונה לדברים שנאמרו ב</w:t>
      </w:r>
      <w:hyperlink r:id="rId38" w:history="1">
        <w:r w:rsidR="000C0B2C" w:rsidRPr="000C0B2C">
          <w:rPr>
            <w:rFonts w:ascii="David" w:eastAsia="Calibri" w:hAnsi="David"/>
            <w:color w:val="0000FF"/>
            <w:u w:val="single"/>
            <w:rtl/>
          </w:rPr>
          <w:t>ע"פ 5602/22</w:t>
        </w:r>
      </w:hyperlink>
      <w:r w:rsidRPr="004A2463">
        <w:rPr>
          <w:rFonts w:ascii="David" w:eastAsia="Calibri" w:hAnsi="David"/>
          <w:rtl/>
        </w:rPr>
        <w:t xml:space="preserve"> </w:t>
      </w:r>
      <w:r w:rsidRPr="004A2463">
        <w:rPr>
          <w:rFonts w:ascii="David" w:eastAsia="Calibri" w:hAnsi="David"/>
          <w:b/>
          <w:bCs/>
          <w:rtl/>
        </w:rPr>
        <w:t xml:space="preserve">מדינת ישראל נ' פלוני </w:t>
      </w:r>
      <w:r w:rsidR="002173D4">
        <w:rPr>
          <w:rFonts w:ascii="David" w:eastAsia="Calibri" w:hAnsi="David" w:hint="cs"/>
          <w:rtl/>
        </w:rPr>
        <w:t>[נבו]</w:t>
      </w:r>
      <w:r w:rsidR="002173D4" w:rsidRPr="004A2463">
        <w:rPr>
          <w:rFonts w:ascii="David" w:eastAsia="Calibri" w:hAnsi="David"/>
          <w:rtl/>
        </w:rPr>
        <w:t xml:space="preserve"> </w:t>
      </w:r>
      <w:r w:rsidRPr="004A2463">
        <w:rPr>
          <w:rFonts w:ascii="David" w:eastAsia="Calibri" w:hAnsi="David"/>
          <w:rtl/>
        </w:rPr>
        <w:t xml:space="preserve">(14.9.2022), </w:t>
      </w:r>
      <w:r w:rsidRPr="004A2463">
        <w:rPr>
          <w:rFonts w:ascii="David" w:eastAsia="Calibri" w:hAnsi="David" w:hint="cs"/>
          <w:rtl/>
        </w:rPr>
        <w:t xml:space="preserve">שם נקבע </w:t>
      </w:r>
      <w:r w:rsidRPr="004A2463">
        <w:rPr>
          <w:rFonts w:ascii="David" w:eastAsia="Calibri" w:hAnsi="David"/>
          <w:rtl/>
        </w:rPr>
        <w:t>כי מתחם העונש ההולם שראוי לקבוע לגבי נאשם בגיר שהורשע בנשיאה של נשק חם באופן בלתי חוקי במרחב הציבורי נע בין 42-30 חודשי מאסר לריצוי בפועל.</w:t>
      </w:r>
      <w:r w:rsidRPr="004A2463">
        <w:rPr>
          <w:rFonts w:ascii="David" w:eastAsia="Calibri" w:hAnsi="David" w:hint="cs"/>
          <w:rtl/>
        </w:rPr>
        <w:t xml:space="preserve"> </w:t>
      </w:r>
      <w:r w:rsidRPr="004A2463">
        <w:rPr>
          <w:rFonts w:ascii="David" w:eastAsia="Calibri" w:hAnsi="David"/>
          <w:rtl/>
        </w:rPr>
        <w:t xml:space="preserve">להלן מספר דוגמאות </w:t>
      </w:r>
      <w:r w:rsidRPr="004A2463">
        <w:rPr>
          <w:rFonts w:ascii="David" w:eastAsia="Calibri" w:hAnsi="David" w:hint="cs"/>
          <w:rtl/>
        </w:rPr>
        <w:t xml:space="preserve">מהעת האחרונה </w:t>
      </w:r>
      <w:r w:rsidRPr="004A2463">
        <w:rPr>
          <w:rFonts w:ascii="David" w:eastAsia="Calibri" w:hAnsi="David"/>
          <w:rtl/>
        </w:rPr>
        <w:t>המשקפות את מדיניות הענישה הנוהגת ביחס לעביר</w:t>
      </w:r>
      <w:r w:rsidRPr="004A2463">
        <w:rPr>
          <w:rFonts w:ascii="David" w:eastAsia="Calibri" w:hAnsi="David" w:hint="cs"/>
          <w:rtl/>
        </w:rPr>
        <w:t>ות</w:t>
      </w:r>
      <w:r w:rsidRPr="004A2463">
        <w:rPr>
          <w:rFonts w:ascii="David" w:eastAsia="Calibri" w:hAnsi="David"/>
          <w:rtl/>
        </w:rPr>
        <w:t xml:space="preserve"> של נשיאה והובלה של נשק</w:t>
      </w:r>
      <w:r w:rsidRPr="004A2463">
        <w:rPr>
          <w:rFonts w:ascii="David" w:eastAsia="Calibri" w:hAnsi="David" w:hint="cs"/>
          <w:rtl/>
        </w:rPr>
        <w:t xml:space="preserve"> וירי מנשק חם</w:t>
      </w:r>
      <w:r w:rsidRPr="004A2463">
        <w:rPr>
          <w:rFonts w:ascii="David" w:eastAsia="Calibri" w:hAnsi="David"/>
          <w:rtl/>
        </w:rPr>
        <w:t xml:space="preserve">. </w:t>
      </w:r>
    </w:p>
    <w:p w14:paraId="2D88C5E3" w14:textId="77777777" w:rsidR="004A2463" w:rsidRPr="004A2463" w:rsidRDefault="004A2463" w:rsidP="004A2463">
      <w:pPr>
        <w:tabs>
          <w:tab w:val="left" w:pos="567"/>
          <w:tab w:val="left" w:pos="1134"/>
          <w:tab w:val="left" w:leader="hyphen" w:pos="1701"/>
        </w:tabs>
        <w:spacing w:line="360" w:lineRule="auto"/>
        <w:ind w:left="567" w:hanging="567"/>
        <w:jc w:val="both"/>
        <w:rPr>
          <w:rFonts w:ascii="David" w:eastAsia="Calibri" w:hAnsi="David"/>
          <w:rtl/>
        </w:rPr>
      </w:pPr>
    </w:p>
    <w:p w14:paraId="731C6436" w14:textId="77777777" w:rsidR="004A2463" w:rsidRPr="004A2463" w:rsidRDefault="004A2463" w:rsidP="004A2463">
      <w:pPr>
        <w:tabs>
          <w:tab w:val="left" w:pos="567"/>
          <w:tab w:val="left" w:pos="1134"/>
          <w:tab w:val="left" w:leader="hyphen" w:pos="1701"/>
        </w:tabs>
        <w:spacing w:line="360" w:lineRule="auto"/>
        <w:ind w:left="567" w:hanging="567"/>
        <w:jc w:val="both"/>
        <w:rPr>
          <w:rFonts w:ascii="David" w:eastAsia="Calibri" w:hAnsi="David"/>
          <w:rtl/>
        </w:rPr>
      </w:pPr>
      <w:r w:rsidRPr="004A2463">
        <w:rPr>
          <w:rFonts w:ascii="David" w:eastAsia="Calibri" w:hAnsi="David"/>
          <w:rtl/>
        </w:rPr>
        <w:tab/>
        <w:t>ב</w:t>
      </w:r>
      <w:hyperlink r:id="rId39" w:history="1">
        <w:r w:rsidR="000C0B2C" w:rsidRPr="000C0B2C">
          <w:rPr>
            <w:rFonts w:ascii="David" w:eastAsia="Calibri" w:hAnsi="David"/>
            <w:color w:val="0000FF"/>
            <w:u w:val="single"/>
            <w:rtl/>
          </w:rPr>
          <w:t>ע"פ 5681/23</w:t>
        </w:r>
      </w:hyperlink>
      <w:r w:rsidRPr="004A2463">
        <w:rPr>
          <w:rFonts w:ascii="David" w:eastAsia="Calibri" w:hAnsi="David"/>
          <w:rtl/>
        </w:rPr>
        <w:t xml:space="preserve"> </w:t>
      </w:r>
      <w:r w:rsidRPr="004A2463">
        <w:rPr>
          <w:rFonts w:ascii="David" w:eastAsia="Calibri" w:hAnsi="David"/>
          <w:b/>
          <w:bCs/>
          <w:rtl/>
        </w:rPr>
        <w:t xml:space="preserve">חווא נ' מדינת ישראל </w:t>
      </w:r>
      <w:r w:rsidR="002173D4">
        <w:rPr>
          <w:rFonts w:ascii="David" w:eastAsia="Calibri" w:hAnsi="David" w:hint="cs"/>
          <w:rtl/>
        </w:rPr>
        <w:t>[נבו]</w:t>
      </w:r>
      <w:r w:rsidR="002173D4" w:rsidRPr="004A2463">
        <w:rPr>
          <w:rFonts w:ascii="David" w:eastAsia="Calibri" w:hAnsi="David"/>
          <w:rtl/>
        </w:rPr>
        <w:t xml:space="preserve"> </w:t>
      </w:r>
      <w:r w:rsidRPr="004A2463">
        <w:rPr>
          <w:rFonts w:ascii="David" w:eastAsia="Calibri" w:hAnsi="David"/>
          <w:rtl/>
        </w:rPr>
        <w:t>(6.12.2023) נדון עניינו של מי שהורשע בעבירה של החזקה ונשיאה של נשק. על פי עובדות כתב האישום באותו מקרה, כשנה וחצי עובר למועד הרלוונטי, החזיק המערער אקדח טעון במחסנית תואמת ובתוכה שישה כדורים. בתאריך 3.10.2022 יצא המערער מביתו כשהוא מחזיק ונושא את האקדח טעון במחסנית ובכדורים וכשהנשק מוסתר בבגדיו, והלך יחד עם אשתו לכיוון רכבו שחנה בסמוך. שוטרים שהיו בתצפית יזומה עליו הבחינו בו, ולאחר שזיהה אותם הוא החל לברוח מפניהם. כאשר הורו לו לעצור, לא נענה להם המערער ותוך כדי הימלטותו הוציא את האקדח והחזיקו בידו. בהמשך שלף אחד השוטרים את נשקו, דרך אותו וכיוון אותו לעבר המערער, שאז הוא נעצר. בית המשפט העליון אישר את העונש שהושת על ידי בית המשפט המחוזי, שכלל 35 חודשי מאסר לריצוי בפועל, תוך שציין כי העונש שנגזר על המערער אינו מחמיר עמו ואולי אף מקל.</w:t>
      </w:r>
    </w:p>
    <w:p w14:paraId="233D6826"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p>
    <w:p w14:paraId="05D14F74"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r w:rsidRPr="004A2463">
        <w:rPr>
          <w:rFonts w:ascii="David" w:eastAsia="Calibri" w:hAnsi="David"/>
          <w:rtl/>
        </w:rPr>
        <w:tab/>
        <w:t>ב</w:t>
      </w:r>
      <w:hyperlink r:id="rId40" w:history="1">
        <w:r w:rsidR="000C0B2C" w:rsidRPr="000C0B2C">
          <w:rPr>
            <w:rFonts w:ascii="David" w:eastAsia="Calibri" w:hAnsi="David"/>
            <w:color w:val="0000FF"/>
            <w:u w:val="single"/>
            <w:rtl/>
          </w:rPr>
          <w:t>ע"פ 309/22</w:t>
        </w:r>
      </w:hyperlink>
      <w:r w:rsidRPr="004A2463">
        <w:rPr>
          <w:rFonts w:ascii="David" w:eastAsia="Calibri" w:hAnsi="David"/>
          <w:rtl/>
        </w:rPr>
        <w:t xml:space="preserve"> </w:t>
      </w:r>
      <w:r w:rsidRPr="004A2463">
        <w:rPr>
          <w:rFonts w:ascii="David" w:eastAsia="Calibri" w:hAnsi="David"/>
          <w:b/>
          <w:bCs/>
          <w:rtl/>
        </w:rPr>
        <w:t>מדינת ישראל נ' ביאדסה</w:t>
      </w:r>
      <w:r w:rsidRPr="004A2463">
        <w:rPr>
          <w:rFonts w:ascii="David" w:eastAsia="Calibri" w:hAnsi="David"/>
          <w:rtl/>
        </w:rPr>
        <w:t xml:space="preserve"> </w:t>
      </w:r>
      <w:r w:rsidR="002173D4">
        <w:rPr>
          <w:rFonts w:ascii="David" w:eastAsia="Calibri" w:hAnsi="David" w:hint="cs"/>
          <w:rtl/>
        </w:rPr>
        <w:t>[נבו]</w:t>
      </w:r>
      <w:r w:rsidR="002173D4" w:rsidRPr="004A2463">
        <w:rPr>
          <w:rFonts w:ascii="David" w:eastAsia="Calibri" w:hAnsi="David"/>
          <w:rtl/>
        </w:rPr>
        <w:t xml:space="preserve"> </w:t>
      </w:r>
      <w:r w:rsidRPr="004A2463">
        <w:rPr>
          <w:rFonts w:ascii="David" w:eastAsia="Calibri" w:hAnsi="David"/>
          <w:rtl/>
        </w:rPr>
        <w:t>(10.5.2022) נדון עניינו של מי שהורשע בהחזקה, נשיאה והובלה של שני כלי נשק. באותו מקרה מדובר היה במי שנסע ברכב כשהוא מוביל רובה מסוג קלצ'ניקוב, מחסנית תואמת ובה 29 כדורים וכן אקדח חצי אוטומטי טעון במחסנית תואמת המכילה 27 כדורים ומחסנית נוספת שמכילה 14 כדורים. בית המשפט המחוזי גזר על המשיב 19 חודשי מאסר לריצוי בפועל. בית המשפט העליון התערב בקולת העונש והעמידו על 30 חודשי מאסר.</w:t>
      </w:r>
    </w:p>
    <w:p w14:paraId="49E1B9DB" w14:textId="77777777" w:rsidR="004A2463" w:rsidRPr="004A2463" w:rsidRDefault="004A2463" w:rsidP="004A2463">
      <w:pPr>
        <w:tabs>
          <w:tab w:val="left" w:pos="567"/>
          <w:tab w:val="left" w:pos="1134"/>
          <w:tab w:val="left" w:leader="hyphen" w:pos="1701"/>
        </w:tabs>
        <w:spacing w:line="360" w:lineRule="auto"/>
        <w:ind w:left="567" w:hanging="567"/>
        <w:jc w:val="both"/>
        <w:rPr>
          <w:rFonts w:ascii="David" w:eastAsia="Calibri" w:hAnsi="David"/>
          <w:rtl/>
        </w:rPr>
      </w:pPr>
    </w:p>
    <w:p w14:paraId="73A3E08B" w14:textId="77777777" w:rsidR="004A2463" w:rsidRPr="004A2463" w:rsidRDefault="004A2463" w:rsidP="004A2463">
      <w:pPr>
        <w:tabs>
          <w:tab w:val="left" w:pos="567"/>
          <w:tab w:val="left" w:pos="1134"/>
          <w:tab w:val="left" w:leader="hyphen" w:pos="1701"/>
        </w:tabs>
        <w:spacing w:line="360" w:lineRule="auto"/>
        <w:ind w:left="567" w:hanging="567"/>
        <w:jc w:val="both"/>
        <w:rPr>
          <w:rFonts w:ascii="Calibri" w:eastAsia="Calibri" w:hAnsi="Calibri"/>
          <w:rtl/>
        </w:rPr>
      </w:pPr>
      <w:r w:rsidRPr="004A2463">
        <w:rPr>
          <w:rFonts w:ascii="Calibri" w:eastAsia="Calibri" w:hAnsi="Calibri"/>
          <w:color w:val="000000"/>
          <w:rtl/>
        </w:rPr>
        <w:tab/>
        <w:t>ב</w:t>
      </w:r>
      <w:hyperlink r:id="rId41" w:history="1">
        <w:r w:rsidR="000C0B2C" w:rsidRPr="000C0B2C">
          <w:rPr>
            <w:rFonts w:ascii="Calibri" w:eastAsia="Calibri" w:hAnsi="Calibri" w:hint="cs"/>
            <w:color w:val="0000FF"/>
            <w:u w:val="single"/>
            <w:rtl/>
          </w:rPr>
          <w:t>ע</w:t>
        </w:r>
        <w:r w:rsidR="000C0B2C" w:rsidRPr="000C0B2C">
          <w:rPr>
            <w:rFonts w:ascii="Calibri" w:eastAsia="Calibri" w:hAnsi="Calibri"/>
            <w:color w:val="0000FF"/>
            <w:u w:val="single"/>
            <w:rtl/>
          </w:rPr>
          <w:t>"</w:t>
        </w:r>
        <w:r w:rsidR="000C0B2C" w:rsidRPr="000C0B2C">
          <w:rPr>
            <w:rFonts w:ascii="Calibri" w:eastAsia="Calibri" w:hAnsi="Calibri" w:hint="cs"/>
            <w:color w:val="0000FF"/>
            <w:u w:val="single"/>
            <w:rtl/>
          </w:rPr>
          <w:t>פ</w:t>
        </w:r>
        <w:r w:rsidR="000C0B2C" w:rsidRPr="000C0B2C">
          <w:rPr>
            <w:rFonts w:ascii="Calibri" w:eastAsia="Calibri" w:hAnsi="Calibri"/>
            <w:color w:val="0000FF"/>
            <w:u w:val="single"/>
            <w:rtl/>
          </w:rPr>
          <w:t xml:space="preserve"> 6068/21</w:t>
        </w:r>
      </w:hyperlink>
      <w:r w:rsidR="000C0B2C">
        <w:rPr>
          <w:rFonts w:ascii="Calibri" w:eastAsia="Calibri" w:hAnsi="Calibri"/>
          <w:color w:val="000000"/>
          <w:rtl/>
        </w:rPr>
        <w:t xml:space="preserve"> </w:t>
      </w:r>
      <w:r w:rsidRPr="004A2463">
        <w:rPr>
          <w:rFonts w:ascii="Calibri" w:eastAsia="Calibri" w:hAnsi="Calibri"/>
          <w:b/>
          <w:bCs/>
          <w:color w:val="000000"/>
          <w:rtl/>
        </w:rPr>
        <w:t>מדינת ישראל נ' אברהים פקיה</w:t>
      </w:r>
      <w:r w:rsidR="000C0B2C">
        <w:rPr>
          <w:rFonts w:ascii="Calibri" w:eastAsia="Calibri" w:hAnsi="Calibri"/>
          <w:color w:val="000000"/>
          <w:rtl/>
        </w:rPr>
        <w:t xml:space="preserve"> </w:t>
      </w:r>
      <w:r w:rsidR="002173D4">
        <w:rPr>
          <w:rFonts w:ascii="David" w:eastAsia="Calibri" w:hAnsi="David" w:hint="cs"/>
          <w:rtl/>
        </w:rPr>
        <w:t>[נבו]</w:t>
      </w:r>
      <w:r w:rsidR="002173D4" w:rsidRPr="004A2463">
        <w:rPr>
          <w:rFonts w:ascii="Calibri" w:eastAsia="Calibri" w:hAnsi="Calibri"/>
          <w:color w:val="000000"/>
          <w:rtl/>
        </w:rPr>
        <w:t xml:space="preserve"> </w:t>
      </w:r>
      <w:r w:rsidRPr="004A2463">
        <w:rPr>
          <w:rFonts w:ascii="Calibri" w:eastAsia="Calibri" w:hAnsi="Calibri"/>
          <w:color w:val="000000"/>
          <w:rtl/>
        </w:rPr>
        <w:t xml:space="preserve">(19.12.2021) נדון עניינו של מי שהורשע בעבירה של נשיאה והובלה של כלי נשק וביצוע ירי באזור מגורים. בית המשפט המחוזי קבע מתחם שנע בין 14 - 36 חודשי מאסר וגזר על המשיב 14 חודשי מאסר לריצוי בפועל. ערעור המדינה על קולת העונש התקבל ובית המשפט העליון העמיד את עונשו של המשיב על 25 חודשי מאסר, תוך שהדגיש את הכלל לפיו ערכאת הערעור אינה נוהגת למצות את הדין. </w:t>
      </w:r>
    </w:p>
    <w:p w14:paraId="70EA3A77" w14:textId="77777777" w:rsidR="004A2463" w:rsidRPr="004A2463" w:rsidRDefault="004A2463" w:rsidP="004A2463">
      <w:pPr>
        <w:tabs>
          <w:tab w:val="left" w:pos="567"/>
          <w:tab w:val="left" w:pos="1134"/>
          <w:tab w:val="left" w:leader="hyphen" w:pos="1701"/>
        </w:tabs>
        <w:spacing w:line="360" w:lineRule="auto"/>
        <w:ind w:left="720"/>
        <w:jc w:val="both"/>
        <w:rPr>
          <w:rFonts w:ascii="Calibri" w:eastAsia="Calibri" w:hAnsi="Calibri"/>
          <w:rtl/>
        </w:rPr>
      </w:pPr>
    </w:p>
    <w:p w14:paraId="64D1DEBD" w14:textId="77777777" w:rsidR="004A2463" w:rsidRPr="004A2463" w:rsidRDefault="004A2463" w:rsidP="004A2463">
      <w:pPr>
        <w:tabs>
          <w:tab w:val="left" w:pos="567"/>
          <w:tab w:val="left" w:pos="1134"/>
          <w:tab w:val="left" w:leader="hyphen" w:pos="1701"/>
        </w:tabs>
        <w:spacing w:line="360" w:lineRule="auto"/>
        <w:ind w:left="567"/>
        <w:jc w:val="both"/>
        <w:rPr>
          <w:rtl/>
        </w:rPr>
      </w:pPr>
      <w:r w:rsidRPr="004A2463">
        <w:rPr>
          <w:rFonts w:ascii="David" w:eastAsia="Calibri" w:hAnsi="David"/>
          <w:rtl/>
        </w:rPr>
        <w:t>ב</w:t>
      </w:r>
      <w:hyperlink r:id="rId42" w:history="1">
        <w:r w:rsidR="000C0B2C" w:rsidRPr="000C0B2C">
          <w:rPr>
            <w:rFonts w:ascii="David" w:eastAsia="Calibri" w:hAnsi="David"/>
            <w:color w:val="0000FF"/>
            <w:u w:val="single"/>
            <w:rtl/>
          </w:rPr>
          <w:t>ע"פ 1427/21</w:t>
        </w:r>
      </w:hyperlink>
      <w:r w:rsidRPr="004A2463">
        <w:rPr>
          <w:rFonts w:ascii="David" w:eastAsia="Calibri" w:hAnsi="David"/>
          <w:rtl/>
        </w:rPr>
        <w:t xml:space="preserve"> </w:t>
      </w:r>
      <w:r w:rsidRPr="004A2463">
        <w:rPr>
          <w:rFonts w:ascii="David" w:eastAsia="Calibri" w:hAnsi="David"/>
          <w:b/>
          <w:bCs/>
          <w:rtl/>
        </w:rPr>
        <w:t>שוויקי נ' מדינת ישראל</w:t>
      </w:r>
      <w:r w:rsidRPr="004A2463">
        <w:rPr>
          <w:rFonts w:ascii="David" w:eastAsia="Calibri" w:hAnsi="David"/>
          <w:rtl/>
        </w:rPr>
        <w:t xml:space="preserve"> </w:t>
      </w:r>
      <w:r w:rsidR="002173D4">
        <w:rPr>
          <w:rFonts w:ascii="David" w:eastAsia="Calibri" w:hAnsi="David" w:hint="cs"/>
          <w:rtl/>
        </w:rPr>
        <w:t>[נבו]</w:t>
      </w:r>
      <w:r w:rsidR="002173D4" w:rsidRPr="004A2463">
        <w:rPr>
          <w:rFonts w:ascii="David" w:eastAsia="Calibri" w:hAnsi="David"/>
          <w:rtl/>
        </w:rPr>
        <w:t xml:space="preserve"> </w:t>
      </w:r>
      <w:r w:rsidRPr="004A2463">
        <w:rPr>
          <w:rFonts w:ascii="David" w:eastAsia="Calibri" w:hAnsi="David"/>
          <w:rtl/>
        </w:rPr>
        <w:t xml:space="preserve">(26.5.2021) - נדחה ערעורו של נאשם, בעל עבר פלילי מכביד, אשר הורשע בנשיאת נשק וביצוע ירי מנשק חם ונידון ל-37 חודשי מאסר בפועל, לאחר שנקבע בעניינו מתחם ענישה הנע בין 26 ל- 56 חודשי מאסר בפועל. באותו מקרה דובר בנאשם שהגיע למקום בו התקהלו עשרות אנשים, נעמד סמוך להתקהלות וירה באוויר לפחות 17 כדורים. בית המשפט העליון דחה כאמור את הערעור על חומרת העונש בקבעו כי מדובר בעבירות נשק שביחס אליהן קיימת מגמת החמרה בפסיקה ולא בכדי. מדובר במעשים חמורים שפוטנציאל הנזק הגלום בהם עצום, ואך מזל הוא שהאירוע לא הסתיים בפגיעה בנפש. </w:t>
      </w:r>
    </w:p>
    <w:p w14:paraId="625AEE12" w14:textId="77777777" w:rsidR="004A2463" w:rsidRPr="004A2463" w:rsidRDefault="004A2463" w:rsidP="004A2463">
      <w:pPr>
        <w:tabs>
          <w:tab w:val="left" w:pos="567"/>
          <w:tab w:val="left" w:pos="1134"/>
          <w:tab w:val="left" w:leader="hyphen" w:pos="1701"/>
        </w:tabs>
        <w:spacing w:line="360" w:lineRule="auto"/>
        <w:ind w:left="720" w:hanging="720"/>
        <w:jc w:val="both"/>
        <w:rPr>
          <w:rFonts w:ascii="David" w:eastAsia="Calibri" w:hAnsi="David"/>
          <w:rtl/>
        </w:rPr>
      </w:pPr>
    </w:p>
    <w:p w14:paraId="556C1A94"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r w:rsidRPr="004A2463">
        <w:rPr>
          <w:rFonts w:ascii="David" w:eastAsia="Calibri" w:hAnsi="David"/>
          <w:rtl/>
        </w:rPr>
        <w:tab/>
      </w:r>
      <w:r w:rsidRPr="004A2463">
        <w:rPr>
          <w:rFonts w:ascii="David" w:eastAsia="Calibri" w:hAnsi="David" w:hint="cs"/>
          <w:rtl/>
        </w:rPr>
        <w:t>ב</w:t>
      </w:r>
      <w:hyperlink r:id="rId43" w:history="1">
        <w:r w:rsidR="000C0B2C" w:rsidRPr="000C0B2C">
          <w:rPr>
            <w:rFonts w:ascii="David" w:eastAsia="Calibri" w:hAnsi="David"/>
            <w:color w:val="0000FF"/>
            <w:u w:val="single"/>
            <w:rtl/>
          </w:rPr>
          <w:t>ע"פ 5856/22</w:t>
        </w:r>
      </w:hyperlink>
      <w:r w:rsidRPr="004A2463">
        <w:rPr>
          <w:rFonts w:ascii="David" w:eastAsia="Calibri" w:hAnsi="David" w:hint="cs"/>
          <w:rtl/>
        </w:rPr>
        <w:t xml:space="preserve"> </w:t>
      </w:r>
      <w:r w:rsidRPr="004A2463">
        <w:rPr>
          <w:rFonts w:ascii="David" w:eastAsia="Calibri" w:hAnsi="David" w:hint="cs"/>
          <w:b/>
          <w:bCs/>
          <w:rtl/>
        </w:rPr>
        <w:t>סויטאת נ' מדינת ישראל</w:t>
      </w:r>
      <w:r w:rsidRPr="004A2463">
        <w:rPr>
          <w:rFonts w:ascii="David" w:eastAsia="Calibri" w:hAnsi="David" w:hint="cs"/>
          <w:rtl/>
        </w:rPr>
        <w:t xml:space="preserve"> </w:t>
      </w:r>
      <w:r w:rsidR="002173D4">
        <w:rPr>
          <w:rFonts w:ascii="David" w:eastAsia="Calibri" w:hAnsi="David" w:hint="cs"/>
          <w:rtl/>
        </w:rPr>
        <w:t>[נבו]</w:t>
      </w:r>
      <w:r w:rsidR="002173D4" w:rsidRPr="004A2463">
        <w:rPr>
          <w:rFonts w:ascii="David" w:eastAsia="Calibri" w:hAnsi="David" w:hint="cs"/>
          <w:rtl/>
        </w:rPr>
        <w:t xml:space="preserve"> </w:t>
      </w:r>
      <w:r w:rsidRPr="004A2463">
        <w:rPr>
          <w:rFonts w:ascii="David" w:eastAsia="Calibri" w:hAnsi="David" w:hint="cs"/>
          <w:rtl/>
        </w:rPr>
        <w:t xml:space="preserve">(21.3.2023) נדון עניינו של מי שהורשע בעבירות של נשיאה והובלת נשק ותחמושת שלא כדין והפרעה לשוטר במילוי תפקידו. מדובר במערער שנסע עם אדם אחר כשהוא נושא אקדח מסוג </w:t>
      </w:r>
      <w:r w:rsidRPr="004A2463">
        <w:rPr>
          <w:rFonts w:ascii="David" w:eastAsia="Calibri" w:hAnsi="David" w:hint="cs"/>
        </w:rPr>
        <w:t>FN</w:t>
      </w:r>
      <w:r w:rsidRPr="004A2463">
        <w:rPr>
          <w:rFonts w:ascii="David" w:eastAsia="Calibri" w:hAnsi="David" w:hint="cs"/>
          <w:rtl/>
        </w:rPr>
        <w:t xml:space="preserve"> ובו מחסנית ריקה. כאשר הגיע הרכב למחסום משטרתי, עצר הנהג את הרכב, ואילו המערער יצא מהרכב והחל להימלט מהמקום, ובחלוף מרדף קצר, במהלכו השליך את האקדח, הוא נתפס. בית המשפט המחוזי הרשיע את המערער לאחר ניהול הוכחות וגזר עליו 28 חודשי מאסר לריצוי בפועל. ערעור שהוגש כנגד הכרעת הדין וכנגד חומרת העונש בגזר הדין נדחה על ידי בית המשפט העליון.</w:t>
      </w:r>
    </w:p>
    <w:p w14:paraId="2F448B24"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p>
    <w:p w14:paraId="739AA2B7" w14:textId="77777777" w:rsidR="004A2463" w:rsidRPr="004A2463" w:rsidRDefault="004A2463" w:rsidP="004A2463">
      <w:pPr>
        <w:tabs>
          <w:tab w:val="left" w:pos="567"/>
          <w:tab w:val="left" w:pos="1134"/>
          <w:tab w:val="left" w:pos="1701"/>
        </w:tabs>
        <w:spacing w:line="360" w:lineRule="auto"/>
        <w:ind w:left="567" w:hanging="567"/>
        <w:jc w:val="both"/>
        <w:rPr>
          <w:rFonts w:ascii="Calibri" w:eastAsia="Calibri" w:hAnsi="Calibri"/>
          <w:rtl/>
        </w:rPr>
      </w:pPr>
      <w:r w:rsidRPr="004A2463">
        <w:rPr>
          <w:rFonts w:ascii="David" w:eastAsia="Calibri" w:hAnsi="David"/>
          <w:rtl/>
        </w:rPr>
        <w:tab/>
      </w:r>
      <w:r w:rsidRPr="004A2463">
        <w:rPr>
          <w:rFonts w:ascii="Calibri" w:eastAsia="Calibri" w:hAnsi="Calibri"/>
          <w:rtl/>
        </w:rPr>
        <w:t>ב</w:t>
      </w:r>
      <w:hyperlink r:id="rId44" w:history="1">
        <w:r w:rsidR="000C0B2C" w:rsidRPr="000C0B2C">
          <w:rPr>
            <w:rFonts w:ascii="Calibri" w:eastAsia="Calibri" w:hAnsi="Calibri" w:hint="cs"/>
            <w:color w:val="0000FF"/>
            <w:u w:val="single"/>
            <w:rtl/>
          </w:rPr>
          <w:t>ע</w:t>
        </w:r>
        <w:r w:rsidR="000C0B2C" w:rsidRPr="000C0B2C">
          <w:rPr>
            <w:rFonts w:ascii="Calibri" w:eastAsia="Calibri" w:hAnsi="Calibri"/>
            <w:color w:val="0000FF"/>
            <w:u w:val="single"/>
            <w:rtl/>
          </w:rPr>
          <w:t>"</w:t>
        </w:r>
        <w:r w:rsidR="000C0B2C" w:rsidRPr="000C0B2C">
          <w:rPr>
            <w:rFonts w:ascii="Calibri" w:eastAsia="Calibri" w:hAnsi="Calibri" w:hint="cs"/>
            <w:color w:val="0000FF"/>
            <w:u w:val="single"/>
            <w:rtl/>
          </w:rPr>
          <w:t>פ</w:t>
        </w:r>
        <w:r w:rsidR="000C0B2C" w:rsidRPr="000C0B2C">
          <w:rPr>
            <w:rFonts w:ascii="Calibri" w:eastAsia="Calibri" w:hAnsi="Calibri"/>
            <w:color w:val="0000FF"/>
            <w:u w:val="single"/>
            <w:rtl/>
          </w:rPr>
          <w:t xml:space="preserve"> 5765/20</w:t>
        </w:r>
      </w:hyperlink>
      <w:r w:rsidRPr="004A2463">
        <w:rPr>
          <w:rFonts w:ascii="Calibri" w:eastAsia="Calibri" w:hAnsi="Calibri"/>
          <w:rtl/>
        </w:rPr>
        <w:t xml:space="preserve"> </w:t>
      </w:r>
      <w:r w:rsidRPr="004A2463">
        <w:rPr>
          <w:rFonts w:ascii="Calibri" w:eastAsia="Calibri" w:hAnsi="Calibri"/>
          <w:b/>
          <w:bCs/>
          <w:rtl/>
        </w:rPr>
        <w:t xml:space="preserve">אבו בכר נ' מדינת ישראל </w:t>
      </w:r>
      <w:r w:rsidR="002173D4">
        <w:rPr>
          <w:rFonts w:ascii="David" w:eastAsia="Calibri" w:hAnsi="David" w:hint="cs"/>
          <w:rtl/>
        </w:rPr>
        <w:t>[נבו]</w:t>
      </w:r>
      <w:r w:rsidR="002173D4" w:rsidRPr="004A2463">
        <w:rPr>
          <w:rFonts w:ascii="Calibri" w:eastAsia="Calibri" w:hAnsi="Calibri"/>
          <w:rtl/>
        </w:rPr>
        <w:t xml:space="preserve"> </w:t>
      </w:r>
      <w:r w:rsidRPr="004A2463">
        <w:rPr>
          <w:rFonts w:ascii="Calibri" w:eastAsia="Calibri" w:hAnsi="Calibri"/>
          <w:rtl/>
        </w:rPr>
        <w:t xml:space="preserve">(22.3.2021) נדון עניינם של מערערים שנשאו והובילו ברכב שני אקדחים, כשבכל אקדח מחסנית מלאה. כאשר סימנו להם שוטרים לעצור, המשיך הנהג בנסיעה קצרה ולאחר שעצר את הרכב יצא חברו מהרכב, רץ אל עבר חצר סמוכה ושם השליך את האקדחים והמחסניות. בית המשפט המחוזי הטיל על כל אחד מהם 18 חודשי מאסר בפועל הגם שמדובר בצעירים נעדרי עבר פלילי. בית המשפט העליון דחה את הערעור על חומרת העונש. </w:t>
      </w:r>
    </w:p>
    <w:p w14:paraId="0E6140FE" w14:textId="77777777" w:rsidR="004A2463" w:rsidRPr="004A2463" w:rsidRDefault="004A2463" w:rsidP="004A2463">
      <w:pPr>
        <w:tabs>
          <w:tab w:val="left" w:pos="567"/>
          <w:tab w:val="left" w:pos="1134"/>
          <w:tab w:val="left" w:pos="1701"/>
        </w:tabs>
        <w:spacing w:line="360" w:lineRule="auto"/>
        <w:ind w:left="567" w:hanging="567"/>
        <w:jc w:val="both"/>
        <w:rPr>
          <w:rFonts w:ascii="Calibri" w:eastAsia="Calibri" w:hAnsi="Calibri"/>
          <w:rtl/>
        </w:rPr>
      </w:pPr>
    </w:p>
    <w:p w14:paraId="44070326" w14:textId="77777777" w:rsidR="004A2463" w:rsidRPr="004A2463" w:rsidRDefault="004A2463" w:rsidP="004A2463">
      <w:pPr>
        <w:tabs>
          <w:tab w:val="left" w:pos="567"/>
          <w:tab w:val="left" w:pos="1134"/>
          <w:tab w:val="left" w:pos="1701"/>
        </w:tabs>
        <w:spacing w:line="360" w:lineRule="auto"/>
        <w:ind w:left="567" w:hanging="567"/>
        <w:jc w:val="both"/>
        <w:rPr>
          <w:rFonts w:ascii="Calibri" w:eastAsia="Calibri" w:hAnsi="Calibri"/>
          <w:rtl/>
        </w:rPr>
      </w:pPr>
      <w:r w:rsidRPr="004A2463">
        <w:rPr>
          <w:rFonts w:ascii="Calibri" w:eastAsia="Calibri" w:hAnsi="Calibri" w:hint="cs"/>
          <w:rtl/>
        </w:rPr>
        <w:t>29.</w:t>
      </w:r>
      <w:r w:rsidRPr="004A2463">
        <w:rPr>
          <w:rFonts w:ascii="Calibri" w:eastAsia="Calibri" w:hAnsi="Calibri" w:hint="cs"/>
          <w:rtl/>
        </w:rPr>
        <w:tab/>
        <w:t xml:space="preserve">בשים לב לערכים החברתיים המוגנים שנפגעו מביצוע העבירות בענייננו, לנסיבות ביצוען ולמדיניות הענישה הנוהגת, אני קובע כי מתחם העונש ההולם נע ביום 28 </w:t>
      </w:r>
      <w:r w:rsidRPr="004A2463">
        <w:rPr>
          <w:rFonts w:ascii="Calibri" w:eastAsia="Calibri" w:hAnsi="Calibri"/>
          <w:rtl/>
        </w:rPr>
        <w:t>–</w:t>
      </w:r>
      <w:r w:rsidRPr="004A2463">
        <w:rPr>
          <w:rFonts w:ascii="Calibri" w:eastAsia="Calibri" w:hAnsi="Calibri" w:hint="cs"/>
          <w:rtl/>
        </w:rPr>
        <w:t xml:space="preserve"> 48 חודשי מאסר לריצוי בפועל, לצד עונשים נלווים. </w:t>
      </w:r>
    </w:p>
    <w:p w14:paraId="5C10AF74" w14:textId="77777777" w:rsidR="004A2463" w:rsidRPr="004A2463" w:rsidRDefault="004A2463" w:rsidP="004A2463">
      <w:pPr>
        <w:tabs>
          <w:tab w:val="left" w:pos="567"/>
          <w:tab w:val="left" w:pos="1134"/>
          <w:tab w:val="left" w:pos="1701"/>
        </w:tabs>
        <w:spacing w:line="360" w:lineRule="auto"/>
        <w:ind w:left="567" w:hanging="567"/>
        <w:jc w:val="both"/>
        <w:rPr>
          <w:rFonts w:ascii="Calibri" w:eastAsia="Calibri" w:hAnsi="Calibri"/>
          <w:rtl/>
        </w:rPr>
      </w:pPr>
    </w:p>
    <w:p w14:paraId="0727EF81" w14:textId="77777777" w:rsidR="004A2463" w:rsidRPr="004A2463" w:rsidRDefault="004A2463" w:rsidP="004A2463">
      <w:pPr>
        <w:tabs>
          <w:tab w:val="left" w:pos="567"/>
          <w:tab w:val="left" w:pos="1134"/>
          <w:tab w:val="left" w:pos="1701"/>
        </w:tabs>
        <w:spacing w:line="360" w:lineRule="auto"/>
        <w:ind w:left="567" w:hanging="567"/>
        <w:jc w:val="both"/>
        <w:rPr>
          <w:rFonts w:ascii="Calibri" w:eastAsia="Calibri" w:hAnsi="Calibri"/>
          <w:u w:val="single"/>
        </w:rPr>
      </w:pPr>
      <w:r w:rsidRPr="004A2463">
        <w:rPr>
          <w:rFonts w:ascii="Calibri" w:eastAsia="Calibri" w:hAnsi="Calibri" w:hint="cs"/>
          <w:u w:val="single"/>
          <w:rtl/>
        </w:rPr>
        <w:t>גזירת העונש בתוך המתחם</w:t>
      </w:r>
    </w:p>
    <w:p w14:paraId="221BCCBB"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p>
    <w:p w14:paraId="1F89E380"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Pr>
      </w:pPr>
      <w:r w:rsidRPr="004A2463">
        <w:rPr>
          <w:rFonts w:ascii="David" w:eastAsia="Calibri" w:hAnsi="David" w:hint="cs"/>
          <w:rtl/>
        </w:rPr>
        <w:t>30.</w:t>
      </w:r>
      <w:r w:rsidRPr="004A2463">
        <w:rPr>
          <w:rFonts w:ascii="David" w:eastAsia="Calibri" w:hAnsi="David" w:hint="cs"/>
          <w:rtl/>
        </w:rPr>
        <w:tab/>
        <w:t xml:space="preserve">בפתח הדיון בפרק זה אני רואה לסלק מן הדרך את בקשת הסנגור לחורג לקולא ממתחם הענישה שייקבע, מטעמי שיקום. המבחנים שהותוו בפסיקה לחריגה ממתחם העונש ההולם מחייבים </w:t>
      </w:r>
      <w:r w:rsidRPr="004A2463">
        <w:rPr>
          <w:rFonts w:ascii="David" w:eastAsia="Calibri" w:hAnsi="David"/>
          <w:rtl/>
        </w:rPr>
        <w:t>קיומו של הליך שיקו</w:t>
      </w:r>
      <w:r w:rsidRPr="004A2463">
        <w:rPr>
          <w:rFonts w:ascii="David" w:eastAsia="Calibri" w:hAnsi="David" w:hint="cs"/>
          <w:rtl/>
        </w:rPr>
        <w:t>מי</w:t>
      </w:r>
      <w:r w:rsidRPr="004A2463">
        <w:rPr>
          <w:rFonts w:ascii="David" w:eastAsia="Calibri" w:hAnsi="David"/>
          <w:rtl/>
        </w:rPr>
        <w:t xml:space="preserve"> שהסתיים בהצלחה או סיכוי של ממש </w:t>
      </w:r>
      <w:r w:rsidRPr="004A2463">
        <w:rPr>
          <w:rFonts w:ascii="David" w:eastAsia="Calibri" w:hAnsi="David" w:hint="cs"/>
          <w:rtl/>
        </w:rPr>
        <w:t>להצלחתו של הליך כאמור</w:t>
      </w:r>
      <w:r w:rsidRPr="004A2463">
        <w:rPr>
          <w:rFonts w:ascii="David" w:eastAsia="Calibri" w:hAnsi="David"/>
          <w:rtl/>
        </w:rPr>
        <w:t xml:space="preserve">, כאשר השיקולים המרכזיים הנבחנים בהקשר זה הינם: </w:t>
      </w:r>
      <w:r w:rsidRPr="004A2463">
        <w:rPr>
          <w:rFonts w:ascii="David" w:eastAsia="Calibri" w:hAnsi="David"/>
          <w:i/>
          <w:rtl/>
        </w:rPr>
        <w:t xml:space="preserve">המוטיבציה שהפגין הנאשם להשתקם; הליך של גמילה מהתמכרות שהוא עבר; השתלבות מוצלחת בהליכים טיפוליים שונים; אינדיקציות לשינוי עמוק בהתנהגות ובדרך החשיבה; הבעת חרטה כנה על המעשים והפגנת אמפתיה כלפי נפגעי העבירה </w:t>
      </w:r>
      <w:r w:rsidRPr="004A2463">
        <w:rPr>
          <w:rFonts w:ascii="David" w:eastAsia="Calibri" w:hAnsi="David"/>
          <w:rtl/>
        </w:rPr>
        <w:t>(</w:t>
      </w:r>
      <w:hyperlink r:id="rId45" w:history="1">
        <w:r w:rsidR="000C0B2C" w:rsidRPr="000C0B2C">
          <w:rPr>
            <w:rFonts w:ascii="David" w:eastAsia="Calibri" w:hAnsi="David"/>
            <w:color w:val="0000FF"/>
            <w:u w:val="single"/>
            <w:rtl/>
          </w:rPr>
          <w:t>ע"פ 6637/17</w:t>
        </w:r>
      </w:hyperlink>
      <w:r w:rsidRPr="004A2463">
        <w:rPr>
          <w:rFonts w:ascii="David" w:eastAsia="Calibri" w:hAnsi="David"/>
          <w:b/>
          <w:bCs/>
          <w:color w:val="000000"/>
          <w:rtl/>
        </w:rPr>
        <w:t xml:space="preserve"> קרנדל נ' מדינת ישראל</w:t>
      </w:r>
      <w:r w:rsidR="000C0B2C">
        <w:rPr>
          <w:rFonts w:ascii="David" w:eastAsia="Calibri" w:hAnsi="David"/>
          <w:color w:val="000000"/>
          <w:rtl/>
        </w:rPr>
        <w:t xml:space="preserve"> </w:t>
      </w:r>
      <w:r w:rsidR="002173D4">
        <w:rPr>
          <w:rFonts w:ascii="David" w:eastAsia="Calibri" w:hAnsi="David" w:hint="cs"/>
          <w:rtl/>
        </w:rPr>
        <w:t>[נבו]</w:t>
      </w:r>
      <w:r w:rsidR="002173D4" w:rsidRPr="004A2463">
        <w:rPr>
          <w:rFonts w:ascii="David" w:eastAsia="Calibri" w:hAnsi="David"/>
          <w:color w:val="000000"/>
          <w:rtl/>
        </w:rPr>
        <w:t xml:space="preserve"> </w:t>
      </w:r>
      <w:r w:rsidRPr="004A2463">
        <w:rPr>
          <w:rFonts w:ascii="David" w:eastAsia="Calibri" w:hAnsi="David"/>
          <w:color w:val="000000"/>
          <w:rtl/>
        </w:rPr>
        <w:t>(18.04.18)).</w:t>
      </w:r>
    </w:p>
    <w:p w14:paraId="07E95682"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p>
    <w:p w14:paraId="1DA864C3"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r w:rsidRPr="004A2463">
        <w:rPr>
          <w:rFonts w:ascii="David" w:eastAsia="Calibri" w:hAnsi="David"/>
          <w:rtl/>
        </w:rPr>
        <w:tab/>
      </w:r>
      <w:r w:rsidRPr="004A2463">
        <w:rPr>
          <w:rFonts w:ascii="David" w:eastAsia="Calibri" w:hAnsi="David" w:hint="cs"/>
          <w:rtl/>
        </w:rPr>
        <w:t>עוד נקבע בפסיקה כי "</w:t>
      </w:r>
      <w:r w:rsidRPr="004A2463">
        <w:rPr>
          <w:rFonts w:ascii="David" w:eastAsia="Calibri" w:hAnsi="David"/>
          <w:rtl/>
        </w:rPr>
        <w:t xml:space="preserve">לא בכל מקרה שבו תהליך טיפולי מתקדם בכיוון חיובי, יש להפעיל את הסמכות הקבועה </w:t>
      </w:r>
      <w:hyperlink r:id="rId46" w:history="1">
        <w:r w:rsidR="00AB0E0E" w:rsidRPr="00AB0E0E">
          <w:rPr>
            <w:rStyle w:val="Hyperlink"/>
            <w:rFonts w:ascii="David" w:eastAsia="Calibri" w:hAnsi="David"/>
            <w:rtl/>
          </w:rPr>
          <w:t>בסעיף 40ד</w:t>
        </w:r>
      </w:hyperlink>
      <w:r w:rsidRPr="004A2463">
        <w:rPr>
          <w:rFonts w:ascii="David" w:eastAsia="Calibri" w:hAnsi="David"/>
          <w:rtl/>
        </w:rPr>
        <w:t xml:space="preserve"> ל</w:t>
      </w:r>
      <w:hyperlink r:id="rId47" w:history="1">
        <w:r w:rsidR="000C0B2C" w:rsidRPr="000C0B2C">
          <w:rPr>
            <w:rFonts w:ascii="David" w:eastAsia="Calibri" w:hAnsi="David"/>
            <w:color w:val="0000FF"/>
            <w:u w:val="single"/>
            <w:rtl/>
          </w:rPr>
          <w:t>חוק העונשין</w:t>
        </w:r>
      </w:hyperlink>
      <w:r w:rsidRPr="004A2463">
        <w:rPr>
          <w:rFonts w:ascii="David" w:eastAsia="Calibri" w:hAnsi="David"/>
          <w:rtl/>
        </w:rPr>
        <w:t>, שאחרת בא החריג ומרוקן את הכלל מתוכן</w:t>
      </w:r>
      <w:r w:rsidRPr="004A2463">
        <w:rPr>
          <w:rFonts w:ascii="David" w:eastAsia="Calibri" w:hAnsi="David" w:hint="cs"/>
          <w:rtl/>
        </w:rPr>
        <w:t>" (</w:t>
      </w:r>
      <w:hyperlink r:id="rId48" w:history="1">
        <w:r w:rsidR="000C0B2C" w:rsidRPr="000C0B2C">
          <w:rPr>
            <w:rFonts w:ascii="David" w:eastAsia="Calibri" w:hAnsi="David"/>
            <w:color w:val="0000FF"/>
            <w:u w:val="single"/>
            <w:rtl/>
          </w:rPr>
          <w:t>ע"פ 7757/21</w:t>
        </w:r>
      </w:hyperlink>
      <w:r w:rsidR="000C0B2C">
        <w:rPr>
          <w:rFonts w:ascii="David" w:eastAsia="Calibri" w:hAnsi="David"/>
          <w:rtl/>
        </w:rPr>
        <w:t xml:space="preserve"> </w:t>
      </w:r>
      <w:r w:rsidRPr="004A2463">
        <w:rPr>
          <w:rFonts w:ascii="David" w:eastAsia="Calibri" w:hAnsi="David"/>
          <w:b/>
          <w:bCs/>
          <w:rtl/>
        </w:rPr>
        <w:t>אהרון קיי מרזוקי נ' מדינת ישראל</w:t>
      </w:r>
      <w:r w:rsidR="000C0B2C">
        <w:rPr>
          <w:rFonts w:ascii="David" w:eastAsia="Calibri" w:hAnsi="David"/>
          <w:rtl/>
        </w:rPr>
        <w:t xml:space="preserve"> </w:t>
      </w:r>
      <w:r w:rsidR="002173D4">
        <w:rPr>
          <w:rFonts w:ascii="David" w:eastAsia="Calibri" w:hAnsi="David" w:hint="cs"/>
          <w:rtl/>
        </w:rPr>
        <w:t>[נבו]</w:t>
      </w:r>
      <w:r w:rsidR="002173D4" w:rsidRPr="004A2463">
        <w:rPr>
          <w:rFonts w:ascii="David" w:eastAsia="Calibri" w:hAnsi="David"/>
          <w:rtl/>
        </w:rPr>
        <w:t xml:space="preserve"> </w:t>
      </w:r>
      <w:r w:rsidRPr="004A2463">
        <w:rPr>
          <w:rFonts w:ascii="David" w:eastAsia="Calibri" w:hAnsi="David"/>
          <w:rtl/>
        </w:rPr>
        <w:t>(24.05.2022)</w:t>
      </w:r>
      <w:r w:rsidRPr="004A2463">
        <w:rPr>
          <w:rFonts w:ascii="David" w:eastAsia="Calibri" w:hAnsi="David" w:hint="cs"/>
          <w:rtl/>
        </w:rPr>
        <w:t xml:space="preserve">). </w:t>
      </w:r>
    </w:p>
    <w:p w14:paraId="602E54C5"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p>
    <w:p w14:paraId="6C76F1CA"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r w:rsidRPr="004A2463">
        <w:rPr>
          <w:rFonts w:ascii="David" w:eastAsia="Calibri" w:hAnsi="David"/>
          <w:rtl/>
        </w:rPr>
        <w:tab/>
      </w:r>
      <w:r w:rsidRPr="004A2463">
        <w:rPr>
          <w:rFonts w:ascii="David" w:eastAsia="Calibri" w:hAnsi="David" w:hint="cs"/>
          <w:rtl/>
        </w:rPr>
        <w:t xml:space="preserve">לא מצאתי כי בענייננו מתקיימים אותם טעמים המצדיקים חריגה ממתחם העונש ההולם. הנאשם אמנם השתלב במסגרת שירות המבחן בהליך שיקומי, אך מדובר בהליך ראשוני שבסיומו לא בא שירות המבחן בהמלצה טיפולית לגביו. לפיכך, יש לגזור את עונשו של הנאשם בגדרי המתחם שנקבע לעיל. </w:t>
      </w:r>
    </w:p>
    <w:p w14:paraId="2A26C5A0"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p>
    <w:p w14:paraId="2C784CB0"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r w:rsidRPr="004A2463">
        <w:rPr>
          <w:rFonts w:ascii="David" w:eastAsia="Calibri" w:hAnsi="David" w:hint="cs"/>
          <w:rtl/>
        </w:rPr>
        <w:t>31.</w:t>
      </w:r>
      <w:r w:rsidRPr="004A2463">
        <w:rPr>
          <w:rFonts w:ascii="David" w:eastAsia="Calibri" w:hAnsi="David" w:hint="cs"/>
          <w:rtl/>
        </w:rPr>
        <w:tab/>
        <w:t xml:space="preserve">בבואי לגזור את העונש, ראיתי להביא בחשבון את הודאתו של הנאשם במיוחס לו בשלב מוקדם של ההליך. הודאה זו מבטאת נטילת אחריות מצדו על מעשיו והביאה בנוסף גם לחסכון בזמן שיפוטי יקר. </w:t>
      </w:r>
    </w:p>
    <w:p w14:paraId="1E22D34E"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p>
    <w:p w14:paraId="3911293C" w14:textId="77777777" w:rsidR="004A2463" w:rsidRPr="004A2463" w:rsidRDefault="004A2463" w:rsidP="00411A3C">
      <w:pPr>
        <w:tabs>
          <w:tab w:val="left" w:pos="567"/>
          <w:tab w:val="left" w:pos="1134"/>
          <w:tab w:val="left" w:pos="1701"/>
        </w:tabs>
        <w:spacing w:line="360" w:lineRule="auto"/>
        <w:ind w:left="567" w:hanging="567"/>
        <w:jc w:val="both"/>
        <w:rPr>
          <w:rFonts w:ascii="David" w:eastAsia="Calibri" w:hAnsi="David"/>
          <w:rtl/>
        </w:rPr>
      </w:pPr>
      <w:r w:rsidRPr="004A2463">
        <w:rPr>
          <w:rFonts w:ascii="David" w:eastAsia="Calibri" w:hAnsi="David" w:hint="cs"/>
          <w:rtl/>
        </w:rPr>
        <w:t>32.</w:t>
      </w:r>
      <w:r w:rsidRPr="004A2463">
        <w:rPr>
          <w:rFonts w:ascii="David" w:eastAsia="Calibri" w:hAnsi="David" w:hint="cs"/>
          <w:rtl/>
        </w:rPr>
        <w:tab/>
        <w:t>מצד שני, ראיתי להביא בחשבון את העובדה כי חרף גילו הצעיר של הנאשם, יליד 1998, הוא הספיק לצבור לחובתו שלוש הרשעות קודמות מבית משפט השלום לנוער בשלל עבירות, ובכללן במספר רב של עבירות רכוש. נכון הוא שמדובר בהרשעות מהשנים 2016 ו-2018, אך אין מקום להתעלם מהן או להקל בהן ראש.</w:t>
      </w:r>
    </w:p>
    <w:p w14:paraId="6267AABA"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p>
    <w:p w14:paraId="3E0D89CC"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r w:rsidRPr="004A2463">
        <w:rPr>
          <w:rFonts w:ascii="David" w:eastAsia="Calibri" w:hAnsi="David" w:hint="cs"/>
          <w:rtl/>
        </w:rPr>
        <w:t>33.</w:t>
      </w:r>
      <w:r w:rsidRPr="004A2463">
        <w:rPr>
          <w:rFonts w:ascii="David" w:eastAsia="Calibri" w:hAnsi="David" w:hint="cs"/>
          <w:rtl/>
        </w:rPr>
        <w:tab/>
        <w:t xml:space="preserve">נתתי דעתי גם לתסקיר שירות המבחן המפרט נסיבות חיים קשות ועצובות, עליהן עמדתי בהרחבה לעיל. יחד עם זאת, וכפי שציינתי קודם, צוק העתים והיקפן של עבירות הנשק מחייבים הענקת משקל בכורה לשיקולי גמול והרתעה והעדפתם על פני נסיבותיו האישיות של הנאשם. </w:t>
      </w:r>
    </w:p>
    <w:p w14:paraId="286C23FD"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p>
    <w:p w14:paraId="57AD6252"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r w:rsidRPr="004A2463">
        <w:rPr>
          <w:rFonts w:ascii="David" w:eastAsia="Calibri" w:hAnsi="David"/>
          <w:rtl/>
        </w:rPr>
        <w:tab/>
      </w:r>
      <w:r w:rsidRPr="004A2463">
        <w:rPr>
          <w:rFonts w:ascii="David" w:eastAsia="Calibri" w:hAnsi="David" w:hint="cs"/>
          <w:rtl/>
        </w:rPr>
        <w:t xml:space="preserve">בצדק ציין ב"כ הנאשם כי על אף ששירות המבחן לא בא בהמלצה טיפולית לגבי הנאשם הרי שלא מדובר בתסקיר שלילי במהותו. ניכר כי קיימת פרוגנוזה שיקומית טובה ונותר רק לקוות כי הנאשם יירתם להליך השיקומי גם במסגרת בית הכלא וכי עם שחרורו ממאסרו הוא יפתח דף חדש בחייו. </w:t>
      </w:r>
    </w:p>
    <w:p w14:paraId="31A1D395"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p>
    <w:p w14:paraId="283ED545"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r w:rsidRPr="004A2463">
        <w:rPr>
          <w:rFonts w:ascii="David" w:eastAsia="Calibri" w:hAnsi="David" w:hint="cs"/>
          <w:rtl/>
        </w:rPr>
        <w:t>34.</w:t>
      </w:r>
      <w:r w:rsidRPr="004A2463">
        <w:rPr>
          <w:rFonts w:ascii="David" w:eastAsia="Calibri" w:hAnsi="David" w:hint="cs"/>
          <w:rtl/>
        </w:rPr>
        <w:tab/>
        <w:t>לסיכום, אני גוזר על הנאשם את העונשים הבאים:</w:t>
      </w:r>
    </w:p>
    <w:p w14:paraId="0D887F40"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p>
    <w:p w14:paraId="48868328"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r w:rsidRPr="004A2463">
        <w:rPr>
          <w:rFonts w:ascii="David" w:eastAsia="Calibri" w:hAnsi="David"/>
          <w:rtl/>
        </w:rPr>
        <w:tab/>
      </w:r>
      <w:r w:rsidRPr="004A2463">
        <w:rPr>
          <w:rFonts w:ascii="David" w:eastAsia="Calibri" w:hAnsi="David" w:hint="cs"/>
          <w:rtl/>
        </w:rPr>
        <w:t>א.</w:t>
      </w:r>
      <w:r w:rsidRPr="004A2463">
        <w:rPr>
          <w:rFonts w:ascii="David" w:eastAsia="Calibri" w:hAnsi="David" w:hint="cs"/>
          <w:rtl/>
        </w:rPr>
        <w:tab/>
        <w:t xml:space="preserve">30 חודשי מאסר לריצוי בפועל, בניכוי ימי מעצרו מיום 15.10.2023 ועד 26.12.2023. </w:t>
      </w:r>
    </w:p>
    <w:p w14:paraId="6B626541"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p>
    <w:p w14:paraId="38D352A5" w14:textId="77777777" w:rsidR="004A2463" w:rsidRPr="004A2463" w:rsidRDefault="004A2463" w:rsidP="004A2463">
      <w:pPr>
        <w:tabs>
          <w:tab w:val="left" w:pos="567"/>
          <w:tab w:val="left" w:pos="1134"/>
          <w:tab w:val="left" w:pos="1701"/>
        </w:tabs>
        <w:spacing w:line="360" w:lineRule="auto"/>
        <w:ind w:left="1134" w:hanging="1134"/>
        <w:jc w:val="both"/>
        <w:rPr>
          <w:rFonts w:ascii="David" w:eastAsia="Calibri" w:hAnsi="David"/>
          <w:rtl/>
        </w:rPr>
      </w:pPr>
      <w:r w:rsidRPr="004A2463">
        <w:rPr>
          <w:rFonts w:ascii="David" w:eastAsia="Calibri" w:hAnsi="David"/>
          <w:rtl/>
        </w:rPr>
        <w:tab/>
      </w:r>
      <w:r w:rsidRPr="004A2463">
        <w:rPr>
          <w:rFonts w:ascii="David" w:eastAsia="Calibri" w:hAnsi="David" w:hint="cs"/>
          <w:rtl/>
        </w:rPr>
        <w:t>ב.</w:t>
      </w:r>
      <w:r w:rsidRPr="004A2463">
        <w:rPr>
          <w:rFonts w:ascii="David" w:eastAsia="Calibri" w:hAnsi="David" w:hint="cs"/>
          <w:rtl/>
        </w:rPr>
        <w:tab/>
        <w:t xml:space="preserve">12 חודשי מאסר על תנאי לבל יעבור תוך שלוש שנים כל עבירת נשק מסוג פשע ויורשע בגינה. </w:t>
      </w:r>
    </w:p>
    <w:p w14:paraId="1E164A4D" w14:textId="77777777" w:rsidR="004A2463" w:rsidRPr="004A2463" w:rsidRDefault="004A2463" w:rsidP="004A2463">
      <w:pPr>
        <w:tabs>
          <w:tab w:val="left" w:pos="567"/>
          <w:tab w:val="left" w:pos="1134"/>
          <w:tab w:val="left" w:pos="1701"/>
        </w:tabs>
        <w:spacing w:line="360" w:lineRule="auto"/>
        <w:ind w:left="1134" w:hanging="1134"/>
        <w:jc w:val="both"/>
        <w:rPr>
          <w:rFonts w:ascii="David" w:eastAsia="Calibri" w:hAnsi="David"/>
          <w:rtl/>
        </w:rPr>
      </w:pPr>
    </w:p>
    <w:p w14:paraId="582D34F4" w14:textId="77777777" w:rsidR="004A2463" w:rsidRPr="004A2463" w:rsidRDefault="004A2463" w:rsidP="004A2463">
      <w:pPr>
        <w:tabs>
          <w:tab w:val="left" w:pos="567"/>
          <w:tab w:val="left" w:pos="1134"/>
          <w:tab w:val="left" w:pos="1701"/>
        </w:tabs>
        <w:spacing w:line="360" w:lineRule="auto"/>
        <w:ind w:left="1134" w:hanging="1134"/>
        <w:jc w:val="both"/>
        <w:rPr>
          <w:rFonts w:ascii="David" w:eastAsia="Calibri" w:hAnsi="David"/>
          <w:rtl/>
        </w:rPr>
      </w:pPr>
      <w:r w:rsidRPr="004A2463">
        <w:rPr>
          <w:rFonts w:ascii="David" w:eastAsia="Calibri" w:hAnsi="David"/>
          <w:rtl/>
        </w:rPr>
        <w:tab/>
      </w:r>
      <w:r w:rsidRPr="004A2463">
        <w:rPr>
          <w:rFonts w:ascii="David" w:eastAsia="Calibri" w:hAnsi="David" w:hint="cs"/>
          <w:rtl/>
        </w:rPr>
        <w:t>ג.</w:t>
      </w:r>
      <w:r w:rsidRPr="004A2463">
        <w:rPr>
          <w:rFonts w:ascii="David" w:eastAsia="Calibri" w:hAnsi="David" w:hint="cs"/>
          <w:rtl/>
        </w:rPr>
        <w:tab/>
        <w:t xml:space="preserve">6 חודשי מאסר על תנאי לבל יעבור תוך שלוש שנים כל עבירת נשק מסוג עוון ויורשע בגינה. </w:t>
      </w:r>
    </w:p>
    <w:p w14:paraId="59554B55" w14:textId="77777777" w:rsidR="004A2463" w:rsidRPr="004A2463" w:rsidRDefault="004A2463" w:rsidP="004A2463">
      <w:pPr>
        <w:tabs>
          <w:tab w:val="left" w:pos="567"/>
          <w:tab w:val="left" w:pos="1134"/>
          <w:tab w:val="left" w:pos="1701"/>
        </w:tabs>
        <w:spacing w:line="360" w:lineRule="auto"/>
        <w:ind w:left="1134" w:hanging="1134"/>
        <w:jc w:val="both"/>
        <w:rPr>
          <w:rFonts w:ascii="David" w:eastAsia="Calibri" w:hAnsi="David"/>
          <w:rtl/>
        </w:rPr>
      </w:pPr>
    </w:p>
    <w:p w14:paraId="3837DBCA" w14:textId="77777777" w:rsidR="004A2463" w:rsidRPr="004A2463" w:rsidRDefault="004A2463" w:rsidP="00411A3C">
      <w:pPr>
        <w:tabs>
          <w:tab w:val="left" w:pos="567"/>
          <w:tab w:val="left" w:pos="1134"/>
          <w:tab w:val="left" w:pos="1701"/>
        </w:tabs>
        <w:spacing w:line="360" w:lineRule="auto"/>
        <w:ind w:left="1134" w:hanging="1134"/>
        <w:jc w:val="both"/>
        <w:rPr>
          <w:rFonts w:ascii="David" w:eastAsia="Calibri" w:hAnsi="David"/>
          <w:rtl/>
        </w:rPr>
      </w:pPr>
      <w:r w:rsidRPr="004A2463">
        <w:rPr>
          <w:rFonts w:ascii="David" w:eastAsia="Calibri" w:hAnsi="David"/>
          <w:rtl/>
        </w:rPr>
        <w:tab/>
      </w:r>
      <w:r w:rsidRPr="004A2463">
        <w:rPr>
          <w:rFonts w:ascii="David" w:eastAsia="Calibri" w:hAnsi="David" w:hint="cs"/>
          <w:rtl/>
        </w:rPr>
        <w:t>ד.</w:t>
      </w:r>
      <w:r w:rsidRPr="004A2463">
        <w:rPr>
          <w:rFonts w:ascii="David" w:eastAsia="Calibri" w:hAnsi="David" w:hint="cs"/>
          <w:rtl/>
        </w:rPr>
        <w:tab/>
        <w:t xml:space="preserve">אני מורה על חילוט הרכב ששימש את הנאשם בביצוע העבירות בהן הורשע. מדובר ברכב מזדה </w:t>
      </w:r>
      <w:r w:rsidRPr="004A2463">
        <w:rPr>
          <w:rFonts w:ascii="David" w:eastAsia="Calibri" w:hAnsi="David"/>
        </w:rPr>
        <w:t>Active 3</w:t>
      </w:r>
      <w:r w:rsidR="00411A3C">
        <w:rPr>
          <w:rFonts w:ascii="David" w:eastAsia="Calibri" w:hAnsi="David" w:hint="cs"/>
          <w:rtl/>
        </w:rPr>
        <w:t xml:space="preserve"> מ.ר 69-054-68, שנת ייצור 2010, </w:t>
      </w:r>
      <w:r w:rsidRPr="004A2463">
        <w:rPr>
          <w:rFonts w:ascii="David" w:eastAsia="Calibri" w:hAnsi="David" w:hint="cs"/>
          <w:rtl/>
        </w:rPr>
        <w:t xml:space="preserve">אשר יחולט לטובת אוצר המדינה בהתאם </w:t>
      </w:r>
      <w:hyperlink r:id="rId49" w:history="1">
        <w:r w:rsidR="00AB0E0E" w:rsidRPr="00AB0E0E">
          <w:rPr>
            <w:rStyle w:val="Hyperlink"/>
            <w:rFonts w:ascii="David" w:eastAsia="Calibri" w:hAnsi="David" w:hint="eastAsia"/>
            <w:rtl/>
          </w:rPr>
          <w:t>לסעיף</w:t>
        </w:r>
        <w:r w:rsidR="00AB0E0E" w:rsidRPr="00AB0E0E">
          <w:rPr>
            <w:rStyle w:val="Hyperlink"/>
            <w:rFonts w:ascii="David" w:eastAsia="Calibri" w:hAnsi="David"/>
            <w:rtl/>
          </w:rPr>
          <w:t xml:space="preserve"> 39</w:t>
        </w:r>
      </w:hyperlink>
      <w:r w:rsidRPr="004A2463">
        <w:rPr>
          <w:rFonts w:ascii="David" w:eastAsia="Calibri" w:hAnsi="David" w:hint="cs"/>
          <w:rtl/>
        </w:rPr>
        <w:t xml:space="preserve"> ל</w:t>
      </w:r>
      <w:hyperlink r:id="rId50" w:history="1">
        <w:r w:rsidR="000C0B2C" w:rsidRPr="000C0B2C">
          <w:rPr>
            <w:rFonts w:ascii="David" w:eastAsia="Calibri" w:hAnsi="David"/>
            <w:color w:val="0000FF"/>
            <w:u w:val="single"/>
            <w:rtl/>
          </w:rPr>
          <w:t>פקודת סדר הדין הפלילי (מעצר וחיפוש)</w:t>
        </w:r>
      </w:hyperlink>
      <w:r w:rsidR="00411A3C">
        <w:rPr>
          <w:rFonts w:ascii="David" w:eastAsia="Calibri" w:hAnsi="David" w:hint="cs"/>
          <w:rtl/>
        </w:rPr>
        <w:t xml:space="preserve"> </w:t>
      </w:r>
      <w:r w:rsidRPr="004A2463">
        <w:rPr>
          <w:rFonts w:ascii="David" w:eastAsia="Calibri" w:hAnsi="David" w:hint="cs"/>
          <w:rtl/>
        </w:rPr>
        <w:t>[נוסח חדש], התשכ"ט</w:t>
      </w:r>
      <w:r w:rsidR="00411A3C">
        <w:rPr>
          <w:rFonts w:ascii="David" w:eastAsia="Calibri" w:hAnsi="David" w:hint="cs"/>
          <w:rtl/>
        </w:rPr>
        <w:t>-</w:t>
      </w:r>
      <w:r w:rsidRPr="004A2463">
        <w:rPr>
          <w:rFonts w:ascii="David" w:eastAsia="Calibri" w:hAnsi="David" w:hint="cs"/>
          <w:rtl/>
        </w:rPr>
        <w:t xml:space="preserve">1969. </w:t>
      </w:r>
    </w:p>
    <w:p w14:paraId="51F79B0A" w14:textId="77777777" w:rsidR="004A2463" w:rsidRPr="004A2463" w:rsidRDefault="004A2463" w:rsidP="004A2463">
      <w:pPr>
        <w:tabs>
          <w:tab w:val="left" w:pos="567"/>
          <w:tab w:val="left" w:pos="1134"/>
          <w:tab w:val="left" w:pos="1701"/>
        </w:tabs>
        <w:spacing w:line="360" w:lineRule="auto"/>
        <w:ind w:left="1134" w:hanging="1134"/>
        <w:jc w:val="both"/>
        <w:rPr>
          <w:rFonts w:ascii="David" w:eastAsia="Calibri" w:hAnsi="David"/>
          <w:rtl/>
        </w:rPr>
      </w:pPr>
    </w:p>
    <w:p w14:paraId="2303B37D"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r w:rsidRPr="004A2463">
        <w:rPr>
          <w:rFonts w:ascii="David" w:eastAsia="Calibri" w:hAnsi="David" w:hint="cs"/>
          <w:rtl/>
        </w:rPr>
        <w:t>35.</w:t>
      </w:r>
      <w:r w:rsidRPr="004A2463">
        <w:rPr>
          <w:rFonts w:ascii="David" w:eastAsia="Calibri" w:hAnsi="David"/>
          <w:rtl/>
        </w:rPr>
        <w:tab/>
      </w:r>
      <w:r w:rsidRPr="004A2463">
        <w:rPr>
          <w:rFonts w:ascii="David" w:eastAsia="Calibri" w:hAnsi="David" w:hint="cs"/>
          <w:rtl/>
        </w:rPr>
        <w:t>הנאשם יתייצב לתחילת ריצוי מאסרו ביום 15.8.2024 בשעה 08:00 בבית מעצר הקישון כשבידו תעודה מזהה. על הנאשם לתאם את כניסתו למאסר, כולל האפשרות למיון מוקדם, עם ענף אבחון ומיון של שירות בתי הסוהר ב</w:t>
      </w:r>
      <w:r w:rsidRPr="004A2463">
        <w:rPr>
          <w:rFonts w:ascii="David" w:eastAsia="Calibri" w:hAnsi="David"/>
          <w:color w:val="000000"/>
          <w:rtl/>
        </w:rPr>
        <w:t>טלפונים 074-7831077, 074-7831078</w:t>
      </w:r>
      <w:r w:rsidRPr="004A2463">
        <w:rPr>
          <w:rFonts w:ascii="David" w:eastAsia="Calibri" w:hAnsi="David" w:hint="cs"/>
          <w:rtl/>
        </w:rPr>
        <w:t xml:space="preserve">. </w:t>
      </w:r>
    </w:p>
    <w:p w14:paraId="6009889E"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p>
    <w:p w14:paraId="68CAF6CE"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r w:rsidRPr="004A2463">
        <w:rPr>
          <w:rFonts w:ascii="David" w:eastAsia="Calibri" w:hAnsi="David"/>
          <w:rtl/>
        </w:rPr>
        <w:tab/>
      </w:r>
      <w:r w:rsidRPr="004A2463">
        <w:rPr>
          <w:rFonts w:ascii="David" w:eastAsia="Calibri" w:hAnsi="David" w:hint="cs"/>
          <w:rtl/>
        </w:rPr>
        <w:t xml:space="preserve">ככל שיגלה הנאשם רצונו לעבור הליך שיקומי במסגרת בית הכלא, ישקלו רשויות שב"ס בקשתו לעניין זה בחיוב. </w:t>
      </w:r>
    </w:p>
    <w:p w14:paraId="4D6B1BC5"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p>
    <w:p w14:paraId="211533BA"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r w:rsidRPr="004A2463">
        <w:rPr>
          <w:rFonts w:ascii="David" w:eastAsia="Calibri" w:hAnsi="David"/>
          <w:rtl/>
        </w:rPr>
        <w:tab/>
      </w:r>
      <w:r w:rsidRPr="004A2463">
        <w:rPr>
          <w:rFonts w:ascii="David" w:eastAsia="Calibri" w:hAnsi="David" w:hint="cs"/>
          <w:rtl/>
        </w:rPr>
        <w:t xml:space="preserve">למען הסר כל ספק מובהר בזאת כי עד לתחילת ריצוי מאסרו, ימשיכו לחול על הנאשם התנאים המגבילים החלים עליו כיום. </w:t>
      </w:r>
    </w:p>
    <w:p w14:paraId="456E3445" w14:textId="77777777" w:rsidR="004A2463" w:rsidRPr="004A2463" w:rsidRDefault="004A2463" w:rsidP="004A2463">
      <w:pPr>
        <w:tabs>
          <w:tab w:val="left" w:pos="567"/>
          <w:tab w:val="left" w:pos="1134"/>
          <w:tab w:val="left" w:pos="1701"/>
        </w:tabs>
        <w:spacing w:line="360" w:lineRule="auto"/>
        <w:ind w:left="567" w:hanging="567"/>
        <w:jc w:val="both"/>
        <w:rPr>
          <w:rFonts w:ascii="David" w:eastAsia="Calibri" w:hAnsi="David"/>
          <w:rtl/>
        </w:rPr>
      </w:pPr>
    </w:p>
    <w:p w14:paraId="2FD822C5" w14:textId="77777777" w:rsidR="004A2463" w:rsidRPr="004A2463" w:rsidRDefault="000C0B2C" w:rsidP="004A2463">
      <w:pPr>
        <w:tabs>
          <w:tab w:val="left" w:pos="567"/>
          <w:tab w:val="left" w:pos="1134"/>
          <w:tab w:val="left" w:pos="1701"/>
        </w:tabs>
        <w:spacing w:line="360" w:lineRule="auto"/>
        <w:ind w:left="567" w:hanging="567"/>
        <w:jc w:val="both"/>
        <w:rPr>
          <w:rFonts w:ascii="David" w:eastAsia="Calibri" w:hAnsi="David"/>
          <w:rtl/>
        </w:rPr>
      </w:pPr>
      <w:r w:rsidRPr="000C0B2C">
        <w:rPr>
          <w:rFonts w:ascii="David" w:eastAsia="Calibri" w:hAnsi="David"/>
          <w:color w:val="FFFFFF"/>
          <w:sz w:val="2"/>
          <w:szCs w:val="2"/>
          <w:rtl/>
        </w:rPr>
        <w:t>5129371</w:t>
      </w:r>
      <w:r w:rsidR="004A2463" w:rsidRPr="004A2463">
        <w:rPr>
          <w:rFonts w:ascii="David" w:eastAsia="Calibri" w:hAnsi="David" w:hint="cs"/>
          <w:rtl/>
        </w:rPr>
        <w:t>זכות ערעור לבית המשפט העליון תוך 45 ימים.</w:t>
      </w:r>
    </w:p>
    <w:p w14:paraId="11BAA208" w14:textId="77777777" w:rsidR="00507694" w:rsidRPr="000C0B2C" w:rsidRDefault="000C0B2C">
      <w:pPr>
        <w:rPr>
          <w:color w:val="FFFFFF"/>
          <w:sz w:val="2"/>
          <w:szCs w:val="2"/>
          <w:rtl/>
        </w:rPr>
      </w:pPr>
      <w:r w:rsidRPr="000C0B2C">
        <w:rPr>
          <w:color w:val="FFFFFF"/>
          <w:sz w:val="2"/>
          <w:szCs w:val="2"/>
          <w:rtl/>
        </w:rPr>
        <w:t>54678313</w:t>
      </w:r>
    </w:p>
    <w:p w14:paraId="3FE6C4CE" w14:textId="77777777" w:rsidR="00507694" w:rsidRDefault="000C0B2C">
      <w:pPr>
        <w:rPr>
          <w:rFonts w:cs="FrankRuehl"/>
          <w:sz w:val="28"/>
          <w:szCs w:val="28"/>
          <w:rtl/>
        </w:rPr>
      </w:pPr>
      <w:bookmarkStart w:id="8" w:name="Nitan"/>
      <w:r>
        <w:rPr>
          <w:rFonts w:ascii="Arial" w:hAnsi="Arial"/>
          <w:rtl/>
        </w:rPr>
        <w:t xml:space="preserve">ניתן היום,  ה' תמוז תשפ"ד, 11 יולי 2024, במעמד הנוכחים. </w:t>
      </w:r>
      <w:bookmarkEnd w:id="8"/>
    </w:p>
    <w:p w14:paraId="1318D9A5" w14:textId="77777777" w:rsidR="00507694" w:rsidRDefault="003E0C9F" w:rsidP="000C0B2C">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B625B5E" w14:textId="77777777" w:rsidR="00507694" w:rsidRDefault="00507694" w:rsidP="003E0C9F">
      <w:pPr>
        <w:jc w:val="center"/>
        <w:rPr>
          <w:rFonts w:ascii="Arial" w:hAnsi="Arial" w:cs="FrankRuehl"/>
          <w:sz w:val="28"/>
          <w:szCs w:val="28"/>
          <w:rtl/>
        </w:rPr>
      </w:pPr>
    </w:p>
    <w:p w14:paraId="4758097A" w14:textId="77777777" w:rsidR="00507694" w:rsidRPr="00AB0E0E" w:rsidRDefault="00AB0E0E">
      <w:pPr>
        <w:rPr>
          <w:rFonts w:cs="FrankRuehl"/>
          <w:color w:val="FFFFFF"/>
          <w:sz w:val="2"/>
          <w:szCs w:val="2"/>
          <w:rtl/>
        </w:rPr>
      </w:pPr>
      <w:r w:rsidRPr="00AB0E0E">
        <w:rPr>
          <w:rFonts w:cs="FrankRuehl"/>
          <w:color w:val="FFFFFF"/>
          <w:sz w:val="2"/>
          <w:szCs w:val="2"/>
          <w:rtl/>
        </w:rPr>
        <w:t>5129371</w:t>
      </w:r>
    </w:p>
    <w:p w14:paraId="17706F7B" w14:textId="77777777" w:rsidR="00507694" w:rsidRPr="00AB0E0E" w:rsidRDefault="00AB0E0E" w:rsidP="000C0B2C">
      <w:pPr>
        <w:pStyle w:val="a3"/>
        <w:keepNext/>
        <w:rPr>
          <w:rFonts w:ascii="David" w:hAnsi="David"/>
          <w:color w:val="FFFFFF"/>
          <w:sz w:val="2"/>
          <w:szCs w:val="2"/>
          <w:rtl/>
        </w:rPr>
      </w:pPr>
      <w:r w:rsidRPr="00AB0E0E">
        <w:rPr>
          <w:rFonts w:ascii="David" w:hAnsi="David"/>
          <w:color w:val="FFFFFF"/>
          <w:sz w:val="2"/>
          <w:szCs w:val="2"/>
          <w:rtl/>
        </w:rPr>
        <w:t>54678313</w:t>
      </w:r>
    </w:p>
    <w:p w14:paraId="4F717336" w14:textId="77777777" w:rsidR="000C0B2C" w:rsidRDefault="000C0B2C" w:rsidP="000C0B2C">
      <w:pPr>
        <w:pStyle w:val="a3"/>
        <w:rPr>
          <w:rtl/>
        </w:rPr>
      </w:pPr>
    </w:p>
    <w:p w14:paraId="4E5DBAEE" w14:textId="77777777" w:rsidR="000C0B2C" w:rsidRDefault="000C0B2C" w:rsidP="000C0B2C">
      <w:pPr>
        <w:pStyle w:val="a3"/>
        <w:jc w:val="center"/>
        <w:rPr>
          <w:color w:val="0000FF"/>
          <w:u w:val="single"/>
          <w:rtl/>
        </w:rPr>
      </w:pPr>
      <w:hyperlink r:id="rId51" w:history="1">
        <w:r>
          <w:rPr>
            <w:color w:val="0000FF"/>
            <w:u w:val="single"/>
            <w:rtl/>
          </w:rPr>
          <w:t>בעניין עריכה ושינויים במסמכי פסיקה, חקיקה ועוד באתר נבו – הקש כאן</w:t>
        </w:r>
      </w:hyperlink>
    </w:p>
    <w:p w14:paraId="7CD90DE8" w14:textId="77777777" w:rsidR="00AB0E0E" w:rsidRPr="00AB0E0E" w:rsidRDefault="00AB0E0E" w:rsidP="00AB0E0E">
      <w:pPr>
        <w:pStyle w:val="a3"/>
        <w:keepNext/>
        <w:rPr>
          <w:rFonts w:ascii="David" w:hAnsi="David"/>
          <w:color w:val="000000"/>
          <w:sz w:val="22"/>
          <w:szCs w:val="22"/>
          <w:rtl/>
        </w:rPr>
      </w:pPr>
    </w:p>
    <w:p w14:paraId="2DF76821" w14:textId="77777777" w:rsidR="00AB0E0E" w:rsidRPr="00AB0E0E" w:rsidRDefault="00AB0E0E" w:rsidP="00AB0E0E">
      <w:pPr>
        <w:pStyle w:val="a3"/>
        <w:keepNext/>
        <w:rPr>
          <w:rFonts w:ascii="David" w:hAnsi="David"/>
          <w:color w:val="000000"/>
          <w:sz w:val="22"/>
          <w:szCs w:val="22"/>
          <w:rtl/>
        </w:rPr>
      </w:pPr>
      <w:r w:rsidRPr="00AB0E0E">
        <w:rPr>
          <w:rFonts w:ascii="David" w:hAnsi="David"/>
          <w:color w:val="000000"/>
          <w:sz w:val="22"/>
          <w:szCs w:val="22"/>
          <w:rtl/>
        </w:rPr>
        <w:t>אמיר טובי 54678313-/</w:t>
      </w:r>
    </w:p>
    <w:p w14:paraId="076294BB" w14:textId="77777777" w:rsidR="000C0B2C" w:rsidRPr="000C0B2C" w:rsidRDefault="00AB0E0E" w:rsidP="00AB0E0E">
      <w:pPr>
        <w:pStyle w:val="a3"/>
        <w:rPr>
          <w:color w:val="0000FF"/>
          <w:u w:val="single"/>
          <w:rtl/>
        </w:rPr>
      </w:pPr>
      <w:r w:rsidRPr="00AB0E0E">
        <w:rPr>
          <w:color w:val="000000"/>
          <w:u w:val="single"/>
          <w:rtl/>
        </w:rPr>
        <w:t>נוסח מסמך זה כפוף לשינויי ניסוח ועריכה</w:t>
      </w:r>
    </w:p>
    <w:sectPr w:rsidR="000C0B2C" w:rsidRPr="000C0B2C" w:rsidSect="00AB0E0E">
      <w:headerReference w:type="even" r:id="rId52"/>
      <w:headerReference w:type="default" r:id="rId53"/>
      <w:footerReference w:type="even" r:id="rId54"/>
      <w:footerReference w:type="default" r:id="rId55"/>
      <w:pgSz w:w="11907" w:h="16840" w:code="9"/>
      <w:pgMar w:top="1701" w:right="1701" w:bottom="993"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F90A02" w14:textId="77777777" w:rsidR="00317B6C" w:rsidRDefault="00317B6C">
      <w:r>
        <w:separator/>
      </w:r>
    </w:p>
  </w:endnote>
  <w:endnote w:type="continuationSeparator" w:id="0">
    <w:p w14:paraId="3D39A53C" w14:textId="77777777" w:rsidR="00317B6C" w:rsidRDefault="00317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747A4" w14:textId="77777777" w:rsidR="00AB0E0E" w:rsidRDefault="00AB0E0E" w:rsidP="00AB0E0E">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4845F74" w14:textId="77777777" w:rsidR="00BD67E7" w:rsidRPr="00AB0E0E" w:rsidRDefault="00AB0E0E" w:rsidP="00AB0E0E">
    <w:pPr>
      <w:pStyle w:val="a4"/>
      <w:pBdr>
        <w:top w:val="single" w:sz="4" w:space="1" w:color="auto"/>
        <w:between w:val="single" w:sz="4" w:space="0" w:color="auto"/>
      </w:pBdr>
      <w:spacing w:after="60"/>
      <w:jc w:val="center"/>
      <w:rPr>
        <w:rFonts w:ascii="FrankRuehl" w:hAnsi="FrankRuehl" w:cs="FrankRuehl"/>
        <w:color w:val="000000"/>
      </w:rPr>
    </w:pPr>
    <w:r w:rsidRPr="00AB0E0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E58EB" w14:textId="77777777" w:rsidR="00AB0E0E" w:rsidRDefault="00AB0E0E" w:rsidP="00AB0E0E">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D7367">
      <w:rPr>
        <w:rFonts w:ascii="FrankRuehl" w:hAnsi="FrankRuehl" w:cs="FrankRuehl"/>
        <w:noProof/>
        <w:rtl/>
      </w:rPr>
      <w:t>1</w:t>
    </w:r>
    <w:r>
      <w:rPr>
        <w:rFonts w:ascii="FrankRuehl" w:hAnsi="FrankRuehl" w:cs="FrankRuehl"/>
        <w:rtl/>
      </w:rPr>
      <w:fldChar w:fldCharType="end"/>
    </w:r>
  </w:p>
  <w:p w14:paraId="53562755" w14:textId="77777777" w:rsidR="00BD67E7" w:rsidRPr="00AB0E0E" w:rsidRDefault="00AB0E0E" w:rsidP="00AB0E0E">
    <w:pPr>
      <w:pStyle w:val="a4"/>
      <w:pBdr>
        <w:top w:val="single" w:sz="4" w:space="1" w:color="auto"/>
        <w:between w:val="single" w:sz="4" w:space="0" w:color="auto"/>
      </w:pBdr>
      <w:spacing w:after="60"/>
      <w:jc w:val="center"/>
      <w:rPr>
        <w:rFonts w:ascii="FrankRuehl" w:hAnsi="FrankRuehl" w:cs="FrankRuehl"/>
        <w:color w:val="000000"/>
      </w:rPr>
    </w:pPr>
    <w:r w:rsidRPr="00AB0E0E">
      <w:rPr>
        <w:rFonts w:ascii="FrankRuehl" w:hAnsi="FrankRuehl" w:cs="FrankRuehl"/>
        <w:color w:val="000000"/>
      </w:rPr>
      <w:pict w14:anchorId="69ABF5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D71905" w14:textId="77777777" w:rsidR="00317B6C" w:rsidRDefault="00317B6C">
      <w:r>
        <w:separator/>
      </w:r>
    </w:p>
  </w:footnote>
  <w:footnote w:type="continuationSeparator" w:id="0">
    <w:p w14:paraId="65564313" w14:textId="77777777" w:rsidR="00317B6C" w:rsidRDefault="00317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E7A15" w14:textId="77777777" w:rsidR="000C0B2C" w:rsidRPr="00AB0E0E" w:rsidRDefault="00AB0E0E" w:rsidP="00AB0E0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52322-10-23</w:t>
    </w:r>
    <w:r>
      <w:rPr>
        <w:rFonts w:ascii="David" w:hAnsi="David"/>
        <w:color w:val="000000"/>
        <w:sz w:val="22"/>
        <w:szCs w:val="22"/>
        <w:rtl/>
      </w:rPr>
      <w:tab/>
      <w:t xml:space="preserve"> מדינת ישראל נ' סנד עראבי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082DB" w14:textId="77777777" w:rsidR="00507694" w:rsidRPr="00AB0E0E" w:rsidRDefault="00AB0E0E" w:rsidP="00AB0E0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52322-10-23</w:t>
    </w:r>
    <w:r>
      <w:rPr>
        <w:rFonts w:ascii="David" w:hAnsi="David"/>
        <w:color w:val="000000"/>
        <w:sz w:val="22"/>
        <w:szCs w:val="22"/>
        <w:rtl/>
      </w:rPr>
      <w:tab/>
      <w:t xml:space="preserve"> מדינת ישראל נ' סנד עראבי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26054108">
    <w:abstractNumId w:val="1"/>
  </w:num>
  <w:num w:numId="2" w16cid:durableId="777213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80711261"/>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UseCurrentLocale=&amp;quot;true&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AccessibilityRequired&amp;quot; type=&amp;quot;xs:boolean&amp;quot; default=&amp;quot;false&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element name=&amp;quot;IsElectronicallyMonitoredDetainee&amp;quot; type=&amp;quot;xs:boolean&amp;quot; minOccurs=&amp;quot;0&amp;quot; /&amp;gt;_x000d__x000a_                &amp;lt;xs:element name=&amp;quot;IsCasePredictedToAge&amp;quot; type=&amp;quot;xs:int&amp;quot; default=&amp;quot;0&amp;quot; minOccurs=&amp;quot;0&amp;quot; /&amp;gt;_x000d__x000a_                &amp;lt;xs:element name=&amp;quot;PendingWebSubmissionsQty&amp;quot; type=&amp;quot;xs:int&amp;quot; minOccurs=&amp;quot;0&amp;quot; /&amp;gt;_x000d__x000a_                &amp;lt;xs:element name=&amp;quot;PreviousSerialNumber&amp;quot; type=&amp;quot;xs:string&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80711261&amp;lt;/CaseID&amp;gt;_x000d__x000a_        &amp;lt;CaseMonth&amp;gt;10&amp;lt;/CaseMonth&amp;gt;_x000d__x000a_        &amp;lt;CaseYear&amp;gt;2023&amp;lt;/CaseYear&amp;gt;_x000d__x000a_        &amp;lt;CaseNumber&amp;gt;52322&amp;lt;/CaseNumber&amp;gt;_x000d__x000a_        &amp;lt;NumeratorGroupID&amp;gt;1&amp;lt;/NumeratorGroupID&amp;gt;_x000d__x000a_        &amp;lt;CaseName&amp;gt;מדינת ישראל נ&amp;#39; עראבי(עצור/אסיר בפיקוח)&amp;lt;/CaseName&amp;gt;_x000d__x000a_        &amp;lt;CourtID&amp;gt;13&amp;lt;/CourtID&amp;gt;_x000d__x000a_        &amp;lt;CaseTypeID&amp;gt;10048&amp;lt;/CaseTypeID&amp;gt;_x000d__x000a_        &amp;lt;CaseJudgeName&amp;gt;אמיר טובי&amp;lt;/CaseJudgeName&amp;gt;_x000d__x000a_        &amp;lt;CaseLinkTypeID&amp;gt;10&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1&amp;lt;/PrivilegeID&amp;gt;_x000d__x000a_        &amp;lt;IsAppealingCaseExist&amp;gt;false&amp;lt;/IsAppealingCaseExist&amp;gt;_x000d__x000a_        &amp;lt;CaseDisplayIdentifier&amp;gt;52322-10-23&amp;lt;/CaseDisplayIdentifier&amp;gt;_x000d__x000a_        &amp;lt;CaseTypeDesc&amp;gt;ת&amp;quot;פ&amp;lt;/CaseTypeDesc&amp;gt;_x000d__x000a_        &amp;lt;CourtDesc&amp;gt;המחוזי חיפה&amp;lt;/CourtDesc&amp;gt;_x000d__x000a_        &amp;lt;CaseStageDesc&amp;gt;תיק אלקטרוני&amp;lt;/CaseStageDesc&amp;gt;_x000d__x000a_        &amp;lt;IsUnpaidFeeExist&amp;gt;false&amp;lt;/IsUnpaidFeeExist&amp;gt;_x000d__x000a_        &amp;lt;CaseNextDeterminingTask&amp;gt;150&amp;lt;/CaseNextDeterminingTask&amp;gt;_x000d__x000a_        &amp;lt;CaseOpenDate&amp;gt;2023-10-30T11:47:00+02:00&amp;lt;/CaseOpenDate&amp;gt;_x000d__x000a_        &amp;lt;PleaTypeID&amp;gt;8&amp;lt;/PleaTypeID&amp;gt;_x000d__x000a_        &amp;lt;CourtLevelID&amp;gt;2&amp;lt;/CourtLevelID&amp;gt;_x000d__x000a_        &amp;lt;CourtLevelCaseTypeInterestID&amp;gt;439&amp;lt;/CourtLevelCaseTypeInterestID&amp;gt;_x000d__x000a_        &amp;lt;CaseJudgeFirstName&amp;gt;אמיר&amp;lt;/CaseJudgeFirstName&amp;gt;_x000d__x000a_        &amp;lt;CaseJudgeLastName&amp;gt;טובי&amp;lt;/CaseJudgeLastName&amp;gt;_x000d__x000a_        &amp;lt;JudicalPersonID&amp;gt;055737126@GOV.IL&amp;lt;/JudicalPersonID&amp;gt;_x000d__x000a_        &amp;lt;IsJudicalPanel&amp;gt;false&amp;lt;/IsJudicalPanel&amp;gt;_x000d__x000a_        &amp;lt;CourtDisplayName&amp;gt;בית המשפט המחוזי בחיפה&amp;lt;/CourtDisplayName&amp;gt;_x000d__x000a_        &amp;lt;IsAllStartDataCollected&amp;gt;true&amp;lt;/IsAllStartDataCollected&amp;gt;_x000d__x000a_        &amp;lt;IsMainCase&amp;gt;false&amp;lt;/IsMainCase&amp;gt;_x000d__x000a_        &amp;lt;CaseDesc&amp;gt;תיק נייר.&amp;lt;/CaseDesc&amp;gt;_x000d__x000a_        &amp;lt;isExistMinorSide&amp;gt;false&amp;lt;/isExistMinorSide&amp;gt;_x000d__x000a_        &amp;lt;isExistMinorWitness&amp;gt;false&amp;lt;/isExistMinorWitness&amp;gt;_x000d__x000a_        &amp;lt;ArchivingActivityID&amp;gt;1&amp;lt;/ArchivingActivityID&amp;gt;_x000d__x000a_        &amp;lt;IsAccessibilityRequired&amp;gt;false&amp;lt;/IsAccessibilityRequired&amp;gt;_x000d__x000a_        &amp;lt;IsDecisionTypeZaveElyon&amp;gt;false&amp;lt;/IsDecisionTypeZaveElyon&amp;gt;_x000d__x000a_        &amp;lt;IsFeePaid&amp;gt;false&amp;lt;/IsFeePaid&amp;gt;_x000d__x000a_        &amp;lt;IsExistPrisoner&amp;gt;false&amp;lt;/IsExistPrisoner&amp;gt;_x000d__x000a_        &amp;lt;IsExistDetainee&amp;gt;false&amp;lt;/IsExistDetainee&amp;gt;_x000d__x000a_        &amp;lt;IsDebitExist&amp;gt;false&amp;lt;/IsDebitExist&amp;gt;_x000d__x000a_        &amp;lt;IsExistSeizure&amp;gt;false&amp;lt;/IsExistSeizure&amp;gt;_x000d__x000a_        &amp;lt;IsExemptionExistInCase&amp;gt;false&amp;lt;/IsExemptionExistInCase&amp;gt;_x000d__x000a_        &amp;lt;IsDebitTransferedInCase&amp;gt;false&amp;lt;/IsDebitTransferedInCase&amp;gt;_x000d__x000a_        &amp;lt;IsElectronicallyMonitoredDetainee&amp;gt;true&amp;lt;/IsElectronicallyMonitoredDetainee&amp;gt;_x000d__x000a_        &amp;lt;IsCasePredictedToAge&amp;gt;0&amp;lt;/IsCasePredictedToAge&amp;gt;_x000d__x000a_        &amp;lt;PendingWebSubmissionsQty&amp;gt;0&amp;lt;/PendingWebSubmissionsQty&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80711261&amp;lt;/CaseID&amp;gt;_x000d__x000a_        &amp;lt;CaseMonth&amp;gt;10&amp;lt;/CaseMonth&amp;gt;_x000d__x000a_        &amp;lt;CaseYear&amp;gt;2023&amp;lt;/CaseYear&amp;gt;_x000d__x000a_        &amp;lt;CaseNumber&amp;gt;52322&amp;lt;/CaseNumber&amp;gt;_x000d__x000a_        &amp;lt;NumeratorGroupID&amp;gt;1&amp;lt;/NumeratorGroupID&amp;gt;_x000d__x000a_        &amp;lt;CaseName&amp;gt;מדינת ישראל נ&amp;#39; עראבי(עצור/אסיר בפיקוח)&amp;lt;/CaseName&amp;gt;_x000d__x000a_        &amp;lt;CourtID&amp;gt;13&amp;lt;/CourtID&amp;gt;_x000d__x000a_        &amp;lt;CaseTypeID&amp;gt;10048&amp;lt;/CaseTypeID&amp;gt;_x000d__x000a_        &amp;lt;CaseJudgeName&amp;gt;אמיר טובי&amp;lt;/CaseJudgeName&amp;gt;_x000d__x000a_        &amp;lt;CaseLinkTypeID&amp;gt;10&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1&amp;lt;/PrivilegeID&amp;gt;_x000d__x000a_        &amp;lt;IsAppealingCaseExist&amp;gt;false&amp;lt;/IsAppealingCaseExist&amp;gt;_x000d__x000a_        &amp;lt;CaseDisplayIdentifier&amp;gt;52322-10-23&amp;lt;/CaseDisplayIdentifier&amp;gt;_x000d__x000a_        &amp;lt;CaseTypeDesc&amp;gt;ת&amp;quot;פ&amp;lt;/CaseTypeDesc&amp;gt;_x000d__x000a_        &amp;lt;CourtDesc&amp;gt;המחוזי חיפה&amp;lt;/CourtDesc&amp;gt;_x000d__x000a_        &amp;lt;CaseStageDesc&amp;gt;תיק אלקטרוני&amp;lt;/CaseStageDesc&amp;gt;_x000d__x000a_        &amp;lt;CaseNextDeterminingTask&amp;gt;150&amp;lt;/CaseNextDeterminingTask&amp;gt;_x000d__x000a_        &amp;lt;CaseOpenDate&amp;gt;2023-10-30T11:47:00+02:00&amp;lt;/CaseOpenDate&amp;gt;_x000d__x000a_        &amp;lt;PleaTypeID&amp;gt;8&amp;lt;/PleaTypeID&amp;gt;_x000d__x000a_        &amp;lt;CourtLevelID&amp;gt;2&amp;lt;/CourtLevelID&amp;gt;_x000d__x000a_        &amp;lt;CourtLevelCaseTypeInterestID&amp;gt;439&amp;lt;/CourtLevelCaseTypeInterestID&amp;gt;_x000d__x000a_        &amp;lt;CaseJudgeFirstName&amp;gt;אמיר&amp;lt;/CaseJudgeFirstName&amp;gt;_x000d__x000a_        &amp;lt;CaseJudgeLastName&amp;gt;טובי&amp;lt;/CaseJudgeLastName&amp;gt;_x000d__x000a_        &amp;lt;JudicalPersonID&amp;gt;055737126@GOV.IL&amp;lt;/JudicalPersonID&amp;gt;_x000d__x000a_        &amp;lt;IsJudicalPanel&amp;gt;false&amp;lt;/IsJudicalPanel&amp;gt;_x000d__x000a_        &amp;lt;CourtDisplayName&amp;gt;בית המשפט המחוזי בחיפה&amp;lt;/CourtDisplayName&amp;gt;_x000d__x000a_        &amp;lt;IsAllStartDataCollected&amp;gt;true&amp;lt;/IsAllStartDataCollected&amp;gt;_x000d__x000a_        &amp;lt;IsMainCase&amp;gt;false&amp;lt;/IsMainCase&amp;gt;_x000d__x000a_        &amp;lt;CaseDesc&amp;gt;תיק נייר.&amp;lt;/CaseDesc&amp;gt;_x000d__x000a_        &amp;lt;ArchivingActivityID&amp;gt;1&amp;lt;/ArchivingActivityID&amp;gt;_x000d__x000a_        &amp;lt;IsAccessibilityRequired&amp;gt;false&amp;lt;/IsAccessibilityRequired&amp;gt;_x000d__x000a_        &amp;lt;IsCasePredictedToAge&amp;gt;0&amp;lt;/IsCasePredictedToAge&amp;gt;_x000d__x000a_        &amp;lt;PendingWebSubmissionsQty&amp;gt;0&amp;lt;/PendingWebSubmissionsQty&amp;gt;_x000d__x000a_      &amp;lt;/CasePresentationDataSet&amp;gt;_x000d__x000a_    &amp;lt;/diffgr:before&amp;gt;_x000d__x000a_  &amp;lt;/diffgr:diffgram&amp;gt;_x000d__x000a_&amp;lt;/CasePresentationDS&amp;gt;"/>
    <w:docVar w:name="CourtID" w:val="13"/>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TechnicalCancel&amp;quot; type=&amp;quot;xs:boolean&amp;quot; minOccurs=&amp;quot;0&amp;quot; /&amp;gt;_x000d__x000a_                &amp;lt;xs:element name=&amp;quot;IsPublishSmallCensorVersion&amp;quot; type=&amp;quot;xs:boolean&amp;quot; default=&amp;quot;false&amp;quot; minOccurs=&amp;quot;0&amp;quot; /&amp;gt;_x000d__x000a_                &amp;lt;xs:element name=&amp;quot;IsIDCPublished&amp;quot; type=&amp;quot;xs:boolean&amp;quot; default=&amp;quot;false&amp;quot; minOccurs=&amp;quot;0&amp;quot; /&amp;gt;_x000d__x000a_                &amp;lt;xs:element name=&amp;quot;SummaryVersionDocumentID&amp;quot; type=&amp;quot;xs:int&amp;quot; minOccurs=&amp;quot;0&amp;quot; /&amp;gt;_x000d__x000a_                &amp;lt;xs:element name=&amp;quot;IsIDCPublishedForSummary&amp;quot; type=&amp;quot;xs:boolean&amp;quot; default=&amp;quot;false&amp;quot; minOccurs=&amp;quot;0&amp;quot; /&amp;gt;_x000d__x000a_                &amp;lt;xs:element name=&amp;quot;DecisionNumberInCase&amp;quot; type=&amp;quot;xs:int&amp;quot; minOccurs=&amp;quot;0&amp;quot; /&amp;gt;_x000d__x000a_                &amp;lt;xs:element name=&amp;quot;DecisionNote&amp;quot; type=&amp;quot;xs:string&amp;quot; minOccurs=&amp;quot;0&amp;quot; /&amp;gt;_x000d__x000a_                &amp;lt;xs:element name=&amp;quot;DecisionMeetingDate&amp;quot; type=&amp;quot;xs:dateTime&amp;quot; minOccurs=&amp;quot;0&amp;quot; /&amp;gt;_x000d__x000a_                &amp;lt;xs:element name=&amp;quot;IsViewInSiteChosenVerdict&amp;quot; type=&amp;quot;xs:boolean&amp;quot; minOccurs=&amp;quot;0&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element name=&amp;quot;ListOfProcessIds&amp;quot; type=&amp;quot;xs:string&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element name=&amp;quot;IsIDCPublished&amp;quot; type=&amp;quot;xs:boolean&amp;quot; default=&amp;quot;false&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152796236&amp;lt;/DecisionID&amp;gt;_x000d__x000a_        &amp;lt;DecisionName&amp;gt;גזר דין  שניתנה ע&amp;quot;י  אמיר טובי&amp;lt;/DecisionName&amp;gt;_x000d__x000a_        &amp;lt;DecisionStatusID&amp;gt;1&amp;lt;/DecisionStatusID&amp;gt;_x000d__x000a_        &amp;lt;DecisionStatusChangeDate&amp;gt;2024-07-11T09:40:38.063+03:00&amp;lt;/DecisionStatusChangeDate&amp;gt;_x000d__x000a_        &amp;lt;DecisionSignatureDate&amp;gt;2024-07-11T09:00:33.953+03:00&amp;lt;/DecisionSignatureDate&amp;gt;_x000d__x000a_        &amp;lt;DecisionSignatureUserID&amp;gt;055737126@GOV.IL&amp;lt;/DecisionSignatureUserID&amp;gt;_x000d__x000a_        &amp;lt;DecisionCreateDate&amp;gt;2024-07-11T09:15:04.093+03:00&amp;lt;/DecisionCreateDate&amp;gt;_x000d__x000a_        &amp;lt;DecisionChangeDate&amp;gt;2024-07-11T09:40:38.2+03:00&amp;lt;/DecisionChangeDate&amp;gt;_x000d__x000a_        &amp;lt;DecisionChangeUserID&amp;gt;312231244@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4&amp;lt;/DecisionTypeID&amp;gt;_x000d__x000a_        &amp;lt;IsOnlyOneParty&amp;gt;false&amp;lt;/IsOnlyOneParty&amp;gt;_x000d__x000a_        &amp;lt;IsCanceledDecision&amp;gt;false&amp;lt;/IsCanceledDecision&amp;gt;_x000d__x000a_        &amp;lt;DocumentID&amp;gt;448499879&amp;lt;/DocumentID&amp;gt;_x000d__x000a_        &amp;lt;PrivilegeID&amp;gt;1&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55737126@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055737126@GOV.IL&amp;lt;/DecisionCreationUserID&amp;gt;_x000d__x000a_        &amp;lt;DecisionDisplayName&amp;gt;גזר דין  שניתנה ע&amp;quot;י  אמיר טובי&amp;lt;/DecisionDisplayName&amp;gt;_x000d__x000a_        &amp;lt;IsScanned&amp;gt;false&amp;lt;/IsScanned&amp;gt;_x000d__x000a_        &amp;lt;DecisionSignatureUserName&amp;gt;אמיר טובי&amp;lt;/DecisionSignatureUserName&amp;gt;_x000d__x000a_        &amp;lt;NotificationTypeID&amp;gt;1&amp;lt;/NotificationTypeID&amp;gt;_x000d__x000a_        &amp;lt;IsDecisionInNote&amp;gt;false&amp;lt;/IsDecisionInNote&amp;gt;_x000d__x000a_        &amp;lt;IsDecisionUrgency&amp;gt;false&amp;lt;/IsDecisionUrgency&amp;gt;_x000d__x000a_        &amp;lt;IsPublishSmallCensorVersion&amp;gt;false&amp;lt;/IsPublishSmallCensorVersion&amp;gt;_x000d__x000a_        &amp;lt;IsIDCPublished&amp;gt;false&amp;lt;/IsIDCPublished&amp;gt;_x000d__x000a_        &amp;lt;IsIDCPublishedForSummary&amp;gt;false&amp;lt;/IsIDCPublishedForSummary&amp;gt;_x000d__x000a_        &amp;lt;DecisionNumberInCase&amp;gt;5&amp;lt;/DecisionNumberInCase&amp;gt;_x000d__x000a_      &amp;lt;/dt_Decision&amp;gt;_x000d__x000a_      &amp;lt;dt_DecisionCase diffgr:id=&amp;quot;dt_DecisionCase1&amp;quot; msdata:rowOrder=&amp;quot;0&amp;quot;&amp;gt;_x000d__x000a_        &amp;lt;DecisionID&amp;gt;152796236&amp;lt;/DecisionID&amp;gt;_x000d__x000a_        &amp;lt;CaseID&amp;gt;80711261&amp;lt;/CaseID&amp;gt;_x000d__x000a_        &amp;lt;IsOriginal&amp;gt;true&amp;lt;/IsOriginal&amp;gt;_x000d__x000a_        &amp;lt;IsDeleted&amp;gt;false&amp;lt;/IsDeleted&amp;gt;_x000d__x000a_        &amp;lt;CaseName&amp;gt;מדינת ישראל נ&amp;#39; עראבי(עצור/אסיר בפיקוח)&amp;lt;/CaseName&amp;gt;_x000d__x000a_        &amp;lt;CaseDisplayIdentifier&amp;gt;52322-10-23 ת&amp;quot;פ&amp;lt;/CaseDisplayIdentifier&amp;gt;_x000d__x000a_      &amp;lt;/dt_DecisionCase&amp;gt;_x000d__x000a_    &amp;lt;/DecisionDS&amp;gt;_x000d__x000a_  &amp;lt;/diffgr:diffgram&amp;gt;_x000d__x000a_&amp;lt;/DecisionDS&amp;gt;"/>
    <w:docVar w:name="DecisionID" w:val="152796236"/>
    <w:docVar w:name="MyInfo" w:val="This document was extracted from Nevo's site"/>
    <w:docVar w:name="WordClientAssemblyName" w:val="NGCS.Decision.ClientWordBL"/>
    <w:docVar w:name="WordClientClassName" w:val="NGCS.Decision.ClientWordBL.DecisionClient"/>
  </w:docVars>
  <w:rsids>
    <w:rsidRoot w:val="00507694"/>
    <w:rsid w:val="00031F8A"/>
    <w:rsid w:val="00054FC4"/>
    <w:rsid w:val="0006726A"/>
    <w:rsid w:val="00071550"/>
    <w:rsid w:val="000C09C3"/>
    <w:rsid w:val="000C0B2C"/>
    <w:rsid w:val="000C1F49"/>
    <w:rsid w:val="00100577"/>
    <w:rsid w:val="00131ABF"/>
    <w:rsid w:val="00170021"/>
    <w:rsid w:val="00204A5A"/>
    <w:rsid w:val="00212125"/>
    <w:rsid w:val="002173D4"/>
    <w:rsid w:val="002D6C61"/>
    <w:rsid w:val="002F4493"/>
    <w:rsid w:val="00317B6C"/>
    <w:rsid w:val="00343076"/>
    <w:rsid w:val="00367565"/>
    <w:rsid w:val="00387E27"/>
    <w:rsid w:val="003A2D9C"/>
    <w:rsid w:val="003E0C9F"/>
    <w:rsid w:val="00411A3C"/>
    <w:rsid w:val="004215DC"/>
    <w:rsid w:val="0045014F"/>
    <w:rsid w:val="004A2463"/>
    <w:rsid w:val="004C087F"/>
    <w:rsid w:val="004D20A0"/>
    <w:rsid w:val="00507694"/>
    <w:rsid w:val="00582164"/>
    <w:rsid w:val="005C7B0B"/>
    <w:rsid w:val="00604411"/>
    <w:rsid w:val="006223AA"/>
    <w:rsid w:val="00683ABD"/>
    <w:rsid w:val="00684E84"/>
    <w:rsid w:val="006E217C"/>
    <w:rsid w:val="00711A43"/>
    <w:rsid w:val="007447AB"/>
    <w:rsid w:val="007559FB"/>
    <w:rsid w:val="00757983"/>
    <w:rsid w:val="007C0B75"/>
    <w:rsid w:val="00821F29"/>
    <w:rsid w:val="00832D73"/>
    <w:rsid w:val="009835DE"/>
    <w:rsid w:val="009D7367"/>
    <w:rsid w:val="009E35A7"/>
    <w:rsid w:val="009E49A1"/>
    <w:rsid w:val="009F504D"/>
    <w:rsid w:val="00A45758"/>
    <w:rsid w:val="00A504C4"/>
    <w:rsid w:val="00A76242"/>
    <w:rsid w:val="00A7703E"/>
    <w:rsid w:val="00AB0E0E"/>
    <w:rsid w:val="00B05847"/>
    <w:rsid w:val="00B22E0A"/>
    <w:rsid w:val="00BD67E7"/>
    <w:rsid w:val="00BE0015"/>
    <w:rsid w:val="00BE281B"/>
    <w:rsid w:val="00C02463"/>
    <w:rsid w:val="00C40463"/>
    <w:rsid w:val="00C55E62"/>
    <w:rsid w:val="00C572E8"/>
    <w:rsid w:val="00CB7E0D"/>
    <w:rsid w:val="00D202F4"/>
    <w:rsid w:val="00D3203D"/>
    <w:rsid w:val="00E70F9C"/>
    <w:rsid w:val="00E96882"/>
    <w:rsid w:val="00EA0102"/>
    <w:rsid w:val="00F75AFC"/>
    <w:rsid w:val="00FA7E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2B00BC1"/>
  <w15:chartTrackingRefBased/>
  <w15:docId w15:val="{76BD7D77-91BC-421B-B288-8DF9D3ED1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A7B41"/>
    <w:pPr>
      <w:bidi/>
    </w:pPr>
    <w:rPr>
      <w:rFonts w:cs="David"/>
      <w:sz w:val="24"/>
      <w:szCs w:val="24"/>
    </w:rPr>
  </w:style>
  <w:style w:type="paragraph" w:styleId="1">
    <w:name w:val="heading 1"/>
    <w:basedOn w:val="a"/>
    <w:next w:val="a"/>
    <w:qFormat/>
    <w:rsid w:val="003A7B41"/>
    <w:pPr>
      <w:keepNext/>
      <w:spacing w:before="240" w:after="60"/>
      <w:outlineLvl w:val="0"/>
    </w:pPr>
    <w:rPr>
      <w:rFonts w:ascii="Arial" w:hAnsi="Arial" w:cs="Arial"/>
      <w:b/>
      <w:bCs/>
      <w:kern w:val="32"/>
      <w:sz w:val="32"/>
      <w:szCs w:val="32"/>
    </w:rPr>
  </w:style>
  <w:style w:type="paragraph" w:styleId="4">
    <w:name w:val="heading 4"/>
    <w:basedOn w:val="a"/>
    <w:next w:val="a"/>
    <w:qFormat/>
    <w:rsid w:val="003A7B41"/>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A7B41"/>
    <w:pPr>
      <w:tabs>
        <w:tab w:val="center" w:pos="4153"/>
        <w:tab w:val="right" w:pos="8306"/>
      </w:tabs>
    </w:pPr>
  </w:style>
  <w:style w:type="paragraph" w:styleId="a4">
    <w:name w:val="footer"/>
    <w:basedOn w:val="a"/>
    <w:rsid w:val="003A7B41"/>
    <w:pPr>
      <w:tabs>
        <w:tab w:val="center" w:pos="4153"/>
        <w:tab w:val="right" w:pos="8306"/>
      </w:tabs>
    </w:pPr>
  </w:style>
  <w:style w:type="character" w:styleId="a5">
    <w:name w:val="annotation reference"/>
    <w:semiHidden/>
    <w:rsid w:val="003A7B41"/>
    <w:rPr>
      <w:sz w:val="16"/>
      <w:szCs w:val="16"/>
    </w:rPr>
  </w:style>
  <w:style w:type="paragraph" w:styleId="a6">
    <w:name w:val="annotation text"/>
    <w:basedOn w:val="a"/>
    <w:semiHidden/>
    <w:rsid w:val="003A7B41"/>
    <w:rPr>
      <w:rFonts w:cs="Times New Roman"/>
      <w:lang w:eastAsia="he-IL"/>
    </w:rPr>
  </w:style>
  <w:style w:type="paragraph" w:styleId="a7">
    <w:name w:val="Balloon Text"/>
    <w:basedOn w:val="a"/>
    <w:semiHidden/>
    <w:rsid w:val="003A7B41"/>
    <w:rPr>
      <w:rFonts w:ascii="Tahoma" w:hAnsi="Tahoma" w:cs="Tahoma"/>
      <w:sz w:val="16"/>
      <w:szCs w:val="16"/>
    </w:rPr>
  </w:style>
  <w:style w:type="table" w:styleId="a8">
    <w:name w:val="Table Grid"/>
    <w:basedOn w:val="a1"/>
    <w:rsid w:val="003A7B4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BD67E7"/>
  </w:style>
  <w:style w:type="character" w:styleId="Hyperlink">
    <w:name w:val="Hyperlink"/>
    <w:unhideWhenUsed/>
    <w:rsid w:val="000C0B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268971">
      <w:bodyDiv w:val="1"/>
      <w:marLeft w:val="0"/>
      <w:marRight w:val="0"/>
      <w:marTop w:val="0"/>
      <w:marBottom w:val="0"/>
      <w:divBdr>
        <w:top w:val="none" w:sz="0" w:space="0" w:color="auto"/>
        <w:left w:val="none" w:sz="0" w:space="0" w:color="auto"/>
        <w:bottom w:val="none" w:sz="0" w:space="0" w:color="auto"/>
        <w:right w:val="none" w:sz="0" w:space="0" w:color="auto"/>
      </w:divBdr>
    </w:div>
    <w:div w:id="174922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340a.a"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7309272" TargetMode="External"/><Relationship Id="rId39" Type="http://schemas.openxmlformats.org/officeDocument/2006/relationships/hyperlink" Target="http://www.nevo.co.il/case/29867910" TargetMode="External"/><Relationship Id="rId21" Type="http://schemas.openxmlformats.org/officeDocument/2006/relationships/hyperlink" Target="http://www.nevo.co.il/case/28384637" TargetMode="External"/><Relationship Id="rId34" Type="http://schemas.openxmlformats.org/officeDocument/2006/relationships/hyperlink" Target="http://www.nevo.co.il/case/25612982" TargetMode="External"/><Relationship Id="rId42" Type="http://schemas.openxmlformats.org/officeDocument/2006/relationships/hyperlink" Target="http://www.nevo.co.il/case/27436592" TargetMode="External"/><Relationship Id="rId47" Type="http://schemas.openxmlformats.org/officeDocument/2006/relationships/hyperlink" Target="http://www.nevo.co.il/law/70301" TargetMode="External"/><Relationship Id="rId50" Type="http://schemas.openxmlformats.org/officeDocument/2006/relationships/hyperlink" Target="http://www.nevo.co.il/law/74918" TargetMode="External"/><Relationship Id="rId55"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01/144.b" TargetMode="External"/><Relationship Id="rId29" Type="http://schemas.openxmlformats.org/officeDocument/2006/relationships/hyperlink" Target="http://www.nevo.co.il/case/27115374"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case/30019073" TargetMode="External"/><Relationship Id="rId32" Type="http://schemas.openxmlformats.org/officeDocument/2006/relationships/hyperlink" Target="http://www.nevo.co.il/case/26986954"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28243273" TargetMode="External"/><Relationship Id="rId45" Type="http://schemas.openxmlformats.org/officeDocument/2006/relationships/hyperlink" Target="http://www.nevo.co.il/case/22938500" TargetMode="External"/><Relationship Id="rId53" Type="http://schemas.openxmlformats.org/officeDocument/2006/relationships/header" Target="header2.xml"/><Relationship Id="rId5" Type="http://schemas.openxmlformats.org/officeDocument/2006/relationships/webSettings" Target="webSettings.xml"/><Relationship Id="rId19" Type="http://schemas.openxmlformats.org/officeDocument/2006/relationships/hyperlink" Target="http://www.nevo.co.il/law/70301/340a.a" TargetMode="External"/><Relationship Id="rId4" Type="http://schemas.openxmlformats.org/officeDocument/2006/relationships/settings" Target="settings.xml"/><Relationship Id="rId9" Type="http://schemas.openxmlformats.org/officeDocument/2006/relationships/hyperlink" Target="http://www.nevo.co.il/law/70301/40d" TargetMode="External"/><Relationship Id="rId14" Type="http://schemas.openxmlformats.org/officeDocument/2006/relationships/hyperlink" Target="http://www.nevo.co.il/law/74918" TargetMode="External"/><Relationship Id="rId22" Type="http://schemas.openxmlformats.org/officeDocument/2006/relationships/hyperlink" Target="http://www.nevo.co.il/case/28243273" TargetMode="External"/><Relationship Id="rId27" Type="http://schemas.openxmlformats.org/officeDocument/2006/relationships/hyperlink" Target="http://www.nevo.co.il/case/28883087" TargetMode="External"/><Relationship Id="rId30" Type="http://schemas.openxmlformats.org/officeDocument/2006/relationships/hyperlink" Target="http://www.nevo.co.il/case/22006503"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28916087" TargetMode="External"/><Relationship Id="rId48" Type="http://schemas.openxmlformats.org/officeDocument/2006/relationships/hyperlink" Target="http://www.nevo.co.il/case/28092391" TargetMode="External"/><Relationship Id="rId56" Type="http://schemas.openxmlformats.org/officeDocument/2006/relationships/fontTable" Target="fontTable.xml"/><Relationship Id="rId8" Type="http://schemas.openxmlformats.org/officeDocument/2006/relationships/hyperlink" Target="http://www.nevo.co.il/law/70301" TargetMode="External"/><Relationship Id="rId51" Type="http://schemas.openxmlformats.org/officeDocument/2006/relationships/hyperlink" Target="http://www.nevo.co.il/advertisements/nevo-100.doc" TargetMode="External"/><Relationship Id="rId3" Type="http://schemas.openxmlformats.org/officeDocument/2006/relationships/styles" Target="styles.xml"/><Relationship Id="rId12" Type="http://schemas.openxmlformats.org/officeDocument/2006/relationships/hyperlink" Target="http://www.nevo.co.il/law/70301/144.c" TargetMode="External"/><Relationship Id="rId17" Type="http://schemas.openxmlformats.org/officeDocument/2006/relationships/hyperlink" Target="http://www.nevo.co.il/law/70301/144.c" TargetMode="External"/><Relationship Id="rId25" Type="http://schemas.openxmlformats.org/officeDocument/2006/relationships/hyperlink" Target="http://www.nevo.co.il/case/29867910" TargetMode="External"/><Relationship Id="rId33" Type="http://schemas.openxmlformats.org/officeDocument/2006/relationships/hyperlink" Target="http://www.nevo.co.il/case/27309272" TargetMode="External"/><Relationship Id="rId38" Type="http://schemas.openxmlformats.org/officeDocument/2006/relationships/hyperlink" Target="http://www.nevo.co.il/case/28883087" TargetMode="External"/><Relationship Id="rId46" Type="http://schemas.openxmlformats.org/officeDocument/2006/relationships/hyperlink" Target="http://www.nevo.co.il/law/70301/40d" TargetMode="External"/><Relationship Id="rId20" Type="http://schemas.openxmlformats.org/officeDocument/2006/relationships/hyperlink" Target="http://www.nevo.co.il/case/30168342" TargetMode="External"/><Relationship Id="rId41" Type="http://schemas.openxmlformats.org/officeDocument/2006/relationships/hyperlink" Target="http://www.nevo.co.il/case/27915710" TargetMode="External"/><Relationship Id="rId54"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4918/39" TargetMode="External"/><Relationship Id="rId23" Type="http://schemas.openxmlformats.org/officeDocument/2006/relationships/hyperlink" Target="http://www.nevo.co.il/case/26888657" TargetMode="External"/><Relationship Id="rId28" Type="http://schemas.openxmlformats.org/officeDocument/2006/relationships/hyperlink" Target="http://www.nevo.co.il/case/27494821" TargetMode="External"/><Relationship Id="rId36" Type="http://schemas.openxmlformats.org/officeDocument/2006/relationships/hyperlink" Target="http://www.nevo.co.il/law/70301/144" TargetMode="External"/><Relationship Id="rId49" Type="http://schemas.openxmlformats.org/officeDocument/2006/relationships/hyperlink" Target="http://www.nevo.co.il/law/74918/39" TargetMode="External"/><Relationship Id="rId57" Type="http://schemas.openxmlformats.org/officeDocument/2006/relationships/theme" Target="theme/theme1.xml"/><Relationship Id="rId10" Type="http://schemas.openxmlformats.org/officeDocument/2006/relationships/hyperlink" Target="http://www.nevo.co.il/law/70301/144" TargetMode="External"/><Relationship Id="rId31" Type="http://schemas.openxmlformats.org/officeDocument/2006/relationships/hyperlink" Target="http://www.nevo.co.il/case/27693610" TargetMode="External"/><Relationship Id="rId44" Type="http://schemas.openxmlformats.org/officeDocument/2006/relationships/hyperlink" Target="http://www.nevo.co.il/case/26931111"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4102</Words>
  <Characters>20512</Characters>
  <Application>Microsoft Office Word</Application>
  <DocSecurity>0</DocSecurity>
  <Lines>170</Lines>
  <Paragraphs>49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24565</CharactersWithSpaces>
  <SharedDoc>false</SharedDoc>
  <HLinks>
    <vt:vector size="264" baseType="variant">
      <vt:variant>
        <vt:i4>393283</vt:i4>
      </vt:variant>
      <vt:variant>
        <vt:i4>129</vt:i4>
      </vt:variant>
      <vt:variant>
        <vt:i4>0</vt:i4>
      </vt:variant>
      <vt:variant>
        <vt:i4>5</vt:i4>
      </vt:variant>
      <vt:variant>
        <vt:lpwstr>http://www.nevo.co.il/advertisements/nevo-100.doc</vt:lpwstr>
      </vt:variant>
      <vt:variant>
        <vt:lpwstr/>
      </vt:variant>
      <vt:variant>
        <vt:i4>8323182</vt:i4>
      </vt:variant>
      <vt:variant>
        <vt:i4>126</vt:i4>
      </vt:variant>
      <vt:variant>
        <vt:i4>0</vt:i4>
      </vt:variant>
      <vt:variant>
        <vt:i4>5</vt:i4>
      </vt:variant>
      <vt:variant>
        <vt:lpwstr>http://www.nevo.co.il/law/74918</vt:lpwstr>
      </vt:variant>
      <vt:variant>
        <vt:lpwstr/>
      </vt:variant>
      <vt:variant>
        <vt:i4>6881381</vt:i4>
      </vt:variant>
      <vt:variant>
        <vt:i4>123</vt:i4>
      </vt:variant>
      <vt:variant>
        <vt:i4>0</vt:i4>
      </vt:variant>
      <vt:variant>
        <vt:i4>5</vt:i4>
      </vt:variant>
      <vt:variant>
        <vt:lpwstr>http://www.nevo.co.il/law/74918/39</vt:lpwstr>
      </vt:variant>
      <vt:variant>
        <vt:lpwstr/>
      </vt:variant>
      <vt:variant>
        <vt:i4>3735670</vt:i4>
      </vt:variant>
      <vt:variant>
        <vt:i4>120</vt:i4>
      </vt:variant>
      <vt:variant>
        <vt:i4>0</vt:i4>
      </vt:variant>
      <vt:variant>
        <vt:i4>5</vt:i4>
      </vt:variant>
      <vt:variant>
        <vt:lpwstr>http://www.nevo.co.il/case/28092391</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6619233</vt:i4>
      </vt:variant>
      <vt:variant>
        <vt:i4>114</vt:i4>
      </vt:variant>
      <vt:variant>
        <vt:i4>0</vt:i4>
      </vt:variant>
      <vt:variant>
        <vt:i4>5</vt:i4>
      </vt:variant>
      <vt:variant>
        <vt:lpwstr>http://www.nevo.co.il/law/70301/40d</vt:lpwstr>
      </vt:variant>
      <vt:variant>
        <vt:lpwstr/>
      </vt:variant>
      <vt:variant>
        <vt:i4>3342448</vt:i4>
      </vt:variant>
      <vt:variant>
        <vt:i4>111</vt:i4>
      </vt:variant>
      <vt:variant>
        <vt:i4>0</vt:i4>
      </vt:variant>
      <vt:variant>
        <vt:i4>5</vt:i4>
      </vt:variant>
      <vt:variant>
        <vt:lpwstr>http://www.nevo.co.il/case/22938500</vt:lpwstr>
      </vt:variant>
      <vt:variant>
        <vt:lpwstr/>
      </vt:variant>
      <vt:variant>
        <vt:i4>3866736</vt:i4>
      </vt:variant>
      <vt:variant>
        <vt:i4>108</vt:i4>
      </vt:variant>
      <vt:variant>
        <vt:i4>0</vt:i4>
      </vt:variant>
      <vt:variant>
        <vt:i4>5</vt:i4>
      </vt:variant>
      <vt:variant>
        <vt:lpwstr>http://www.nevo.co.il/case/26931111</vt:lpwstr>
      </vt:variant>
      <vt:variant>
        <vt:lpwstr/>
      </vt:variant>
      <vt:variant>
        <vt:i4>3473533</vt:i4>
      </vt:variant>
      <vt:variant>
        <vt:i4>105</vt:i4>
      </vt:variant>
      <vt:variant>
        <vt:i4>0</vt:i4>
      </vt:variant>
      <vt:variant>
        <vt:i4>5</vt:i4>
      </vt:variant>
      <vt:variant>
        <vt:lpwstr>http://www.nevo.co.il/case/28916087</vt:lpwstr>
      </vt:variant>
      <vt:variant>
        <vt:lpwstr/>
      </vt:variant>
      <vt:variant>
        <vt:i4>3735669</vt:i4>
      </vt:variant>
      <vt:variant>
        <vt:i4>102</vt:i4>
      </vt:variant>
      <vt:variant>
        <vt:i4>0</vt:i4>
      </vt:variant>
      <vt:variant>
        <vt:i4>5</vt:i4>
      </vt:variant>
      <vt:variant>
        <vt:lpwstr>http://www.nevo.co.il/case/27436592</vt:lpwstr>
      </vt:variant>
      <vt:variant>
        <vt:lpwstr/>
      </vt:variant>
      <vt:variant>
        <vt:i4>4128885</vt:i4>
      </vt:variant>
      <vt:variant>
        <vt:i4>99</vt:i4>
      </vt:variant>
      <vt:variant>
        <vt:i4>0</vt:i4>
      </vt:variant>
      <vt:variant>
        <vt:i4>5</vt:i4>
      </vt:variant>
      <vt:variant>
        <vt:lpwstr>http://www.nevo.co.il/case/27915710</vt:lpwstr>
      </vt:variant>
      <vt:variant>
        <vt:lpwstr/>
      </vt:variant>
      <vt:variant>
        <vt:i4>3407994</vt:i4>
      </vt:variant>
      <vt:variant>
        <vt:i4>96</vt:i4>
      </vt:variant>
      <vt:variant>
        <vt:i4>0</vt:i4>
      </vt:variant>
      <vt:variant>
        <vt:i4>5</vt:i4>
      </vt:variant>
      <vt:variant>
        <vt:lpwstr>http://www.nevo.co.il/case/28243273</vt:lpwstr>
      </vt:variant>
      <vt:variant>
        <vt:lpwstr/>
      </vt:variant>
      <vt:variant>
        <vt:i4>3932274</vt:i4>
      </vt:variant>
      <vt:variant>
        <vt:i4>93</vt:i4>
      </vt:variant>
      <vt:variant>
        <vt:i4>0</vt:i4>
      </vt:variant>
      <vt:variant>
        <vt:i4>5</vt:i4>
      </vt:variant>
      <vt:variant>
        <vt:lpwstr>http://www.nevo.co.il/case/29867910</vt:lpwstr>
      </vt:variant>
      <vt:variant>
        <vt:lpwstr/>
      </vt:variant>
      <vt:variant>
        <vt:i4>3211380</vt:i4>
      </vt:variant>
      <vt:variant>
        <vt:i4>90</vt:i4>
      </vt:variant>
      <vt:variant>
        <vt:i4>0</vt:i4>
      </vt:variant>
      <vt:variant>
        <vt:i4>5</vt:i4>
      </vt:variant>
      <vt:variant>
        <vt:lpwstr>http://www.nevo.co.il/case/28883087</vt:lpwstr>
      </vt:variant>
      <vt:variant>
        <vt:lpwstr/>
      </vt:variant>
      <vt:variant>
        <vt:i4>7995492</vt:i4>
      </vt:variant>
      <vt:variant>
        <vt:i4>87</vt:i4>
      </vt:variant>
      <vt:variant>
        <vt:i4>0</vt:i4>
      </vt:variant>
      <vt:variant>
        <vt:i4>5</vt:i4>
      </vt:variant>
      <vt:variant>
        <vt:lpwstr>http://www.nevo.co.il/law/70301</vt:lpwstr>
      </vt:variant>
      <vt:variant>
        <vt:lpwstr/>
      </vt:variant>
      <vt:variant>
        <vt:i4>6357092</vt:i4>
      </vt:variant>
      <vt:variant>
        <vt:i4>84</vt:i4>
      </vt:variant>
      <vt:variant>
        <vt:i4>0</vt:i4>
      </vt:variant>
      <vt:variant>
        <vt:i4>5</vt:i4>
      </vt:variant>
      <vt:variant>
        <vt:lpwstr>http://www.nevo.co.il/law/70301/144</vt:lpwstr>
      </vt:variant>
      <vt:variant>
        <vt:lpwstr/>
      </vt:variant>
      <vt:variant>
        <vt:i4>7995492</vt:i4>
      </vt:variant>
      <vt:variant>
        <vt:i4>81</vt:i4>
      </vt:variant>
      <vt:variant>
        <vt:i4>0</vt:i4>
      </vt:variant>
      <vt:variant>
        <vt:i4>5</vt:i4>
      </vt:variant>
      <vt:variant>
        <vt:lpwstr>http://www.nevo.co.il/law/70301</vt:lpwstr>
      </vt:variant>
      <vt:variant>
        <vt:lpwstr/>
      </vt:variant>
      <vt:variant>
        <vt:i4>4063353</vt:i4>
      </vt:variant>
      <vt:variant>
        <vt:i4>78</vt:i4>
      </vt:variant>
      <vt:variant>
        <vt:i4>0</vt:i4>
      </vt:variant>
      <vt:variant>
        <vt:i4>5</vt:i4>
      </vt:variant>
      <vt:variant>
        <vt:lpwstr>http://www.nevo.co.il/case/25612982</vt:lpwstr>
      </vt:variant>
      <vt:variant>
        <vt:lpwstr/>
      </vt:variant>
      <vt:variant>
        <vt:i4>4128881</vt:i4>
      </vt:variant>
      <vt:variant>
        <vt:i4>75</vt:i4>
      </vt:variant>
      <vt:variant>
        <vt:i4>0</vt:i4>
      </vt:variant>
      <vt:variant>
        <vt:i4>5</vt:i4>
      </vt:variant>
      <vt:variant>
        <vt:lpwstr>http://www.nevo.co.il/case/27309272</vt:lpwstr>
      </vt:variant>
      <vt:variant>
        <vt:lpwstr/>
      </vt:variant>
      <vt:variant>
        <vt:i4>3670131</vt:i4>
      </vt:variant>
      <vt:variant>
        <vt:i4>72</vt:i4>
      </vt:variant>
      <vt:variant>
        <vt:i4>0</vt:i4>
      </vt:variant>
      <vt:variant>
        <vt:i4>5</vt:i4>
      </vt:variant>
      <vt:variant>
        <vt:lpwstr>http://www.nevo.co.il/case/26986954</vt:lpwstr>
      </vt:variant>
      <vt:variant>
        <vt:lpwstr/>
      </vt:variant>
      <vt:variant>
        <vt:i4>3539068</vt:i4>
      </vt:variant>
      <vt:variant>
        <vt:i4>69</vt:i4>
      </vt:variant>
      <vt:variant>
        <vt:i4>0</vt:i4>
      </vt:variant>
      <vt:variant>
        <vt:i4>5</vt:i4>
      </vt:variant>
      <vt:variant>
        <vt:lpwstr>http://www.nevo.co.il/case/27693610</vt:lpwstr>
      </vt:variant>
      <vt:variant>
        <vt:lpwstr/>
      </vt:variant>
      <vt:variant>
        <vt:i4>3407987</vt:i4>
      </vt:variant>
      <vt:variant>
        <vt:i4>66</vt:i4>
      </vt:variant>
      <vt:variant>
        <vt:i4>0</vt:i4>
      </vt:variant>
      <vt:variant>
        <vt:i4>5</vt:i4>
      </vt:variant>
      <vt:variant>
        <vt:lpwstr>http://www.nevo.co.il/case/22006503</vt:lpwstr>
      </vt:variant>
      <vt:variant>
        <vt:lpwstr/>
      </vt:variant>
      <vt:variant>
        <vt:i4>3211377</vt:i4>
      </vt:variant>
      <vt:variant>
        <vt:i4>63</vt:i4>
      </vt:variant>
      <vt:variant>
        <vt:i4>0</vt:i4>
      </vt:variant>
      <vt:variant>
        <vt:i4>5</vt:i4>
      </vt:variant>
      <vt:variant>
        <vt:lpwstr>http://www.nevo.co.il/case/27115374</vt:lpwstr>
      </vt:variant>
      <vt:variant>
        <vt:lpwstr/>
      </vt:variant>
      <vt:variant>
        <vt:i4>3145842</vt:i4>
      </vt:variant>
      <vt:variant>
        <vt:i4>60</vt:i4>
      </vt:variant>
      <vt:variant>
        <vt:i4>0</vt:i4>
      </vt:variant>
      <vt:variant>
        <vt:i4>5</vt:i4>
      </vt:variant>
      <vt:variant>
        <vt:lpwstr>http://www.nevo.co.il/case/27494821</vt:lpwstr>
      </vt:variant>
      <vt:variant>
        <vt:lpwstr/>
      </vt:variant>
      <vt:variant>
        <vt:i4>3211380</vt:i4>
      </vt:variant>
      <vt:variant>
        <vt:i4>57</vt:i4>
      </vt:variant>
      <vt:variant>
        <vt:i4>0</vt:i4>
      </vt:variant>
      <vt:variant>
        <vt:i4>5</vt:i4>
      </vt:variant>
      <vt:variant>
        <vt:lpwstr>http://www.nevo.co.il/case/28883087</vt:lpwstr>
      </vt:variant>
      <vt:variant>
        <vt:lpwstr/>
      </vt:variant>
      <vt:variant>
        <vt:i4>4128881</vt:i4>
      </vt:variant>
      <vt:variant>
        <vt:i4>54</vt:i4>
      </vt:variant>
      <vt:variant>
        <vt:i4>0</vt:i4>
      </vt:variant>
      <vt:variant>
        <vt:i4>5</vt:i4>
      </vt:variant>
      <vt:variant>
        <vt:lpwstr>http://www.nevo.co.il/case/27309272</vt:lpwstr>
      </vt:variant>
      <vt:variant>
        <vt:lpwstr/>
      </vt:variant>
      <vt:variant>
        <vt:i4>3932274</vt:i4>
      </vt:variant>
      <vt:variant>
        <vt:i4>51</vt:i4>
      </vt:variant>
      <vt:variant>
        <vt:i4>0</vt:i4>
      </vt:variant>
      <vt:variant>
        <vt:i4>5</vt:i4>
      </vt:variant>
      <vt:variant>
        <vt:lpwstr>http://www.nevo.co.il/case/29867910</vt:lpwstr>
      </vt:variant>
      <vt:variant>
        <vt:lpwstr/>
      </vt:variant>
      <vt:variant>
        <vt:i4>3997813</vt:i4>
      </vt:variant>
      <vt:variant>
        <vt:i4>48</vt:i4>
      </vt:variant>
      <vt:variant>
        <vt:i4>0</vt:i4>
      </vt:variant>
      <vt:variant>
        <vt:i4>5</vt:i4>
      </vt:variant>
      <vt:variant>
        <vt:lpwstr>http://www.nevo.co.il/case/30019073</vt:lpwstr>
      </vt:variant>
      <vt:variant>
        <vt:lpwstr/>
      </vt:variant>
      <vt:variant>
        <vt:i4>3604604</vt:i4>
      </vt:variant>
      <vt:variant>
        <vt:i4>45</vt:i4>
      </vt:variant>
      <vt:variant>
        <vt:i4>0</vt:i4>
      </vt:variant>
      <vt:variant>
        <vt:i4>5</vt:i4>
      </vt:variant>
      <vt:variant>
        <vt:lpwstr>http://www.nevo.co.il/case/26888657</vt:lpwstr>
      </vt:variant>
      <vt:variant>
        <vt:lpwstr/>
      </vt:variant>
      <vt:variant>
        <vt:i4>3407994</vt:i4>
      </vt:variant>
      <vt:variant>
        <vt:i4>42</vt:i4>
      </vt:variant>
      <vt:variant>
        <vt:i4>0</vt:i4>
      </vt:variant>
      <vt:variant>
        <vt:i4>5</vt:i4>
      </vt:variant>
      <vt:variant>
        <vt:lpwstr>http://www.nevo.co.il/case/28243273</vt:lpwstr>
      </vt:variant>
      <vt:variant>
        <vt:lpwstr/>
      </vt:variant>
      <vt:variant>
        <vt:i4>3539058</vt:i4>
      </vt:variant>
      <vt:variant>
        <vt:i4>39</vt:i4>
      </vt:variant>
      <vt:variant>
        <vt:i4>0</vt:i4>
      </vt:variant>
      <vt:variant>
        <vt:i4>5</vt:i4>
      </vt:variant>
      <vt:variant>
        <vt:lpwstr>http://www.nevo.co.il/case/28384637</vt:lpwstr>
      </vt:variant>
      <vt:variant>
        <vt:lpwstr/>
      </vt:variant>
      <vt:variant>
        <vt:i4>4063345</vt:i4>
      </vt:variant>
      <vt:variant>
        <vt:i4>36</vt:i4>
      </vt:variant>
      <vt:variant>
        <vt:i4>0</vt:i4>
      </vt:variant>
      <vt:variant>
        <vt:i4>5</vt:i4>
      </vt:variant>
      <vt:variant>
        <vt:lpwstr>http://www.nevo.co.il/case/30168342</vt:lpwstr>
      </vt:variant>
      <vt:variant>
        <vt:lpwstr/>
      </vt:variant>
      <vt:variant>
        <vt:i4>6357112</vt:i4>
      </vt:variant>
      <vt:variant>
        <vt:i4>33</vt:i4>
      </vt:variant>
      <vt:variant>
        <vt:i4>0</vt:i4>
      </vt:variant>
      <vt:variant>
        <vt:i4>5</vt:i4>
      </vt:variant>
      <vt:variant>
        <vt:lpwstr>http://www.nevo.co.il/law/70301/340a.a</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http://www.nevo.co.il/law/70301/144.c</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6881381</vt:i4>
      </vt:variant>
      <vt:variant>
        <vt:i4>21</vt:i4>
      </vt:variant>
      <vt:variant>
        <vt:i4>0</vt:i4>
      </vt:variant>
      <vt:variant>
        <vt:i4>5</vt:i4>
      </vt:variant>
      <vt:variant>
        <vt:lpwstr>http://www.nevo.co.il/law/74918/39</vt:lpwstr>
      </vt:variant>
      <vt:variant>
        <vt:lpwstr/>
      </vt:variant>
      <vt:variant>
        <vt:i4>8323182</vt:i4>
      </vt:variant>
      <vt:variant>
        <vt:i4>18</vt:i4>
      </vt:variant>
      <vt:variant>
        <vt:i4>0</vt:i4>
      </vt:variant>
      <vt:variant>
        <vt:i4>5</vt:i4>
      </vt:variant>
      <vt:variant>
        <vt:lpwstr>http://www.nevo.co.il/law/74918</vt:lpwstr>
      </vt:variant>
      <vt:variant>
        <vt:lpwstr/>
      </vt:variant>
      <vt:variant>
        <vt:i4>6357112</vt:i4>
      </vt:variant>
      <vt:variant>
        <vt:i4>15</vt:i4>
      </vt:variant>
      <vt:variant>
        <vt:i4>0</vt:i4>
      </vt:variant>
      <vt:variant>
        <vt:i4>5</vt:i4>
      </vt:variant>
      <vt:variant>
        <vt:lpwstr>http://www.nevo.co.il/law/70301/340a.a</vt:lpwstr>
      </vt:variant>
      <vt:variant>
        <vt:lpwstr/>
      </vt:variant>
      <vt:variant>
        <vt:i4>5177424</vt:i4>
      </vt:variant>
      <vt:variant>
        <vt:i4>12</vt:i4>
      </vt:variant>
      <vt:variant>
        <vt:i4>0</vt:i4>
      </vt:variant>
      <vt:variant>
        <vt:i4>5</vt:i4>
      </vt:variant>
      <vt:variant>
        <vt:lpwstr>http://www.nevo.co.il/law/70301/144.c</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2025-01-19T17:06:00Z</dcterms:created>
  <dcterms:modified xsi:type="dcterms:W3CDTF">2025-01-19T17:06:00Z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52322</vt:lpwstr>
  </property>
  <property fmtid="{D5CDD505-2E9C-101B-9397-08002B2CF9AE}" pid="6" name="NEWPARTB">
    <vt:lpwstr>10</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סנד עראבי</vt:lpwstr>
  </property>
  <property fmtid="{D5CDD505-2E9C-101B-9397-08002B2CF9AE}" pid="10" name="LAWYER">
    <vt:lpwstr>מונא מנסור;סאהר פאר</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20240711</vt:lpwstr>
  </property>
  <property fmtid="{D5CDD505-2E9C-101B-9397-08002B2CF9AE}" pid="14" name="TYPE_N_DATE">
    <vt:lpwstr>39020240711</vt:lpwstr>
  </property>
  <property fmtid="{D5CDD505-2E9C-101B-9397-08002B2CF9AE}" pid="15" name="WORDNUMPAGES">
    <vt:lpwstr>11</vt:lpwstr>
  </property>
  <property fmtid="{D5CDD505-2E9C-101B-9397-08002B2CF9AE}" pid="16" name="TYPE_ABS_DATE">
    <vt:lpwstr>390120240711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30168342;28384637;28243273:2;26888657;30019073;29867910:2;27309272:2;28883087:2;27494821;27115374;22006503;27693610;26986954;25612982;27915710;27436592;28916087;26931111;22938500;28092391</vt:lpwstr>
  </property>
  <property fmtid="{D5CDD505-2E9C-101B-9397-08002B2CF9AE}" pid="36" name="LAWLISTTMP1">
    <vt:lpwstr>70301/144.b;144.c;340a.a;144;040d</vt:lpwstr>
  </property>
  <property fmtid="{D5CDD505-2E9C-101B-9397-08002B2CF9AE}" pid="37" name="LAWLISTTMP2">
    <vt:lpwstr>74918/039</vt:lpwstr>
  </property>
  <property fmtid="{D5CDD505-2E9C-101B-9397-08002B2CF9AE}" pid="38" name="NOSE1ID">
    <vt:lpwstr>77;77</vt:lpwstr>
  </property>
  <property fmtid="{D5CDD505-2E9C-101B-9397-08002B2CF9AE}" pid="39" name="NOSE2ID">
    <vt:lpwstr>1446;1446</vt:lpwstr>
  </property>
  <property fmtid="{D5CDD505-2E9C-101B-9397-08002B2CF9AE}" pid="40" name="NOSE3ID">
    <vt:lpwstr>13800;16896</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נשק</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שיקולים</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20240721</vt:lpwstr>
  </property>
  <property fmtid="{D5CDD505-2E9C-101B-9397-08002B2CF9AE}" pid="72" name="METAKZER">
    <vt:lpwstr>מיכל</vt:lpwstr>
  </property>
</Properties>
</file>