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9"/>
        <w:gridCol w:w="3660"/>
        <w:gridCol w:w="99"/>
      </w:tblGrid>
      <w:tr w:rsidR="0009158B" w:rsidRPr="00D73CE0" w14:paraId="38817A9D" w14:textId="77777777" w:rsidTr="00F95221">
        <w:trPr>
          <w:gridAfter w:val="1"/>
          <w:wAfter w:w="99" w:type="dxa"/>
          <w:trHeight w:hRule="exact" w:val="418"/>
          <w:jc w:val="center"/>
        </w:trPr>
        <w:tc>
          <w:tcPr>
            <w:tcW w:w="8721" w:type="dxa"/>
            <w:gridSpan w:val="4"/>
          </w:tcPr>
          <w:p w14:paraId="64DAC9ED" w14:textId="77777777" w:rsidR="0009158B" w:rsidRPr="00D73CE0" w:rsidRDefault="0009158B" w:rsidP="00A8463F">
            <w:pPr>
              <w:pStyle w:val="a3"/>
              <w:jc w:val="center"/>
              <w:rPr>
                <w:rFonts w:ascii="Tahoma" w:hAnsi="Tahoma" w:cs="Tahoma"/>
                <w:color w:val="000080"/>
                <w:rtl/>
              </w:rPr>
            </w:pPr>
            <w:r w:rsidRPr="00D73CE0">
              <w:rPr>
                <w:rFonts w:ascii="Tahoma" w:hAnsi="Tahoma" w:cs="Tahoma"/>
                <w:b/>
                <w:bCs/>
                <w:color w:val="000080"/>
                <w:rtl/>
              </w:rPr>
              <w:t>בית המשפט המחוזי בחיפה</w:t>
            </w:r>
          </w:p>
        </w:tc>
      </w:tr>
      <w:tr w:rsidR="0009158B" w:rsidRPr="00D73CE0" w14:paraId="6402AA5C" w14:textId="77777777" w:rsidTr="00F95221">
        <w:trPr>
          <w:gridAfter w:val="1"/>
          <w:wAfter w:w="99" w:type="dxa"/>
          <w:trHeight w:val="337"/>
          <w:jc w:val="center"/>
        </w:trPr>
        <w:tc>
          <w:tcPr>
            <w:tcW w:w="5061" w:type="dxa"/>
            <w:gridSpan w:val="3"/>
          </w:tcPr>
          <w:p w14:paraId="5A49B9FE" w14:textId="77777777" w:rsidR="0009158B" w:rsidRPr="00D73CE0" w:rsidRDefault="0009158B" w:rsidP="00A8463F">
            <w:pPr>
              <w:rPr>
                <w:rFonts w:cs="FrankRuehl"/>
                <w:sz w:val="28"/>
                <w:szCs w:val="28"/>
                <w:rtl/>
              </w:rPr>
            </w:pPr>
            <w:r w:rsidRPr="00D73CE0">
              <w:rPr>
                <w:rFonts w:cs="FrankRuehl"/>
                <w:sz w:val="28"/>
                <w:szCs w:val="28"/>
                <w:rtl/>
              </w:rPr>
              <w:t>ת"פ</w:t>
            </w:r>
            <w:r w:rsidRPr="00D73CE0">
              <w:rPr>
                <w:rFonts w:cs="FrankRuehl" w:hint="cs"/>
                <w:sz w:val="28"/>
                <w:szCs w:val="28"/>
                <w:rtl/>
              </w:rPr>
              <w:t xml:space="preserve"> </w:t>
            </w:r>
            <w:r w:rsidRPr="00D73CE0">
              <w:rPr>
                <w:rFonts w:cs="FrankRuehl"/>
                <w:sz w:val="28"/>
                <w:szCs w:val="28"/>
                <w:rtl/>
              </w:rPr>
              <w:t>6415-10-23</w:t>
            </w:r>
            <w:r w:rsidRPr="00D73CE0">
              <w:rPr>
                <w:rFonts w:cs="FrankRuehl" w:hint="cs"/>
                <w:sz w:val="28"/>
                <w:szCs w:val="28"/>
                <w:rtl/>
              </w:rPr>
              <w:t xml:space="preserve"> </w:t>
            </w:r>
            <w:r w:rsidRPr="00D73CE0">
              <w:rPr>
                <w:rFonts w:cs="FrankRuehl"/>
                <w:sz w:val="28"/>
                <w:szCs w:val="28"/>
                <w:rtl/>
              </w:rPr>
              <w:t>מדינת ישראל נ' טראבלסי(עציר)</w:t>
            </w:r>
          </w:p>
        </w:tc>
        <w:tc>
          <w:tcPr>
            <w:tcW w:w="3660" w:type="dxa"/>
          </w:tcPr>
          <w:p w14:paraId="597120C2" w14:textId="77777777" w:rsidR="0009158B" w:rsidRPr="00D73CE0" w:rsidRDefault="0009158B" w:rsidP="00A8463F">
            <w:pPr>
              <w:pStyle w:val="a3"/>
              <w:jc w:val="right"/>
              <w:rPr>
                <w:rFonts w:cs="FrankRuehl"/>
                <w:sz w:val="28"/>
                <w:szCs w:val="28"/>
                <w:rtl/>
              </w:rPr>
            </w:pPr>
          </w:p>
        </w:tc>
      </w:tr>
      <w:tr w:rsidR="0009158B" w:rsidRPr="00D73CE0" w14:paraId="796ECECA" w14:textId="77777777" w:rsidTr="00F952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54E7D3D" w14:textId="77777777" w:rsidR="0009158B" w:rsidRPr="00D73CE0" w:rsidRDefault="0009158B" w:rsidP="0009158B">
            <w:pPr>
              <w:jc w:val="both"/>
              <w:rPr>
                <w:rFonts w:ascii="David" w:hAnsi="David"/>
                <w:sz w:val="26"/>
                <w:szCs w:val="26"/>
              </w:rPr>
            </w:pPr>
            <w:r w:rsidRPr="00D73CE0">
              <w:rPr>
                <w:rFonts w:hint="cs"/>
                <w:rtl/>
              </w:rPr>
              <w:t xml:space="preserve"> </w:t>
            </w:r>
            <w:r w:rsidRPr="00D73CE0">
              <w:rPr>
                <w:rFonts w:ascii="David" w:hAnsi="David" w:hint="cs"/>
                <w:sz w:val="26"/>
                <w:szCs w:val="26"/>
                <w:rtl/>
              </w:rPr>
              <w:t>ל</w:t>
            </w:r>
            <w:r w:rsidRPr="00D73CE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F2763A1" w14:textId="77777777" w:rsidR="0009158B" w:rsidRPr="00D73CE0" w:rsidRDefault="0009158B" w:rsidP="00A8463F">
            <w:pPr>
              <w:rPr>
                <w:rFonts w:ascii="David" w:hAnsi="David"/>
                <w:b/>
                <w:bCs/>
                <w:sz w:val="26"/>
                <w:szCs w:val="26"/>
                <w:rtl/>
              </w:rPr>
            </w:pPr>
            <w:r w:rsidRPr="00D73CE0">
              <w:rPr>
                <w:rFonts w:ascii="David" w:hAnsi="David"/>
                <w:b/>
                <w:bCs/>
                <w:sz w:val="26"/>
                <w:szCs w:val="26"/>
                <w:rtl/>
              </w:rPr>
              <w:t>כבוד השופט, סגן הנשיא  אבי לוי</w:t>
            </w:r>
          </w:p>
          <w:p w14:paraId="6525E27D" w14:textId="77777777" w:rsidR="0009158B" w:rsidRPr="00D73CE0" w:rsidRDefault="0009158B" w:rsidP="0009158B">
            <w:pPr>
              <w:jc w:val="both"/>
              <w:rPr>
                <w:rFonts w:ascii="David" w:hAnsi="David"/>
                <w:sz w:val="26"/>
                <w:szCs w:val="26"/>
              </w:rPr>
            </w:pPr>
          </w:p>
        </w:tc>
      </w:tr>
      <w:tr w:rsidR="0009158B" w:rsidRPr="00D73CE0" w14:paraId="7206FDE3" w14:textId="77777777" w:rsidTr="00F952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00257A" w14:textId="77777777" w:rsidR="0009158B" w:rsidRPr="00D73CE0" w:rsidRDefault="0009158B" w:rsidP="0009158B">
            <w:pPr>
              <w:jc w:val="both"/>
              <w:rPr>
                <w:rFonts w:ascii="David" w:hAnsi="David"/>
                <w:sz w:val="26"/>
                <w:szCs w:val="26"/>
              </w:rPr>
            </w:pPr>
            <w:bookmarkStart w:id="0" w:name="FirstAppellant"/>
            <w:bookmarkStart w:id="1" w:name="LastJudge"/>
            <w:bookmarkEnd w:id="1"/>
            <w:r w:rsidRPr="00D73CE0">
              <w:rPr>
                <w:rFonts w:ascii="David" w:hAnsi="David"/>
                <w:sz w:val="26"/>
                <w:szCs w:val="26"/>
                <w:rtl/>
              </w:rPr>
              <w:t>בעניין:</w:t>
            </w:r>
          </w:p>
        </w:tc>
        <w:tc>
          <w:tcPr>
            <w:tcW w:w="3219" w:type="dxa"/>
            <w:tcBorders>
              <w:top w:val="nil"/>
              <w:left w:val="nil"/>
              <w:bottom w:val="nil"/>
              <w:right w:val="nil"/>
            </w:tcBorders>
            <w:shd w:val="clear" w:color="auto" w:fill="auto"/>
          </w:tcPr>
          <w:p w14:paraId="3FAA8A2B" w14:textId="77777777" w:rsidR="0009158B" w:rsidRPr="00D73CE0" w:rsidRDefault="0009158B" w:rsidP="0009158B">
            <w:pPr>
              <w:suppressLineNumbers/>
            </w:pPr>
            <w:r w:rsidRPr="00D73CE0">
              <w:rPr>
                <w:rFonts w:ascii="Arial" w:hAnsi="Arial" w:hint="cs"/>
                <w:b/>
                <w:bCs/>
                <w:sz w:val="26"/>
                <w:szCs w:val="26"/>
                <w:rtl/>
              </w:rPr>
              <w:t>ה</w:t>
            </w:r>
            <w:r w:rsidRPr="00D73CE0">
              <w:rPr>
                <w:rFonts w:ascii="Arial" w:hAnsi="Arial"/>
                <w:b/>
                <w:bCs/>
                <w:sz w:val="26"/>
                <w:szCs w:val="26"/>
                <w:rtl/>
              </w:rPr>
              <w:t>מאשימה</w:t>
            </w:r>
          </w:p>
          <w:p w14:paraId="0C836D17" w14:textId="77777777" w:rsidR="0009158B" w:rsidRPr="00D73CE0" w:rsidRDefault="0009158B" w:rsidP="00A8463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8FCBA30" w14:textId="77777777" w:rsidR="0009158B" w:rsidRPr="00D73CE0" w:rsidRDefault="0009158B" w:rsidP="0009158B">
            <w:pPr>
              <w:suppressLineNumbers/>
            </w:pPr>
            <w:r w:rsidRPr="00D73CE0">
              <w:rPr>
                <w:rFonts w:ascii="Arial" w:hAnsi="Arial"/>
                <w:b/>
                <w:bCs/>
                <w:sz w:val="26"/>
                <w:szCs w:val="26"/>
                <w:rtl/>
              </w:rPr>
              <w:t>מדינת ישראל</w:t>
            </w:r>
            <w:r w:rsidRPr="00D73CE0">
              <w:rPr>
                <w:rFonts w:ascii="Arial" w:hAnsi="Arial" w:hint="cs"/>
                <w:b/>
                <w:bCs/>
                <w:sz w:val="26"/>
                <w:szCs w:val="26"/>
                <w:rtl/>
              </w:rPr>
              <w:t xml:space="preserve"> </w:t>
            </w:r>
          </w:p>
          <w:p w14:paraId="027F8B13" w14:textId="77777777" w:rsidR="0009158B" w:rsidRPr="00D73CE0" w:rsidRDefault="0009158B" w:rsidP="00A8463F">
            <w:pPr>
              <w:rPr>
                <w:rFonts w:ascii="David" w:hAnsi="David"/>
                <w:sz w:val="26"/>
                <w:szCs w:val="26"/>
              </w:rPr>
            </w:pPr>
          </w:p>
        </w:tc>
      </w:tr>
      <w:bookmarkEnd w:id="0"/>
      <w:tr w:rsidR="0009158B" w:rsidRPr="00D73CE0" w14:paraId="07142D1A" w14:textId="77777777" w:rsidTr="00F952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146F132" w14:textId="77777777" w:rsidR="0009158B" w:rsidRPr="00D73CE0" w:rsidRDefault="0009158B" w:rsidP="0009158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99FBBCA" w14:textId="77777777" w:rsidR="0009158B" w:rsidRPr="00D73CE0" w:rsidRDefault="0009158B" w:rsidP="0009158B">
            <w:pPr>
              <w:jc w:val="center"/>
              <w:rPr>
                <w:rFonts w:ascii="David" w:hAnsi="David"/>
                <w:b/>
                <w:bCs/>
                <w:sz w:val="26"/>
                <w:szCs w:val="26"/>
                <w:rtl/>
              </w:rPr>
            </w:pPr>
          </w:p>
          <w:p w14:paraId="2FF4302A" w14:textId="77777777" w:rsidR="0009158B" w:rsidRPr="00D73CE0" w:rsidRDefault="0009158B" w:rsidP="0009158B">
            <w:pPr>
              <w:jc w:val="center"/>
              <w:rPr>
                <w:rFonts w:ascii="David" w:hAnsi="David"/>
                <w:b/>
                <w:bCs/>
                <w:sz w:val="26"/>
                <w:szCs w:val="26"/>
                <w:rtl/>
              </w:rPr>
            </w:pPr>
            <w:r w:rsidRPr="00D73CE0">
              <w:rPr>
                <w:rFonts w:ascii="David" w:hAnsi="David"/>
                <w:b/>
                <w:bCs/>
                <w:sz w:val="26"/>
                <w:szCs w:val="26"/>
                <w:rtl/>
              </w:rPr>
              <w:t>נגד</w:t>
            </w:r>
          </w:p>
          <w:p w14:paraId="45E897CB" w14:textId="77777777" w:rsidR="0009158B" w:rsidRPr="00D73CE0" w:rsidRDefault="0009158B" w:rsidP="0009158B">
            <w:pPr>
              <w:jc w:val="both"/>
              <w:rPr>
                <w:rFonts w:ascii="David" w:hAnsi="David"/>
                <w:sz w:val="26"/>
                <w:szCs w:val="26"/>
              </w:rPr>
            </w:pPr>
          </w:p>
        </w:tc>
      </w:tr>
      <w:tr w:rsidR="0009158B" w:rsidRPr="00D73CE0" w14:paraId="2998CD1F" w14:textId="77777777" w:rsidTr="00F952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12F691" w14:textId="77777777" w:rsidR="0009158B" w:rsidRPr="00D73CE0" w:rsidRDefault="0009158B" w:rsidP="00A8463F">
            <w:pPr>
              <w:rPr>
                <w:rFonts w:ascii="David" w:hAnsi="David"/>
                <w:sz w:val="26"/>
                <w:szCs w:val="26"/>
                <w:rtl/>
              </w:rPr>
            </w:pPr>
          </w:p>
        </w:tc>
        <w:tc>
          <w:tcPr>
            <w:tcW w:w="3219" w:type="dxa"/>
            <w:tcBorders>
              <w:top w:val="nil"/>
              <w:left w:val="nil"/>
              <w:bottom w:val="nil"/>
              <w:right w:val="nil"/>
            </w:tcBorders>
            <w:shd w:val="clear" w:color="auto" w:fill="auto"/>
          </w:tcPr>
          <w:p w14:paraId="6E89F463" w14:textId="77777777" w:rsidR="0009158B" w:rsidRPr="00D73CE0" w:rsidRDefault="0009158B" w:rsidP="00A8463F">
            <w:pPr>
              <w:rPr>
                <w:rFonts w:ascii="Arial" w:hAnsi="Arial"/>
                <w:b/>
                <w:bCs/>
                <w:sz w:val="26"/>
                <w:szCs w:val="26"/>
                <w:rtl/>
              </w:rPr>
            </w:pPr>
            <w:r w:rsidRPr="00D73CE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D716064" w14:textId="77777777" w:rsidR="0009158B" w:rsidRPr="00D73CE0" w:rsidRDefault="0009158B" w:rsidP="0009158B">
            <w:pPr>
              <w:suppressLineNumbers/>
            </w:pPr>
            <w:r w:rsidRPr="00D73CE0">
              <w:rPr>
                <w:rFonts w:ascii="Arial" w:hAnsi="Arial"/>
                <w:b/>
                <w:bCs/>
                <w:sz w:val="26"/>
                <w:szCs w:val="26"/>
                <w:rtl/>
              </w:rPr>
              <w:t>ואדיע טראבלסי (עציר)</w:t>
            </w:r>
            <w:r w:rsidRPr="00D73CE0">
              <w:rPr>
                <w:rFonts w:ascii="Arial" w:hAnsi="Arial" w:hint="cs"/>
                <w:b/>
                <w:bCs/>
                <w:sz w:val="26"/>
                <w:szCs w:val="26"/>
                <w:rtl/>
              </w:rPr>
              <w:t xml:space="preserve"> </w:t>
            </w:r>
          </w:p>
          <w:p w14:paraId="418BC1DB" w14:textId="77777777" w:rsidR="0009158B" w:rsidRPr="00D73CE0" w:rsidRDefault="0009158B" w:rsidP="00A8463F">
            <w:pPr>
              <w:rPr>
                <w:rFonts w:ascii="David" w:hAnsi="David"/>
                <w:sz w:val="26"/>
                <w:szCs w:val="26"/>
              </w:rPr>
            </w:pPr>
          </w:p>
        </w:tc>
      </w:tr>
    </w:tbl>
    <w:p w14:paraId="6601DA94" w14:textId="77777777" w:rsidR="00D73CE0" w:rsidRPr="00D73CE0" w:rsidRDefault="00D73CE0" w:rsidP="00D73CE0">
      <w:pPr>
        <w:spacing w:before="120" w:after="120" w:line="240" w:lineRule="exact"/>
        <w:ind w:left="283" w:hanging="283"/>
        <w:jc w:val="both"/>
        <w:rPr>
          <w:rFonts w:ascii="FrankRuehl" w:hAnsi="FrankRuehl" w:cs="FrankRuehl"/>
          <w:rtl/>
        </w:rPr>
      </w:pPr>
    </w:p>
    <w:p w14:paraId="702B4212" w14:textId="77777777" w:rsidR="00D73CE0" w:rsidRPr="00D73CE0" w:rsidRDefault="00D73CE0" w:rsidP="00D73CE0">
      <w:pPr>
        <w:rPr>
          <w:sz w:val="26"/>
          <w:szCs w:val="26"/>
          <w:rtl/>
        </w:rPr>
      </w:pPr>
    </w:p>
    <w:p w14:paraId="4692925E" w14:textId="77777777" w:rsidR="00F95221" w:rsidRPr="00F95221" w:rsidRDefault="00F95221" w:rsidP="00F95221">
      <w:pPr>
        <w:spacing w:before="120" w:after="120" w:line="240" w:lineRule="exact"/>
        <w:ind w:left="283" w:hanging="283"/>
        <w:jc w:val="both"/>
        <w:rPr>
          <w:rFonts w:ascii="FrankRuehl" w:hAnsi="FrankRuehl" w:cs="FrankRuehl"/>
          <w:rtl/>
        </w:rPr>
      </w:pPr>
      <w:bookmarkStart w:id="2" w:name="LawTable"/>
      <w:bookmarkEnd w:id="2"/>
    </w:p>
    <w:p w14:paraId="0005F44C" w14:textId="77777777" w:rsidR="00F95221" w:rsidRPr="00F95221" w:rsidRDefault="00F95221" w:rsidP="00F95221">
      <w:pPr>
        <w:spacing w:before="120" w:after="120" w:line="240" w:lineRule="exact"/>
        <w:ind w:left="283" w:hanging="283"/>
        <w:jc w:val="both"/>
        <w:rPr>
          <w:rFonts w:ascii="FrankRuehl" w:hAnsi="FrankRuehl" w:cs="FrankRuehl"/>
          <w:rtl/>
        </w:rPr>
      </w:pPr>
      <w:r w:rsidRPr="00F95221">
        <w:rPr>
          <w:rFonts w:ascii="FrankRuehl" w:hAnsi="FrankRuehl" w:cs="FrankRuehl"/>
          <w:rtl/>
        </w:rPr>
        <w:t xml:space="preserve">חקיקה שאוזכרה: </w:t>
      </w:r>
    </w:p>
    <w:p w14:paraId="7F79BA68" w14:textId="77777777" w:rsidR="00F95221" w:rsidRPr="00F95221" w:rsidRDefault="00F95221" w:rsidP="00F95221">
      <w:pPr>
        <w:spacing w:before="120" w:after="120" w:line="240" w:lineRule="exact"/>
        <w:ind w:left="283" w:hanging="283"/>
        <w:jc w:val="both"/>
        <w:rPr>
          <w:rFonts w:ascii="FrankRuehl" w:hAnsi="FrankRuehl" w:cs="FrankRuehl"/>
          <w:color w:val="0000FF"/>
          <w:rtl/>
        </w:rPr>
      </w:pPr>
      <w:hyperlink r:id="rId7" w:history="1">
        <w:r w:rsidRPr="00F95221">
          <w:rPr>
            <w:rStyle w:val="Hyperlink"/>
            <w:rFonts w:ascii="FrankRuehl" w:hAnsi="FrankRuehl" w:cs="FrankRuehl"/>
            <w:u w:val="none"/>
            <w:rtl/>
          </w:rPr>
          <w:t>חוק העונשין, תשל"ז-1977</w:t>
        </w:r>
      </w:hyperlink>
      <w:r w:rsidRPr="00F95221">
        <w:rPr>
          <w:rFonts w:ascii="FrankRuehl" w:hAnsi="FrankRuehl" w:cs="FrankRuehl"/>
          <w:color w:val="0000FF"/>
          <w:rtl/>
        </w:rPr>
        <w:t xml:space="preserve">: סע'  </w:t>
      </w:r>
      <w:hyperlink r:id="rId8" w:history="1">
        <w:r w:rsidRPr="00F95221">
          <w:rPr>
            <w:rStyle w:val="Hyperlink"/>
            <w:rFonts w:ascii="FrankRuehl" w:hAnsi="FrankRuehl" w:cs="FrankRuehl"/>
            <w:u w:val="none"/>
          </w:rPr>
          <w:t>40</w:t>
        </w:r>
        <w:r w:rsidRPr="00F95221">
          <w:rPr>
            <w:rStyle w:val="Hyperlink"/>
            <w:rFonts w:ascii="FrankRuehl" w:hAnsi="FrankRuehl" w:cs="FrankRuehl"/>
            <w:u w:val="none"/>
            <w:rtl/>
          </w:rPr>
          <w:t>ז</w:t>
        </w:r>
      </w:hyperlink>
      <w:r w:rsidRPr="00F95221">
        <w:rPr>
          <w:rFonts w:ascii="FrankRuehl" w:hAnsi="FrankRuehl" w:cs="FrankRuehl"/>
          <w:color w:val="0000FF"/>
          <w:rtl/>
        </w:rPr>
        <w:t xml:space="preserve">, </w:t>
      </w:r>
      <w:hyperlink r:id="rId9" w:history="1">
        <w:r w:rsidRPr="00F95221">
          <w:rPr>
            <w:rStyle w:val="Hyperlink"/>
            <w:rFonts w:ascii="FrankRuehl" w:hAnsi="FrankRuehl" w:cs="FrankRuehl"/>
            <w:u w:val="none"/>
          </w:rPr>
          <w:t>40</w:t>
        </w:r>
        <w:r w:rsidRPr="00F95221">
          <w:rPr>
            <w:rStyle w:val="Hyperlink"/>
            <w:rFonts w:ascii="FrankRuehl" w:hAnsi="FrankRuehl" w:cs="FrankRuehl"/>
            <w:u w:val="none"/>
            <w:rtl/>
          </w:rPr>
          <w:t>ט</w:t>
        </w:r>
      </w:hyperlink>
      <w:r w:rsidRPr="00F95221">
        <w:rPr>
          <w:rFonts w:ascii="FrankRuehl" w:hAnsi="FrankRuehl" w:cs="FrankRuehl"/>
          <w:color w:val="0000FF"/>
          <w:rtl/>
        </w:rPr>
        <w:t xml:space="preserve">, </w:t>
      </w:r>
      <w:hyperlink r:id="rId10" w:history="1">
        <w:r w:rsidRPr="00F95221">
          <w:rPr>
            <w:rStyle w:val="Hyperlink"/>
            <w:rFonts w:ascii="FrankRuehl" w:hAnsi="FrankRuehl" w:cs="FrankRuehl"/>
            <w:u w:val="none"/>
          </w:rPr>
          <w:t>144</w:t>
        </w:r>
      </w:hyperlink>
      <w:r w:rsidRPr="00F95221">
        <w:rPr>
          <w:rFonts w:ascii="FrankRuehl" w:hAnsi="FrankRuehl" w:cs="FrankRuehl"/>
          <w:color w:val="0000FF"/>
          <w:rtl/>
        </w:rPr>
        <w:t xml:space="preserve">, </w:t>
      </w:r>
      <w:hyperlink r:id="rId11" w:history="1">
        <w:r w:rsidRPr="00F95221">
          <w:rPr>
            <w:rStyle w:val="Hyperlink"/>
            <w:rFonts w:ascii="FrankRuehl" w:hAnsi="FrankRuehl" w:cs="FrankRuehl"/>
            <w:u w:val="none"/>
          </w:rPr>
          <w:t>144</w:t>
        </w:r>
      </w:hyperlink>
      <w:r w:rsidRPr="00F95221">
        <w:rPr>
          <w:rFonts w:ascii="FrankRuehl" w:hAnsi="FrankRuehl" w:cs="FrankRuehl"/>
          <w:color w:val="0000FF"/>
          <w:rtl/>
        </w:rPr>
        <w:t xml:space="preserve">(א), </w:t>
      </w:r>
      <w:hyperlink r:id="rId12" w:history="1">
        <w:r w:rsidRPr="00F95221">
          <w:rPr>
            <w:rStyle w:val="Hyperlink"/>
            <w:rFonts w:ascii="FrankRuehl" w:hAnsi="FrankRuehl" w:cs="FrankRuehl"/>
            <w:u w:val="none"/>
          </w:rPr>
          <w:t>144</w:t>
        </w:r>
      </w:hyperlink>
      <w:r w:rsidRPr="00F95221">
        <w:rPr>
          <w:rFonts w:ascii="FrankRuehl" w:hAnsi="FrankRuehl" w:cs="FrankRuehl"/>
          <w:color w:val="0000FF"/>
          <w:rtl/>
        </w:rPr>
        <w:t xml:space="preserve">(ב), </w:t>
      </w:r>
      <w:hyperlink r:id="rId13" w:history="1">
        <w:r w:rsidRPr="00F95221">
          <w:rPr>
            <w:rStyle w:val="Hyperlink"/>
            <w:rFonts w:ascii="FrankRuehl" w:hAnsi="FrankRuehl" w:cs="FrankRuehl"/>
            <w:u w:val="none"/>
          </w:rPr>
          <w:t>144</w:t>
        </w:r>
      </w:hyperlink>
      <w:r w:rsidRPr="00F95221">
        <w:rPr>
          <w:rFonts w:ascii="FrankRuehl" w:hAnsi="FrankRuehl" w:cs="FrankRuehl"/>
          <w:color w:val="0000FF"/>
          <w:rtl/>
        </w:rPr>
        <w:t xml:space="preserve">(ז), </w:t>
      </w:r>
      <w:hyperlink r:id="rId14" w:history="1">
        <w:r w:rsidRPr="00F95221">
          <w:rPr>
            <w:rStyle w:val="Hyperlink"/>
            <w:rFonts w:ascii="FrankRuehl" w:hAnsi="FrankRuehl" w:cs="FrankRuehl"/>
            <w:u w:val="none"/>
          </w:rPr>
          <w:t>340</w:t>
        </w:r>
        <w:r w:rsidRPr="00F95221">
          <w:rPr>
            <w:rStyle w:val="Hyperlink"/>
            <w:rFonts w:ascii="FrankRuehl" w:hAnsi="FrankRuehl" w:cs="FrankRuehl"/>
            <w:u w:val="none"/>
            <w:rtl/>
          </w:rPr>
          <w:t>א</w:t>
        </w:r>
      </w:hyperlink>
      <w:r w:rsidRPr="00F95221">
        <w:rPr>
          <w:rFonts w:ascii="FrankRuehl" w:hAnsi="FrankRuehl" w:cs="FrankRuehl"/>
          <w:color w:val="0000FF"/>
          <w:rtl/>
        </w:rPr>
        <w:t xml:space="preserve">(ב)1, </w:t>
      </w:r>
      <w:hyperlink r:id="rId15" w:history="1">
        <w:r w:rsidRPr="00F95221">
          <w:rPr>
            <w:rStyle w:val="Hyperlink"/>
            <w:rFonts w:ascii="FrankRuehl" w:hAnsi="FrankRuehl" w:cs="FrankRuehl"/>
            <w:u w:val="none"/>
          </w:rPr>
          <w:t>2</w:t>
        </w:r>
      </w:hyperlink>
      <w:r w:rsidRPr="00F95221">
        <w:rPr>
          <w:rFonts w:ascii="FrankRuehl" w:hAnsi="FrankRuehl" w:cs="FrankRuehl"/>
          <w:color w:val="0000FF"/>
          <w:rtl/>
        </w:rPr>
        <w:t xml:space="preserve">, </w:t>
      </w:r>
      <w:hyperlink r:id="rId16" w:history="1">
        <w:r w:rsidRPr="00F95221">
          <w:rPr>
            <w:rStyle w:val="Hyperlink"/>
            <w:rFonts w:ascii="FrankRuehl" w:hAnsi="FrankRuehl" w:cs="FrankRuehl"/>
            <w:u w:val="none"/>
          </w:rPr>
          <w:t>404</w:t>
        </w:r>
      </w:hyperlink>
      <w:r w:rsidRPr="00F95221">
        <w:rPr>
          <w:rFonts w:ascii="FrankRuehl" w:hAnsi="FrankRuehl" w:cs="FrankRuehl"/>
          <w:color w:val="0000FF"/>
          <w:rtl/>
        </w:rPr>
        <w:t xml:space="preserve">, </w:t>
      </w:r>
      <w:hyperlink r:id="rId17" w:history="1">
        <w:r w:rsidRPr="00F95221">
          <w:rPr>
            <w:rStyle w:val="Hyperlink"/>
            <w:rFonts w:ascii="FrankRuehl" w:hAnsi="FrankRuehl" w:cs="FrankRuehl"/>
            <w:u w:val="none"/>
          </w:rPr>
          <w:t>40</w:t>
        </w:r>
        <w:r w:rsidRPr="00F95221">
          <w:rPr>
            <w:rStyle w:val="Hyperlink"/>
            <w:rFonts w:ascii="FrankRuehl" w:hAnsi="FrankRuehl" w:cs="FrankRuehl"/>
            <w:u w:val="none"/>
            <w:rtl/>
          </w:rPr>
          <w:t>יג</w:t>
        </w:r>
      </w:hyperlink>
      <w:r w:rsidRPr="00F95221">
        <w:rPr>
          <w:rFonts w:ascii="FrankRuehl" w:hAnsi="FrankRuehl" w:cs="FrankRuehl"/>
          <w:color w:val="0000FF"/>
          <w:rtl/>
        </w:rPr>
        <w:t>(ב)</w:t>
      </w:r>
    </w:p>
    <w:p w14:paraId="7BF12DD3" w14:textId="77777777" w:rsidR="0009158B" w:rsidRDefault="0009158B" w:rsidP="00F95221">
      <w:pPr>
        <w:rPr>
          <w:rFonts w:hint="cs"/>
          <w:sz w:val="26"/>
          <w:szCs w:val="26"/>
          <w:rtl/>
        </w:rPr>
      </w:pPr>
      <w:bookmarkStart w:id="3" w:name="LawTable_End"/>
      <w:bookmarkEnd w:id="3"/>
    </w:p>
    <w:p w14:paraId="6E7803FE" w14:textId="77777777" w:rsidR="00F95221" w:rsidRDefault="00F95221" w:rsidP="00F95221">
      <w:pPr>
        <w:rPr>
          <w:rFonts w:hint="cs"/>
          <w:sz w:val="26"/>
          <w:szCs w:val="26"/>
          <w:rtl/>
        </w:rPr>
      </w:pPr>
    </w:p>
    <w:p w14:paraId="0D3E095C" w14:textId="77777777" w:rsidR="00F95221" w:rsidRDefault="00F95221" w:rsidP="00F95221">
      <w:pPr>
        <w:rPr>
          <w:rFonts w:hint="cs"/>
          <w:sz w:val="26"/>
          <w:szCs w:val="26"/>
          <w:rtl/>
        </w:rPr>
      </w:pPr>
    </w:p>
    <w:p w14:paraId="1FF9B90F" w14:textId="77777777" w:rsidR="00F95221" w:rsidRPr="00F95221" w:rsidRDefault="00F95221" w:rsidP="00F9522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158B" w14:paraId="28EEBD2B" w14:textId="77777777" w:rsidTr="0009158B">
        <w:trPr>
          <w:trHeight w:val="355"/>
          <w:jc w:val="center"/>
        </w:trPr>
        <w:tc>
          <w:tcPr>
            <w:tcW w:w="8820" w:type="dxa"/>
            <w:tcBorders>
              <w:top w:val="nil"/>
              <w:left w:val="nil"/>
              <w:bottom w:val="nil"/>
              <w:right w:val="nil"/>
            </w:tcBorders>
            <w:shd w:val="clear" w:color="auto" w:fill="auto"/>
          </w:tcPr>
          <w:p w14:paraId="4A3D357D" w14:textId="77777777" w:rsidR="00D73CE0" w:rsidRPr="00D73CE0" w:rsidRDefault="00D73CE0" w:rsidP="00D73CE0">
            <w:pPr>
              <w:jc w:val="center"/>
              <w:rPr>
                <w:rFonts w:ascii="David" w:hAnsi="David"/>
                <w:b/>
                <w:bCs/>
                <w:sz w:val="32"/>
                <w:szCs w:val="32"/>
                <w:u w:val="single"/>
                <w:rtl/>
              </w:rPr>
            </w:pPr>
            <w:bookmarkStart w:id="4" w:name="PsakDin" w:colFirst="0" w:colLast="0"/>
            <w:r w:rsidRPr="00D73CE0">
              <w:rPr>
                <w:rFonts w:ascii="David" w:hAnsi="David"/>
                <w:b/>
                <w:bCs/>
                <w:sz w:val="32"/>
                <w:szCs w:val="32"/>
                <w:u w:val="single"/>
                <w:rtl/>
              </w:rPr>
              <w:t>גזר דין</w:t>
            </w:r>
          </w:p>
          <w:p w14:paraId="2939C95D" w14:textId="77777777" w:rsidR="0009158B" w:rsidRPr="00D73CE0" w:rsidRDefault="0009158B" w:rsidP="00D73CE0">
            <w:pPr>
              <w:jc w:val="center"/>
              <w:rPr>
                <w:rFonts w:ascii="David" w:hAnsi="David"/>
                <w:bCs/>
                <w:sz w:val="32"/>
                <w:szCs w:val="32"/>
                <w:u w:val="single"/>
                <w:rtl/>
              </w:rPr>
            </w:pPr>
          </w:p>
        </w:tc>
      </w:tr>
      <w:bookmarkEnd w:id="4"/>
    </w:tbl>
    <w:p w14:paraId="69DBDFED" w14:textId="77777777" w:rsidR="0009158B" w:rsidRPr="000F2247" w:rsidRDefault="0009158B" w:rsidP="0009158B">
      <w:pPr>
        <w:rPr>
          <w:rFonts w:ascii="Arial" w:hAnsi="Arial"/>
          <w:b/>
          <w:bCs/>
          <w:sz w:val="26"/>
          <w:szCs w:val="26"/>
          <w:rtl/>
        </w:rPr>
      </w:pPr>
    </w:p>
    <w:p w14:paraId="332A87FA" w14:textId="77777777" w:rsidR="0009158B" w:rsidRPr="008F023D" w:rsidRDefault="0009158B" w:rsidP="0009158B">
      <w:pPr>
        <w:spacing w:line="360" w:lineRule="auto"/>
        <w:jc w:val="both"/>
        <w:rPr>
          <w:rFonts w:ascii="David" w:eastAsia="Calibri" w:hAnsi="David"/>
          <w:u w:val="single"/>
        </w:rPr>
      </w:pPr>
    </w:p>
    <w:p w14:paraId="01AF457C" w14:textId="77777777" w:rsidR="0009158B" w:rsidRPr="008F023D" w:rsidRDefault="0009158B" w:rsidP="0009158B">
      <w:pPr>
        <w:spacing w:line="360" w:lineRule="auto"/>
        <w:jc w:val="both"/>
        <w:rPr>
          <w:rFonts w:ascii="David" w:eastAsia="Calibri" w:hAnsi="David"/>
          <w:rtl/>
        </w:rPr>
      </w:pPr>
      <w:bookmarkStart w:id="5" w:name="ABSTRACT_START"/>
      <w:bookmarkEnd w:id="5"/>
      <w:r w:rsidRPr="008F023D">
        <w:rPr>
          <w:rFonts w:ascii="David" w:eastAsia="Calibri" w:hAnsi="David"/>
          <w:rtl/>
        </w:rPr>
        <w:t xml:space="preserve">הנאשם, </w:t>
      </w:r>
      <w:r w:rsidRPr="008F023D">
        <w:rPr>
          <w:rFonts w:ascii="David" w:eastAsia="Calibri" w:hAnsi="David"/>
          <w:b/>
          <w:bCs/>
          <w:rtl/>
        </w:rPr>
        <w:t>ואדיע טראבלסי</w:t>
      </w:r>
      <w:r w:rsidRPr="008F023D">
        <w:rPr>
          <w:rFonts w:ascii="David" w:eastAsia="Calibri" w:hAnsi="David"/>
          <w:rtl/>
        </w:rPr>
        <w:t xml:space="preserve">, הורשע ביום 15.7.24, על - סמך הודאתו, במסגרת הסדר טיעון, בעבירות שנכללו בכתב אישום מתוקן אשר הוגש נגדו ואשר עניינן </w:t>
      </w:r>
      <w:r w:rsidRPr="008F023D">
        <w:rPr>
          <w:rFonts w:ascii="David" w:eastAsia="Calibri" w:hAnsi="David"/>
          <w:b/>
          <w:bCs/>
          <w:rtl/>
        </w:rPr>
        <w:t xml:space="preserve">עבירות בנשק (החזקה, נשיאה והובלה) </w:t>
      </w:r>
      <w:r w:rsidRPr="008F023D">
        <w:rPr>
          <w:rFonts w:ascii="David" w:eastAsia="Calibri" w:hAnsi="David"/>
          <w:rtl/>
        </w:rPr>
        <w:t xml:space="preserve">לפי </w:t>
      </w:r>
      <w:hyperlink r:id="rId18" w:history="1">
        <w:r w:rsidR="00F95221" w:rsidRPr="00F95221">
          <w:rPr>
            <w:rStyle w:val="Hyperlink"/>
            <w:rFonts w:ascii="David" w:eastAsia="Calibri" w:hAnsi="David"/>
            <w:color w:val="0000FF"/>
            <w:rtl/>
          </w:rPr>
          <w:t>סעיפים 144(א)</w:t>
        </w:r>
      </w:hyperlink>
      <w:r w:rsidRPr="008F023D">
        <w:rPr>
          <w:rFonts w:ascii="David" w:eastAsia="Calibri" w:hAnsi="David"/>
          <w:rtl/>
        </w:rPr>
        <w:t xml:space="preserve"> רישה וסיפה ו- </w:t>
      </w:r>
      <w:hyperlink r:id="rId19" w:history="1">
        <w:r w:rsidR="00F95221" w:rsidRPr="00F95221">
          <w:rPr>
            <w:rStyle w:val="Hyperlink"/>
            <w:rFonts w:ascii="David" w:eastAsia="Calibri" w:hAnsi="David"/>
            <w:color w:val="0000FF"/>
            <w:rtl/>
          </w:rPr>
          <w:t>144(ב)</w:t>
        </w:r>
      </w:hyperlink>
      <w:r w:rsidRPr="008F023D">
        <w:rPr>
          <w:rFonts w:ascii="David" w:eastAsia="Calibri" w:hAnsi="David"/>
          <w:rtl/>
        </w:rPr>
        <w:t xml:space="preserve"> רישה וסיפה</w:t>
      </w:r>
      <w:r w:rsidRPr="008F023D">
        <w:rPr>
          <w:rFonts w:ascii="David" w:eastAsia="Calibri" w:hAnsi="David"/>
          <w:b/>
          <w:bCs/>
          <w:rtl/>
        </w:rPr>
        <w:t xml:space="preserve"> </w:t>
      </w:r>
      <w:r w:rsidRPr="008F023D">
        <w:rPr>
          <w:rFonts w:ascii="David" w:eastAsia="Calibri" w:hAnsi="David"/>
          <w:rtl/>
        </w:rPr>
        <w:t>ל</w:t>
      </w:r>
      <w:hyperlink r:id="rId20" w:history="1">
        <w:r w:rsidR="00D73CE0" w:rsidRPr="00D73CE0">
          <w:rPr>
            <w:rFonts w:ascii="David" w:eastAsia="Calibri" w:hAnsi="David"/>
            <w:color w:val="0000FF"/>
            <w:u w:val="single"/>
            <w:rtl/>
          </w:rPr>
          <w:t>חוק העונשין</w:t>
        </w:r>
      </w:hyperlink>
      <w:r w:rsidRPr="008F023D">
        <w:rPr>
          <w:rFonts w:ascii="David" w:eastAsia="Calibri" w:hAnsi="David"/>
          <w:rtl/>
        </w:rPr>
        <w:t>, התשל"ז -1977 (להלן: "</w:t>
      </w:r>
      <w:r w:rsidRPr="008F023D">
        <w:rPr>
          <w:rFonts w:ascii="David" w:eastAsia="Calibri" w:hAnsi="David"/>
          <w:b/>
          <w:bCs/>
          <w:rtl/>
        </w:rPr>
        <w:t>חוק העונשין</w:t>
      </w:r>
      <w:r w:rsidRPr="008F023D">
        <w:rPr>
          <w:rFonts w:ascii="David" w:eastAsia="Calibri" w:hAnsi="David"/>
          <w:rtl/>
        </w:rPr>
        <w:t>" או "</w:t>
      </w:r>
      <w:r w:rsidRPr="008F023D">
        <w:rPr>
          <w:rFonts w:ascii="David" w:eastAsia="Calibri" w:hAnsi="David"/>
          <w:b/>
          <w:bCs/>
          <w:rtl/>
        </w:rPr>
        <w:t>החוק</w:t>
      </w:r>
      <w:r w:rsidRPr="008F023D">
        <w:rPr>
          <w:rFonts w:ascii="David" w:eastAsia="Calibri" w:hAnsi="David"/>
          <w:rtl/>
        </w:rPr>
        <w:t xml:space="preserve">"); </w:t>
      </w:r>
      <w:r w:rsidRPr="008F023D">
        <w:rPr>
          <w:rFonts w:ascii="David" w:eastAsia="Calibri" w:hAnsi="David"/>
          <w:b/>
          <w:bCs/>
          <w:rtl/>
        </w:rPr>
        <w:t xml:space="preserve">ירי מנשק חם, </w:t>
      </w:r>
      <w:r w:rsidRPr="008F023D">
        <w:rPr>
          <w:rFonts w:ascii="David" w:eastAsia="Calibri" w:hAnsi="David"/>
          <w:rtl/>
        </w:rPr>
        <w:t xml:space="preserve">לפי </w:t>
      </w:r>
      <w:hyperlink r:id="rId21" w:history="1">
        <w:r w:rsidR="00F95221" w:rsidRPr="00F95221">
          <w:rPr>
            <w:rStyle w:val="Hyperlink"/>
            <w:rFonts w:ascii="David" w:eastAsia="Calibri" w:hAnsi="David"/>
            <w:color w:val="0000FF"/>
            <w:rtl/>
          </w:rPr>
          <w:t>סעיף 340א(ב)1</w:t>
        </w:r>
      </w:hyperlink>
      <w:r w:rsidRPr="008F023D">
        <w:rPr>
          <w:rFonts w:ascii="David" w:eastAsia="Calibri" w:hAnsi="David"/>
          <w:rtl/>
        </w:rPr>
        <w:t xml:space="preserve"> ו-</w:t>
      </w:r>
      <w:hyperlink r:id="rId22" w:history="1">
        <w:r w:rsidR="00F95221" w:rsidRPr="00F95221">
          <w:rPr>
            <w:rStyle w:val="Hyperlink"/>
            <w:rFonts w:ascii="David" w:eastAsia="Calibri" w:hAnsi="David"/>
            <w:color w:val="0000FF"/>
            <w:rtl/>
          </w:rPr>
          <w:t>2</w:t>
        </w:r>
      </w:hyperlink>
      <w:r w:rsidRPr="008F023D">
        <w:rPr>
          <w:rFonts w:ascii="David" w:eastAsia="Calibri" w:hAnsi="David"/>
          <w:rtl/>
        </w:rPr>
        <w:t xml:space="preserve"> לחוק, </w:t>
      </w:r>
      <w:r w:rsidRPr="008F023D">
        <w:rPr>
          <w:rFonts w:ascii="David" w:eastAsia="Calibri" w:hAnsi="David"/>
          <w:b/>
          <w:bCs/>
          <w:rtl/>
        </w:rPr>
        <w:t>ודרישת נכס באיומים</w:t>
      </w:r>
      <w:r w:rsidRPr="008F023D">
        <w:rPr>
          <w:rFonts w:ascii="David" w:eastAsia="Calibri" w:hAnsi="David"/>
          <w:rtl/>
        </w:rPr>
        <w:t xml:space="preserve"> לפי </w:t>
      </w:r>
      <w:hyperlink r:id="rId23" w:history="1">
        <w:r w:rsidR="00F95221" w:rsidRPr="00F95221">
          <w:rPr>
            <w:rStyle w:val="Hyperlink"/>
            <w:rFonts w:ascii="David" w:eastAsia="Calibri" w:hAnsi="David"/>
            <w:color w:val="0000FF"/>
            <w:rtl/>
          </w:rPr>
          <w:t>סעיף 404</w:t>
        </w:r>
      </w:hyperlink>
      <w:r w:rsidRPr="008F023D">
        <w:rPr>
          <w:rFonts w:ascii="David" w:eastAsia="Calibri" w:hAnsi="David"/>
          <w:rtl/>
        </w:rPr>
        <w:t xml:space="preserve"> לחוק.   </w:t>
      </w:r>
    </w:p>
    <w:p w14:paraId="3C095A59" w14:textId="77777777" w:rsidR="0009158B" w:rsidRPr="008F023D" w:rsidRDefault="0009158B" w:rsidP="0009158B">
      <w:pPr>
        <w:spacing w:line="360" w:lineRule="auto"/>
        <w:jc w:val="both"/>
        <w:rPr>
          <w:rFonts w:ascii="David" w:eastAsia="Calibri" w:hAnsi="David"/>
          <w:b/>
          <w:bCs/>
          <w:u w:val="single"/>
          <w:rtl/>
        </w:rPr>
      </w:pPr>
    </w:p>
    <w:p w14:paraId="4DDBD9EE" w14:textId="77777777" w:rsidR="0009158B" w:rsidRPr="008F023D" w:rsidRDefault="0009158B" w:rsidP="0009158B">
      <w:pPr>
        <w:spacing w:line="360" w:lineRule="auto"/>
        <w:jc w:val="both"/>
        <w:rPr>
          <w:rFonts w:ascii="David" w:eastAsia="Calibri" w:hAnsi="David"/>
          <w:u w:val="single"/>
          <w:rtl/>
        </w:rPr>
      </w:pPr>
      <w:bookmarkStart w:id="6" w:name="ABSTRACT_END"/>
      <w:bookmarkEnd w:id="6"/>
      <w:r w:rsidRPr="008F023D">
        <w:rPr>
          <w:rFonts w:ascii="David" w:eastAsia="Calibri" w:hAnsi="David"/>
          <w:u w:val="single"/>
          <w:rtl/>
        </w:rPr>
        <w:t>עובדות כתב האישום המתוקן</w:t>
      </w:r>
    </w:p>
    <w:p w14:paraId="064468E4" w14:textId="77777777" w:rsidR="0009158B" w:rsidRPr="008F023D" w:rsidRDefault="0009158B" w:rsidP="0009158B">
      <w:pPr>
        <w:spacing w:line="360" w:lineRule="auto"/>
        <w:jc w:val="both"/>
        <w:rPr>
          <w:rFonts w:ascii="David" w:eastAsia="Calibri" w:hAnsi="David"/>
          <w:u w:val="single"/>
          <w:rtl/>
        </w:rPr>
      </w:pPr>
    </w:p>
    <w:p w14:paraId="097895C0"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אישום ראשון -</w:t>
      </w:r>
    </w:p>
    <w:p w14:paraId="72158C96" w14:textId="77777777" w:rsidR="0009158B" w:rsidRPr="008F023D" w:rsidRDefault="0009158B" w:rsidP="0009158B">
      <w:pPr>
        <w:spacing w:line="360" w:lineRule="auto"/>
        <w:jc w:val="both"/>
        <w:rPr>
          <w:rFonts w:ascii="David" w:eastAsia="Calibri" w:hAnsi="David"/>
          <w:rtl/>
        </w:rPr>
      </w:pPr>
    </w:p>
    <w:p w14:paraId="3FBF4C48"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בזמנים הרלבנטיים לכתב האישום, שימש סוהייל דיאב כראש העיר טמרה והתגורר ביחד עם בני משפחתו בביתו ברח' אל ורוד בטמרה. בין הנאשם לבין עבד אלחמיד בוקאעי קיימת היכרות מוקדמת והם מצויים בקשרי חברות. </w:t>
      </w:r>
    </w:p>
    <w:p w14:paraId="28DE2E50" w14:textId="77777777" w:rsidR="0009158B" w:rsidRPr="008F023D" w:rsidRDefault="0009158B" w:rsidP="0009158B">
      <w:pPr>
        <w:spacing w:line="360" w:lineRule="auto"/>
        <w:jc w:val="both"/>
        <w:rPr>
          <w:rFonts w:ascii="David" w:eastAsia="Calibri" w:hAnsi="David"/>
          <w:rtl/>
        </w:rPr>
      </w:pPr>
    </w:p>
    <w:p w14:paraId="6EA389D4"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lastRenderedPageBreak/>
        <w:t xml:space="preserve">חברת "נתיב אקספרס - תחבורה ציבורית בע"מ" היא חברה המספקת שירותי תחבורה ציבורית ובבעלותה של החברה אוטובוסים המשמשים לצרכי עבודה. </w:t>
      </w:r>
    </w:p>
    <w:p w14:paraId="12EB70E5" w14:textId="77777777" w:rsidR="0009158B" w:rsidRPr="008F023D" w:rsidRDefault="0009158B" w:rsidP="0009158B">
      <w:pPr>
        <w:spacing w:line="360" w:lineRule="auto"/>
        <w:jc w:val="both"/>
        <w:rPr>
          <w:rFonts w:ascii="David" w:eastAsia="Calibri" w:hAnsi="David"/>
          <w:rtl/>
        </w:rPr>
      </w:pPr>
    </w:p>
    <w:p w14:paraId="6D56C3CD"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בבעלות עבד אלחמיד הנ"ל חלקת אדמה בטמרה המשמשת אותו כחניון רכבים. </w:t>
      </w:r>
    </w:p>
    <w:p w14:paraId="34A27BAC" w14:textId="77777777" w:rsidR="0009158B" w:rsidRPr="008F023D" w:rsidRDefault="0009158B" w:rsidP="0009158B">
      <w:pPr>
        <w:spacing w:line="360" w:lineRule="auto"/>
        <w:jc w:val="both"/>
        <w:rPr>
          <w:rFonts w:ascii="David" w:eastAsia="Calibri" w:hAnsi="David"/>
          <w:rtl/>
        </w:rPr>
      </w:pPr>
    </w:p>
    <w:p w14:paraId="586F340C"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ביום 1.1.18 הוסכם בין חברת נתיב אקספרס לבין עבד אלחמיד, כי חברת נתיב אקספרס תשכור את החניון לצורך חניית האוטובוסים שבבעלותה, זאת בתמורה לתשלום סכום כספי חודשי לעבד אלחמיד. </w:t>
      </w:r>
    </w:p>
    <w:p w14:paraId="3D2CA3E6" w14:textId="77777777" w:rsidR="0009158B" w:rsidRPr="008F023D" w:rsidRDefault="0009158B" w:rsidP="0009158B">
      <w:pPr>
        <w:spacing w:line="360" w:lineRule="auto"/>
        <w:jc w:val="both"/>
        <w:rPr>
          <w:rFonts w:ascii="David" w:eastAsia="Calibri" w:hAnsi="David"/>
          <w:rtl/>
        </w:rPr>
      </w:pPr>
    </w:p>
    <w:p w14:paraId="74988BD6"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ביום 11.8.23 נציג חברת נתיב אקספרס הודיעה לעבד אלחמיד כי בכוונת החברה לבטל את ההתקשרות עמו ולהעביר את האוטובוסים שבבעלותה לחניון אחר, החל מיום 1.9.23. </w:t>
      </w:r>
    </w:p>
    <w:p w14:paraId="1B39966B" w14:textId="77777777" w:rsidR="0009158B" w:rsidRPr="008F023D" w:rsidRDefault="0009158B" w:rsidP="0009158B">
      <w:pPr>
        <w:spacing w:line="360" w:lineRule="auto"/>
        <w:jc w:val="both"/>
        <w:rPr>
          <w:rFonts w:ascii="David" w:eastAsia="Calibri" w:hAnsi="David"/>
          <w:rtl/>
        </w:rPr>
      </w:pPr>
    </w:p>
    <w:p w14:paraId="0B4C3C26"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על  רקע ההודעה ומשהנאשם סבר, כי לסוהייל קשר לביטול ההסכם, עובר ליום 29.8.23 בשעה 23:30 לערך החליט הנאשם לבצע ירי לעבר ביתו. </w:t>
      </w:r>
    </w:p>
    <w:p w14:paraId="06AC36E7" w14:textId="77777777" w:rsidR="0009158B" w:rsidRPr="008F023D" w:rsidRDefault="0009158B" w:rsidP="0009158B">
      <w:pPr>
        <w:spacing w:line="360" w:lineRule="auto"/>
        <w:jc w:val="both"/>
        <w:rPr>
          <w:rFonts w:ascii="David" w:eastAsia="Calibri" w:hAnsi="David"/>
          <w:rtl/>
        </w:rPr>
      </w:pPr>
    </w:p>
    <w:p w14:paraId="17C2FF22"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לצורך מימוש ההחלטה, ביום 29.8.23 סמוך לשעה 23:30, נהג הנאשם בקטנוע ונסע לכיוון הבית כשהוא עוטה כפפות על ידיו וחובש קסדה על ראשו וכשהוא מחזיק, נושא ומוביל אקדח ובמחסנית תואמת לאקדח, שהינה אבזר של הנשק, שהייתה טעונה בלא פחות מ- 8 קליעים מסוג 9 מ"מ התואמים לאקדח. </w:t>
      </w:r>
    </w:p>
    <w:p w14:paraId="2EC26C35" w14:textId="77777777" w:rsidR="0009158B" w:rsidRPr="008F023D" w:rsidRDefault="0009158B" w:rsidP="0009158B">
      <w:pPr>
        <w:spacing w:line="360" w:lineRule="auto"/>
        <w:jc w:val="both"/>
        <w:rPr>
          <w:rFonts w:ascii="David" w:eastAsia="Calibri" w:hAnsi="David"/>
          <w:rtl/>
        </w:rPr>
      </w:pPr>
    </w:p>
    <w:p w14:paraId="73BDF136"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בהגיעו בסמוך לבית, עצר הנאשם את הקטנוע, הוציא את האקדח, ירה לעבר כניסת הבית לא פחות מ - 8 קליעים; שישה מתוכם פגעו בקיר הכניסה לבית, כאשר באותה העת, עודאי דיאב, בנו של סוהייל, שהה בתוך הבית. </w:t>
      </w:r>
    </w:p>
    <w:p w14:paraId="58DB9B27"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מייד לאחר ביצוע הירי הנאשם שב בריצה אל הקטנוע ונמלט מן המקום בנסיעה.  כתוצאה מן הירי, נגרמו נזק וסימני פיח לקיר הבית בסמוך לדלת הכניסה. </w:t>
      </w:r>
    </w:p>
    <w:p w14:paraId="7BDC0ECA" w14:textId="77777777" w:rsidR="0009158B" w:rsidRPr="008F023D" w:rsidRDefault="0009158B" w:rsidP="0009158B">
      <w:pPr>
        <w:spacing w:line="360" w:lineRule="auto"/>
        <w:jc w:val="both"/>
        <w:rPr>
          <w:rFonts w:ascii="David" w:eastAsia="Calibri" w:hAnsi="David"/>
          <w:rtl/>
        </w:rPr>
      </w:pPr>
    </w:p>
    <w:p w14:paraId="4430639A"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אישום שני -</w:t>
      </w:r>
    </w:p>
    <w:p w14:paraId="0F69ED7B" w14:textId="77777777" w:rsidR="0009158B" w:rsidRPr="008F023D" w:rsidRDefault="0009158B" w:rsidP="0009158B">
      <w:pPr>
        <w:spacing w:line="360" w:lineRule="auto"/>
        <w:jc w:val="both"/>
        <w:rPr>
          <w:rFonts w:ascii="David" w:eastAsia="Calibri" w:hAnsi="David"/>
          <w:rtl/>
        </w:rPr>
      </w:pPr>
    </w:p>
    <w:p w14:paraId="6DC835B0"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בזמנים הרלבנטיים לכתב האישום, סוהייר קייס, עבדה כקופאית במאפיה וקונדיטוריה בבעלות סאמי חסן וראפע חסן, הנמצאת בשכונת ח'לת אל שריף בטמרה.</w:t>
      </w:r>
    </w:p>
    <w:p w14:paraId="34C08F02"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בתאריך 28.1.22, בשעה 18:20 לערך, החליט הנאשם לדרוש כסף באיומים מן המתלוננת, והגיע לאזור המאפיה כשהוא רעול פנים, וברשותו חפץ הנחזה להיות אקדח בצבע כסף. הנאשם נכנס אל המאפיה כשברשותו חפץ דמוי אקדח, ניגש אל הדלפק אשר מאחוריו עמדה המתלוננת, שלף את דמוי האקדח ודרש ממנה כסף. </w:t>
      </w:r>
    </w:p>
    <w:p w14:paraId="5A3B131F"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המתלוננת, בפחדה מפני הנאשם, החלה לצעוק ונכנסה פנימה לתוך המאפיה. </w:t>
      </w:r>
    </w:p>
    <w:p w14:paraId="27596C79"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lastRenderedPageBreak/>
        <w:t xml:space="preserve">הנאשם ניסה לפתוח את הקופה. הוא לא הצליח בכך תוך שהוא גורם נזק לקופה ומיד לאחר מכן ברח מן המקום. </w:t>
      </w:r>
    </w:p>
    <w:p w14:paraId="2CA31A20" w14:textId="77777777" w:rsidR="0009158B" w:rsidRPr="008F023D" w:rsidRDefault="0009158B" w:rsidP="0009158B">
      <w:pPr>
        <w:spacing w:line="360" w:lineRule="auto"/>
        <w:jc w:val="both"/>
        <w:rPr>
          <w:rFonts w:ascii="David" w:eastAsia="Calibri" w:hAnsi="David"/>
          <w:rtl/>
        </w:rPr>
      </w:pPr>
    </w:p>
    <w:p w14:paraId="082E11FF" w14:textId="77777777" w:rsidR="0009158B" w:rsidRPr="008F023D" w:rsidRDefault="0009158B" w:rsidP="0009158B">
      <w:pPr>
        <w:spacing w:line="360" w:lineRule="auto"/>
        <w:jc w:val="both"/>
        <w:rPr>
          <w:rFonts w:ascii="David" w:eastAsia="Calibri" w:hAnsi="David"/>
          <w:u w:val="single"/>
          <w:rtl/>
        </w:rPr>
      </w:pPr>
      <w:r w:rsidRPr="008F023D">
        <w:rPr>
          <w:rFonts w:ascii="David" w:eastAsia="Calibri" w:hAnsi="David"/>
          <w:u w:val="single"/>
          <w:rtl/>
        </w:rPr>
        <w:t>תסקיר שירות מבחן</w:t>
      </w:r>
    </w:p>
    <w:p w14:paraId="6A752B57" w14:textId="77777777" w:rsidR="0009158B" w:rsidRPr="008F023D" w:rsidRDefault="0009158B" w:rsidP="0009158B">
      <w:pPr>
        <w:spacing w:line="360" w:lineRule="auto"/>
        <w:jc w:val="both"/>
        <w:rPr>
          <w:rFonts w:ascii="David" w:eastAsia="Calibri" w:hAnsi="David"/>
          <w:u w:val="single"/>
          <w:rtl/>
        </w:rPr>
      </w:pPr>
    </w:p>
    <w:p w14:paraId="2C0CA24A"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ביום 3.9.24 הוצג לתיק בית המשפט תסקיר בעניין עונשו של הנאשם. במסגרתו של תסקיר זה, צוין כי הנאשם, רווק, בן 20, תושב טמרה עבד, עובר למעצרו, בעסק לשטיפת מכוניות. בהתייחס לעבירות שבגינן הורשע הנאשם, פורט כי הוא אמנם מבין את הנזק שגרם אך משתף באופן חלקי על  אודות שאירע. הוא סירב לספר מניין היה ברשותו כלי נשק. בהתייחס לאישום השני, ציין כי מאחר ושכר עבודתה של ידידתו הולן, פעל כפי שפעל. הנאשם הביע חרטה על מעשיו והביע אמפתיה למצבה של הקופאית. גם כאן התרשם שירות המבחן שרב הנסתר על הגלוי. מדיווח שהתקבל מאת גורמי הטיפול בבית המעצר, עלה כי הנאשם מביע מוטיבציה מילולית להשתלב בהליכים טיפוליים. צוין, כי הוא אכן השתלב בקבוצת הכנה לטיפול באלימות. </w:t>
      </w:r>
    </w:p>
    <w:p w14:paraId="7BBACA1E" w14:textId="77777777" w:rsidR="0009158B" w:rsidRPr="008F023D" w:rsidRDefault="0009158B" w:rsidP="0009158B">
      <w:pPr>
        <w:spacing w:line="360" w:lineRule="auto"/>
        <w:jc w:val="both"/>
        <w:rPr>
          <w:rFonts w:ascii="David" w:eastAsia="Calibri" w:hAnsi="David"/>
          <w:rtl/>
        </w:rPr>
      </w:pPr>
    </w:p>
    <w:p w14:paraId="47E8EDEA"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הערכת הסיכון הנשקף מן הנאשם והסיכוי להישנות מקרים אלימים, הוערכו על ידי שירות המבחן כבעלי רמת סיכון בינונית. פורט, כי הנאשם מצוי בשלבים הראשוניים של גיבוש זהותו. עוד התרשם שירות המבחן כי הנאשם מתקשה להתמודד עם מצבי לחץ ומתקשה לווסת את דחפיו. הוער, כי הנאשם נוהג בתוקפנות ובאלימות מתוך רצונו לגבש זהות גברית, כל זאת תוך שימוש בדפוסים עברייניים של הסתרה והכחשה. </w:t>
      </w:r>
    </w:p>
    <w:p w14:paraId="4DFBFE27" w14:textId="77777777" w:rsidR="0009158B" w:rsidRPr="008F023D" w:rsidRDefault="0009158B" w:rsidP="0009158B">
      <w:pPr>
        <w:spacing w:line="360" w:lineRule="auto"/>
        <w:jc w:val="both"/>
        <w:rPr>
          <w:rFonts w:ascii="David" w:eastAsia="Calibri" w:hAnsi="David"/>
          <w:rtl/>
        </w:rPr>
      </w:pPr>
    </w:p>
    <w:p w14:paraId="5751F755"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לסיכום, צוין כי הנאשם אמנם מגלה מודעת ראשונית לכשלים בהתנהגותו, אך נוכח חומרת העבירות ולאור הערכת הסיכון לא ניתן לבוא בעניינו בהמלצה טיפולית במסגרת הקהילה. לצד זאת הוער, כי מומלץ לשלב את הנאשם בתוכנית טיפולית במסגרת מאסרו. </w:t>
      </w:r>
    </w:p>
    <w:p w14:paraId="7E8A578F" w14:textId="77777777" w:rsidR="0009158B" w:rsidRPr="008F023D" w:rsidRDefault="0009158B" w:rsidP="0009158B">
      <w:pPr>
        <w:spacing w:line="360" w:lineRule="auto"/>
        <w:jc w:val="both"/>
        <w:rPr>
          <w:rFonts w:ascii="David" w:eastAsia="Calibri" w:hAnsi="David"/>
          <w:u w:val="single"/>
          <w:rtl/>
        </w:rPr>
      </w:pPr>
    </w:p>
    <w:p w14:paraId="1C4E076E" w14:textId="77777777" w:rsidR="0009158B" w:rsidRPr="008F023D" w:rsidRDefault="0009158B" w:rsidP="0009158B">
      <w:pPr>
        <w:spacing w:line="360" w:lineRule="auto"/>
        <w:jc w:val="both"/>
        <w:rPr>
          <w:rFonts w:ascii="David" w:eastAsia="Calibri" w:hAnsi="David"/>
          <w:u w:val="single"/>
          <w:rtl/>
        </w:rPr>
      </w:pPr>
      <w:r w:rsidRPr="008F023D">
        <w:rPr>
          <w:rFonts w:ascii="David" w:eastAsia="Calibri" w:hAnsi="David"/>
          <w:u w:val="single"/>
          <w:rtl/>
        </w:rPr>
        <w:t>טיעוני הצדדים לעניין העונש</w:t>
      </w:r>
    </w:p>
    <w:p w14:paraId="787FD1D0" w14:textId="77777777" w:rsidR="0009158B" w:rsidRPr="008F023D" w:rsidRDefault="0009158B" w:rsidP="0009158B">
      <w:pPr>
        <w:spacing w:line="360" w:lineRule="auto"/>
        <w:jc w:val="both"/>
        <w:rPr>
          <w:rFonts w:ascii="David" w:eastAsia="Calibri" w:hAnsi="David"/>
          <w:b/>
          <w:bCs/>
          <w:u w:val="single"/>
          <w:rtl/>
        </w:rPr>
      </w:pPr>
    </w:p>
    <w:p w14:paraId="5AA10402" w14:textId="77777777" w:rsidR="0009158B" w:rsidRPr="008F023D" w:rsidRDefault="0009158B" w:rsidP="0009158B">
      <w:pPr>
        <w:spacing w:line="360" w:lineRule="auto"/>
        <w:jc w:val="both"/>
        <w:rPr>
          <w:rFonts w:ascii="David" w:eastAsia="Calibri" w:hAnsi="David"/>
          <w:i/>
          <w:iCs/>
          <w:rtl/>
        </w:rPr>
      </w:pPr>
      <w:r w:rsidRPr="008F023D">
        <w:rPr>
          <w:rFonts w:ascii="David" w:eastAsia="Calibri" w:hAnsi="David"/>
          <w:i/>
          <w:iCs/>
          <w:rtl/>
        </w:rPr>
        <w:t xml:space="preserve">המאשימה </w:t>
      </w:r>
    </w:p>
    <w:p w14:paraId="6E23ACD8" w14:textId="77777777" w:rsidR="0009158B" w:rsidRPr="008F023D" w:rsidRDefault="0009158B" w:rsidP="0009158B">
      <w:pPr>
        <w:spacing w:line="360" w:lineRule="auto"/>
        <w:jc w:val="both"/>
        <w:rPr>
          <w:rFonts w:ascii="David" w:eastAsia="Calibri" w:hAnsi="David"/>
          <w:b/>
          <w:bCs/>
          <w:u w:val="single"/>
          <w:rtl/>
        </w:rPr>
      </w:pPr>
    </w:p>
    <w:p w14:paraId="69AADECA"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ב"כ המאשימה, עו"ד יניב זוהר, הגיש מסמך טיעונים כתוב (טעת/1) והוסיף על האמור בו בעל פה. </w:t>
      </w:r>
      <w:r w:rsidRPr="008F023D">
        <w:rPr>
          <w:rFonts w:ascii="David" w:eastAsia="Calibri" w:hAnsi="David"/>
          <w:b/>
          <w:bCs/>
          <w:rtl/>
        </w:rPr>
        <w:t>ראשית, צוין כי הנאשם נעדר עבר פלילי.</w:t>
      </w:r>
      <w:r w:rsidRPr="008F023D">
        <w:rPr>
          <w:rFonts w:ascii="David" w:eastAsia="Calibri" w:hAnsi="David"/>
          <w:rtl/>
        </w:rPr>
        <w:t xml:space="preserve"> </w:t>
      </w:r>
    </w:p>
    <w:p w14:paraId="5B31E331" w14:textId="77777777" w:rsidR="0009158B" w:rsidRPr="008F023D" w:rsidRDefault="0009158B" w:rsidP="0009158B">
      <w:pPr>
        <w:spacing w:line="360" w:lineRule="auto"/>
        <w:jc w:val="both"/>
        <w:rPr>
          <w:rFonts w:ascii="David" w:eastAsia="Calibri" w:hAnsi="David"/>
          <w:rtl/>
        </w:rPr>
      </w:pPr>
    </w:p>
    <w:p w14:paraId="23E5B9A7"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צוין, כי יש לראות בשני האישומים הנכללים בכתב האישום המתוקן כשני אירועים נפרדים, אשר יש לשרטט מתחם ענישה נפרד בגין כל אחד מהם, ולאחר מכן לצבור את העונשים המוטלים בגינם.</w:t>
      </w:r>
    </w:p>
    <w:p w14:paraId="3F0FEFE5"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ב"כ המאשימה עמד בהרחבה על הערכים המוגנים שנפגעו פועל יוצא ממעשיו של הנאשם. הודגש, כי עסקינן, בין היתר,  בפגיעה חמורה בביטחון ובשלום הציבור. הפרקליט המלומד עמד על נסיבות ביצוען של העבירות והציג פסיקה ענפה המתייחסת לעבירות שבגינן הורשע הנאשם. לשיטתה של המאשימה יש לשרטט בגין </w:t>
      </w:r>
      <w:r w:rsidRPr="008F023D">
        <w:rPr>
          <w:rFonts w:ascii="David" w:eastAsia="Calibri" w:hAnsi="David"/>
          <w:b/>
          <w:bCs/>
          <w:rtl/>
        </w:rPr>
        <w:t>האישום הראשון</w:t>
      </w:r>
      <w:r w:rsidRPr="008F023D">
        <w:rPr>
          <w:rFonts w:ascii="David" w:eastAsia="Calibri" w:hAnsi="David"/>
          <w:rtl/>
        </w:rPr>
        <w:t xml:space="preserve"> מתחם עונש הולם הנע </w:t>
      </w:r>
      <w:r w:rsidRPr="008F023D">
        <w:rPr>
          <w:rFonts w:ascii="David" w:eastAsia="Calibri" w:hAnsi="David"/>
          <w:b/>
          <w:bCs/>
          <w:rtl/>
        </w:rPr>
        <w:t xml:space="preserve">בין 7 לבין 9 שנות מאסר </w:t>
      </w:r>
      <w:r w:rsidRPr="008F023D">
        <w:rPr>
          <w:rFonts w:ascii="David" w:eastAsia="Calibri" w:hAnsi="David"/>
          <w:rtl/>
        </w:rPr>
        <w:t xml:space="preserve">לריצוי בפועל, בעוד בגין </w:t>
      </w:r>
      <w:r w:rsidRPr="008F023D">
        <w:rPr>
          <w:rFonts w:ascii="David" w:eastAsia="Calibri" w:hAnsi="David"/>
          <w:b/>
          <w:bCs/>
          <w:rtl/>
        </w:rPr>
        <w:t>האישום השני</w:t>
      </w:r>
      <w:r w:rsidRPr="008F023D">
        <w:rPr>
          <w:rFonts w:ascii="David" w:eastAsia="Calibri" w:hAnsi="David"/>
          <w:rtl/>
        </w:rPr>
        <w:t xml:space="preserve"> יש לשרטט מתחם ענישה הנע </w:t>
      </w:r>
      <w:r w:rsidRPr="008F023D">
        <w:rPr>
          <w:rFonts w:ascii="David" w:eastAsia="Calibri" w:hAnsi="David"/>
          <w:b/>
          <w:bCs/>
          <w:rtl/>
        </w:rPr>
        <w:t>בין 10 לבין 18 חודשי מאסר</w:t>
      </w:r>
      <w:r w:rsidRPr="008F023D">
        <w:rPr>
          <w:rFonts w:ascii="David" w:eastAsia="Calibri" w:hAnsi="David"/>
          <w:rtl/>
        </w:rPr>
        <w:t xml:space="preserve"> לריצוי בפועל. </w:t>
      </w:r>
    </w:p>
    <w:p w14:paraId="6172EED1"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הוער, כי נוכח הנסיבות שאינן קשורות בביצוע העבירה (העדר עבר פלילי, הרתעת הרבים, אי שיתוף פעולה עם הרשויות לצורך איתור הנשק, ומסקנות תסקיר שירות המבחן) יש לגזור את עונשו של הנאשם ברף האמצעי- עליון של המתחמים שהוצעו, ולצבור את העונשים, לצד השתת פסילת רשיון נהיגה ועונשים נלווים. </w:t>
      </w:r>
    </w:p>
    <w:p w14:paraId="1140C4D6"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  </w:t>
      </w:r>
    </w:p>
    <w:p w14:paraId="7CCBF159" w14:textId="77777777" w:rsidR="0009158B" w:rsidRPr="008F023D" w:rsidRDefault="0009158B" w:rsidP="0009158B">
      <w:pPr>
        <w:spacing w:line="360" w:lineRule="auto"/>
        <w:jc w:val="both"/>
        <w:rPr>
          <w:rFonts w:ascii="David" w:eastAsia="Calibri" w:hAnsi="David"/>
          <w:i/>
          <w:iCs/>
          <w:rtl/>
        </w:rPr>
      </w:pPr>
      <w:r w:rsidRPr="008F023D">
        <w:rPr>
          <w:rFonts w:ascii="David" w:eastAsia="Calibri" w:hAnsi="David"/>
          <w:i/>
          <w:iCs/>
          <w:rtl/>
        </w:rPr>
        <w:t>ההגנה</w:t>
      </w:r>
    </w:p>
    <w:p w14:paraId="36F6D898" w14:textId="77777777" w:rsidR="0009158B" w:rsidRPr="008F023D" w:rsidRDefault="0009158B" w:rsidP="0009158B">
      <w:pPr>
        <w:spacing w:line="360" w:lineRule="auto"/>
        <w:jc w:val="both"/>
        <w:rPr>
          <w:rFonts w:ascii="David" w:eastAsia="Calibri" w:hAnsi="David"/>
          <w:i/>
          <w:iCs/>
          <w:rtl/>
        </w:rPr>
      </w:pPr>
    </w:p>
    <w:p w14:paraId="36E02366"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ב"כ המלומד של הנאשם, עו"ד יוסף סלימאן, הגיש מצדו את טיעוני ההגנה לעניין העונש (טעה/1) והוסיף על אלו בעל פה. צוין, כי הנאשם הודה במעשיו בהזדמנות הראשונה ובכך חסך זמן שיפוטי רב. הסנגור עמד על גילו הצעיר יחסית של הנאשם, והדגיש כי על אף חומרת מעשיו של הנאשם - איש לא נפגע. בהקשר זה הוזכר, כי הנאשם הורשע, במסגרת האישום השני, בכך, שהחזיק בחפץ שאינו מהווה כלי נשק. הסנגור עמד על עברו הפלילי הנקי של הנאשם, על כך שהוא עצור בגין תיק זה קרוב לשנה; לתפיסתו, עובדה זו לבדה מהווה גורם הרתעה עבור הנאשם. הסנגור עמד על מסקנות שירות המבחן וראה אותן כחיוביות וככאלה המלמדות על רצון כן מצדו של הנאשם להשתקם ולפתוח דף חדש.  עוד עמד הסנגור על דו"ח ועדת דורנר, ומסקנותיו שלפיהן יש ליתן עדיפות לשיקום עבריינים מחוץ לכתליו של בית המאסר. ב"כ הנאשם הציג פסיקה הנוהגת והמתאימה לשיטתו לעניינו של הנאשם דכאן. לדידו מתחם הענישה המתאים צריך לנוע </w:t>
      </w:r>
      <w:r w:rsidRPr="008F023D">
        <w:rPr>
          <w:rFonts w:ascii="David" w:eastAsia="Calibri" w:hAnsi="David"/>
          <w:b/>
          <w:bCs/>
          <w:rtl/>
        </w:rPr>
        <w:t>בין 14 חודשי מאסר לריצוי בפועל לבין 30 חודשי מאסר לריצוי בפועל</w:t>
      </w:r>
      <w:r w:rsidRPr="008F023D">
        <w:rPr>
          <w:rFonts w:ascii="David" w:eastAsia="Calibri" w:hAnsi="David"/>
          <w:rtl/>
        </w:rPr>
        <w:t xml:space="preserve">, בעוד יש לגזור את עונשו של הנאשם </w:t>
      </w:r>
      <w:r w:rsidRPr="008F023D">
        <w:rPr>
          <w:rFonts w:ascii="David" w:eastAsia="Calibri" w:hAnsi="David"/>
          <w:b/>
          <w:bCs/>
          <w:rtl/>
        </w:rPr>
        <w:t>בתחתית מתחם הענישה</w:t>
      </w:r>
      <w:r w:rsidRPr="008F023D">
        <w:rPr>
          <w:rFonts w:ascii="David" w:eastAsia="Calibri" w:hAnsi="David"/>
          <w:rtl/>
        </w:rPr>
        <w:t xml:space="preserve">. עוד צוין, כי אין מקום להשית קנס על הנאשם נוכח מצבו הכלכלי העגום. </w:t>
      </w:r>
    </w:p>
    <w:p w14:paraId="4FBAD446" w14:textId="77777777" w:rsidR="0009158B" w:rsidRPr="008F023D" w:rsidRDefault="0009158B" w:rsidP="0009158B">
      <w:pPr>
        <w:spacing w:line="360" w:lineRule="auto"/>
        <w:jc w:val="both"/>
        <w:rPr>
          <w:rFonts w:ascii="David" w:eastAsia="Calibri" w:hAnsi="David"/>
          <w:u w:val="single"/>
          <w:rtl/>
        </w:rPr>
      </w:pPr>
    </w:p>
    <w:p w14:paraId="4D6E6190" w14:textId="77777777" w:rsidR="0009158B" w:rsidRPr="008F023D" w:rsidRDefault="0009158B" w:rsidP="0009158B">
      <w:pPr>
        <w:spacing w:line="360" w:lineRule="auto"/>
        <w:jc w:val="both"/>
        <w:rPr>
          <w:rFonts w:ascii="David" w:eastAsia="Calibri" w:hAnsi="David"/>
          <w:i/>
          <w:iCs/>
          <w:rtl/>
        </w:rPr>
      </w:pPr>
      <w:r w:rsidRPr="008F023D">
        <w:rPr>
          <w:rFonts w:ascii="David" w:eastAsia="Calibri" w:hAnsi="David"/>
          <w:i/>
          <w:iCs/>
          <w:rtl/>
        </w:rPr>
        <w:t>דבריו של הנאשם</w:t>
      </w:r>
    </w:p>
    <w:p w14:paraId="1EA1ACE1" w14:textId="77777777" w:rsidR="0009158B" w:rsidRPr="008F023D" w:rsidRDefault="0009158B" w:rsidP="0009158B">
      <w:pPr>
        <w:spacing w:line="360" w:lineRule="auto"/>
        <w:jc w:val="both"/>
        <w:rPr>
          <w:rFonts w:ascii="David" w:eastAsia="Calibri" w:hAnsi="David"/>
          <w:u w:val="single"/>
          <w:rtl/>
        </w:rPr>
      </w:pPr>
    </w:p>
    <w:p w14:paraId="3B71E5DE"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הנאשם פנה אל בית המשפט, בציינו כי הוא מצטער על הכול. </w:t>
      </w:r>
    </w:p>
    <w:p w14:paraId="1B8C3CFC" w14:textId="77777777" w:rsidR="0009158B" w:rsidRPr="008F023D" w:rsidRDefault="0009158B" w:rsidP="0009158B">
      <w:pPr>
        <w:spacing w:line="360" w:lineRule="auto"/>
        <w:jc w:val="both"/>
        <w:rPr>
          <w:rFonts w:ascii="David" w:eastAsia="Calibri" w:hAnsi="David"/>
          <w:b/>
          <w:bCs/>
          <w:u w:val="single"/>
          <w:rtl/>
        </w:rPr>
      </w:pPr>
    </w:p>
    <w:p w14:paraId="6E0C4006" w14:textId="77777777" w:rsidR="0009158B" w:rsidRPr="008F023D" w:rsidRDefault="0009158B" w:rsidP="0009158B">
      <w:pPr>
        <w:spacing w:line="360" w:lineRule="auto"/>
        <w:jc w:val="both"/>
        <w:rPr>
          <w:rFonts w:ascii="David" w:eastAsia="Calibri" w:hAnsi="David"/>
          <w:b/>
          <w:bCs/>
          <w:u w:val="single"/>
          <w:rtl/>
        </w:rPr>
      </w:pPr>
    </w:p>
    <w:p w14:paraId="67011406" w14:textId="77777777" w:rsidR="0009158B" w:rsidRPr="008F023D" w:rsidRDefault="0009158B" w:rsidP="0009158B">
      <w:pPr>
        <w:spacing w:line="360" w:lineRule="auto"/>
        <w:jc w:val="both"/>
        <w:rPr>
          <w:rFonts w:ascii="David" w:eastAsia="Calibri" w:hAnsi="David"/>
          <w:b/>
          <w:bCs/>
          <w:u w:val="single"/>
          <w:rtl/>
        </w:rPr>
      </w:pPr>
      <w:r w:rsidRPr="008F023D">
        <w:rPr>
          <w:rFonts w:ascii="David" w:eastAsia="Calibri" w:hAnsi="David"/>
          <w:b/>
          <w:bCs/>
          <w:u w:val="single"/>
          <w:rtl/>
        </w:rPr>
        <w:t>דיון והכרעה</w:t>
      </w:r>
    </w:p>
    <w:p w14:paraId="2F6A0F1C" w14:textId="77777777" w:rsidR="0009158B" w:rsidRPr="008F023D" w:rsidRDefault="0009158B" w:rsidP="0009158B">
      <w:pPr>
        <w:spacing w:line="360" w:lineRule="auto"/>
        <w:jc w:val="both"/>
        <w:rPr>
          <w:rFonts w:ascii="David" w:eastAsia="Calibri" w:hAnsi="David"/>
          <w:b/>
          <w:bCs/>
          <w:u w:val="single"/>
          <w:rtl/>
        </w:rPr>
      </w:pPr>
    </w:p>
    <w:p w14:paraId="12D2725A" w14:textId="77777777" w:rsidR="0009158B" w:rsidRPr="008F023D" w:rsidRDefault="0009158B" w:rsidP="0009158B">
      <w:pPr>
        <w:spacing w:after="160" w:line="360" w:lineRule="auto"/>
        <w:jc w:val="both"/>
        <w:rPr>
          <w:rFonts w:ascii="David" w:eastAsia="Calibri" w:hAnsi="David"/>
          <w:rtl/>
        </w:rPr>
      </w:pPr>
      <w:r w:rsidRPr="008F023D">
        <w:rPr>
          <w:rFonts w:ascii="David" w:eastAsia="Calibri" w:hAnsi="David"/>
          <w:rtl/>
        </w:rPr>
        <w:t>מעשיו של הנאשם דכאן מבטאים פגיעה חמורה בשלום הציבור, בשגרת חייו ובביטחונו. נשיאת נשק, שימוש בו, שיש בו כדי לסכן חיי אדם ומעשה של דרישת נכס באיומים מחייבים את בתי המשפט לתגובה עונשית הולמת, שכן האינטרס הציבורי העליון בכגון דא הוא למנוע, או לכל הפח</w:t>
      </w:r>
      <w:r>
        <w:rPr>
          <w:rFonts w:ascii="David" w:eastAsia="Calibri" w:hAnsi="David"/>
          <w:rtl/>
        </w:rPr>
        <w:t>ות לצמצם</w:t>
      </w:r>
      <w:r>
        <w:rPr>
          <w:rFonts w:ascii="David" w:eastAsia="Calibri" w:hAnsi="David" w:hint="cs"/>
          <w:rtl/>
        </w:rPr>
        <w:t xml:space="preserve">, </w:t>
      </w:r>
      <w:r w:rsidRPr="008F023D">
        <w:rPr>
          <w:rFonts w:ascii="David" w:eastAsia="Calibri" w:hAnsi="David"/>
          <w:rtl/>
        </w:rPr>
        <w:t xml:space="preserve">ככל הניתן, את ביצוען של עבירות חמורות אלה. </w:t>
      </w:r>
    </w:p>
    <w:p w14:paraId="2E799D9F" w14:textId="77777777" w:rsidR="0009158B" w:rsidRPr="008F023D" w:rsidRDefault="0009158B" w:rsidP="0009158B">
      <w:pPr>
        <w:spacing w:line="276" w:lineRule="auto"/>
        <w:ind w:left="651" w:right="709"/>
        <w:jc w:val="both"/>
        <w:rPr>
          <w:rFonts w:ascii="David" w:eastAsia="Calibri" w:hAnsi="David"/>
          <w:rtl/>
        </w:rPr>
      </w:pPr>
    </w:p>
    <w:p w14:paraId="0AA095B6" w14:textId="77777777" w:rsidR="0009158B" w:rsidRPr="008F023D" w:rsidRDefault="0009158B" w:rsidP="0009158B">
      <w:pPr>
        <w:spacing w:line="360" w:lineRule="auto"/>
        <w:jc w:val="both"/>
        <w:rPr>
          <w:rFonts w:ascii="David" w:eastAsia="Calibri" w:hAnsi="David"/>
          <w:b/>
          <w:bCs/>
          <w:u w:val="single"/>
          <w:rtl/>
        </w:rPr>
      </w:pPr>
      <w:r w:rsidRPr="008F023D">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8F023D">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8F023D">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4D9C1C64" w14:textId="77777777" w:rsidR="0009158B" w:rsidRPr="008F023D" w:rsidRDefault="0009158B" w:rsidP="0009158B">
      <w:pPr>
        <w:spacing w:line="360" w:lineRule="auto"/>
        <w:jc w:val="both"/>
        <w:rPr>
          <w:rFonts w:ascii="David" w:eastAsia="Calibri" w:hAnsi="David"/>
          <w:b/>
          <w:bCs/>
          <w:u w:val="single"/>
          <w:rtl/>
        </w:rPr>
      </w:pPr>
    </w:p>
    <w:p w14:paraId="78FA07C9" w14:textId="77777777" w:rsidR="0009158B" w:rsidRPr="008F023D" w:rsidRDefault="0009158B" w:rsidP="0009158B">
      <w:pPr>
        <w:spacing w:after="160" w:line="360" w:lineRule="auto"/>
        <w:jc w:val="both"/>
        <w:rPr>
          <w:rFonts w:ascii="Calibri" w:eastAsia="Calibri" w:hAnsi="Calibri"/>
          <w:rtl/>
        </w:rPr>
      </w:pPr>
      <w:r w:rsidRPr="008F023D">
        <w:rPr>
          <w:rFonts w:ascii="Calibri" w:eastAsia="Calibri" w:hAnsi="Calibri"/>
          <w:rtl/>
        </w:rPr>
        <w:t xml:space="preserve">בראש ובראשונה ראוי לציין, שהנאשם נותן את הדין על אחריותו לשורה של עבירות אשר מהוות </w:t>
      </w:r>
      <w:r w:rsidRPr="008F023D">
        <w:rPr>
          <w:rFonts w:ascii="Calibri" w:eastAsia="Calibri" w:hAnsi="Calibri"/>
          <w:b/>
          <w:bCs/>
          <w:rtl/>
        </w:rPr>
        <w:t>שני אירועים שונים</w:t>
      </w:r>
      <w:r w:rsidRPr="004C1E5C">
        <w:rPr>
          <w:rFonts w:ascii="Calibri" w:eastAsia="Calibri" w:hAnsi="Calibri"/>
          <w:rtl/>
        </w:rPr>
        <w:t>,</w:t>
      </w:r>
      <w:r w:rsidRPr="008F023D">
        <w:rPr>
          <w:rFonts w:ascii="Calibri" w:eastAsia="Calibri" w:hAnsi="Calibri"/>
          <w:rtl/>
        </w:rPr>
        <w:t xml:space="preserve"> כך, בהתאם להלכה הפסוקה </w:t>
      </w:r>
      <w:r w:rsidRPr="008F023D">
        <w:rPr>
          <w:rFonts w:ascii="David" w:eastAsia="Calibri" w:hAnsi="David"/>
          <w:rtl/>
        </w:rPr>
        <w:t xml:space="preserve">(ראו לעניין זה: </w:t>
      </w:r>
      <w:hyperlink r:id="rId24" w:history="1">
        <w:r w:rsidR="00D73CE0" w:rsidRPr="00D73CE0">
          <w:rPr>
            <w:rFonts w:ascii="David" w:eastAsia="Calibri" w:hAnsi="David"/>
            <w:color w:val="0000FF"/>
            <w:u w:val="single"/>
            <w:rtl/>
          </w:rPr>
          <w:t>ע"פ 4910/13</w:t>
        </w:r>
      </w:hyperlink>
      <w:r w:rsidRPr="008F023D">
        <w:rPr>
          <w:rFonts w:ascii="David" w:eastAsia="Calibri" w:hAnsi="David"/>
          <w:rtl/>
        </w:rPr>
        <w:t xml:space="preserve"> </w:t>
      </w:r>
      <w:r w:rsidRPr="008F023D">
        <w:rPr>
          <w:rFonts w:ascii="David" w:eastAsia="Calibri" w:hAnsi="David"/>
          <w:b/>
          <w:bCs/>
          <w:rtl/>
        </w:rPr>
        <w:t>ג'אבר נ' מדינת ישראל</w:t>
      </w:r>
      <w:r w:rsidRPr="008F023D">
        <w:rPr>
          <w:rFonts w:ascii="David" w:eastAsia="Calibri" w:hAnsi="David"/>
          <w:rtl/>
        </w:rPr>
        <w:t>,</w:t>
      </w:r>
      <w:r w:rsidRPr="008F023D">
        <w:rPr>
          <w:rFonts w:ascii="David" w:eastAsia="Calibri" w:hAnsi="David"/>
          <w:b/>
          <w:bCs/>
          <w:rtl/>
        </w:rPr>
        <w:t xml:space="preserve"> </w:t>
      </w:r>
      <w:r w:rsidRPr="008F023D">
        <w:rPr>
          <w:rFonts w:ascii="David" w:eastAsia="Calibri" w:hAnsi="David"/>
          <w:rtl/>
        </w:rPr>
        <w:t xml:space="preserve">מפי כב' השופטת ברק-ארז, ניתן ביום 29.10.14; </w:t>
      </w:r>
      <w:hyperlink r:id="rId25" w:history="1">
        <w:r w:rsidR="00D73CE0" w:rsidRPr="00D73CE0">
          <w:rPr>
            <w:rFonts w:ascii="David" w:eastAsia="Calibri" w:hAnsi="David"/>
            <w:color w:val="0000FF"/>
            <w:u w:val="single"/>
            <w:rtl/>
          </w:rPr>
          <w:t>ע"פ 9308/12</w:t>
        </w:r>
      </w:hyperlink>
      <w:r w:rsidRPr="008F023D">
        <w:rPr>
          <w:rFonts w:ascii="David" w:eastAsia="Calibri" w:hAnsi="David"/>
          <w:rtl/>
        </w:rPr>
        <w:t xml:space="preserve"> </w:t>
      </w:r>
      <w:r w:rsidRPr="008F023D">
        <w:rPr>
          <w:rFonts w:ascii="David" w:eastAsia="Calibri" w:hAnsi="David"/>
          <w:b/>
          <w:bCs/>
          <w:rtl/>
        </w:rPr>
        <w:t>עיסא נ' מדינת ישראל,</w:t>
      </w:r>
      <w:r>
        <w:rPr>
          <w:rFonts w:ascii="David" w:eastAsia="Calibri" w:hAnsi="David"/>
          <w:rtl/>
        </w:rPr>
        <w:t xml:space="preserve"> ניתן ביום 30.7.15)</w:t>
      </w:r>
      <w:r>
        <w:rPr>
          <w:rFonts w:ascii="David" w:eastAsia="Calibri" w:hAnsi="David" w:hint="cs"/>
          <w:rtl/>
        </w:rPr>
        <w:t xml:space="preserve">. </w:t>
      </w:r>
      <w:r w:rsidRPr="008F023D">
        <w:rPr>
          <w:rFonts w:ascii="Calibri" w:eastAsia="Calibri" w:hAnsi="Calibri"/>
          <w:rtl/>
        </w:rPr>
        <w:t xml:space="preserve">מאחר שמדובר בשני אירועים שונים ונפרדים, </w:t>
      </w:r>
      <w:r w:rsidRPr="008F023D">
        <w:rPr>
          <w:rFonts w:ascii="David" w:eastAsia="Calibri" w:hAnsi="David"/>
          <w:rtl/>
        </w:rPr>
        <w:t>האחד, עניינו בעבירות בנשק ובירי; והשני, עניינו בדרישת הנכס באיומים</w:t>
      </w:r>
      <w:r w:rsidRPr="008F023D">
        <w:rPr>
          <w:rFonts w:ascii="Calibri" w:eastAsia="Calibri" w:hAnsi="Calibri"/>
          <w:rtl/>
        </w:rPr>
        <w:t xml:space="preserve">, ראוי לקבוע מתחם עונש הולם לכל אירוע בנפרד ואחר-כך לגזור </w:t>
      </w:r>
      <w:r w:rsidRPr="008F023D">
        <w:rPr>
          <w:rFonts w:ascii="Calibri" w:eastAsia="Calibri" w:hAnsi="Calibri"/>
          <w:b/>
          <w:bCs/>
          <w:rtl/>
        </w:rPr>
        <w:t>עונש כולל לכלל האירועים</w:t>
      </w:r>
      <w:r w:rsidRPr="008F023D">
        <w:rPr>
          <w:rFonts w:ascii="Calibri" w:eastAsia="Calibri" w:hAnsi="Calibri"/>
          <w:rtl/>
        </w:rPr>
        <w:t xml:space="preserve"> (</w:t>
      </w:r>
      <w:hyperlink r:id="rId26" w:history="1">
        <w:r w:rsidR="00F95221" w:rsidRPr="00F95221">
          <w:rPr>
            <w:rStyle w:val="Hyperlink"/>
            <w:rFonts w:ascii="Calibri" w:eastAsia="Calibri" w:hAnsi="Calibri"/>
            <w:color w:val="0000FF"/>
            <w:rtl/>
          </w:rPr>
          <w:t>סעיף 40יג(ב)</w:t>
        </w:r>
      </w:hyperlink>
      <w:r w:rsidRPr="008F023D">
        <w:rPr>
          <w:rFonts w:ascii="Calibri" w:eastAsia="Calibri" w:hAnsi="Calibri"/>
          <w:rtl/>
        </w:rPr>
        <w:t xml:space="preserve"> ל</w:t>
      </w:r>
      <w:hyperlink r:id="rId27" w:history="1">
        <w:r w:rsidR="00D73CE0" w:rsidRPr="00D73CE0">
          <w:rPr>
            <w:rFonts w:ascii="Calibri" w:eastAsia="Calibri" w:hAnsi="Calibri" w:hint="cs"/>
            <w:color w:val="0000FF"/>
            <w:u w:val="single"/>
            <w:rtl/>
          </w:rPr>
          <w:t>חוק</w:t>
        </w:r>
        <w:r w:rsidR="00D73CE0" w:rsidRPr="00D73CE0">
          <w:rPr>
            <w:rFonts w:ascii="Calibri" w:eastAsia="Calibri" w:hAnsi="Calibri"/>
            <w:color w:val="0000FF"/>
            <w:u w:val="single"/>
            <w:rtl/>
          </w:rPr>
          <w:t xml:space="preserve"> </w:t>
        </w:r>
        <w:r w:rsidR="00D73CE0" w:rsidRPr="00D73CE0">
          <w:rPr>
            <w:rFonts w:ascii="Calibri" w:eastAsia="Calibri" w:hAnsi="Calibri" w:hint="cs"/>
            <w:color w:val="0000FF"/>
            <w:u w:val="single"/>
            <w:rtl/>
          </w:rPr>
          <w:t>העונשין</w:t>
        </w:r>
      </w:hyperlink>
      <w:r w:rsidRPr="008F023D">
        <w:rPr>
          <w:rFonts w:ascii="Calibri" w:eastAsia="Calibri" w:hAnsi="Calibri"/>
          <w:rtl/>
        </w:rPr>
        <w:t xml:space="preserve">). </w:t>
      </w:r>
    </w:p>
    <w:p w14:paraId="2B099398" w14:textId="77777777" w:rsidR="0009158B" w:rsidRPr="008F023D" w:rsidRDefault="0009158B" w:rsidP="0009158B">
      <w:pPr>
        <w:spacing w:after="160" w:line="360" w:lineRule="auto"/>
        <w:jc w:val="both"/>
        <w:rPr>
          <w:rFonts w:ascii="Calibri" w:eastAsia="Calibri" w:hAnsi="Calibri"/>
          <w:rtl/>
        </w:rPr>
      </w:pPr>
      <w:r w:rsidRPr="008F023D">
        <w:rPr>
          <w:rFonts w:ascii="Calibri" w:eastAsia="Calibri" w:hAnsi="Calibri"/>
          <w:rtl/>
        </w:rPr>
        <w:t xml:space="preserve">ראשית, אפנה לדון </w:t>
      </w:r>
      <w:r w:rsidRPr="008F023D">
        <w:rPr>
          <w:rFonts w:ascii="Calibri" w:eastAsia="Calibri" w:hAnsi="Calibri"/>
          <w:u w:val="single"/>
          <w:rtl/>
        </w:rPr>
        <w:t>באירוע הראשון</w:t>
      </w:r>
      <w:r w:rsidRPr="008F023D">
        <w:rPr>
          <w:rFonts w:ascii="Calibri" w:eastAsia="Calibri" w:hAnsi="Calibri"/>
          <w:rtl/>
        </w:rPr>
        <w:t xml:space="preserve"> - עבירות הנשק והירי מנשק חם.   </w:t>
      </w:r>
    </w:p>
    <w:p w14:paraId="29700583" w14:textId="77777777" w:rsidR="0009158B" w:rsidRPr="008F023D" w:rsidRDefault="0009158B" w:rsidP="0009158B">
      <w:pPr>
        <w:spacing w:after="160" w:line="360" w:lineRule="auto"/>
        <w:ind w:right="-284"/>
        <w:jc w:val="both"/>
        <w:rPr>
          <w:rFonts w:ascii="David" w:eastAsia="Calibri" w:hAnsi="David"/>
          <w:rtl/>
        </w:rPr>
      </w:pPr>
      <w:r w:rsidRPr="008F023D">
        <w:rPr>
          <w:rFonts w:ascii="David" w:eastAsia="Calibri" w:hAnsi="David"/>
          <w:rtl/>
        </w:rPr>
        <w:t xml:space="preserve">בכל הנוגע לערכים החברתיים המוגנים שנפגעו כפועל יוצא ממעשיו של נאשם זה, הרי שהדברים מובנים מאליהם: המוביל נשק בלא רשות על פי דין והעושה בו שימוש פוגע בראש ובראשונה </w:t>
      </w:r>
      <w:r w:rsidRPr="008F023D">
        <w:rPr>
          <w:rFonts w:ascii="David" w:eastAsia="Calibri" w:hAnsi="David"/>
          <w:b/>
          <w:bCs/>
          <w:rtl/>
        </w:rPr>
        <w:t>בביטחון המדינה, במנגנוני שלטונה</w:t>
      </w:r>
      <w:r w:rsidRPr="008F023D">
        <w:rPr>
          <w:rFonts w:ascii="David" w:eastAsia="Calibri" w:hAnsi="David"/>
          <w:rtl/>
        </w:rPr>
        <w:t xml:space="preserve"> </w:t>
      </w:r>
      <w:r w:rsidRPr="008F023D">
        <w:rPr>
          <w:rFonts w:ascii="David" w:eastAsia="Calibri" w:hAnsi="David"/>
          <w:b/>
          <w:bCs/>
          <w:rtl/>
        </w:rPr>
        <w:t>ובביטחון הציבור</w:t>
      </w:r>
      <w:r w:rsidRPr="008F023D">
        <w:rPr>
          <w:rFonts w:ascii="David" w:eastAsia="Calibri" w:hAnsi="David"/>
          <w:rtl/>
        </w:rPr>
        <w:t>,</w:t>
      </w:r>
      <w:r w:rsidRPr="008F023D">
        <w:rPr>
          <w:rFonts w:ascii="David" w:eastAsia="Calibri" w:hAnsi="David"/>
          <w:b/>
          <w:bCs/>
          <w:rtl/>
        </w:rPr>
        <w:t xml:space="preserve"> </w:t>
      </w:r>
      <w:r w:rsidRPr="008F023D">
        <w:rPr>
          <w:rFonts w:ascii="David" w:eastAsia="Calibri" w:hAnsi="David"/>
          <w:rtl/>
        </w:rPr>
        <w:t xml:space="preserve">הנחשף לסכנה ממשית לשלמות גופו ונפשו. הפגיעה בערכים אלו גבוהה. </w:t>
      </w:r>
    </w:p>
    <w:p w14:paraId="49903D85" w14:textId="77777777" w:rsidR="0009158B" w:rsidRPr="008F023D" w:rsidRDefault="0009158B" w:rsidP="0009158B">
      <w:pPr>
        <w:overflowPunct w:val="0"/>
        <w:autoSpaceDE w:val="0"/>
        <w:autoSpaceDN w:val="0"/>
        <w:spacing w:line="360" w:lineRule="auto"/>
        <w:ind w:right="-284"/>
        <w:jc w:val="both"/>
        <w:rPr>
          <w:rtl/>
        </w:rPr>
      </w:pPr>
      <w:r w:rsidRPr="008F023D">
        <w:rPr>
          <w:rtl/>
        </w:rPr>
        <w:t xml:space="preserve">על אודות הצורך במגמת ההחמרה בענישה, בכל הנוגע לעבירות שעניינן נשיאה או הובלה של כלי נשק, מתאימים הדברים להלן שנכתבו במסגרתו של </w:t>
      </w:r>
      <w:hyperlink r:id="rId28" w:history="1">
        <w:r w:rsidR="00D73CE0" w:rsidRPr="00D73CE0">
          <w:rPr>
            <w:color w:val="0000FF"/>
            <w:u w:val="single"/>
            <w:rtl/>
          </w:rPr>
          <w:t>ע"פ 5522/20</w:t>
        </w:r>
      </w:hyperlink>
      <w:r w:rsidRPr="008F023D">
        <w:rPr>
          <w:rtl/>
        </w:rPr>
        <w:t xml:space="preserve"> </w:t>
      </w:r>
      <w:r w:rsidRPr="008F023D">
        <w:rPr>
          <w:b/>
          <w:bCs/>
          <w:rtl/>
        </w:rPr>
        <w:t>חלייחל נ' מדינת ישראל</w:t>
      </w:r>
      <w:r w:rsidRPr="008F023D">
        <w:rPr>
          <w:rtl/>
        </w:rPr>
        <w:t xml:space="preserve"> (ניתן ביום 24.2.21) - </w:t>
      </w:r>
    </w:p>
    <w:p w14:paraId="3D94E35E" w14:textId="77777777" w:rsidR="0009158B" w:rsidRPr="008F023D" w:rsidRDefault="0009158B" w:rsidP="0009158B">
      <w:pPr>
        <w:overflowPunct w:val="0"/>
        <w:autoSpaceDE w:val="0"/>
        <w:autoSpaceDN w:val="0"/>
        <w:spacing w:line="360" w:lineRule="auto"/>
        <w:jc w:val="both"/>
        <w:rPr>
          <w:rtl/>
        </w:rPr>
      </w:pPr>
    </w:p>
    <w:p w14:paraId="13E37501" w14:textId="77777777" w:rsidR="0009158B" w:rsidRPr="008F023D" w:rsidRDefault="0009158B" w:rsidP="0009158B">
      <w:pPr>
        <w:tabs>
          <w:tab w:val="left" w:pos="800"/>
        </w:tabs>
        <w:overflowPunct w:val="0"/>
        <w:autoSpaceDE w:val="0"/>
        <w:autoSpaceDN w:val="0"/>
        <w:adjustRightInd w:val="0"/>
        <w:spacing w:line="276" w:lineRule="auto"/>
        <w:ind w:left="935" w:right="851" w:hanging="142"/>
        <w:jc w:val="both"/>
        <w:rPr>
          <w:rFonts w:ascii="Calibri Light" w:hAnsi="Calibri Light" w:cs="Calibri Light"/>
          <w:spacing w:val="10"/>
          <w:rtl/>
        </w:rPr>
      </w:pPr>
      <w:r w:rsidRPr="008F023D">
        <w:rPr>
          <w:rFonts w:ascii="David" w:hAnsi="David"/>
          <w:spacing w:val="10"/>
          <w:rtl/>
        </w:rPr>
        <w:t xml:space="preserve"> "</w:t>
      </w:r>
      <w:r w:rsidRPr="008F023D">
        <w:rPr>
          <w:rFonts w:ascii="Calibri Light" w:hAnsi="Calibri Light" w:cs="Times New Roman"/>
          <w:spacing w:val="10"/>
          <w:rtl/>
        </w:rPr>
        <w:t xml:space="preserve">סעיף </w:t>
      </w:r>
      <w:r w:rsidRPr="008F023D">
        <w:rPr>
          <w:rFonts w:ascii="Calibri Light" w:hAnsi="Calibri Light" w:cs="Calibri Light"/>
          <w:spacing w:val="10"/>
          <w:rtl/>
        </w:rPr>
        <w:t>144(</w:t>
      </w:r>
      <w:r w:rsidRPr="008F023D">
        <w:rPr>
          <w:rFonts w:ascii="Calibri Light" w:hAnsi="Calibri Light" w:cs="Times New Roman"/>
          <w:spacing w:val="10"/>
          <w:rtl/>
        </w:rPr>
        <w:t>ב</w:t>
      </w:r>
      <w:r w:rsidRPr="008F023D">
        <w:rPr>
          <w:rFonts w:ascii="Calibri Light" w:hAnsi="Calibri Light" w:cs="Calibri Light"/>
          <w:spacing w:val="10"/>
          <w:rtl/>
        </w:rPr>
        <w:t xml:space="preserve">) </w:t>
      </w:r>
      <w:r w:rsidRPr="008F023D">
        <w:rPr>
          <w:rFonts w:ascii="Calibri Light" w:hAnsi="Calibri Light" w:cs="Times New Roman"/>
          <w:spacing w:val="10"/>
          <w:rtl/>
        </w:rPr>
        <w:t>ל</w:t>
      </w:r>
      <w:hyperlink r:id="rId29" w:history="1">
        <w:r w:rsidR="00D73CE0" w:rsidRPr="00D73CE0">
          <w:rPr>
            <w:rFonts w:ascii="Calibri Light" w:hAnsi="Calibri Light" w:cs="Times New Roman" w:hint="eastAsia"/>
            <w:color w:val="0000FF"/>
            <w:spacing w:val="10"/>
            <w:u w:val="single"/>
            <w:rtl/>
          </w:rPr>
          <w:t>חוק</w:t>
        </w:r>
        <w:r w:rsidR="00D73CE0" w:rsidRPr="00D73CE0">
          <w:rPr>
            <w:rFonts w:ascii="Calibri Light" w:hAnsi="Calibri Light" w:cs="Times New Roman"/>
            <w:color w:val="0000FF"/>
            <w:spacing w:val="10"/>
            <w:u w:val="single"/>
            <w:rtl/>
          </w:rPr>
          <w:t xml:space="preserve"> </w:t>
        </w:r>
        <w:r w:rsidR="00D73CE0" w:rsidRPr="00D73CE0">
          <w:rPr>
            <w:rFonts w:ascii="Calibri Light" w:hAnsi="Calibri Light" w:cs="Times New Roman" w:hint="eastAsia"/>
            <w:color w:val="0000FF"/>
            <w:spacing w:val="10"/>
            <w:u w:val="single"/>
            <w:rtl/>
          </w:rPr>
          <w:t>העונשין</w:t>
        </w:r>
      </w:hyperlink>
      <w:r w:rsidRPr="008F023D">
        <w:rPr>
          <w:rFonts w:ascii="Calibri Light" w:hAnsi="Calibri Light" w:cs="Times New Roman"/>
          <w:spacing w:val="10"/>
          <w:rtl/>
        </w:rPr>
        <w:t xml:space="preserve"> אוסר על נשיאה או הובלה של כלי</w:t>
      </w:r>
      <w:r w:rsidRPr="008F023D">
        <w:rPr>
          <w:rFonts w:ascii="Calibri Light" w:hAnsi="Calibri Light" w:cs="Calibri Light"/>
          <w:spacing w:val="10"/>
          <w:rtl/>
        </w:rPr>
        <w:t>-</w:t>
      </w:r>
      <w:r w:rsidRPr="008F023D">
        <w:rPr>
          <w:rFonts w:ascii="Calibri Light" w:hAnsi="Calibri Light" w:cs="Times New Roman"/>
          <w:spacing w:val="10"/>
          <w:rtl/>
        </w:rPr>
        <w:t>נשק</w:t>
      </w:r>
      <w:r w:rsidRPr="008F023D">
        <w:rPr>
          <w:rFonts w:ascii="Calibri Light" w:hAnsi="Calibri Light" w:cs="Calibri Light"/>
          <w:spacing w:val="10"/>
          <w:rtl/>
        </w:rPr>
        <w:t xml:space="preserve">, </w:t>
      </w:r>
      <w:r w:rsidRPr="008F023D">
        <w:rPr>
          <w:rFonts w:ascii="Calibri Light" w:hAnsi="Calibri Light" w:cs="Calibri Light"/>
          <w:b/>
          <w:rtl/>
        </w:rPr>
        <w:t>"</w:t>
      </w:r>
      <w:r w:rsidRPr="008F023D">
        <w:rPr>
          <w:rFonts w:ascii="Calibri Light" w:hAnsi="Calibri Light" w:cs="Times New Roman"/>
          <w:b/>
          <w:rtl/>
        </w:rPr>
        <w:t>בלא רשות על פי דין</w:t>
      </w:r>
      <w:r w:rsidRPr="008F023D">
        <w:rPr>
          <w:rFonts w:ascii="Calibri Light" w:hAnsi="Calibri Light" w:cs="Calibri Light"/>
          <w:b/>
          <w:rtl/>
        </w:rPr>
        <w:t>"</w:t>
      </w:r>
      <w:r w:rsidRPr="008F023D">
        <w:rPr>
          <w:rFonts w:ascii="Calibri Light" w:hAnsi="Calibri Light" w:cs="Calibri Light"/>
          <w:spacing w:val="10"/>
          <w:rtl/>
        </w:rPr>
        <w:t xml:space="preserve">. </w:t>
      </w:r>
      <w:r w:rsidRPr="008F023D">
        <w:rPr>
          <w:rFonts w:ascii="Calibri Light" w:hAnsi="Calibri Light" w:cs="Times New Roman"/>
          <w:spacing w:val="10"/>
          <w:rtl/>
        </w:rPr>
        <w:t>האיסור נועד להגן על ערך חיי האדם</w:t>
      </w:r>
      <w:r w:rsidRPr="008F023D">
        <w:rPr>
          <w:rFonts w:ascii="Calibri Light" w:hAnsi="Calibri Light" w:cs="Calibri Light"/>
          <w:spacing w:val="10"/>
          <w:rtl/>
        </w:rPr>
        <w:t xml:space="preserve">, </w:t>
      </w:r>
      <w:r w:rsidRPr="008F023D">
        <w:rPr>
          <w:rFonts w:ascii="Calibri Light" w:hAnsi="Calibri Light" w:cs="Times New Roman"/>
          <w:spacing w:val="10"/>
          <w:rtl/>
        </w:rPr>
        <w:t>שלמות גופו ונפשו</w:t>
      </w:r>
      <w:r w:rsidRPr="008F023D">
        <w:rPr>
          <w:rFonts w:ascii="Calibri Light" w:hAnsi="Calibri Light" w:cs="Calibri Light"/>
          <w:spacing w:val="10"/>
          <w:rtl/>
        </w:rPr>
        <w:t xml:space="preserve">, </w:t>
      </w:r>
      <w:r w:rsidRPr="008F023D">
        <w:rPr>
          <w:rFonts w:ascii="Calibri Light" w:hAnsi="Calibri Light" w:cs="Times New Roman"/>
          <w:spacing w:val="10"/>
          <w:rtl/>
        </w:rPr>
        <w:t>כמו גם לקדם את השמירה על הסדר הציבורי ואורח חיים תקין</w:t>
      </w:r>
      <w:r w:rsidRPr="008F023D">
        <w:rPr>
          <w:rFonts w:ascii="Calibri Light" w:hAnsi="Calibri Light" w:cs="Calibri Light"/>
          <w:spacing w:val="10"/>
          <w:rtl/>
        </w:rPr>
        <w:t xml:space="preserve">, </w:t>
      </w:r>
      <w:r w:rsidRPr="008F023D">
        <w:rPr>
          <w:rFonts w:ascii="Calibri Light" w:hAnsi="Calibri Light" w:cs="Times New Roman"/>
          <w:spacing w:val="10"/>
          <w:rtl/>
        </w:rPr>
        <w:t>שלו ובטוח</w:t>
      </w:r>
      <w:r w:rsidRPr="008F023D">
        <w:rPr>
          <w:rFonts w:ascii="Calibri Light" w:hAnsi="Calibri Light" w:cs="Calibri Light"/>
          <w:spacing w:val="10"/>
          <w:rtl/>
        </w:rPr>
        <w:t xml:space="preserve">... </w:t>
      </w:r>
      <w:r w:rsidRPr="008F023D">
        <w:rPr>
          <w:rFonts w:ascii="Calibri Light" w:hAnsi="Calibri Light" w:cs="Times New Roman"/>
          <w:spacing w:val="10"/>
          <w:rtl/>
        </w:rPr>
        <w:t>עבירה זו</w:t>
      </w:r>
      <w:r w:rsidRPr="008F023D">
        <w:rPr>
          <w:rFonts w:ascii="Calibri Light" w:hAnsi="Calibri Light" w:cs="Calibri Light"/>
          <w:spacing w:val="10"/>
          <w:rtl/>
        </w:rPr>
        <w:t xml:space="preserve">, </w:t>
      </w:r>
      <w:r w:rsidRPr="008F023D">
        <w:rPr>
          <w:rFonts w:ascii="Calibri Light" w:hAnsi="Calibri Light" w:cs="Times New Roman"/>
          <w:spacing w:val="10"/>
          <w:rtl/>
        </w:rPr>
        <w:t>כמו יתר עבירות הנשק</w:t>
      </w:r>
      <w:r w:rsidRPr="008F023D">
        <w:rPr>
          <w:rFonts w:ascii="Calibri Light" w:hAnsi="Calibri Light" w:cs="Calibri Light"/>
          <w:spacing w:val="10"/>
          <w:rtl/>
        </w:rPr>
        <w:t xml:space="preserve">, </w:t>
      </w:r>
      <w:r w:rsidRPr="008F023D">
        <w:rPr>
          <w:rFonts w:ascii="Calibri Light" w:hAnsi="Calibri Light" w:cs="Times New Roman"/>
          <w:spacing w:val="10"/>
          <w:rtl/>
        </w:rPr>
        <w:t>נועדה למנוע התנהגות מסוכנת</w:t>
      </w:r>
      <w:r w:rsidRPr="008F023D">
        <w:rPr>
          <w:rFonts w:ascii="Calibri Light" w:hAnsi="Calibri Light" w:cs="Calibri Light"/>
          <w:spacing w:val="10"/>
          <w:rtl/>
        </w:rPr>
        <w:t xml:space="preserve">, </w:t>
      </w:r>
      <w:r w:rsidRPr="008F023D">
        <w:rPr>
          <w:rFonts w:ascii="Calibri Light" w:hAnsi="Calibri Light" w:cs="Times New Roman"/>
          <w:spacing w:val="10"/>
          <w:rtl/>
        </w:rPr>
        <w:t>ולמזער את הפוטנציאל לגרימת נזקים חמורים</w:t>
      </w:r>
      <w:r w:rsidRPr="008F023D">
        <w:rPr>
          <w:rFonts w:ascii="Calibri Light" w:hAnsi="Calibri Light" w:cs="Calibri Light"/>
          <w:spacing w:val="10"/>
          <w:rtl/>
        </w:rPr>
        <w:t xml:space="preserve">. </w:t>
      </w:r>
      <w:r w:rsidRPr="008F023D">
        <w:rPr>
          <w:rFonts w:ascii="Calibri Light" w:hAnsi="Calibri Light" w:cs="Times New Roman"/>
          <w:b/>
          <w:bCs/>
          <w:spacing w:val="10"/>
          <w:rtl/>
        </w:rPr>
        <w:t>אכן</w:t>
      </w:r>
      <w:r w:rsidRPr="008F023D">
        <w:rPr>
          <w:rFonts w:ascii="Calibri Light" w:hAnsi="Calibri Light" w:cs="Calibri Light"/>
          <w:b/>
          <w:bCs/>
          <w:spacing w:val="10"/>
          <w:rtl/>
        </w:rPr>
        <w:t>,</w:t>
      </w:r>
      <w:r w:rsidRPr="008F023D">
        <w:rPr>
          <w:rFonts w:ascii="Calibri Light" w:hAnsi="Calibri Light" w:cs="Times New Roman"/>
          <w:b/>
          <w:bCs/>
          <w:spacing w:val="10"/>
          <w:rtl/>
        </w:rPr>
        <w:t xml:space="preserve"> נשיאה והובלה של כלי</w:t>
      </w:r>
      <w:r w:rsidRPr="008F023D">
        <w:rPr>
          <w:rFonts w:ascii="Calibri Light" w:hAnsi="Calibri Light" w:cs="Calibri Light"/>
          <w:b/>
          <w:bCs/>
          <w:spacing w:val="10"/>
          <w:rtl/>
        </w:rPr>
        <w:t>-</w:t>
      </w:r>
      <w:r w:rsidRPr="008F023D">
        <w:rPr>
          <w:rFonts w:ascii="Calibri Light" w:hAnsi="Calibri Light" w:cs="Times New Roman"/>
          <w:b/>
          <w:bCs/>
          <w:spacing w:val="10"/>
          <w:rtl/>
        </w:rPr>
        <w:t>נשק</w:t>
      </w:r>
      <w:r w:rsidRPr="008F023D">
        <w:rPr>
          <w:rFonts w:ascii="Calibri Light" w:hAnsi="Calibri Light" w:cs="Calibri Light"/>
          <w:b/>
          <w:bCs/>
          <w:spacing w:val="10"/>
          <w:rtl/>
        </w:rPr>
        <w:t xml:space="preserve">, </w:t>
      </w:r>
      <w:r w:rsidRPr="008F023D">
        <w:rPr>
          <w:rFonts w:ascii="Calibri Light" w:hAnsi="Calibri Light" w:cs="Times New Roman"/>
          <w:b/>
          <w:bCs/>
          <w:spacing w:val="10"/>
          <w:rtl/>
        </w:rPr>
        <w:t>הריהי לעיתים רק הסנונית הראשונה</w:t>
      </w:r>
      <w:r w:rsidRPr="008F023D">
        <w:rPr>
          <w:rFonts w:ascii="Calibri Light" w:hAnsi="Calibri Light" w:cs="Calibri Light"/>
          <w:b/>
          <w:bCs/>
          <w:spacing w:val="10"/>
          <w:rtl/>
        </w:rPr>
        <w:t xml:space="preserve">, </w:t>
      </w:r>
      <w:r w:rsidRPr="008F023D">
        <w:rPr>
          <w:rFonts w:ascii="Calibri Light" w:hAnsi="Calibri Light" w:cs="Times New Roman"/>
          <w:b/>
          <w:bCs/>
          <w:spacing w:val="10"/>
          <w:rtl/>
        </w:rPr>
        <w:t xml:space="preserve">בואכה מעשים חמורים יותר </w:t>
      </w:r>
      <w:r w:rsidRPr="008F023D">
        <w:rPr>
          <w:rFonts w:ascii="Calibri Light" w:hAnsi="Calibri Light" w:cs="Calibri Light"/>
          <w:b/>
          <w:bCs/>
          <w:spacing w:val="10"/>
          <w:rtl/>
        </w:rPr>
        <w:t xml:space="preserve">- </w:t>
      </w:r>
      <w:r w:rsidRPr="008F023D">
        <w:rPr>
          <w:rFonts w:ascii="Calibri Light" w:hAnsi="Calibri Light" w:cs="Times New Roman"/>
          <w:b/>
          <w:bCs/>
          <w:spacing w:val="10"/>
          <w:rtl/>
        </w:rPr>
        <w:t>חבלה חמורה</w:t>
      </w:r>
      <w:r w:rsidRPr="008F023D">
        <w:rPr>
          <w:rFonts w:ascii="Calibri Light" w:hAnsi="Calibri Light" w:cs="Calibri Light"/>
          <w:spacing w:val="10"/>
          <w:rtl/>
        </w:rPr>
        <w:t>,</w:t>
      </w:r>
      <w:r w:rsidRPr="008F023D">
        <w:rPr>
          <w:rFonts w:ascii="Calibri Light" w:hAnsi="Calibri Light" w:cs="Calibri Light"/>
          <w:b/>
          <w:bCs/>
          <w:spacing w:val="10"/>
          <w:rtl/>
        </w:rPr>
        <w:t xml:space="preserve"> </w:t>
      </w:r>
      <w:r w:rsidRPr="008F023D">
        <w:rPr>
          <w:rFonts w:ascii="Calibri Light" w:hAnsi="Calibri Light" w:cs="Times New Roman"/>
          <w:spacing w:val="10"/>
          <w:rtl/>
        </w:rPr>
        <w:t>שוד מזוין</w:t>
      </w:r>
      <w:r w:rsidRPr="008F023D">
        <w:rPr>
          <w:rFonts w:ascii="Calibri Light" w:hAnsi="Calibri Light" w:cs="Calibri Light"/>
          <w:spacing w:val="10"/>
          <w:rtl/>
        </w:rPr>
        <w:t xml:space="preserve">, </w:t>
      </w:r>
      <w:r w:rsidRPr="008F023D">
        <w:rPr>
          <w:rFonts w:ascii="Calibri Light" w:hAnsi="Calibri Light" w:cs="Times New Roman"/>
          <w:spacing w:val="10"/>
          <w:rtl/>
        </w:rPr>
        <w:t>רצח</w:t>
      </w:r>
      <w:r w:rsidRPr="008F023D">
        <w:rPr>
          <w:rFonts w:ascii="Calibri Light" w:hAnsi="Calibri Light" w:cs="Calibri Light"/>
          <w:spacing w:val="10"/>
          <w:rtl/>
        </w:rPr>
        <w:t xml:space="preserve">, </w:t>
      </w:r>
      <w:r w:rsidRPr="008F023D">
        <w:rPr>
          <w:rFonts w:ascii="Calibri Light" w:hAnsi="Calibri Light" w:cs="Times New Roman"/>
          <w:spacing w:val="10"/>
          <w:rtl/>
        </w:rPr>
        <w:t>וכיוצא באלה</w:t>
      </w:r>
      <w:r w:rsidRPr="008F023D">
        <w:rPr>
          <w:rFonts w:ascii="Calibri Light" w:hAnsi="Calibri Light" w:cs="Calibri Light"/>
          <w:spacing w:val="10"/>
          <w:rtl/>
        </w:rPr>
        <w:t xml:space="preserve">... </w:t>
      </w:r>
      <w:r w:rsidRPr="008F023D">
        <w:rPr>
          <w:rFonts w:ascii="Calibri Light" w:hAnsi="Calibri Light" w:cs="Times New Roman"/>
          <w:spacing w:val="10"/>
          <w:rtl/>
        </w:rPr>
        <w:t>כמו כן</w:t>
      </w:r>
      <w:r w:rsidRPr="008F023D">
        <w:rPr>
          <w:rFonts w:ascii="Calibri Light" w:hAnsi="Calibri Light" w:cs="Calibri Light"/>
          <w:spacing w:val="10"/>
          <w:rtl/>
        </w:rPr>
        <w:t xml:space="preserve">, </w:t>
      </w:r>
      <w:r w:rsidRPr="008F023D">
        <w:rPr>
          <w:rFonts w:ascii="Calibri Light" w:hAnsi="Calibri Light" w:cs="Times New Roman"/>
          <w:spacing w:val="10"/>
          <w:rtl/>
        </w:rPr>
        <w:t>לא אחת צוין</w:t>
      </w:r>
      <w:r w:rsidRPr="008F023D">
        <w:rPr>
          <w:rFonts w:ascii="Calibri Light" w:hAnsi="Calibri Light" w:cs="Calibri Light"/>
          <w:spacing w:val="10"/>
          <w:rtl/>
        </w:rPr>
        <w:t xml:space="preserve">, </w:t>
      </w:r>
      <w:r w:rsidRPr="008F023D">
        <w:rPr>
          <w:rFonts w:ascii="Calibri Light" w:hAnsi="Calibri Light" w:cs="Times New Roman"/>
          <w:spacing w:val="10"/>
          <w:rtl/>
        </w:rPr>
        <w:t>כי למרבה הצער</w:t>
      </w:r>
      <w:r w:rsidRPr="008F023D">
        <w:rPr>
          <w:rFonts w:ascii="Calibri Light" w:hAnsi="Calibri Light" w:cs="Calibri Light"/>
          <w:spacing w:val="10"/>
          <w:rtl/>
        </w:rPr>
        <w:t xml:space="preserve">, </w:t>
      </w:r>
      <w:r w:rsidRPr="008F023D">
        <w:rPr>
          <w:rFonts w:ascii="Calibri Light" w:hAnsi="Calibri Light" w:cs="Times New Roman"/>
          <w:spacing w:val="10"/>
          <w:rtl/>
        </w:rPr>
        <w:t>חרף האיסור שבדין</w:t>
      </w:r>
      <w:r w:rsidRPr="008F023D">
        <w:rPr>
          <w:rFonts w:ascii="Calibri Light" w:hAnsi="Calibri Light" w:cs="Calibri Light"/>
          <w:spacing w:val="10"/>
          <w:rtl/>
        </w:rPr>
        <w:t xml:space="preserve">, </w:t>
      </w:r>
      <w:r w:rsidRPr="008F023D">
        <w:rPr>
          <w:rFonts w:ascii="Calibri Light" w:hAnsi="Calibri Light" w:cs="Times New Roman"/>
          <w:spacing w:val="10"/>
          <w:rtl/>
        </w:rPr>
        <w:t>הפכה תופעת השימוש בנשק חם למכת מדינה</w:t>
      </w:r>
      <w:r w:rsidRPr="008F023D">
        <w:rPr>
          <w:rFonts w:ascii="Calibri Light" w:hAnsi="Calibri Light" w:cs="Calibri Light"/>
          <w:spacing w:val="10"/>
          <w:rtl/>
        </w:rPr>
        <w:t xml:space="preserve">. </w:t>
      </w:r>
      <w:r w:rsidRPr="008F023D">
        <w:rPr>
          <w:rFonts w:ascii="Calibri Light" w:hAnsi="Calibri Light" w:cs="Times New Roman"/>
          <w:spacing w:val="10"/>
          <w:rtl/>
        </w:rPr>
        <w:t>בעקבות זאת</w:t>
      </w:r>
      <w:r w:rsidRPr="008F023D">
        <w:rPr>
          <w:rFonts w:ascii="Calibri Light" w:hAnsi="Calibri Light" w:cs="Calibri Light"/>
          <w:spacing w:val="10"/>
          <w:rtl/>
        </w:rPr>
        <w:t xml:space="preserve">, </w:t>
      </w:r>
      <w:r w:rsidRPr="008F023D">
        <w:rPr>
          <w:rFonts w:ascii="Calibri Light" w:hAnsi="Calibri Light" w:cs="Times New Roman"/>
          <w:spacing w:val="10"/>
          <w:rtl/>
        </w:rPr>
        <w:t>לשם הרתעה</w:t>
      </w:r>
      <w:r w:rsidRPr="008F023D">
        <w:rPr>
          <w:rFonts w:ascii="Calibri Light" w:hAnsi="Calibri Light" w:cs="Calibri Light"/>
          <w:spacing w:val="10"/>
          <w:rtl/>
        </w:rPr>
        <w:t xml:space="preserve">, </w:t>
      </w:r>
      <w:r w:rsidRPr="008F023D">
        <w:rPr>
          <w:rFonts w:ascii="Calibri Light" w:hAnsi="Calibri Light" w:cs="Times New Roman"/>
          <w:b/>
          <w:bCs/>
          <w:spacing w:val="10"/>
          <w:rtl/>
        </w:rPr>
        <w:t xml:space="preserve">ניכרת בפסיקה מגמה של החמרה הדרגתית בענישה על עבירות הנשק </w:t>
      </w:r>
      <w:r w:rsidRPr="008F023D">
        <w:rPr>
          <w:rFonts w:ascii="Calibri Light" w:hAnsi="Calibri Light" w:cs="Calibri Light"/>
          <w:spacing w:val="10"/>
          <w:rtl/>
        </w:rPr>
        <w:t>(</w:t>
      </w:r>
      <w:hyperlink r:id="rId30" w:history="1">
        <w:r w:rsidR="00D73CE0" w:rsidRPr="00D73CE0">
          <w:rPr>
            <w:rFonts w:ascii="Calibri Light" w:hAnsi="Calibri Light" w:cs="Times New Roman"/>
            <w:color w:val="0000FF"/>
            <w:spacing w:val="10"/>
            <w:u w:val="single"/>
            <w:rtl/>
          </w:rPr>
          <w:t>ע"פ 5807/20</w:t>
        </w:r>
      </w:hyperlink>
      <w:r w:rsidRPr="008F023D">
        <w:rPr>
          <w:rFonts w:ascii="Calibri Light" w:hAnsi="Calibri Light" w:cs="Calibri Light"/>
          <w:spacing w:val="10"/>
          <w:rtl/>
        </w:rPr>
        <w:t xml:space="preserve"> </w:t>
      </w:r>
      <w:r w:rsidRPr="008F023D">
        <w:rPr>
          <w:rFonts w:ascii="Calibri Light" w:hAnsi="Calibri Light" w:cs="Times New Roman"/>
          <w:b/>
          <w:rtl/>
        </w:rPr>
        <w:t>שיבלי נ</w:t>
      </w:r>
      <w:r w:rsidRPr="008F023D">
        <w:rPr>
          <w:rFonts w:ascii="Calibri Light" w:hAnsi="Calibri Light" w:cs="Calibri Light"/>
          <w:b/>
          <w:rtl/>
        </w:rPr>
        <w:t xml:space="preserve">' </w:t>
      </w:r>
      <w:r w:rsidRPr="008F023D">
        <w:rPr>
          <w:rFonts w:ascii="Calibri Light" w:hAnsi="Calibri Light" w:cs="Times New Roman"/>
          <w:b/>
          <w:rtl/>
        </w:rPr>
        <w:t>מדינת ישראל</w:t>
      </w:r>
      <w:r w:rsidRPr="008F023D">
        <w:rPr>
          <w:rFonts w:ascii="Calibri Light" w:hAnsi="Calibri Light" w:cs="Calibri Light"/>
          <w:spacing w:val="10"/>
          <w:rtl/>
        </w:rPr>
        <w:t xml:space="preserve">, </w:t>
      </w:r>
      <w:r w:rsidRPr="008F023D">
        <w:rPr>
          <w:rFonts w:ascii="Calibri Light" w:hAnsi="Calibri Light" w:cs="Times New Roman"/>
          <w:spacing w:val="10"/>
          <w:rtl/>
        </w:rPr>
        <w:t xml:space="preserve">פסקה </w:t>
      </w:r>
      <w:r w:rsidRPr="008F023D">
        <w:rPr>
          <w:rFonts w:ascii="Calibri Light" w:hAnsi="Calibri Light" w:cs="Calibri Light"/>
          <w:spacing w:val="10"/>
          <w:rtl/>
        </w:rPr>
        <w:t>8 (30.12.2020)..." (</w:t>
      </w:r>
      <w:r w:rsidRPr="008F023D">
        <w:rPr>
          <w:rFonts w:ascii="Calibri Light" w:hAnsi="Calibri Light" w:cs="Times New Roman"/>
          <w:spacing w:val="10"/>
          <w:rtl/>
        </w:rPr>
        <w:t>ההדגשה אינה במקור</w:t>
      </w:r>
      <w:r w:rsidRPr="008F023D">
        <w:rPr>
          <w:rFonts w:ascii="Calibri Light" w:hAnsi="Calibri Light" w:cs="Calibri Light"/>
          <w:spacing w:val="10"/>
          <w:rtl/>
        </w:rPr>
        <w:t xml:space="preserve">). </w:t>
      </w:r>
    </w:p>
    <w:p w14:paraId="180C5167" w14:textId="77777777" w:rsidR="0009158B" w:rsidRPr="008F023D" w:rsidRDefault="0009158B" w:rsidP="0009158B">
      <w:pPr>
        <w:tabs>
          <w:tab w:val="left" w:pos="800"/>
        </w:tabs>
        <w:overflowPunct w:val="0"/>
        <w:autoSpaceDE w:val="0"/>
        <w:autoSpaceDN w:val="0"/>
        <w:adjustRightInd w:val="0"/>
        <w:spacing w:line="360" w:lineRule="auto"/>
        <w:jc w:val="both"/>
        <w:rPr>
          <w:rFonts w:ascii="Arial TUR" w:hAnsi="Arial TUR" w:cs="FrankRuehl"/>
          <w:spacing w:val="10"/>
          <w:sz w:val="20"/>
          <w:szCs w:val="28"/>
          <w:rtl/>
        </w:rPr>
      </w:pPr>
    </w:p>
    <w:p w14:paraId="2B9B8C13" w14:textId="77777777" w:rsidR="0009158B" w:rsidRPr="008F023D" w:rsidRDefault="0009158B" w:rsidP="0009158B">
      <w:pPr>
        <w:spacing w:after="160" w:line="360" w:lineRule="auto"/>
        <w:jc w:val="both"/>
        <w:rPr>
          <w:rFonts w:ascii="David" w:eastAsia="Calibri" w:hAnsi="David"/>
          <w:rtl/>
        </w:rPr>
      </w:pPr>
      <w:r w:rsidRPr="008F023D">
        <w:rPr>
          <w:rFonts w:ascii="David" w:eastAsia="Calibri" w:hAnsi="David"/>
          <w:rtl/>
        </w:rPr>
        <w:t xml:space="preserve">על דברים אלו יש להוסיף את עמדתו הנכוחה והבלתי מתפשרת של בית המשפט העליון, עליה חזר פעם אחר פעם בשנים האחרונות, בציינו כי נשק בלתי-חוקי, המוחזק בידיים בלתי-מוסמכות, עלול בסופו להגיע לכלל שימוש מסוכן, כפי שאכן קרה בנידון דידן. </w:t>
      </w:r>
    </w:p>
    <w:p w14:paraId="09597C76" w14:textId="77777777" w:rsidR="0009158B" w:rsidRPr="008F023D" w:rsidRDefault="0009158B" w:rsidP="0009158B">
      <w:pPr>
        <w:spacing w:after="160" w:line="360" w:lineRule="auto"/>
        <w:jc w:val="both"/>
        <w:rPr>
          <w:rFonts w:ascii="David" w:eastAsia="Calibri" w:hAnsi="David"/>
          <w:rtl/>
        </w:rPr>
      </w:pPr>
      <w:r w:rsidRPr="008F023D">
        <w:rPr>
          <w:rFonts w:ascii="David" w:eastAsia="Calibri" w:hAnsi="David"/>
          <w:rtl/>
        </w:rPr>
        <w:t xml:space="preserve">ראו למשל הדברים שנכתבו במסגרתו של </w:t>
      </w:r>
      <w:hyperlink r:id="rId31" w:history="1">
        <w:r w:rsidR="00D73CE0" w:rsidRPr="00D73CE0">
          <w:rPr>
            <w:rFonts w:ascii="David" w:eastAsia="Calibri" w:hAnsi="David"/>
            <w:color w:val="0000FF"/>
            <w:u w:val="single"/>
            <w:rtl/>
          </w:rPr>
          <w:t>ע"פ 4406/19</w:t>
        </w:r>
      </w:hyperlink>
      <w:r w:rsidRPr="008F023D">
        <w:rPr>
          <w:rFonts w:ascii="David" w:eastAsia="Calibri" w:hAnsi="David"/>
          <w:rtl/>
        </w:rPr>
        <w:t xml:space="preserve"> </w:t>
      </w:r>
      <w:r w:rsidRPr="008F023D">
        <w:rPr>
          <w:rFonts w:ascii="David" w:eastAsia="Calibri" w:hAnsi="David"/>
          <w:b/>
          <w:bCs/>
          <w:rtl/>
        </w:rPr>
        <w:t>מדינת ישראל נ' סובח</w:t>
      </w:r>
      <w:r w:rsidRPr="008F023D">
        <w:rPr>
          <w:rFonts w:ascii="David" w:eastAsia="Calibri" w:hAnsi="David"/>
          <w:rtl/>
        </w:rPr>
        <w:t xml:space="preserve">, פסקאות 17-16 (ניתן ביום 5.11.2019) ולפיהם - </w:t>
      </w:r>
    </w:p>
    <w:p w14:paraId="49088040" w14:textId="77777777" w:rsidR="0009158B" w:rsidRPr="008F023D" w:rsidRDefault="0009158B" w:rsidP="0009158B">
      <w:pPr>
        <w:spacing w:after="160" w:line="256" w:lineRule="auto"/>
        <w:ind w:left="793" w:right="851"/>
        <w:jc w:val="both"/>
        <w:rPr>
          <w:rFonts w:ascii="Miriam" w:eastAsia="Calibri" w:hAnsi="Miriam" w:cs="Miriam"/>
          <w:rtl/>
        </w:rPr>
      </w:pPr>
      <w:r w:rsidRPr="008F023D">
        <w:rPr>
          <w:rFonts w:ascii="Miriam" w:eastAsia="Calibri" w:hAnsi="Miriam" w:cs="Miriam"/>
          <w:rtl/>
        </w:rPr>
        <w:t>"</w:t>
      </w:r>
      <w:r w:rsidRPr="008F023D">
        <w:rPr>
          <w:rFonts w:ascii="Calibri Light" w:eastAsia="Calibri" w:hAnsi="Calibri Light" w:cs="Times New Roman"/>
          <w:rtl/>
        </w:rPr>
        <w:t>השימוש בנשק חם ככלי ליישוב סכסוכים הפך לרעה חולה</w:t>
      </w:r>
      <w:r w:rsidRPr="008F023D">
        <w:rPr>
          <w:rFonts w:ascii="Calibri Light" w:eastAsia="Calibri" w:hAnsi="Calibri Light" w:cs="Calibri Light"/>
          <w:rtl/>
        </w:rPr>
        <w:t xml:space="preserve">, </w:t>
      </w:r>
      <w:r w:rsidRPr="008F023D">
        <w:rPr>
          <w:rFonts w:ascii="Calibri Light" w:eastAsia="Calibri" w:hAnsi="Calibri Light" w:cs="Times New Roman"/>
          <w:rtl/>
        </w:rPr>
        <w:t>וכמעשה של יום ביומו גובה חיי אדם ולעיתים אף את חייהם של חפים מפשע אשר כל חטאם היה כי התהלכו באותה עת ברחובה של עיר</w:t>
      </w:r>
      <w:r w:rsidRPr="008F023D">
        <w:rPr>
          <w:rFonts w:ascii="Calibri Light" w:eastAsia="Calibri" w:hAnsi="Calibri Light" w:cs="Calibri Light"/>
          <w:rtl/>
        </w:rPr>
        <w:t xml:space="preserve">. </w:t>
      </w:r>
      <w:r w:rsidRPr="008F023D">
        <w:rPr>
          <w:rFonts w:ascii="Calibri Light" w:eastAsia="Calibri" w:hAnsi="Calibri Light" w:cs="Times New Roman"/>
          <w:rtl/>
        </w:rPr>
        <w:t xml:space="preserve">בשנים האחרונות אף חלה עליה מתמדת במספר אירועי הירי המדווחים למשטרה </w:t>
      </w:r>
      <w:r w:rsidRPr="008F023D">
        <w:rPr>
          <w:rFonts w:ascii="Calibri Light" w:eastAsia="Calibri" w:hAnsi="Calibri Light" w:cs="Calibri Light"/>
          <w:rtl/>
        </w:rPr>
        <w:t>(</w:t>
      </w:r>
      <w:r w:rsidRPr="008F023D">
        <w:rPr>
          <w:rFonts w:ascii="Calibri Light" w:eastAsia="Calibri" w:hAnsi="Calibri Light" w:cs="Times New Roman"/>
          <w:rtl/>
        </w:rPr>
        <w:t>ראו למשל</w:t>
      </w:r>
      <w:r w:rsidRPr="008F023D">
        <w:rPr>
          <w:rFonts w:ascii="Calibri Light" w:eastAsia="Calibri" w:hAnsi="Calibri Light" w:cs="Calibri Light"/>
          <w:rtl/>
        </w:rPr>
        <w:t xml:space="preserve">: </w:t>
      </w:r>
      <w:r w:rsidRPr="008F023D">
        <w:rPr>
          <w:rFonts w:ascii="Calibri Light" w:eastAsia="Calibri" w:hAnsi="Calibri Light" w:cs="Times New Roman"/>
          <w:rtl/>
        </w:rPr>
        <w:t>דו</w:t>
      </w:r>
      <w:r w:rsidRPr="008F023D">
        <w:rPr>
          <w:rFonts w:ascii="Calibri Light" w:eastAsia="Calibri" w:hAnsi="Calibri Light" w:cs="Calibri Light"/>
          <w:rtl/>
        </w:rPr>
        <w:t>"</w:t>
      </w:r>
      <w:r w:rsidRPr="008F023D">
        <w:rPr>
          <w:rFonts w:ascii="Calibri Light" w:eastAsia="Calibri" w:hAnsi="Calibri Light" w:cs="Times New Roman"/>
          <w:rtl/>
        </w:rPr>
        <w:t xml:space="preserve">ח מבקר המדינה התמודדות משטרת ישראל עם החזקת אמצעי לחימה לא חוקיים ואירועי ירי ביישובי החברה הערבית וביישובים מעורבים </w:t>
      </w:r>
      <w:r w:rsidRPr="008F023D">
        <w:rPr>
          <w:rFonts w:ascii="Calibri Light" w:eastAsia="Calibri" w:hAnsi="Calibri Light" w:cs="Calibri Light"/>
          <w:rtl/>
        </w:rPr>
        <w:t>28 (2018)).</w:t>
      </w:r>
      <w:r w:rsidRPr="008F023D">
        <w:rPr>
          <w:rFonts w:ascii="Calibri Light" w:eastAsia="Calibri" w:hAnsi="Calibri Light" w:cs="Times New Roman"/>
          <w:rtl/>
        </w:rPr>
        <w:t>על רקע המציאות אותה אנו חווים למרבה הצער מדי יום</w:t>
      </w:r>
      <w:r w:rsidRPr="008F023D">
        <w:rPr>
          <w:rFonts w:ascii="Calibri Light" w:eastAsia="Calibri" w:hAnsi="Calibri Light" w:cs="Calibri Light"/>
          <w:rtl/>
        </w:rPr>
        <w:t xml:space="preserve">, </w:t>
      </w:r>
      <w:r w:rsidRPr="008F023D">
        <w:rPr>
          <w:rFonts w:ascii="Calibri Light" w:eastAsia="Calibri" w:hAnsi="Calibri Light" w:cs="Times New Roman"/>
          <w:rtl/>
        </w:rPr>
        <w:t xml:space="preserve">אנו עדים לקריאה ציבורית נרגשת להגברת האכיפה כלפי עבירות נשק </w:t>
      </w:r>
      <w:r w:rsidRPr="008F023D">
        <w:rPr>
          <w:rFonts w:ascii="Calibri Light" w:eastAsia="Calibri" w:hAnsi="Calibri Light" w:cs="Calibri Light"/>
          <w:rtl/>
        </w:rPr>
        <w:t xml:space="preserve">– </w:t>
      </w:r>
      <w:r w:rsidRPr="008F023D">
        <w:rPr>
          <w:rFonts w:ascii="Calibri Light" w:eastAsia="Calibri" w:hAnsi="Calibri Light" w:cs="Times New Roman"/>
          <w:rtl/>
        </w:rPr>
        <w:t>ולהחמרה במדיניות הענישה הנוהגת</w:t>
      </w:r>
      <w:r w:rsidRPr="008F023D">
        <w:rPr>
          <w:rFonts w:ascii="Calibri Light" w:eastAsia="Calibri" w:hAnsi="Calibri Light" w:cs="Calibri Light"/>
          <w:rtl/>
        </w:rPr>
        <w:t>.</w:t>
      </w:r>
    </w:p>
    <w:p w14:paraId="662CF8BB" w14:textId="77777777" w:rsidR="0009158B" w:rsidRPr="008F023D" w:rsidRDefault="0009158B" w:rsidP="0009158B">
      <w:pPr>
        <w:spacing w:after="160" w:line="256" w:lineRule="auto"/>
        <w:ind w:left="793" w:right="851"/>
        <w:jc w:val="both"/>
        <w:rPr>
          <w:rFonts w:ascii="Miriam" w:eastAsia="Calibri" w:hAnsi="Miriam" w:cs="Miriam"/>
          <w:rtl/>
        </w:rPr>
      </w:pPr>
      <w:r w:rsidRPr="008F023D">
        <w:rPr>
          <w:rFonts w:ascii="Miriam" w:eastAsia="Calibri" w:hAnsi="Miriam" w:cs="Miriam"/>
          <w:rtl/>
        </w:rPr>
        <w:t>[...]</w:t>
      </w:r>
    </w:p>
    <w:p w14:paraId="664F03D6" w14:textId="77777777" w:rsidR="0009158B" w:rsidRPr="008F023D" w:rsidRDefault="0009158B" w:rsidP="0009158B">
      <w:pPr>
        <w:spacing w:after="160" w:line="256" w:lineRule="auto"/>
        <w:ind w:left="793" w:right="851"/>
        <w:jc w:val="both"/>
        <w:rPr>
          <w:rFonts w:ascii="Calibri Light" w:eastAsia="Calibri" w:hAnsi="Calibri Light" w:cs="Calibri Light"/>
          <w:rtl/>
        </w:rPr>
      </w:pPr>
      <w:r w:rsidRPr="008F023D">
        <w:rPr>
          <w:rFonts w:ascii="Calibri Light" w:eastAsia="Calibri" w:hAnsi="Calibri Light" w:cs="Times New Roman"/>
          <w:rtl/>
        </w:rPr>
        <w:t>בהתאם לכך ולנוכח ריבוי מקרי הירי</w:t>
      </w:r>
      <w:r w:rsidRPr="008F023D">
        <w:rPr>
          <w:rFonts w:ascii="Calibri Light" w:eastAsia="Calibri" w:hAnsi="Calibri Light" w:cs="Calibri Light"/>
          <w:rtl/>
        </w:rPr>
        <w:t xml:space="preserve">, </w:t>
      </w:r>
      <w:r w:rsidRPr="008F023D">
        <w:rPr>
          <w:rFonts w:ascii="Calibri Light" w:eastAsia="Calibri" w:hAnsi="Calibri Light" w:cs="Times New Roman"/>
          <w:rtl/>
        </w:rPr>
        <w:t>יש</w:t>
      </w:r>
      <w:r w:rsidRPr="008F023D">
        <w:rPr>
          <w:rFonts w:ascii="Calibri Light" w:eastAsia="Calibri" w:hAnsi="Calibri Light" w:cs="Calibri Light"/>
          <w:b/>
          <w:bCs/>
          <w:rtl/>
        </w:rPr>
        <w:t xml:space="preserve"> </w:t>
      </w:r>
      <w:r w:rsidRPr="008F023D">
        <w:rPr>
          <w:rFonts w:ascii="Calibri Light" w:eastAsia="Calibri" w:hAnsi="Calibri Light" w:cs="Times New Roman"/>
          <w:rtl/>
        </w:rPr>
        <w:t>לנקוט במדיניות ענישה מחמירה כלפי ביצוע עבירות החזקת נשק שלא כדין</w:t>
      </w:r>
      <w:r w:rsidRPr="008F023D">
        <w:rPr>
          <w:rFonts w:ascii="Calibri Light" w:eastAsia="Calibri" w:hAnsi="Calibri Light" w:cs="Calibri Light"/>
          <w:rtl/>
        </w:rPr>
        <w:t xml:space="preserve">, </w:t>
      </w:r>
      <w:r w:rsidRPr="008F023D">
        <w:rPr>
          <w:rFonts w:ascii="Calibri Light" w:eastAsia="Calibri" w:hAnsi="Calibri Light" w:cs="Times New Roman"/>
          <w:rtl/>
        </w:rPr>
        <w:t>ועל אחת כמה וכמה שימוש בנשק חם ופציעתם של קורבנות שונים עקב כך</w:t>
      </w:r>
      <w:r w:rsidRPr="008F023D">
        <w:rPr>
          <w:rFonts w:ascii="Calibri Light" w:eastAsia="Calibri" w:hAnsi="Calibri Light" w:cs="Calibri Light"/>
          <w:rtl/>
        </w:rPr>
        <w:t xml:space="preserve">. </w:t>
      </w:r>
      <w:r w:rsidRPr="008F023D">
        <w:rPr>
          <w:rFonts w:ascii="Calibri Light" w:eastAsia="Calibri" w:hAnsi="Calibri Light" w:cs="Times New Roman"/>
          <w:rtl/>
        </w:rPr>
        <w:t>הצורך במדיניות ענישה מחמירה נחוץ במיוחד כאשר השימוש בנשק גורר פגיעה בגוף ובנפש</w:t>
      </w:r>
      <w:r w:rsidRPr="008F023D">
        <w:rPr>
          <w:rFonts w:ascii="Calibri Light" w:eastAsia="Calibri" w:hAnsi="Calibri Light" w:cs="Calibri Light"/>
          <w:rtl/>
        </w:rPr>
        <w:t xml:space="preserve">, </w:t>
      </w:r>
      <w:r w:rsidRPr="008F023D">
        <w:rPr>
          <w:rFonts w:ascii="Calibri Light" w:eastAsia="Calibri" w:hAnsi="Calibri Light" w:cs="Times New Roman"/>
          <w:rtl/>
        </w:rPr>
        <w:t xml:space="preserve">וכאשר מבצעי העבירות אינם מוסרים את כלי הנשק לידי רשויות החוק </w:t>
      </w:r>
      <w:r w:rsidRPr="008F023D">
        <w:rPr>
          <w:rFonts w:ascii="Calibri Light" w:eastAsia="Calibri" w:hAnsi="Calibri Light" w:cs="Calibri Light"/>
          <w:rtl/>
        </w:rPr>
        <w:t xml:space="preserve">– </w:t>
      </w:r>
      <w:r w:rsidRPr="008F023D">
        <w:rPr>
          <w:rFonts w:ascii="Calibri Light" w:eastAsia="Calibri" w:hAnsi="Calibri Light" w:cs="Times New Roman"/>
          <w:rtl/>
        </w:rPr>
        <w:t>ובכך מוסיפים לפגוע בביטחון הציבור וקיים חשש תמידי לשימוש עברייני חוזר בנשק זה</w:t>
      </w:r>
      <w:r w:rsidRPr="008F023D">
        <w:rPr>
          <w:rFonts w:ascii="Calibri Light" w:eastAsia="Calibri" w:hAnsi="Calibri Light" w:cs="Calibri Light"/>
          <w:rtl/>
        </w:rPr>
        <w:t xml:space="preserve">, </w:t>
      </w:r>
      <w:r w:rsidRPr="008F023D">
        <w:rPr>
          <w:rFonts w:ascii="Calibri Light" w:eastAsia="Calibri" w:hAnsi="Calibri Light" w:cs="Times New Roman"/>
          <w:rtl/>
        </w:rPr>
        <w:t>כמו גם להגעתו של נשק זה לגורמים עויינים ובכללם גורמי טרור</w:t>
      </w:r>
      <w:r w:rsidRPr="008F023D">
        <w:rPr>
          <w:rFonts w:ascii="Calibri Light" w:eastAsia="Calibri" w:hAnsi="Calibri Light" w:cs="Calibri Light"/>
          <w:rtl/>
        </w:rPr>
        <w:t xml:space="preserve">. </w:t>
      </w:r>
      <w:r w:rsidRPr="008F023D">
        <w:rPr>
          <w:rFonts w:ascii="Calibri Light" w:eastAsia="Calibri" w:hAnsi="Calibri Light" w:cs="Times New Roman"/>
          <w:rtl/>
        </w:rPr>
        <w:t>נמצא אפוא כי בנסיבות דהיום</w:t>
      </w:r>
      <w:r w:rsidRPr="008F023D">
        <w:rPr>
          <w:rFonts w:ascii="Calibri Light" w:eastAsia="Calibri" w:hAnsi="Calibri Light" w:cs="Calibri Light"/>
          <w:rtl/>
        </w:rPr>
        <w:t xml:space="preserve">, </w:t>
      </w:r>
      <w:r w:rsidRPr="008F023D">
        <w:rPr>
          <w:rFonts w:ascii="Calibri Light" w:eastAsia="Calibri" w:hAnsi="Calibri Light" w:cs="Times New Roman"/>
          <w:rtl/>
        </w:rPr>
        <w:t>ראוי ונכון להחמיר את מדיניות הענישה הנוהגת</w:t>
      </w:r>
      <w:r w:rsidRPr="008F023D">
        <w:rPr>
          <w:rFonts w:ascii="Calibri Light" w:eastAsia="Calibri" w:hAnsi="Calibri Light" w:cs="Calibri Light"/>
          <w:rtl/>
        </w:rPr>
        <w:t xml:space="preserve">, </w:t>
      </w:r>
      <w:r w:rsidRPr="008F023D">
        <w:rPr>
          <w:rFonts w:ascii="Calibri Light" w:eastAsia="Calibri" w:hAnsi="Calibri Light" w:cs="Times New Roman"/>
          <w:rtl/>
        </w:rPr>
        <w:t>זאת בין היתר על מנת להרתיע עבריינים פוטנציאליים משימוש בו כאמצעי ליישוב סכסוכים</w:t>
      </w:r>
      <w:r w:rsidRPr="008F023D">
        <w:rPr>
          <w:rFonts w:ascii="Calibri Light" w:eastAsia="Calibri" w:hAnsi="Calibri Light" w:cs="Calibri Light"/>
          <w:rtl/>
        </w:rPr>
        <w:t xml:space="preserve">". </w:t>
      </w:r>
    </w:p>
    <w:p w14:paraId="005303C9" w14:textId="77777777" w:rsidR="0009158B" w:rsidRPr="008F023D" w:rsidRDefault="0009158B" w:rsidP="0009158B">
      <w:pPr>
        <w:spacing w:after="160" w:line="256" w:lineRule="auto"/>
        <w:ind w:left="793" w:right="851"/>
        <w:jc w:val="both"/>
        <w:rPr>
          <w:rFonts w:ascii="Calibri Light" w:eastAsia="Calibri" w:hAnsi="Calibri Light" w:cs="Calibri Light"/>
          <w:rtl/>
        </w:rPr>
      </w:pPr>
    </w:p>
    <w:p w14:paraId="0BC4DDBC" w14:textId="77777777" w:rsidR="0009158B" w:rsidRPr="008F023D" w:rsidRDefault="0009158B" w:rsidP="0009158B">
      <w:pPr>
        <w:spacing w:line="360" w:lineRule="auto"/>
        <w:jc w:val="both"/>
        <w:rPr>
          <w:rFonts w:ascii="David" w:eastAsia="Calibri" w:hAnsi="David"/>
          <w:color w:val="FF0000"/>
          <w:highlight w:val="yellow"/>
          <w:rtl/>
        </w:rPr>
      </w:pPr>
      <w:r w:rsidRPr="008F023D">
        <w:rPr>
          <w:rFonts w:ascii="David" w:eastAsia="Calibri" w:hAnsi="David"/>
          <w:rtl/>
        </w:rPr>
        <w:t>בהקשרן של עבירות הנשק המיוחסות לנאשם, אזכיר, כי במסגרתו של תיקון מס' 140 ל</w:t>
      </w:r>
      <w:r w:rsidR="00D73CE0" w:rsidRPr="00F95221">
        <w:rPr>
          <w:rFonts w:ascii="David" w:eastAsia="Calibri" w:hAnsi="David"/>
          <w:rtl/>
        </w:rPr>
        <w:t>חוק העונשין</w:t>
      </w:r>
      <w:r w:rsidRPr="008F023D">
        <w:rPr>
          <w:rFonts w:ascii="David" w:eastAsia="Calibri" w:hAnsi="David"/>
          <w:rtl/>
        </w:rPr>
        <w:t xml:space="preserve"> (תיקון מס' 140 - הוראת שעה), התשפ"ב-2021, ס"ח 2938) הבא לידי ביטוי בסעיף </w:t>
      </w:r>
      <w:hyperlink r:id="rId32" w:history="1">
        <w:r w:rsidR="00F95221" w:rsidRPr="00F95221">
          <w:rPr>
            <w:rStyle w:val="Hyperlink"/>
            <w:rFonts w:ascii="David" w:eastAsia="Calibri" w:hAnsi="David"/>
            <w:color w:val="0000FF"/>
            <w:rtl/>
          </w:rPr>
          <w:t>144(ז)</w:t>
        </w:r>
      </w:hyperlink>
      <w:r w:rsidRPr="008F023D">
        <w:rPr>
          <w:rFonts w:ascii="David" w:eastAsia="Calibri" w:hAnsi="David"/>
          <w:rtl/>
        </w:rPr>
        <w:t xml:space="preserve"> לחוק, עוגנו </w:t>
      </w:r>
      <w:r w:rsidRPr="008F023D">
        <w:rPr>
          <w:rFonts w:ascii="David" w:eastAsia="Calibri" w:hAnsi="David"/>
          <w:b/>
          <w:bCs/>
          <w:rtl/>
        </w:rPr>
        <w:t xml:space="preserve">עונשים מזעריים </w:t>
      </w:r>
      <w:r w:rsidRPr="008F023D">
        <w:rPr>
          <w:rFonts w:ascii="David" w:eastAsia="Calibri" w:hAnsi="David"/>
          <w:rtl/>
        </w:rPr>
        <w:t>בכל הנוגע לעבירות שעניינן החזקה, הובלה או סחר בנשק שלא כדין. בתיקון נקבע, כי העונש שיוטל על העבריין במקרים אלו "</w:t>
      </w:r>
      <w:r w:rsidRPr="008F023D">
        <w:rPr>
          <w:rFonts w:ascii="David" w:eastAsia="Calibri" w:hAnsi="David"/>
          <w:u w:val="single"/>
          <w:rtl/>
        </w:rPr>
        <w:t>לא יפחת עונשו מרבע העונש המרבי שנקבע לאותה עבירה, אלא אם כן החליט בית המשפט, מטעמים מיוחדים שיירשמו, להקל בעונשו; ..</w:t>
      </w:r>
      <w:r w:rsidRPr="008F023D">
        <w:rPr>
          <w:rFonts w:ascii="David" w:eastAsia="Calibri" w:hAnsi="David"/>
          <w:rtl/>
        </w:rPr>
        <w:t xml:space="preserve">.".  </w:t>
      </w:r>
    </w:p>
    <w:p w14:paraId="1A7B331E" w14:textId="77777777" w:rsidR="0009158B" w:rsidRPr="008F023D" w:rsidRDefault="0009158B" w:rsidP="0009158B">
      <w:pPr>
        <w:spacing w:line="360" w:lineRule="auto"/>
        <w:rPr>
          <w:rFonts w:ascii="Calibri" w:eastAsia="Calibri" w:hAnsi="Calibri" w:cs="Arial"/>
          <w:sz w:val="22"/>
          <w:szCs w:val="22"/>
        </w:rPr>
      </w:pPr>
    </w:p>
    <w:p w14:paraId="0364C223" w14:textId="77777777" w:rsidR="0009158B" w:rsidRPr="008F023D" w:rsidRDefault="0009158B" w:rsidP="0009158B">
      <w:pPr>
        <w:spacing w:after="160" w:line="360" w:lineRule="auto"/>
        <w:ind w:right="-426"/>
        <w:jc w:val="both"/>
        <w:rPr>
          <w:rFonts w:ascii="Calibri" w:eastAsia="Calibri" w:hAnsi="Calibri"/>
        </w:rPr>
      </w:pPr>
      <w:r w:rsidRPr="008F023D">
        <w:rPr>
          <w:rFonts w:ascii="Calibri" w:eastAsia="Calibri" w:hAnsi="Calibri"/>
          <w:rtl/>
        </w:rPr>
        <w:t xml:space="preserve">על מנת לשרטט כדבעי את מתחם העונש ההולם לאירוע זה, עיינתי בפסיקה רחבה העוסקת בעבירת החזקת נשק וירי מנשק חם. </w:t>
      </w:r>
      <w:r w:rsidRPr="008F023D">
        <w:rPr>
          <w:rFonts w:ascii="David" w:eastAsia="Calibri" w:hAnsi="David"/>
          <w:rtl/>
        </w:rPr>
        <w:t xml:space="preserve">נמצאתי למד, כי בשנים האחרונות חלה אט אט מגמת החמרה בענישה, הבאה לידי ביטוי בפסיקת הערכאות השונות הנוגעת לעבירות אלו. </w:t>
      </w:r>
    </w:p>
    <w:p w14:paraId="4B785E71" w14:textId="77777777" w:rsidR="0009158B" w:rsidRPr="008F023D" w:rsidRDefault="0009158B" w:rsidP="0009158B">
      <w:pPr>
        <w:spacing w:after="160" w:line="360" w:lineRule="auto"/>
        <w:ind w:right="-426"/>
        <w:jc w:val="both"/>
        <w:rPr>
          <w:rFonts w:ascii="Calibri" w:eastAsia="Calibri" w:hAnsi="Calibri"/>
          <w:rtl/>
        </w:rPr>
      </w:pPr>
      <w:r w:rsidRPr="008F023D">
        <w:rPr>
          <w:rFonts w:ascii="David" w:eastAsia="Calibri" w:hAnsi="David"/>
          <w:rtl/>
        </w:rPr>
        <w:t xml:space="preserve">ככלל, ראו למשל - </w:t>
      </w:r>
      <w:hyperlink r:id="rId33" w:history="1">
        <w:r w:rsidR="00D73CE0" w:rsidRPr="00D73CE0">
          <w:rPr>
            <w:rFonts w:ascii="David" w:eastAsia="Calibri" w:hAnsi="David"/>
            <w:color w:val="0000FF"/>
            <w:u w:val="single"/>
            <w:rtl/>
          </w:rPr>
          <w:t>ע"פ 5602/22</w:t>
        </w:r>
      </w:hyperlink>
      <w:r w:rsidRPr="008F023D">
        <w:rPr>
          <w:rFonts w:ascii="David" w:eastAsia="Calibri" w:hAnsi="David"/>
          <w:rtl/>
        </w:rPr>
        <w:t xml:space="preserve"> </w:t>
      </w:r>
      <w:r w:rsidRPr="008F023D">
        <w:rPr>
          <w:rFonts w:ascii="David" w:eastAsia="Calibri" w:hAnsi="David"/>
          <w:b/>
          <w:bCs/>
          <w:rtl/>
        </w:rPr>
        <w:t>מדינת ישראל נ' פלוני</w:t>
      </w:r>
      <w:r w:rsidRPr="008F023D">
        <w:rPr>
          <w:rFonts w:ascii="David" w:eastAsia="Calibri" w:hAnsi="David"/>
          <w:rtl/>
        </w:rPr>
        <w:t xml:space="preserve">, ניתן ביום  </w:t>
      </w:r>
      <w:r w:rsidRPr="008F023D">
        <w:rPr>
          <w:rFonts w:ascii="Calibri" w:eastAsia="Calibri" w:hAnsi="Calibri"/>
          <w:rtl/>
        </w:rPr>
        <w:t xml:space="preserve">14.9.22, </w:t>
      </w:r>
      <w:r w:rsidRPr="008F023D">
        <w:rPr>
          <w:rFonts w:ascii="Calibri" w:eastAsia="Calibri" w:hAnsi="Calibri"/>
          <w:u w:val="single"/>
          <w:rtl/>
        </w:rPr>
        <w:t xml:space="preserve">שם נקבעה התוויה כללית, ולפיה </w:t>
      </w:r>
      <w:r w:rsidRPr="008F023D">
        <w:rPr>
          <w:rFonts w:ascii="David" w:eastAsia="Calibri" w:hAnsi="David"/>
          <w:u w:val="single"/>
          <w:rtl/>
        </w:rPr>
        <w:t>מתחם הענישה הרגיל שראוי לקבוע לנאשם בגיר בגין נשיאה בלתי חוקית של נשק חם במרחב הציבורי</w:t>
      </w:r>
      <w:r w:rsidRPr="008F023D">
        <w:rPr>
          <w:rFonts w:ascii="David" w:eastAsia="Calibri" w:hAnsi="David"/>
          <w:rtl/>
        </w:rPr>
        <w:t xml:space="preserve"> </w:t>
      </w:r>
      <w:r w:rsidRPr="008F023D">
        <w:rPr>
          <w:rFonts w:ascii="David" w:eastAsia="Calibri" w:hAnsi="David"/>
          <w:b/>
          <w:bCs/>
          <w:rtl/>
        </w:rPr>
        <w:t>נע בין 30 ל-42 חודשי מאסר בין סורג ובריח</w:t>
      </w:r>
      <w:r w:rsidRPr="008F023D">
        <w:rPr>
          <w:rFonts w:ascii="David" w:eastAsia="Calibri" w:hAnsi="David"/>
          <w:rtl/>
        </w:rPr>
        <w:t xml:space="preserve"> </w:t>
      </w:r>
      <w:r w:rsidRPr="008F023D">
        <w:rPr>
          <w:rFonts w:ascii="Calibri" w:eastAsia="Calibri" w:hAnsi="Calibri"/>
          <w:rtl/>
        </w:rPr>
        <w:t xml:space="preserve">{עוד ראו - </w:t>
      </w:r>
      <w:hyperlink r:id="rId34" w:history="1">
        <w:r w:rsidR="00D73CE0" w:rsidRPr="00D73CE0">
          <w:rPr>
            <w:rFonts w:ascii="Calibri" w:eastAsia="Calibri" w:hAnsi="Calibri" w:hint="cs"/>
            <w:color w:val="0000FF"/>
            <w:u w:val="single"/>
            <w:rtl/>
          </w:rPr>
          <w:t>ע</w:t>
        </w:r>
        <w:r w:rsidR="00D73CE0" w:rsidRPr="00D73CE0">
          <w:rPr>
            <w:rFonts w:ascii="Calibri" w:eastAsia="Calibri" w:hAnsi="Calibri"/>
            <w:color w:val="0000FF"/>
            <w:u w:val="single"/>
            <w:rtl/>
          </w:rPr>
          <w:t>"</w:t>
        </w:r>
        <w:r w:rsidR="00D73CE0" w:rsidRPr="00D73CE0">
          <w:rPr>
            <w:rFonts w:ascii="Calibri" w:eastAsia="Calibri" w:hAnsi="Calibri" w:hint="cs"/>
            <w:color w:val="0000FF"/>
            <w:u w:val="single"/>
            <w:rtl/>
          </w:rPr>
          <w:t>פ</w:t>
        </w:r>
        <w:r w:rsidR="00D73CE0" w:rsidRPr="00D73CE0">
          <w:rPr>
            <w:rFonts w:ascii="Calibri" w:eastAsia="Calibri" w:hAnsi="Calibri"/>
            <w:color w:val="0000FF"/>
            <w:u w:val="single"/>
            <w:rtl/>
          </w:rPr>
          <w:t xml:space="preserve"> 4077/22</w:t>
        </w:r>
      </w:hyperlink>
      <w:r w:rsidRPr="008F023D">
        <w:rPr>
          <w:rFonts w:ascii="Calibri" w:eastAsia="Calibri" w:hAnsi="Calibri"/>
          <w:rtl/>
        </w:rPr>
        <w:t xml:space="preserve"> </w:t>
      </w:r>
      <w:r w:rsidRPr="008F023D">
        <w:rPr>
          <w:rFonts w:ascii="Calibri" w:eastAsia="Calibri" w:hAnsi="Calibri"/>
          <w:b/>
          <w:bCs/>
          <w:rtl/>
        </w:rPr>
        <w:t>מדינת ישראל נ' פלוני</w:t>
      </w:r>
      <w:r w:rsidRPr="008F023D">
        <w:rPr>
          <w:rFonts w:ascii="Calibri" w:eastAsia="Calibri" w:hAnsi="Calibri"/>
          <w:rtl/>
        </w:rPr>
        <w:t xml:space="preserve">, ניתן ביום 28.7.22; </w:t>
      </w:r>
      <w:hyperlink r:id="rId35" w:history="1">
        <w:r w:rsidR="00D73CE0" w:rsidRPr="00D73CE0">
          <w:rPr>
            <w:rFonts w:ascii="Calibri" w:eastAsia="Calibri" w:hAnsi="Calibri" w:hint="cs"/>
            <w:color w:val="0000FF"/>
            <w:u w:val="single"/>
            <w:rtl/>
          </w:rPr>
          <w:t>ע</w:t>
        </w:r>
        <w:r w:rsidR="00D73CE0" w:rsidRPr="00D73CE0">
          <w:rPr>
            <w:rFonts w:ascii="Calibri" w:eastAsia="Calibri" w:hAnsi="Calibri"/>
            <w:color w:val="0000FF"/>
            <w:u w:val="single"/>
            <w:rtl/>
          </w:rPr>
          <w:t>"</w:t>
        </w:r>
        <w:r w:rsidR="00D73CE0" w:rsidRPr="00D73CE0">
          <w:rPr>
            <w:rFonts w:ascii="Calibri" w:eastAsia="Calibri" w:hAnsi="Calibri" w:hint="cs"/>
            <w:color w:val="0000FF"/>
            <w:u w:val="single"/>
            <w:rtl/>
          </w:rPr>
          <w:t>פ</w:t>
        </w:r>
        <w:r w:rsidR="00D73CE0" w:rsidRPr="00D73CE0">
          <w:rPr>
            <w:rFonts w:ascii="Calibri" w:eastAsia="Calibri" w:hAnsi="Calibri"/>
            <w:color w:val="0000FF"/>
            <w:u w:val="single"/>
            <w:rtl/>
          </w:rPr>
          <w:t xml:space="preserve"> 9228/23</w:t>
        </w:r>
      </w:hyperlink>
      <w:r w:rsidRPr="008F023D">
        <w:rPr>
          <w:rFonts w:ascii="Calibri" w:eastAsia="Calibri" w:hAnsi="Calibri"/>
          <w:rtl/>
        </w:rPr>
        <w:t xml:space="preserve"> </w:t>
      </w:r>
      <w:r w:rsidRPr="008F023D">
        <w:rPr>
          <w:rFonts w:ascii="Calibri" w:eastAsia="Calibri" w:hAnsi="Calibri"/>
          <w:b/>
          <w:bCs/>
          <w:rtl/>
        </w:rPr>
        <w:t>אגבאריה נ' מדינת ישראל</w:t>
      </w:r>
      <w:r w:rsidRPr="008F023D">
        <w:rPr>
          <w:rFonts w:ascii="Calibri" w:eastAsia="Calibri" w:hAnsi="Calibri"/>
          <w:rtl/>
        </w:rPr>
        <w:t xml:space="preserve">, ניתן ביום 26.5.24}.    </w:t>
      </w:r>
      <w:r w:rsidRPr="008F023D">
        <w:rPr>
          <w:rFonts w:ascii="Calibri" w:eastAsia="Calibri" w:hAnsi="Calibri"/>
        </w:rPr>
        <w:t xml:space="preserve">  </w:t>
      </w:r>
    </w:p>
    <w:p w14:paraId="63CBED34" w14:textId="77777777" w:rsidR="0009158B" w:rsidRPr="008F023D" w:rsidRDefault="0009158B" w:rsidP="0009158B">
      <w:pPr>
        <w:spacing w:after="160" w:line="360" w:lineRule="auto"/>
        <w:ind w:right="-426"/>
        <w:jc w:val="both"/>
        <w:rPr>
          <w:rFonts w:ascii="David" w:eastAsia="Calibri" w:hAnsi="David"/>
          <w:rtl/>
        </w:rPr>
      </w:pPr>
      <w:r w:rsidRPr="008F023D">
        <w:rPr>
          <w:rFonts w:ascii="David" w:eastAsia="Calibri" w:hAnsi="David"/>
          <w:rtl/>
        </w:rPr>
        <w:t xml:space="preserve">בל נשכח, כי במסגרתו של אירוע זה אין עבירת הנשק עומדת לבדה, אלא בצירוף </w:t>
      </w:r>
      <w:r w:rsidRPr="008F023D">
        <w:rPr>
          <w:rFonts w:ascii="David" w:eastAsia="Calibri" w:hAnsi="David"/>
          <w:u w:val="single"/>
          <w:rtl/>
        </w:rPr>
        <w:t>לירי מנשק חם באזור מגורים ובאופן שיש בו כיד לסכן חיי אדם</w:t>
      </w:r>
      <w:r w:rsidRPr="008F023D">
        <w:rPr>
          <w:rFonts w:ascii="David" w:eastAsia="Calibri" w:hAnsi="David"/>
          <w:rtl/>
        </w:rPr>
        <w:t xml:space="preserve"> (</w:t>
      </w:r>
      <w:hyperlink r:id="rId36" w:history="1">
        <w:r w:rsidR="00F95221" w:rsidRPr="00F95221">
          <w:rPr>
            <w:rStyle w:val="Hyperlink"/>
            <w:rFonts w:ascii="David" w:eastAsia="Calibri" w:hAnsi="David"/>
            <w:color w:val="0000FF"/>
            <w:rtl/>
          </w:rPr>
          <w:t>סעיפים340א(ב)1</w:t>
        </w:r>
      </w:hyperlink>
      <w:r w:rsidRPr="008F023D">
        <w:rPr>
          <w:rFonts w:ascii="David" w:eastAsia="Calibri" w:hAnsi="David"/>
          <w:rtl/>
        </w:rPr>
        <w:t xml:space="preserve"> ו-</w:t>
      </w:r>
      <w:hyperlink r:id="rId37" w:history="1">
        <w:r w:rsidR="00F95221" w:rsidRPr="00F95221">
          <w:rPr>
            <w:rStyle w:val="Hyperlink"/>
            <w:rFonts w:ascii="David" w:eastAsia="Calibri" w:hAnsi="David"/>
            <w:color w:val="0000FF"/>
            <w:rtl/>
          </w:rPr>
          <w:t>2</w:t>
        </w:r>
      </w:hyperlink>
      <w:r w:rsidRPr="008F023D">
        <w:rPr>
          <w:rFonts w:ascii="David" w:eastAsia="Calibri" w:hAnsi="David"/>
          <w:rtl/>
        </w:rPr>
        <w:t xml:space="preserve"> לחוק) ראו לעניין זה למשל - </w:t>
      </w:r>
      <w:hyperlink r:id="rId38" w:history="1">
        <w:r w:rsidR="00D73CE0" w:rsidRPr="00D73CE0">
          <w:rPr>
            <w:rFonts w:ascii="David" w:eastAsia="Calibri" w:hAnsi="David"/>
            <w:color w:val="0000FF"/>
            <w:u w:val="single"/>
            <w:rtl/>
          </w:rPr>
          <w:t>ע"פ 9830/17</w:t>
        </w:r>
      </w:hyperlink>
      <w:r w:rsidRPr="008F023D">
        <w:rPr>
          <w:rFonts w:ascii="David" w:eastAsia="Calibri" w:hAnsi="David"/>
          <w:rtl/>
        </w:rPr>
        <w:t xml:space="preserve"> </w:t>
      </w:r>
      <w:r w:rsidRPr="008F023D">
        <w:rPr>
          <w:rFonts w:ascii="David" w:eastAsia="Calibri" w:hAnsi="David"/>
          <w:b/>
          <w:bCs/>
          <w:rtl/>
        </w:rPr>
        <w:t>חמודה נ' מדינת ישראל</w:t>
      </w:r>
      <w:r w:rsidRPr="008F023D">
        <w:rPr>
          <w:rFonts w:ascii="David" w:eastAsia="Calibri" w:hAnsi="David"/>
          <w:rtl/>
        </w:rPr>
        <w:t xml:space="preserve"> (ניתן ביום 8.3.18) - במסגרתו הושתו 30 חודשים לריצוי בפועל;</w:t>
      </w:r>
      <w:r w:rsidRPr="008F023D">
        <w:rPr>
          <w:rFonts w:ascii="David" w:eastAsia="Calibri" w:hAnsi="David"/>
        </w:rPr>
        <w:t xml:space="preserve"> </w:t>
      </w:r>
      <w:r w:rsidRPr="008F023D">
        <w:rPr>
          <w:rFonts w:ascii="David" w:eastAsia="Calibri" w:hAnsi="David"/>
          <w:rtl/>
        </w:rPr>
        <w:t xml:space="preserve"> </w:t>
      </w:r>
      <w:hyperlink r:id="rId39" w:history="1">
        <w:r w:rsidR="00D73CE0" w:rsidRPr="00D73CE0">
          <w:rPr>
            <w:rFonts w:ascii="David" w:eastAsia="Calibri" w:hAnsi="David"/>
            <w:color w:val="0000FF"/>
            <w:u w:val="single"/>
            <w:rtl/>
          </w:rPr>
          <w:t>ע"פ 2692/22</w:t>
        </w:r>
      </w:hyperlink>
      <w:r w:rsidRPr="008F023D">
        <w:rPr>
          <w:rFonts w:ascii="David" w:eastAsia="Calibri" w:hAnsi="David"/>
          <w:rtl/>
        </w:rPr>
        <w:t xml:space="preserve"> </w:t>
      </w:r>
      <w:r w:rsidRPr="008F023D">
        <w:rPr>
          <w:rFonts w:ascii="David" w:eastAsia="Calibri" w:hAnsi="David"/>
          <w:b/>
          <w:bCs/>
          <w:rtl/>
        </w:rPr>
        <w:t>זועבי נ' מדינת ישראל</w:t>
      </w:r>
      <w:r w:rsidRPr="008F023D">
        <w:rPr>
          <w:rFonts w:ascii="David" w:eastAsia="Calibri" w:hAnsi="David"/>
          <w:rtl/>
        </w:rPr>
        <w:t xml:space="preserve"> (ניתן ביום 26.12.22) - במסגרת תיק זה הושתו 6  שנות מאסר לריצוי בפועל; </w:t>
      </w:r>
      <w:hyperlink r:id="rId40" w:history="1">
        <w:r w:rsidR="00D73CE0" w:rsidRPr="00D73CE0">
          <w:rPr>
            <w:rFonts w:ascii="David" w:eastAsia="Calibri" w:hAnsi="David"/>
            <w:color w:val="0000FF"/>
            <w:u w:val="single"/>
            <w:rtl/>
          </w:rPr>
          <w:t>ע"פ 1509/20</w:t>
        </w:r>
      </w:hyperlink>
      <w:r w:rsidRPr="008F023D">
        <w:rPr>
          <w:rFonts w:ascii="David" w:eastAsia="Calibri" w:hAnsi="David"/>
          <w:rtl/>
        </w:rPr>
        <w:t xml:space="preserve"> </w:t>
      </w:r>
      <w:r w:rsidRPr="008F023D">
        <w:rPr>
          <w:rFonts w:ascii="David" w:eastAsia="Calibri" w:hAnsi="David"/>
          <w:b/>
          <w:bCs/>
          <w:rtl/>
        </w:rPr>
        <w:t>מדינת ישראל נ' נבארי</w:t>
      </w:r>
      <w:r w:rsidRPr="008F023D">
        <w:rPr>
          <w:rFonts w:ascii="David" w:eastAsia="Calibri" w:hAnsi="David"/>
          <w:rtl/>
        </w:rPr>
        <w:t xml:space="preserve"> (ניתן ביום 2.7.20) - הושתו 36 חודשי מאסר לריצוי בפועל; </w:t>
      </w:r>
      <w:hyperlink r:id="rId41" w:history="1">
        <w:r w:rsidR="00D73CE0" w:rsidRPr="00D73CE0">
          <w:rPr>
            <w:rFonts w:ascii="David" w:eastAsia="Calibri" w:hAnsi="David"/>
            <w:color w:val="0000FF"/>
            <w:u w:val="single"/>
            <w:rtl/>
          </w:rPr>
          <w:t>ע"פ 1244/15</w:t>
        </w:r>
      </w:hyperlink>
      <w:r w:rsidRPr="008F023D">
        <w:rPr>
          <w:rFonts w:ascii="David" w:eastAsia="Calibri" w:hAnsi="David"/>
          <w:rtl/>
        </w:rPr>
        <w:t xml:space="preserve"> </w:t>
      </w:r>
      <w:r w:rsidRPr="008F023D">
        <w:rPr>
          <w:rFonts w:ascii="David" w:eastAsia="Calibri" w:hAnsi="David"/>
          <w:b/>
          <w:bCs/>
          <w:rtl/>
        </w:rPr>
        <w:t>אבו עאמר נ' מדינת ישראל</w:t>
      </w:r>
      <w:r w:rsidRPr="008F023D">
        <w:rPr>
          <w:rFonts w:ascii="David" w:eastAsia="Calibri" w:hAnsi="David"/>
          <w:rtl/>
        </w:rPr>
        <w:t xml:space="preserve"> (ניתן ביום 18.4.16) - הושתו 44 חודשי מאסר לריצוי בפועל.  </w:t>
      </w:r>
      <w:r w:rsidRPr="008F023D">
        <w:rPr>
          <w:rFonts w:ascii="David" w:eastAsia="Calibri" w:hAnsi="David"/>
        </w:rPr>
        <w:t xml:space="preserve"> </w:t>
      </w:r>
    </w:p>
    <w:p w14:paraId="2157C573" w14:textId="77777777" w:rsidR="0009158B" w:rsidRPr="008F023D" w:rsidRDefault="0009158B" w:rsidP="0009158B">
      <w:pPr>
        <w:spacing w:after="160" w:line="360" w:lineRule="auto"/>
        <w:ind w:right="-426"/>
        <w:jc w:val="both"/>
        <w:rPr>
          <w:rFonts w:ascii="David" w:eastAsia="Calibri" w:hAnsi="David"/>
          <w:rtl/>
        </w:rPr>
      </w:pPr>
      <w:r w:rsidRPr="008F023D">
        <w:rPr>
          <w:rFonts w:ascii="David" w:eastAsia="Calibri" w:hAnsi="David"/>
          <w:rtl/>
        </w:rPr>
        <w:t xml:space="preserve">בשלב זה, יש להתייחס אל </w:t>
      </w:r>
      <w:r w:rsidRPr="008F023D">
        <w:rPr>
          <w:rFonts w:ascii="David" w:eastAsia="Calibri" w:hAnsi="David"/>
          <w:b/>
          <w:bCs/>
          <w:rtl/>
        </w:rPr>
        <w:t xml:space="preserve">הנסיבות הקשורות לביצוע העבירות באירוע זה </w:t>
      </w:r>
      <w:r w:rsidRPr="008F023D">
        <w:rPr>
          <w:rFonts w:ascii="David" w:eastAsia="Calibri" w:hAnsi="David"/>
          <w:rtl/>
        </w:rPr>
        <w:t xml:space="preserve">(אלו המצוינות </w:t>
      </w:r>
      <w:hyperlink r:id="rId42" w:history="1">
        <w:r w:rsidR="00F95221" w:rsidRPr="00F95221">
          <w:rPr>
            <w:rStyle w:val="Hyperlink"/>
            <w:rFonts w:ascii="David" w:eastAsia="Calibri" w:hAnsi="David"/>
            <w:color w:val="0000FF"/>
            <w:rtl/>
          </w:rPr>
          <w:t>בסעיף 40ט</w:t>
        </w:r>
      </w:hyperlink>
      <w:r w:rsidRPr="008F023D">
        <w:rPr>
          <w:rFonts w:ascii="David" w:eastAsia="Calibri" w:hAnsi="David"/>
          <w:rtl/>
        </w:rPr>
        <w:t xml:space="preserve"> לחוק). </w:t>
      </w:r>
    </w:p>
    <w:p w14:paraId="3F3E9349" w14:textId="77777777" w:rsidR="0009158B" w:rsidRPr="008F023D" w:rsidRDefault="0009158B" w:rsidP="0009158B">
      <w:pPr>
        <w:spacing w:after="160" w:line="360" w:lineRule="auto"/>
        <w:ind w:right="-426"/>
        <w:jc w:val="both"/>
        <w:rPr>
          <w:rFonts w:ascii="David" w:eastAsia="Calibri" w:hAnsi="David"/>
          <w:color w:val="FF0000"/>
          <w:rtl/>
        </w:rPr>
      </w:pPr>
      <w:r w:rsidRPr="008F023D">
        <w:rPr>
          <w:rFonts w:ascii="David" w:eastAsia="Calibri" w:hAnsi="David"/>
          <w:rtl/>
        </w:rPr>
        <w:t>עובדות כתב האישום המתוקן מלמדות, כי עסקינן</w:t>
      </w:r>
      <w:r w:rsidRPr="008F023D">
        <w:rPr>
          <w:rFonts w:ascii="Calibri" w:eastAsia="Calibri" w:hAnsi="Calibri"/>
          <w:rtl/>
        </w:rPr>
        <w:t xml:space="preserve"> בהחזקת ונשיאת אקדח שבתוכו מחסנית טעונה ב - 8 קליעים וירי לעבר כניסת בית, כאשר אדם מצוי בתוכו.  </w:t>
      </w:r>
      <w:r w:rsidRPr="008F023D">
        <w:rPr>
          <w:rFonts w:ascii="David" w:eastAsia="Calibri" w:hAnsi="David"/>
          <w:b/>
          <w:bCs/>
          <w:rtl/>
        </w:rPr>
        <w:t xml:space="preserve">חלקו של הנאשם  בביצועם של מעשים אלו הוא בלעדי </w:t>
      </w:r>
      <w:r w:rsidRPr="008F023D">
        <w:rPr>
          <w:rFonts w:ascii="David" w:eastAsia="Calibri" w:hAnsi="David"/>
          <w:rtl/>
        </w:rPr>
        <w:t>(אם כי הגיוני להסיק שהוא הופעל לשם כך על ידי אחר)</w:t>
      </w:r>
      <w:r w:rsidRPr="008F023D">
        <w:rPr>
          <w:rFonts w:ascii="David" w:eastAsia="Calibri" w:hAnsi="David"/>
          <w:b/>
          <w:bCs/>
          <w:rtl/>
        </w:rPr>
        <w:t xml:space="preserve">. למעשים אלו קדם תכנון מקדים, </w:t>
      </w:r>
      <w:r w:rsidRPr="008F023D">
        <w:rPr>
          <w:rFonts w:ascii="David" w:eastAsia="Calibri" w:hAnsi="David"/>
          <w:rtl/>
        </w:rPr>
        <w:t>שכן הנאשם עטה כפפות על גופו וחבש קסדה והתקדם אל עבר הבית באמצעות קטנוע</w:t>
      </w:r>
      <w:r w:rsidRPr="008F023D">
        <w:rPr>
          <w:rFonts w:ascii="David" w:eastAsia="Calibri" w:hAnsi="David"/>
          <w:b/>
          <w:bCs/>
          <w:rtl/>
        </w:rPr>
        <w:t>. הנאשם יכול וצריך היה לשלוט על מעשיו ולהימנע מביצועם</w:t>
      </w:r>
      <w:r w:rsidRPr="008F023D">
        <w:rPr>
          <w:rFonts w:ascii="David" w:eastAsia="Calibri" w:hAnsi="David"/>
          <w:rtl/>
        </w:rPr>
        <w:t xml:space="preserve">. </w:t>
      </w:r>
      <w:r w:rsidRPr="008F023D">
        <w:rPr>
          <w:rFonts w:ascii="David" w:eastAsia="Calibri" w:hAnsi="David"/>
          <w:b/>
          <w:bCs/>
          <w:rtl/>
        </w:rPr>
        <w:t xml:space="preserve">הוא ירה באזור מגורים </w:t>
      </w:r>
      <w:r w:rsidRPr="008F023D">
        <w:rPr>
          <w:rFonts w:ascii="David" w:eastAsia="Calibri" w:hAnsi="David"/>
          <w:rtl/>
        </w:rPr>
        <w:t>(אל עבר כניסת בית )</w:t>
      </w:r>
      <w:r w:rsidRPr="008F023D">
        <w:rPr>
          <w:rFonts w:ascii="David" w:eastAsia="Calibri" w:hAnsi="David"/>
          <w:b/>
          <w:bCs/>
          <w:rtl/>
        </w:rPr>
        <w:t xml:space="preserve">  8 קליעים (לכל הפחות) ובכך סיכן במעשיו חיי אדם</w:t>
      </w:r>
      <w:r w:rsidRPr="008F023D">
        <w:rPr>
          <w:rFonts w:ascii="David" w:eastAsia="Calibri" w:hAnsi="David"/>
          <w:rtl/>
        </w:rPr>
        <w:t xml:space="preserve">. </w:t>
      </w:r>
      <w:r w:rsidRPr="008F023D">
        <w:rPr>
          <w:rFonts w:ascii="David" w:eastAsia="Calibri" w:hAnsi="David"/>
          <w:b/>
          <w:bCs/>
          <w:rtl/>
        </w:rPr>
        <w:t>אין בנמצא כל סייג לאחריות פלילית בהקשר זה הנזקף להגנתו</w:t>
      </w:r>
      <w:r w:rsidRPr="008F023D">
        <w:rPr>
          <w:rFonts w:ascii="David" w:eastAsia="Calibri" w:hAnsi="David"/>
          <w:rtl/>
        </w:rPr>
        <w:t xml:space="preserve">. ברי, כי עלולה הייתה להיגרם פגיעה בגופו של אחר, כפועל יוצא משימוש בנשק. למרבה המזל, זו נמנעה. הסיבות שהביאו את הנאשם לביצוע העבירות הן חמורות, ושזורות בין שיטי עובדות כתב האישום המותקן, ובהסכם שבין החברה הציבורית לבין אותו עבד. </w:t>
      </w:r>
    </w:p>
    <w:p w14:paraId="5EA52E6F" w14:textId="77777777" w:rsidR="0009158B" w:rsidRPr="008F023D" w:rsidRDefault="0009158B" w:rsidP="0009158B">
      <w:pPr>
        <w:spacing w:after="160" w:line="360" w:lineRule="auto"/>
        <w:ind w:right="-426"/>
        <w:jc w:val="both"/>
        <w:rPr>
          <w:rFonts w:ascii="David" w:eastAsia="Calibri" w:hAnsi="David"/>
          <w:rtl/>
        </w:rPr>
      </w:pPr>
      <w:r w:rsidRPr="008F023D">
        <w:rPr>
          <w:rFonts w:ascii="David" w:eastAsia="Calibri" w:hAnsi="David"/>
          <w:rtl/>
        </w:rPr>
        <w:t>לאור כל המקובץ, מצאתי לנכון לקבוע</w:t>
      </w:r>
      <w:r w:rsidRPr="008F023D">
        <w:rPr>
          <w:rFonts w:ascii="David" w:eastAsia="Calibri" w:hAnsi="David"/>
          <w:b/>
          <w:bCs/>
          <w:rtl/>
        </w:rPr>
        <w:t xml:space="preserve"> </w:t>
      </w:r>
      <w:r w:rsidRPr="008F023D">
        <w:rPr>
          <w:rFonts w:ascii="David" w:eastAsia="Calibri" w:hAnsi="David"/>
          <w:rtl/>
        </w:rPr>
        <w:t>מתחם ענישה לאירוע זה</w:t>
      </w:r>
      <w:r w:rsidRPr="008F023D">
        <w:rPr>
          <w:rFonts w:ascii="David" w:eastAsia="Calibri" w:hAnsi="David"/>
          <w:b/>
          <w:bCs/>
          <w:rtl/>
        </w:rPr>
        <w:t xml:space="preserve"> הנע בין 4 לבין 6 שנות מאסר לריצוי בפועל, </w:t>
      </w:r>
      <w:r w:rsidRPr="008F023D">
        <w:rPr>
          <w:rFonts w:ascii="David" w:eastAsia="Calibri" w:hAnsi="David"/>
          <w:rtl/>
        </w:rPr>
        <w:t xml:space="preserve">לצד עונשים נלווים.  </w:t>
      </w:r>
    </w:p>
    <w:p w14:paraId="01F34D24" w14:textId="77777777" w:rsidR="0009158B" w:rsidRPr="008F023D" w:rsidRDefault="0009158B" w:rsidP="0009158B">
      <w:pPr>
        <w:spacing w:after="160" w:line="360" w:lineRule="auto"/>
        <w:ind w:right="-426"/>
        <w:jc w:val="both"/>
        <w:rPr>
          <w:rFonts w:ascii="David" w:eastAsia="Calibri" w:hAnsi="David"/>
          <w:rtl/>
        </w:rPr>
      </w:pPr>
      <w:r w:rsidRPr="008F023D">
        <w:rPr>
          <w:rFonts w:ascii="Calibri" w:eastAsia="Calibri" w:hAnsi="Calibri"/>
          <w:rtl/>
        </w:rPr>
        <w:t xml:space="preserve">אפנה  כעת לדון בגדרו של </w:t>
      </w:r>
      <w:r w:rsidRPr="008F023D">
        <w:rPr>
          <w:rFonts w:ascii="Calibri" w:eastAsia="Calibri" w:hAnsi="Calibri"/>
          <w:u w:val="single"/>
          <w:rtl/>
        </w:rPr>
        <w:t>האירוע השני</w:t>
      </w:r>
      <w:r w:rsidRPr="008F023D">
        <w:rPr>
          <w:rFonts w:ascii="Calibri" w:eastAsia="Calibri" w:hAnsi="Calibri"/>
          <w:rtl/>
        </w:rPr>
        <w:t xml:space="preserve"> - </w:t>
      </w:r>
      <w:r w:rsidRPr="008F023D">
        <w:rPr>
          <w:rFonts w:ascii="David" w:eastAsia="Calibri" w:hAnsi="David"/>
          <w:rtl/>
        </w:rPr>
        <w:t xml:space="preserve">דרישת נכס באיומים. </w:t>
      </w:r>
    </w:p>
    <w:p w14:paraId="6DE3185F" w14:textId="77777777" w:rsidR="0009158B" w:rsidRPr="008F023D" w:rsidRDefault="0009158B" w:rsidP="0009158B">
      <w:pPr>
        <w:spacing w:after="160" w:line="360" w:lineRule="auto"/>
        <w:ind w:right="-284"/>
        <w:jc w:val="both"/>
        <w:rPr>
          <w:rFonts w:ascii="David" w:eastAsia="Calibri" w:hAnsi="David"/>
          <w:rtl/>
        </w:rPr>
      </w:pPr>
      <w:r w:rsidRPr="008F023D">
        <w:rPr>
          <w:rFonts w:ascii="David" w:eastAsia="Calibri" w:hAnsi="David"/>
          <w:rtl/>
        </w:rPr>
        <w:t xml:space="preserve">גם במסגרתו של אירוע זה, הרי שבכל הנוגע לערכים החברתיים המוגנים שנפגעו כפועל יוצא ממעשיו של הנאשם הדברים מובנים מאליהם: </w:t>
      </w:r>
      <w:r w:rsidRPr="008F023D">
        <w:rPr>
          <w:rFonts w:ascii="David" w:eastAsia="Calibri" w:hAnsi="David"/>
          <w:b/>
          <w:bCs/>
          <w:rtl/>
        </w:rPr>
        <w:t xml:space="preserve">מעשיו פגעו בשלטון החוק, בסדר הציבורי, ובזכותו של הציבור  לחיות את חייו בשלווה </w:t>
      </w:r>
      <w:r w:rsidRPr="008F023D">
        <w:rPr>
          <w:rFonts w:ascii="David" w:eastAsia="Calibri" w:hAnsi="David"/>
          <w:rtl/>
        </w:rPr>
        <w:t>(ובזכותה של המתלוננת בפרט), תוך שמירה על קניינו. הפגיעה בערכים אלו גבוהה.</w:t>
      </w:r>
    </w:p>
    <w:p w14:paraId="3C2ADA7E"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בכל הנוגע למדיניות הענישה הנוגעת לעבירה שעניינה </w:t>
      </w:r>
      <w:r w:rsidRPr="008F023D">
        <w:rPr>
          <w:rFonts w:ascii="David" w:eastAsia="Calibri" w:hAnsi="David"/>
          <w:b/>
          <w:bCs/>
          <w:rtl/>
        </w:rPr>
        <w:t>דרישת נכס באיומים</w:t>
      </w:r>
      <w:r w:rsidRPr="008F023D">
        <w:rPr>
          <w:rFonts w:ascii="David" w:eastAsia="Calibri" w:hAnsi="David"/>
          <w:rtl/>
        </w:rPr>
        <w:t xml:space="preserve"> לפי </w:t>
      </w:r>
      <w:hyperlink r:id="rId43" w:history="1">
        <w:r w:rsidR="00F95221" w:rsidRPr="00F95221">
          <w:rPr>
            <w:rStyle w:val="Hyperlink"/>
            <w:rFonts w:ascii="David" w:eastAsia="Calibri" w:hAnsi="David"/>
            <w:color w:val="0000FF"/>
            <w:rtl/>
          </w:rPr>
          <w:t>סעיף 404</w:t>
        </w:r>
      </w:hyperlink>
      <w:r w:rsidRPr="008F023D">
        <w:rPr>
          <w:rFonts w:ascii="David" w:eastAsia="Calibri" w:hAnsi="David"/>
          <w:rtl/>
        </w:rPr>
        <w:t xml:space="preserve"> לחוק, ראו למשל - ע"פ 1391/16 </w:t>
      </w:r>
      <w:r w:rsidRPr="008F023D">
        <w:rPr>
          <w:rFonts w:ascii="David" w:eastAsia="Calibri" w:hAnsi="David"/>
          <w:b/>
          <w:bCs/>
          <w:rtl/>
        </w:rPr>
        <w:t>אבו עאזרה נ' מדינת ישראל</w:t>
      </w:r>
      <w:r w:rsidRPr="008F023D">
        <w:rPr>
          <w:rFonts w:ascii="David" w:eastAsia="Calibri" w:hAnsi="David"/>
          <w:rtl/>
        </w:rPr>
        <w:t>, ניתן ביום 29.2.16</w:t>
      </w:r>
      <w:r w:rsidRPr="008F023D">
        <w:rPr>
          <w:rFonts w:ascii="David" w:eastAsia="Calibri" w:hAnsi="David"/>
        </w:rPr>
        <w:t xml:space="preserve"> - </w:t>
      </w:r>
      <w:r w:rsidRPr="008F023D">
        <w:rPr>
          <w:rFonts w:ascii="David" w:eastAsia="Calibri" w:hAnsi="David"/>
          <w:rtl/>
        </w:rPr>
        <w:t>במסגרת של תיק זה הושתו 7 חודשי מאסר לריצוי בפועל;</w:t>
      </w:r>
      <w:r w:rsidRPr="008F023D">
        <w:rPr>
          <w:rFonts w:ascii="David" w:eastAsia="Calibri" w:hAnsi="David"/>
        </w:rPr>
        <w:t xml:space="preserve"> </w:t>
      </w:r>
      <w:hyperlink r:id="rId44" w:history="1">
        <w:r w:rsidR="00D73CE0" w:rsidRPr="00D73CE0">
          <w:rPr>
            <w:rFonts w:ascii="David" w:eastAsia="Calibri" w:hAnsi="David"/>
            <w:color w:val="0000FF"/>
            <w:u w:val="single"/>
            <w:rtl/>
          </w:rPr>
          <w:t>ע"פ 1938/13</w:t>
        </w:r>
      </w:hyperlink>
      <w:r w:rsidRPr="008F023D">
        <w:rPr>
          <w:rFonts w:ascii="David" w:eastAsia="Calibri" w:hAnsi="David"/>
          <w:rtl/>
        </w:rPr>
        <w:t xml:space="preserve"> </w:t>
      </w:r>
      <w:r w:rsidRPr="008F023D">
        <w:rPr>
          <w:rFonts w:ascii="David" w:eastAsia="Calibri" w:hAnsi="David"/>
          <w:b/>
          <w:bCs/>
          <w:rtl/>
        </w:rPr>
        <w:t>גרבאן נ' מדינת ישראל,</w:t>
      </w:r>
      <w:r w:rsidRPr="008F023D">
        <w:rPr>
          <w:rFonts w:ascii="David" w:eastAsia="Calibri" w:hAnsi="David"/>
          <w:rtl/>
        </w:rPr>
        <w:t xml:space="preserve"> ניתן ביום 27.2.14- הושתו 3 שנות מאסר (בשילוב החזקת סכין); ת"פ (מחוזי נצרת) 50767-06-23 </w:t>
      </w:r>
      <w:r w:rsidRPr="008F023D">
        <w:rPr>
          <w:rFonts w:ascii="David" w:eastAsia="Calibri" w:hAnsi="David"/>
          <w:b/>
          <w:bCs/>
          <w:rtl/>
        </w:rPr>
        <w:t>מדינת ישראל נ' גריגורייב,</w:t>
      </w:r>
      <w:r w:rsidRPr="008F023D">
        <w:rPr>
          <w:rFonts w:ascii="David" w:eastAsia="Calibri" w:hAnsi="David"/>
          <w:rtl/>
        </w:rPr>
        <w:t xml:space="preserve"> ניתן ביום 29.12.13 - הושתו 9 חודשי מאסר לריצוי בפועל.</w:t>
      </w:r>
      <w:r w:rsidRPr="008F023D">
        <w:rPr>
          <w:rFonts w:ascii="David" w:eastAsia="Calibri" w:hAnsi="David"/>
        </w:rPr>
        <w:t xml:space="preserve"> </w:t>
      </w:r>
      <w:r w:rsidRPr="008F023D">
        <w:rPr>
          <w:rFonts w:ascii="David" w:eastAsia="Calibri" w:hAnsi="David"/>
          <w:rtl/>
        </w:rPr>
        <w:t xml:space="preserve">   </w:t>
      </w:r>
    </w:p>
    <w:p w14:paraId="530CE66B" w14:textId="77777777" w:rsidR="0009158B" w:rsidRPr="008F023D" w:rsidRDefault="0009158B" w:rsidP="0009158B">
      <w:pPr>
        <w:spacing w:line="360" w:lineRule="auto"/>
        <w:jc w:val="both"/>
        <w:rPr>
          <w:rFonts w:ascii="David" w:eastAsia="Calibri" w:hAnsi="David"/>
        </w:rPr>
      </w:pPr>
    </w:p>
    <w:p w14:paraId="30F07E20" w14:textId="77777777" w:rsidR="0009158B" w:rsidRPr="008F023D" w:rsidRDefault="0009158B" w:rsidP="0009158B">
      <w:pPr>
        <w:spacing w:after="160" w:line="360" w:lineRule="auto"/>
        <w:ind w:right="-426"/>
        <w:jc w:val="both"/>
        <w:rPr>
          <w:rFonts w:ascii="David" w:eastAsia="Calibri" w:hAnsi="David"/>
        </w:rPr>
      </w:pPr>
      <w:r w:rsidRPr="008F023D">
        <w:rPr>
          <w:rFonts w:ascii="David" w:eastAsia="Calibri" w:hAnsi="David"/>
          <w:rtl/>
        </w:rPr>
        <w:t xml:space="preserve">בשלב זה, יש להתייחס אל </w:t>
      </w:r>
      <w:r w:rsidRPr="008F023D">
        <w:rPr>
          <w:rFonts w:ascii="David" w:eastAsia="Calibri" w:hAnsi="David"/>
          <w:b/>
          <w:bCs/>
          <w:rtl/>
        </w:rPr>
        <w:t xml:space="preserve">הנסיבות הקשורות לביצוע העבירות באירוע זה </w:t>
      </w:r>
      <w:r w:rsidRPr="008F023D">
        <w:rPr>
          <w:rFonts w:ascii="David" w:eastAsia="Calibri" w:hAnsi="David"/>
          <w:rtl/>
        </w:rPr>
        <w:t xml:space="preserve">(אלו המצוינות </w:t>
      </w:r>
      <w:hyperlink r:id="rId45" w:history="1">
        <w:r w:rsidR="00F95221" w:rsidRPr="00F95221">
          <w:rPr>
            <w:rStyle w:val="Hyperlink"/>
            <w:rFonts w:ascii="David" w:eastAsia="Calibri" w:hAnsi="David"/>
            <w:color w:val="0000FF"/>
            <w:rtl/>
          </w:rPr>
          <w:t>בסעיף 40ט</w:t>
        </w:r>
      </w:hyperlink>
      <w:r w:rsidRPr="008F023D">
        <w:rPr>
          <w:rFonts w:ascii="David" w:eastAsia="Calibri" w:hAnsi="David"/>
          <w:rtl/>
        </w:rPr>
        <w:t xml:space="preserve"> לחוק). </w:t>
      </w:r>
    </w:p>
    <w:p w14:paraId="152350A5" w14:textId="77777777" w:rsidR="0009158B" w:rsidRPr="008F023D" w:rsidRDefault="0009158B" w:rsidP="0009158B">
      <w:pPr>
        <w:spacing w:after="160" w:line="360" w:lineRule="auto"/>
        <w:ind w:right="-426"/>
        <w:jc w:val="both"/>
        <w:rPr>
          <w:rFonts w:ascii="David" w:eastAsia="Calibri" w:hAnsi="David"/>
          <w:rtl/>
        </w:rPr>
      </w:pPr>
      <w:r w:rsidRPr="008F023D">
        <w:rPr>
          <w:rFonts w:ascii="David" w:eastAsia="Calibri" w:hAnsi="David"/>
          <w:b/>
          <w:bCs/>
          <w:rtl/>
        </w:rPr>
        <w:t xml:space="preserve">חלקו של הנאשם בביצועה של העבירה הוא בלעדי. למעשיו אלו קדם תכנון מקדים, </w:t>
      </w:r>
      <w:r w:rsidRPr="008F023D">
        <w:rPr>
          <w:rFonts w:ascii="David" w:eastAsia="Calibri" w:hAnsi="David"/>
          <w:rtl/>
        </w:rPr>
        <w:t>שכן הנאשם הצטייד בחפץ הנחזה להיות אקדח.</w:t>
      </w:r>
      <w:r w:rsidRPr="008F023D">
        <w:rPr>
          <w:rFonts w:ascii="David" w:eastAsia="Calibri" w:hAnsi="David"/>
          <w:b/>
          <w:bCs/>
          <w:rtl/>
        </w:rPr>
        <w:t xml:space="preserve"> הנאשם יכול והיה צריך לשלוט על מעשהו ולהימנע מביצועו</w:t>
      </w:r>
      <w:r w:rsidRPr="008F023D">
        <w:rPr>
          <w:rFonts w:ascii="David" w:eastAsia="Calibri" w:hAnsi="David"/>
          <w:rtl/>
        </w:rPr>
        <w:t xml:space="preserve">. הוא יצר במעשיו מצב מסוכן עד מאוד, שכן כניסתו למאפייה ודרישת הנכס בהחלט עלולה הייתה להסלים עד לכדי פגיעה בגוף או בנפש. למרבה המזל, הנאשם לא הצליח לבצע את זממו והאירוע הסתיים בכך שנגרם נזק בלבד לקופת בית העסק. כמפורט לעיל, הנאשם ברח לאחר מכן מהמקום. הסיבות שהובילו את הנאשם לביצוע מעשה זה, בהתאם לדבריו לשירות המבחן, נעוצות בסכסוך כספי של צד שלישי. </w:t>
      </w:r>
    </w:p>
    <w:p w14:paraId="06D97434" w14:textId="77777777" w:rsidR="0009158B" w:rsidRPr="008F023D" w:rsidRDefault="0009158B" w:rsidP="0009158B">
      <w:pPr>
        <w:spacing w:after="160" w:line="360" w:lineRule="auto"/>
        <w:ind w:right="-426"/>
        <w:jc w:val="both"/>
        <w:rPr>
          <w:rFonts w:ascii="David" w:eastAsia="Calibri" w:hAnsi="David"/>
          <w:rtl/>
        </w:rPr>
      </w:pPr>
      <w:r w:rsidRPr="008F023D">
        <w:rPr>
          <w:rFonts w:ascii="David" w:eastAsia="Calibri" w:hAnsi="David"/>
          <w:rtl/>
        </w:rPr>
        <w:t>לאור כל המקובץ, מצאתי לנכון לקבוע</w:t>
      </w:r>
      <w:r w:rsidRPr="008F023D">
        <w:rPr>
          <w:rFonts w:ascii="David" w:eastAsia="Calibri" w:hAnsi="David"/>
          <w:b/>
          <w:bCs/>
          <w:rtl/>
        </w:rPr>
        <w:t xml:space="preserve"> </w:t>
      </w:r>
      <w:r w:rsidRPr="008F023D">
        <w:rPr>
          <w:rFonts w:ascii="David" w:eastAsia="Calibri" w:hAnsi="David"/>
          <w:rtl/>
        </w:rPr>
        <w:t>מתחם ענישה לאירוע זה</w:t>
      </w:r>
      <w:r w:rsidRPr="008F023D">
        <w:rPr>
          <w:rFonts w:ascii="David" w:eastAsia="Calibri" w:hAnsi="David"/>
          <w:b/>
          <w:bCs/>
          <w:rtl/>
        </w:rPr>
        <w:t xml:space="preserve"> הנע בין 10 לבין  18 חודשי מאסר לריצוי בפועל, </w:t>
      </w:r>
      <w:r w:rsidRPr="008F023D">
        <w:rPr>
          <w:rFonts w:ascii="David" w:eastAsia="Calibri" w:hAnsi="David"/>
          <w:rtl/>
        </w:rPr>
        <w:t xml:space="preserve">לצד עונשים נלווים.  </w:t>
      </w:r>
    </w:p>
    <w:p w14:paraId="5F4BB373" w14:textId="77777777" w:rsidR="0009158B" w:rsidRPr="008F023D" w:rsidRDefault="0009158B" w:rsidP="0009158B">
      <w:pPr>
        <w:overflowPunct w:val="0"/>
        <w:autoSpaceDE w:val="0"/>
        <w:autoSpaceDN w:val="0"/>
        <w:spacing w:line="360" w:lineRule="auto"/>
        <w:ind w:right="-426"/>
        <w:jc w:val="both"/>
        <w:rPr>
          <w:rFonts w:ascii="David" w:hAnsi="David"/>
          <w:rtl/>
        </w:rPr>
      </w:pPr>
      <w:r w:rsidRPr="008F023D">
        <w:rPr>
          <w:rFonts w:ascii="David" w:hAnsi="David"/>
          <w:rtl/>
        </w:rPr>
        <w:t xml:space="preserve">מכאן, ראוי לבחון מהו העונש המתאים לנאשם בשים לב </w:t>
      </w:r>
      <w:r w:rsidRPr="008F023D">
        <w:rPr>
          <w:rFonts w:ascii="David" w:hAnsi="David"/>
          <w:b/>
          <w:bCs/>
          <w:rtl/>
        </w:rPr>
        <w:t>לנסיבות שאינן קשורות בביצוע העבירה</w:t>
      </w:r>
      <w:r w:rsidRPr="008F023D">
        <w:rPr>
          <w:rFonts w:ascii="David" w:hAnsi="David"/>
          <w:rtl/>
        </w:rPr>
        <w:t>.</w:t>
      </w:r>
      <w:r w:rsidRPr="008F023D">
        <w:rPr>
          <w:rFonts w:ascii="David" w:hAnsi="David"/>
          <w:b/>
          <w:bCs/>
          <w:rtl/>
        </w:rPr>
        <w:t xml:space="preserve"> </w:t>
      </w:r>
    </w:p>
    <w:p w14:paraId="76302455" w14:textId="77777777" w:rsidR="0009158B" w:rsidRPr="008F023D" w:rsidRDefault="0009158B" w:rsidP="0009158B">
      <w:pPr>
        <w:overflowPunct w:val="0"/>
        <w:autoSpaceDE w:val="0"/>
        <w:autoSpaceDN w:val="0"/>
        <w:spacing w:line="360" w:lineRule="auto"/>
        <w:ind w:right="-426"/>
        <w:jc w:val="both"/>
        <w:rPr>
          <w:rFonts w:ascii="David" w:hAnsi="David"/>
          <w:highlight w:val="yellow"/>
          <w:rtl/>
        </w:rPr>
      </w:pPr>
    </w:p>
    <w:p w14:paraId="2FEEBDC0" w14:textId="77777777" w:rsidR="0009158B" w:rsidRPr="008F023D" w:rsidRDefault="0009158B" w:rsidP="0009158B">
      <w:pPr>
        <w:spacing w:line="360" w:lineRule="auto"/>
        <w:jc w:val="both"/>
        <w:rPr>
          <w:rFonts w:ascii="David" w:eastAsia="Calibri" w:hAnsi="David"/>
          <w:rtl/>
        </w:rPr>
      </w:pPr>
      <w:r w:rsidRPr="008F023D">
        <w:rPr>
          <w:rFonts w:ascii="David" w:eastAsia="Calibri" w:hAnsi="David"/>
          <w:rtl/>
        </w:rPr>
        <w:t xml:space="preserve">יש לזקוף לזכותו של הנאשם את </w:t>
      </w:r>
      <w:r w:rsidRPr="008F023D">
        <w:rPr>
          <w:rFonts w:ascii="David" w:eastAsia="Calibri" w:hAnsi="David"/>
          <w:b/>
          <w:bCs/>
          <w:rtl/>
        </w:rPr>
        <w:t>החיסכון המשמעותי בזמן שיפוטי יקר, הנגזר מהודאתו ומנטילת האחריות שביצע</w:t>
      </w:r>
      <w:r w:rsidRPr="008F023D">
        <w:rPr>
          <w:rFonts w:ascii="David" w:eastAsia="Calibri" w:hAnsi="David"/>
          <w:rtl/>
        </w:rPr>
        <w:t xml:space="preserve">. </w:t>
      </w:r>
      <w:r w:rsidRPr="008F023D">
        <w:rPr>
          <w:rFonts w:ascii="David" w:eastAsia="Calibri" w:hAnsi="David"/>
          <w:b/>
          <w:bCs/>
          <w:rtl/>
        </w:rPr>
        <w:t xml:space="preserve">וכן את הנתון שלפיו הוא נעדר עבר פלילי. </w:t>
      </w:r>
      <w:r w:rsidRPr="008F023D">
        <w:rPr>
          <w:rFonts w:ascii="David" w:eastAsia="Calibri" w:hAnsi="David"/>
          <w:rtl/>
        </w:rPr>
        <w:t xml:space="preserve">ברי, כי עונש מאסר ממושך יפגע בנאשם נוכח גילו הצעיר. כפי שפורט תסקיר שירות המבחן בעניינו של הנאשם קבע כי לאור הערכת הסיכון לא ניתן לבוא בעניינו בהמלצה טיפולית - שיקומית. הנשק עמו בוצעו העבירות לא אותר ומכך יש להסיק לשלילה על אודות שיתוף הפעולה של הנאשם עם הרשויות לצורך הקטנת הנזק. </w:t>
      </w:r>
    </w:p>
    <w:p w14:paraId="74F245BD" w14:textId="77777777" w:rsidR="0009158B" w:rsidRPr="008F023D" w:rsidRDefault="0009158B" w:rsidP="0009158B">
      <w:pPr>
        <w:spacing w:line="360" w:lineRule="auto"/>
        <w:jc w:val="both"/>
        <w:rPr>
          <w:rFonts w:ascii="David" w:eastAsia="Calibri" w:hAnsi="David"/>
          <w:rtl/>
        </w:rPr>
      </w:pPr>
    </w:p>
    <w:p w14:paraId="0D6A5F72" w14:textId="77777777" w:rsidR="0009158B" w:rsidRPr="008F023D" w:rsidRDefault="0009158B" w:rsidP="0009158B">
      <w:pPr>
        <w:overflowPunct w:val="0"/>
        <w:autoSpaceDE w:val="0"/>
        <w:autoSpaceDN w:val="0"/>
        <w:spacing w:line="360" w:lineRule="auto"/>
        <w:ind w:right="-426"/>
        <w:jc w:val="both"/>
        <w:rPr>
          <w:rFonts w:ascii="David" w:hAnsi="David"/>
          <w:rtl/>
        </w:rPr>
      </w:pPr>
      <w:r w:rsidRPr="008F023D">
        <w:rPr>
          <w:rFonts w:ascii="David" w:eastAsia="Calibri" w:hAnsi="David"/>
          <w:rtl/>
        </w:rPr>
        <w:t xml:space="preserve">בנוסף לאמור לעיל, נוכח התנהגותו המסוכנת של הנאשם, במסגרתם של שני האירועים, סברתי כי בהחלט יש מקום להכליל בגדרי מתחמי הענישה את השיקול שעניינו </w:t>
      </w:r>
      <w:r w:rsidRPr="008F023D">
        <w:rPr>
          <w:rFonts w:ascii="David" w:eastAsia="Calibri" w:hAnsi="David"/>
          <w:b/>
          <w:bCs/>
          <w:rtl/>
        </w:rPr>
        <w:t>הרתעת הרבים</w:t>
      </w:r>
      <w:r w:rsidRPr="008F023D">
        <w:rPr>
          <w:rFonts w:ascii="David" w:eastAsia="Calibri" w:hAnsi="David"/>
          <w:rtl/>
        </w:rPr>
        <w:t xml:space="preserve"> (בהתאם </w:t>
      </w:r>
      <w:hyperlink r:id="rId46" w:history="1">
        <w:r w:rsidR="00F95221" w:rsidRPr="00F95221">
          <w:rPr>
            <w:rStyle w:val="Hyperlink"/>
            <w:rFonts w:ascii="David" w:eastAsia="Calibri" w:hAnsi="David"/>
            <w:color w:val="0000FF"/>
            <w:rtl/>
          </w:rPr>
          <w:t>לסעיף 40ז</w:t>
        </w:r>
      </w:hyperlink>
      <w:r w:rsidRPr="008F023D">
        <w:rPr>
          <w:rFonts w:ascii="David" w:eastAsia="Calibri" w:hAnsi="David"/>
          <w:rtl/>
        </w:rPr>
        <w:t xml:space="preserve"> לחוק);</w:t>
      </w:r>
      <w:r w:rsidRPr="008F023D">
        <w:rPr>
          <w:rFonts w:ascii="David" w:eastAsia="Calibri" w:hAnsi="David"/>
        </w:rPr>
        <w:t xml:space="preserve"> </w:t>
      </w:r>
      <w:r w:rsidRPr="008F023D">
        <w:rPr>
          <w:rFonts w:ascii="David" w:eastAsia="Calibri" w:hAnsi="David"/>
          <w:rtl/>
        </w:rPr>
        <w:t xml:space="preserve">תוך העברת מסר לציבור הרחב שהתנהגות דומה שכזו אינה מקובלת במחוזותינו.  </w:t>
      </w:r>
    </w:p>
    <w:p w14:paraId="44DC4E96" w14:textId="77777777" w:rsidR="0009158B" w:rsidRPr="008F023D" w:rsidRDefault="0009158B" w:rsidP="0009158B">
      <w:pPr>
        <w:spacing w:line="360" w:lineRule="auto"/>
        <w:jc w:val="both"/>
        <w:rPr>
          <w:rFonts w:ascii="David" w:eastAsia="Calibri" w:hAnsi="David"/>
          <w:rtl/>
        </w:rPr>
      </w:pPr>
    </w:p>
    <w:p w14:paraId="52BFB6D8" w14:textId="77777777" w:rsidR="0009158B" w:rsidRPr="008F023D" w:rsidRDefault="0009158B" w:rsidP="0009158B">
      <w:pPr>
        <w:spacing w:line="360" w:lineRule="auto"/>
        <w:jc w:val="both"/>
        <w:rPr>
          <w:rFonts w:ascii="David" w:eastAsia="Calibri" w:hAnsi="David"/>
          <w:highlight w:val="yellow"/>
          <w:rtl/>
        </w:rPr>
      </w:pPr>
      <w:r w:rsidRPr="008F023D">
        <w:rPr>
          <w:rFonts w:ascii="David" w:eastAsia="Calibri" w:hAnsi="David"/>
          <w:rtl/>
        </w:rPr>
        <w:t xml:space="preserve">משאלה הם פני הדברים, מצאתי להטיל על הנאשם </w:t>
      </w:r>
      <w:r w:rsidRPr="008F023D">
        <w:rPr>
          <w:rFonts w:ascii="David" w:eastAsia="Calibri" w:hAnsi="David"/>
          <w:b/>
          <w:bCs/>
          <w:u w:val="single"/>
          <w:rtl/>
        </w:rPr>
        <w:t>עונש כולל</w:t>
      </w:r>
      <w:r w:rsidRPr="008F023D">
        <w:rPr>
          <w:rFonts w:ascii="David" w:eastAsia="Calibri" w:hAnsi="David"/>
          <w:rtl/>
        </w:rPr>
        <w:t xml:space="preserve"> בהתאם </w:t>
      </w:r>
      <w:hyperlink r:id="rId47" w:history="1">
        <w:r w:rsidR="00F95221" w:rsidRPr="00F95221">
          <w:rPr>
            <w:rStyle w:val="Hyperlink"/>
            <w:rFonts w:ascii="David" w:eastAsia="Calibri" w:hAnsi="David"/>
            <w:color w:val="0000FF"/>
            <w:rtl/>
          </w:rPr>
          <w:t>לסעיף 40יג(ב)</w:t>
        </w:r>
      </w:hyperlink>
      <w:r w:rsidRPr="008F023D">
        <w:rPr>
          <w:rFonts w:ascii="David" w:eastAsia="Calibri" w:hAnsi="David"/>
          <w:rtl/>
        </w:rPr>
        <w:t xml:space="preserve"> לחוק, כמפורט להלן - </w:t>
      </w:r>
    </w:p>
    <w:p w14:paraId="1FD65AF5" w14:textId="77777777" w:rsidR="0009158B" w:rsidRPr="008F023D" w:rsidRDefault="0009158B" w:rsidP="0009158B">
      <w:pPr>
        <w:numPr>
          <w:ilvl w:val="0"/>
          <w:numId w:val="1"/>
        </w:numPr>
        <w:overflowPunct w:val="0"/>
        <w:autoSpaceDE w:val="0"/>
        <w:autoSpaceDN w:val="0"/>
        <w:spacing w:after="160" w:line="360" w:lineRule="auto"/>
        <w:jc w:val="both"/>
        <w:rPr>
          <w:rFonts w:ascii="David" w:hAnsi="David"/>
          <w:rtl/>
        </w:rPr>
      </w:pPr>
      <w:r w:rsidRPr="008F023D">
        <w:rPr>
          <w:rFonts w:ascii="David" w:hAnsi="David"/>
          <w:b/>
          <w:bCs/>
          <w:rtl/>
        </w:rPr>
        <w:t>5 שנות מאסר לריצוי בפועל</w:t>
      </w:r>
      <w:r w:rsidRPr="008F023D">
        <w:rPr>
          <w:rFonts w:ascii="David" w:hAnsi="David"/>
          <w:rtl/>
        </w:rPr>
        <w:t xml:space="preserve"> בניכוי ימי מעצרו. </w:t>
      </w:r>
    </w:p>
    <w:p w14:paraId="7D6C1E59" w14:textId="77777777" w:rsidR="0009158B" w:rsidRPr="008F023D" w:rsidRDefault="0009158B" w:rsidP="0009158B">
      <w:pPr>
        <w:numPr>
          <w:ilvl w:val="0"/>
          <w:numId w:val="1"/>
        </w:numPr>
        <w:overflowPunct w:val="0"/>
        <w:autoSpaceDE w:val="0"/>
        <w:autoSpaceDN w:val="0"/>
        <w:spacing w:after="160" w:line="360" w:lineRule="auto"/>
        <w:jc w:val="both"/>
        <w:rPr>
          <w:rFonts w:ascii="David" w:hAnsi="David"/>
        </w:rPr>
      </w:pPr>
      <w:r w:rsidRPr="008F023D">
        <w:rPr>
          <w:rFonts w:ascii="David" w:hAnsi="David"/>
          <w:rtl/>
        </w:rPr>
        <w:t>12 חודשי מאסר על תנאי שלא יעבור במשך 3 שנים עבירות בנשק</w:t>
      </w:r>
      <w:r w:rsidRPr="008F023D">
        <w:rPr>
          <w:rtl/>
        </w:rPr>
        <w:t xml:space="preserve"> לפי </w:t>
      </w:r>
      <w:hyperlink r:id="rId48" w:history="1">
        <w:r w:rsidR="00F95221" w:rsidRPr="00F95221">
          <w:rPr>
            <w:rStyle w:val="Hyperlink"/>
            <w:color w:val="0000FF"/>
            <w:rtl/>
          </w:rPr>
          <w:t>סעיף 144</w:t>
        </w:r>
      </w:hyperlink>
      <w:r w:rsidRPr="008F023D">
        <w:rPr>
          <w:rtl/>
        </w:rPr>
        <w:t xml:space="preserve"> ל</w:t>
      </w:r>
      <w:hyperlink r:id="rId49" w:history="1">
        <w:r w:rsidR="00D73CE0" w:rsidRPr="00D73CE0">
          <w:rPr>
            <w:color w:val="0000FF"/>
            <w:u w:val="single"/>
            <w:rtl/>
          </w:rPr>
          <w:t>חוק העונשין</w:t>
        </w:r>
      </w:hyperlink>
      <w:r w:rsidRPr="008F023D">
        <w:rPr>
          <w:rtl/>
        </w:rPr>
        <w:t xml:space="preserve">.  </w:t>
      </w:r>
    </w:p>
    <w:p w14:paraId="37D54920" w14:textId="77777777" w:rsidR="0009158B" w:rsidRPr="008F023D" w:rsidRDefault="0009158B" w:rsidP="0009158B">
      <w:pPr>
        <w:numPr>
          <w:ilvl w:val="0"/>
          <w:numId w:val="1"/>
        </w:numPr>
        <w:overflowPunct w:val="0"/>
        <w:autoSpaceDE w:val="0"/>
        <w:autoSpaceDN w:val="0"/>
        <w:spacing w:after="160" w:line="360" w:lineRule="auto"/>
        <w:jc w:val="both"/>
        <w:rPr>
          <w:rFonts w:ascii="David" w:hAnsi="David"/>
        </w:rPr>
      </w:pPr>
      <w:r w:rsidRPr="008F023D">
        <w:rPr>
          <w:rFonts w:ascii="David" w:hAnsi="David"/>
          <w:rtl/>
        </w:rPr>
        <w:t xml:space="preserve">6 חודשי מאסר על תנאי שלא יעבור במשך 3 שנים עבירה שעניינה דרישת נכס באיומים לפי </w:t>
      </w:r>
      <w:hyperlink r:id="rId50" w:history="1">
        <w:r w:rsidR="00F95221" w:rsidRPr="00F95221">
          <w:rPr>
            <w:rStyle w:val="Hyperlink"/>
            <w:rFonts w:ascii="David" w:hAnsi="David"/>
            <w:color w:val="0000FF"/>
            <w:rtl/>
          </w:rPr>
          <w:t>סעיף 404</w:t>
        </w:r>
      </w:hyperlink>
      <w:r w:rsidRPr="008F023D">
        <w:rPr>
          <w:rFonts w:ascii="David" w:hAnsi="David"/>
          <w:rtl/>
        </w:rPr>
        <w:t xml:space="preserve"> לחוק או עבירה שיש בה יסוד של איום.</w:t>
      </w:r>
    </w:p>
    <w:p w14:paraId="0C630FCB" w14:textId="77777777" w:rsidR="0009158B" w:rsidRPr="008F023D" w:rsidRDefault="0009158B" w:rsidP="0009158B">
      <w:pPr>
        <w:numPr>
          <w:ilvl w:val="0"/>
          <w:numId w:val="1"/>
        </w:numPr>
        <w:overflowPunct w:val="0"/>
        <w:autoSpaceDE w:val="0"/>
        <w:autoSpaceDN w:val="0"/>
        <w:spacing w:after="160" w:line="360" w:lineRule="auto"/>
        <w:jc w:val="both"/>
        <w:rPr>
          <w:rFonts w:ascii="David" w:hAnsi="David"/>
        </w:rPr>
      </w:pPr>
      <w:r w:rsidRPr="008F023D">
        <w:rPr>
          <w:rFonts w:ascii="David" w:hAnsi="David"/>
          <w:rtl/>
        </w:rPr>
        <w:t xml:space="preserve"> </w:t>
      </w:r>
      <w:r w:rsidRPr="008F023D">
        <w:rPr>
          <w:rFonts w:ascii="David" w:hAnsi="David" w:hint="cs"/>
          <w:rtl/>
        </w:rPr>
        <w:t xml:space="preserve">6 חודשי פסילת רישיון נהיגה שירוצו מיום שחרורו מן המאסר בשים לב לכך שהעבירה נעברה תוך שימוש בכלי רכב. </w:t>
      </w:r>
    </w:p>
    <w:p w14:paraId="4F6196F1" w14:textId="77777777" w:rsidR="0009158B" w:rsidRPr="008F023D" w:rsidRDefault="0009158B" w:rsidP="0009158B">
      <w:pPr>
        <w:numPr>
          <w:ilvl w:val="0"/>
          <w:numId w:val="1"/>
        </w:numPr>
        <w:overflowPunct w:val="0"/>
        <w:autoSpaceDE w:val="0"/>
        <w:autoSpaceDN w:val="0"/>
        <w:spacing w:after="160" w:line="360" w:lineRule="auto"/>
        <w:jc w:val="both"/>
        <w:rPr>
          <w:rFonts w:ascii="David" w:hAnsi="David"/>
        </w:rPr>
      </w:pPr>
      <w:r w:rsidRPr="008F023D">
        <w:rPr>
          <w:rFonts w:ascii="David" w:hAnsi="David"/>
          <w:rtl/>
        </w:rPr>
        <w:t>פיצויים בסך של 5000 ₪ לטובת מר סוהייל דיאב נפגע העבירה הכלולה בפרט האישום הראשון.</w:t>
      </w:r>
    </w:p>
    <w:p w14:paraId="6DE87E3B" w14:textId="77777777" w:rsidR="0009158B" w:rsidRPr="008F023D" w:rsidRDefault="0009158B" w:rsidP="0009158B">
      <w:pPr>
        <w:spacing w:line="360" w:lineRule="auto"/>
        <w:jc w:val="both"/>
        <w:rPr>
          <w:rFonts w:ascii="David" w:eastAsia="Calibri" w:hAnsi="David"/>
        </w:rPr>
      </w:pPr>
      <w:r w:rsidRPr="008F023D">
        <w:rPr>
          <w:rFonts w:ascii="David" w:eastAsia="Calibri" w:hAnsi="David"/>
          <w:rtl/>
        </w:rPr>
        <w:t xml:space="preserve">לא מצאתי לנכון להטיל על הנאשם קנס בשים לב למצבו הכלכלי. נוכח הערת שירות המבחן מתבקש שירות בתי הסוהר לבחון את האפשרות לשלב את הנאשם בתוכנית טיפולית במסגרת מאסרו. </w:t>
      </w:r>
    </w:p>
    <w:p w14:paraId="0B3F7FBE" w14:textId="77777777" w:rsidR="0009158B" w:rsidRPr="008F023D" w:rsidRDefault="0009158B" w:rsidP="0009158B">
      <w:pPr>
        <w:spacing w:line="360" w:lineRule="auto"/>
        <w:ind w:right="-426"/>
        <w:jc w:val="both"/>
        <w:rPr>
          <w:rFonts w:ascii="David" w:eastAsia="Calibri" w:hAnsi="David"/>
          <w:b/>
          <w:bCs/>
          <w:rtl/>
        </w:rPr>
      </w:pPr>
    </w:p>
    <w:p w14:paraId="1E145B7D" w14:textId="77777777" w:rsidR="0009158B" w:rsidRPr="008F023D" w:rsidRDefault="0009158B" w:rsidP="0009158B">
      <w:pPr>
        <w:spacing w:line="360" w:lineRule="auto"/>
        <w:jc w:val="both"/>
        <w:rPr>
          <w:rFonts w:ascii="David" w:eastAsia="Calibri" w:hAnsi="David"/>
          <w:b/>
          <w:bCs/>
          <w:rtl/>
        </w:rPr>
      </w:pPr>
      <w:r w:rsidRPr="008F023D">
        <w:rPr>
          <w:rFonts w:ascii="David" w:eastAsia="Calibri" w:hAnsi="David"/>
          <w:b/>
          <w:bCs/>
          <w:rtl/>
        </w:rPr>
        <w:t>זכות ערעור כחוק</w:t>
      </w:r>
    </w:p>
    <w:p w14:paraId="0E069E7C" w14:textId="77777777" w:rsidR="0009158B" w:rsidRPr="000F2247" w:rsidRDefault="0009158B" w:rsidP="0009158B">
      <w:pPr>
        <w:rPr>
          <w:rFonts w:ascii="Arial" w:hAnsi="Arial"/>
          <w:b/>
          <w:bCs/>
          <w:sz w:val="26"/>
          <w:szCs w:val="26"/>
          <w:rtl/>
        </w:rPr>
      </w:pPr>
    </w:p>
    <w:p w14:paraId="2EFAA6E2" w14:textId="77777777" w:rsidR="0009158B" w:rsidRDefault="00D73CE0" w:rsidP="0009158B">
      <w:pPr>
        <w:spacing w:line="360" w:lineRule="auto"/>
        <w:jc w:val="both"/>
        <w:rPr>
          <w:rFonts w:ascii="Arial" w:hAnsi="Arial"/>
          <w:b/>
          <w:bCs/>
          <w:sz w:val="26"/>
          <w:szCs w:val="26"/>
          <w:rtl/>
        </w:rPr>
      </w:pPr>
      <w:bookmarkStart w:id="7" w:name="Nitan"/>
      <w:r w:rsidRPr="00D73CE0">
        <w:rPr>
          <w:rFonts w:ascii="Arial" w:hAnsi="Arial"/>
          <w:b/>
          <w:bCs/>
          <w:color w:val="FFFFFF"/>
          <w:sz w:val="2"/>
          <w:szCs w:val="2"/>
          <w:rtl/>
        </w:rPr>
        <w:t>5129371</w:t>
      </w:r>
      <w:r>
        <w:rPr>
          <w:rFonts w:ascii="Arial" w:hAnsi="Arial"/>
          <w:b/>
          <w:bCs/>
          <w:sz w:val="26"/>
          <w:szCs w:val="26"/>
          <w:rtl/>
        </w:rPr>
        <w:t xml:space="preserve">ניתן היום,  י"ג תשרי תשפ"ה, 15 אוקטובר 2024, במעמד הצדדים. </w:t>
      </w:r>
      <w:bookmarkEnd w:id="7"/>
    </w:p>
    <w:tbl>
      <w:tblPr>
        <w:tblpPr w:leftFromText="180" w:rightFromText="180" w:vertAnchor="text" w:horzAnchor="margin" w:tblpY="299"/>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09158B" w14:paraId="69755F88" w14:textId="77777777" w:rsidTr="0009158B">
        <w:trPr>
          <w:trHeight w:val="316"/>
        </w:trPr>
        <w:tc>
          <w:tcPr>
            <w:tcW w:w="3936" w:type="dxa"/>
            <w:tcBorders>
              <w:top w:val="nil"/>
              <w:left w:val="nil"/>
              <w:bottom w:val="single" w:sz="4" w:space="0" w:color="auto"/>
              <w:right w:val="nil"/>
            </w:tcBorders>
            <w:shd w:val="clear" w:color="auto" w:fill="auto"/>
            <w:vAlign w:val="center"/>
          </w:tcPr>
          <w:p w14:paraId="60E0E98B" w14:textId="77777777" w:rsidR="0009158B" w:rsidRPr="00D73CE0" w:rsidRDefault="00D73CE0" w:rsidP="0009158B">
            <w:pPr>
              <w:jc w:val="center"/>
              <w:rPr>
                <w:rFonts w:cs="Times New Roman"/>
                <w:color w:val="FFFFFF"/>
                <w:sz w:val="2"/>
                <w:szCs w:val="2"/>
              </w:rPr>
            </w:pPr>
            <w:r w:rsidRPr="00D73CE0">
              <w:rPr>
                <w:rFonts w:cs="Times New Roman"/>
                <w:color w:val="FFFFFF"/>
                <w:sz w:val="2"/>
                <w:szCs w:val="2"/>
                <w:rtl/>
              </w:rPr>
              <w:t>54678313</w:t>
            </w:r>
          </w:p>
          <w:p w14:paraId="2F6C513D" w14:textId="77777777" w:rsidR="0009158B" w:rsidRDefault="0009158B" w:rsidP="0009158B">
            <w:pPr>
              <w:jc w:val="center"/>
            </w:pPr>
          </w:p>
        </w:tc>
      </w:tr>
      <w:tr w:rsidR="0009158B" w14:paraId="3FEF469A" w14:textId="77777777" w:rsidTr="0009158B">
        <w:trPr>
          <w:trHeight w:val="361"/>
        </w:trPr>
        <w:tc>
          <w:tcPr>
            <w:tcW w:w="3936" w:type="dxa"/>
            <w:tcBorders>
              <w:top w:val="single" w:sz="4" w:space="0" w:color="auto"/>
              <w:left w:val="nil"/>
              <w:bottom w:val="nil"/>
              <w:right w:val="nil"/>
            </w:tcBorders>
            <w:shd w:val="clear" w:color="auto" w:fill="auto"/>
            <w:vAlign w:val="center"/>
          </w:tcPr>
          <w:p w14:paraId="56DEE475" w14:textId="77777777" w:rsidR="0009158B" w:rsidRPr="0009158B" w:rsidRDefault="0009158B" w:rsidP="0009158B">
            <w:pPr>
              <w:jc w:val="center"/>
              <w:rPr>
                <w:b/>
                <w:bCs/>
                <w:rtl/>
              </w:rPr>
            </w:pPr>
            <w:r w:rsidRPr="0009158B">
              <w:rPr>
                <w:b/>
                <w:bCs/>
                <w:rtl/>
              </w:rPr>
              <w:t>אבי</w:t>
            </w:r>
            <w:r w:rsidRPr="0009158B">
              <w:rPr>
                <w:rFonts w:hint="cs"/>
                <w:b/>
                <w:bCs/>
                <w:rtl/>
              </w:rPr>
              <w:t xml:space="preserve"> </w:t>
            </w:r>
            <w:r w:rsidRPr="0009158B">
              <w:rPr>
                <w:b/>
                <w:bCs/>
                <w:rtl/>
              </w:rPr>
              <w:t>לוי</w:t>
            </w:r>
            <w:r w:rsidRPr="0009158B">
              <w:rPr>
                <w:rFonts w:hint="cs"/>
                <w:b/>
                <w:bCs/>
                <w:rtl/>
              </w:rPr>
              <w:t xml:space="preserve">, </w:t>
            </w:r>
            <w:r w:rsidRPr="0009158B">
              <w:rPr>
                <w:b/>
                <w:bCs/>
                <w:rtl/>
              </w:rPr>
              <w:t>שופט, סגן הנשיא</w:t>
            </w:r>
          </w:p>
        </w:tc>
      </w:tr>
    </w:tbl>
    <w:p w14:paraId="59746393" w14:textId="77777777" w:rsidR="0009158B" w:rsidRDefault="0009158B" w:rsidP="0009158B">
      <w:pPr>
        <w:spacing w:line="360" w:lineRule="auto"/>
        <w:jc w:val="both"/>
        <w:rPr>
          <w:rFonts w:ascii="Arial" w:hAnsi="Arial"/>
          <w:b/>
          <w:bCs/>
          <w:sz w:val="26"/>
          <w:szCs w:val="26"/>
          <w:rtl/>
        </w:rPr>
      </w:pPr>
    </w:p>
    <w:p w14:paraId="611CF23D" w14:textId="77777777" w:rsidR="0009158B" w:rsidRDefault="0009158B" w:rsidP="0009158B">
      <w:pPr>
        <w:spacing w:line="360" w:lineRule="auto"/>
        <w:jc w:val="both"/>
        <w:rPr>
          <w:rFonts w:ascii="David" w:hAnsi="David"/>
          <w:rtl/>
        </w:rPr>
      </w:pPr>
    </w:p>
    <w:p w14:paraId="2E860752" w14:textId="77777777" w:rsidR="0009158B" w:rsidRDefault="0009158B" w:rsidP="0009158B">
      <w:pPr>
        <w:spacing w:line="360" w:lineRule="auto"/>
        <w:jc w:val="both"/>
        <w:rPr>
          <w:rFonts w:ascii="Arial" w:hAnsi="Arial"/>
          <w:b/>
          <w:bCs/>
          <w:sz w:val="26"/>
          <w:szCs w:val="26"/>
          <w:rtl/>
        </w:rPr>
      </w:pPr>
    </w:p>
    <w:p w14:paraId="66D3A39D" w14:textId="77777777" w:rsidR="0009158B" w:rsidRPr="00F95221" w:rsidRDefault="00F95221" w:rsidP="0009158B">
      <w:pPr>
        <w:spacing w:line="360" w:lineRule="auto"/>
        <w:jc w:val="both"/>
        <w:rPr>
          <w:rFonts w:ascii="Arial" w:hAnsi="Arial"/>
          <w:b/>
          <w:bCs/>
          <w:color w:val="FFFFFF"/>
          <w:sz w:val="2"/>
          <w:szCs w:val="2"/>
          <w:rtl/>
        </w:rPr>
      </w:pPr>
      <w:r w:rsidRPr="00F95221">
        <w:rPr>
          <w:rFonts w:ascii="Arial" w:hAnsi="Arial"/>
          <w:b/>
          <w:bCs/>
          <w:color w:val="FFFFFF"/>
          <w:sz w:val="2"/>
          <w:szCs w:val="2"/>
          <w:rtl/>
        </w:rPr>
        <w:t>5129371</w:t>
      </w:r>
      <w:r w:rsidR="0009158B" w:rsidRPr="00F95221">
        <w:rPr>
          <w:rFonts w:ascii="Arial" w:hAnsi="Arial"/>
          <w:b/>
          <w:bCs/>
          <w:color w:val="FFFFFF"/>
          <w:sz w:val="2"/>
          <w:szCs w:val="2"/>
          <w:rtl/>
        </w:rPr>
        <w:tab/>
      </w:r>
      <w:r w:rsidR="0009158B" w:rsidRPr="00F95221">
        <w:rPr>
          <w:rFonts w:ascii="Arial" w:hAnsi="Arial"/>
          <w:b/>
          <w:bCs/>
          <w:color w:val="FFFFFF"/>
          <w:sz w:val="2"/>
          <w:szCs w:val="2"/>
          <w:rtl/>
        </w:rPr>
        <w:tab/>
      </w:r>
      <w:r w:rsidR="0009158B" w:rsidRPr="00F95221">
        <w:rPr>
          <w:rFonts w:ascii="Arial" w:hAnsi="Arial"/>
          <w:b/>
          <w:bCs/>
          <w:color w:val="FFFFFF"/>
          <w:sz w:val="2"/>
          <w:szCs w:val="2"/>
          <w:rtl/>
        </w:rPr>
        <w:tab/>
      </w:r>
      <w:r w:rsidR="0009158B" w:rsidRPr="00F95221">
        <w:rPr>
          <w:rFonts w:ascii="Arial" w:hAnsi="Arial"/>
          <w:b/>
          <w:bCs/>
          <w:color w:val="FFFFFF"/>
          <w:sz w:val="2"/>
          <w:szCs w:val="2"/>
          <w:rtl/>
        </w:rPr>
        <w:tab/>
      </w:r>
      <w:r w:rsidR="0009158B" w:rsidRPr="00F95221">
        <w:rPr>
          <w:rFonts w:ascii="Arial" w:hAnsi="Arial"/>
          <w:b/>
          <w:bCs/>
          <w:color w:val="FFFFFF"/>
          <w:sz w:val="2"/>
          <w:szCs w:val="2"/>
          <w:rtl/>
        </w:rPr>
        <w:tab/>
      </w:r>
      <w:r w:rsidR="0009158B" w:rsidRPr="00F95221">
        <w:rPr>
          <w:rFonts w:ascii="Arial" w:hAnsi="Arial"/>
          <w:b/>
          <w:bCs/>
          <w:color w:val="FFFFFF"/>
          <w:sz w:val="2"/>
          <w:szCs w:val="2"/>
          <w:rtl/>
        </w:rPr>
        <w:tab/>
      </w:r>
      <w:r w:rsidR="0009158B" w:rsidRPr="00F95221">
        <w:rPr>
          <w:rFonts w:ascii="Arial" w:hAnsi="Arial"/>
          <w:b/>
          <w:bCs/>
          <w:color w:val="FFFFFF"/>
          <w:sz w:val="2"/>
          <w:szCs w:val="2"/>
          <w:rtl/>
        </w:rPr>
        <w:tab/>
      </w:r>
      <w:r w:rsidR="0009158B" w:rsidRPr="00F95221">
        <w:rPr>
          <w:rFonts w:ascii="Arial" w:hAnsi="Arial" w:hint="cs"/>
          <w:b/>
          <w:bCs/>
          <w:color w:val="FFFFFF"/>
          <w:sz w:val="2"/>
          <w:szCs w:val="2"/>
          <w:rtl/>
        </w:rPr>
        <w:t xml:space="preserve">     </w:t>
      </w:r>
    </w:p>
    <w:p w14:paraId="60389B2B" w14:textId="77777777" w:rsidR="00970EB4" w:rsidRPr="00F95221" w:rsidRDefault="00F95221" w:rsidP="00D73CE0">
      <w:pPr>
        <w:keepNext/>
        <w:rPr>
          <w:rFonts w:ascii="David" w:hAnsi="David"/>
          <w:color w:val="FFFFFF"/>
          <w:sz w:val="2"/>
          <w:szCs w:val="2"/>
          <w:rtl/>
        </w:rPr>
      </w:pPr>
      <w:r w:rsidRPr="00F95221">
        <w:rPr>
          <w:rFonts w:ascii="David" w:hAnsi="David"/>
          <w:color w:val="FFFFFF"/>
          <w:sz w:val="2"/>
          <w:szCs w:val="2"/>
          <w:rtl/>
        </w:rPr>
        <w:t>54678313</w:t>
      </w:r>
    </w:p>
    <w:p w14:paraId="76A5B85A" w14:textId="77777777" w:rsidR="00D73CE0" w:rsidRDefault="00D73CE0" w:rsidP="00D73CE0">
      <w:pPr>
        <w:rPr>
          <w:rtl/>
        </w:rPr>
      </w:pPr>
    </w:p>
    <w:p w14:paraId="4E9E5EF0" w14:textId="77777777" w:rsidR="00D73CE0" w:rsidRDefault="00D73CE0" w:rsidP="00D73CE0">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2CACFBF9" w14:textId="77777777" w:rsidR="00F95221" w:rsidRPr="00F95221" w:rsidRDefault="00F95221" w:rsidP="00F95221">
      <w:pPr>
        <w:keepNext/>
        <w:rPr>
          <w:rFonts w:ascii="David" w:hAnsi="David"/>
          <w:color w:val="000000"/>
          <w:sz w:val="22"/>
          <w:szCs w:val="22"/>
          <w:rtl/>
        </w:rPr>
      </w:pPr>
    </w:p>
    <w:p w14:paraId="034B50AF" w14:textId="77777777" w:rsidR="00F95221" w:rsidRPr="00F95221" w:rsidRDefault="00F95221" w:rsidP="00F95221">
      <w:pPr>
        <w:keepNext/>
        <w:rPr>
          <w:rFonts w:ascii="David" w:hAnsi="David"/>
          <w:color w:val="000000"/>
          <w:sz w:val="22"/>
          <w:szCs w:val="22"/>
          <w:rtl/>
        </w:rPr>
      </w:pPr>
      <w:r w:rsidRPr="00F95221">
        <w:rPr>
          <w:rFonts w:ascii="David" w:hAnsi="David"/>
          <w:color w:val="000000"/>
          <w:sz w:val="22"/>
          <w:szCs w:val="22"/>
          <w:rtl/>
        </w:rPr>
        <w:t>אבי לוי 54678313-/</w:t>
      </w:r>
    </w:p>
    <w:p w14:paraId="7B62F926" w14:textId="77777777" w:rsidR="00D73CE0" w:rsidRPr="00D73CE0" w:rsidRDefault="00F95221" w:rsidP="00F95221">
      <w:pPr>
        <w:rPr>
          <w:color w:val="0000FF"/>
          <w:u w:val="single"/>
        </w:rPr>
      </w:pPr>
      <w:r w:rsidRPr="00F95221">
        <w:rPr>
          <w:color w:val="000000"/>
          <w:u w:val="single"/>
          <w:rtl/>
        </w:rPr>
        <w:t>נוסח מסמך זה כפוף לשינויי ניסוח ועריכה</w:t>
      </w:r>
    </w:p>
    <w:sectPr w:rsidR="00D73CE0" w:rsidRPr="00D73CE0" w:rsidSect="00F95221">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56422" w14:textId="77777777" w:rsidR="00D12F61" w:rsidRDefault="00D12F61" w:rsidP="00981BE3">
      <w:r>
        <w:separator/>
      </w:r>
    </w:p>
  </w:endnote>
  <w:endnote w:type="continuationSeparator" w:id="0">
    <w:p w14:paraId="3B6C63B0" w14:textId="77777777" w:rsidR="00D12F61" w:rsidRDefault="00D12F61" w:rsidP="0098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AA90" w14:textId="77777777" w:rsidR="00F95221" w:rsidRDefault="00F95221" w:rsidP="00F952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F25876" w14:textId="77777777" w:rsidR="00A8463F" w:rsidRPr="00F95221" w:rsidRDefault="00F95221" w:rsidP="00F95221">
    <w:pPr>
      <w:pStyle w:val="a5"/>
      <w:pBdr>
        <w:top w:val="single" w:sz="4" w:space="1" w:color="auto"/>
        <w:between w:val="single" w:sz="4" w:space="0" w:color="auto"/>
      </w:pBdr>
      <w:spacing w:after="60"/>
      <w:jc w:val="center"/>
      <w:rPr>
        <w:rFonts w:ascii="FrankRuehl" w:hAnsi="FrankRuehl" w:cs="FrankRuehl"/>
        <w:color w:val="000000"/>
      </w:rPr>
    </w:pPr>
    <w:r w:rsidRPr="00F952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F8F9D" w14:textId="77777777" w:rsidR="00F95221" w:rsidRDefault="00F95221" w:rsidP="00F952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16C4">
      <w:rPr>
        <w:rFonts w:ascii="FrankRuehl" w:hAnsi="FrankRuehl" w:cs="FrankRuehl"/>
        <w:noProof/>
        <w:rtl/>
      </w:rPr>
      <w:t>1</w:t>
    </w:r>
    <w:r>
      <w:rPr>
        <w:rFonts w:ascii="FrankRuehl" w:hAnsi="FrankRuehl" w:cs="FrankRuehl"/>
        <w:rtl/>
      </w:rPr>
      <w:fldChar w:fldCharType="end"/>
    </w:r>
  </w:p>
  <w:p w14:paraId="62557B36" w14:textId="77777777" w:rsidR="00A8463F" w:rsidRPr="00F95221" w:rsidRDefault="00F95221" w:rsidP="00F95221">
    <w:pPr>
      <w:pStyle w:val="a5"/>
      <w:pBdr>
        <w:top w:val="single" w:sz="4" w:space="1" w:color="auto"/>
        <w:between w:val="single" w:sz="4" w:space="0" w:color="auto"/>
      </w:pBdr>
      <w:spacing w:after="60"/>
      <w:jc w:val="center"/>
      <w:rPr>
        <w:rFonts w:ascii="FrankRuehl" w:hAnsi="FrankRuehl" w:cs="FrankRuehl"/>
        <w:color w:val="000000"/>
      </w:rPr>
    </w:pPr>
    <w:r w:rsidRPr="00F95221">
      <w:rPr>
        <w:rFonts w:ascii="FrankRuehl" w:hAnsi="FrankRuehl" w:cs="FrankRuehl"/>
        <w:color w:val="000000"/>
      </w:rPr>
      <w:pict w14:anchorId="507F5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569D7" w14:textId="77777777" w:rsidR="00D12F61" w:rsidRDefault="00D12F61" w:rsidP="00981BE3">
      <w:r>
        <w:separator/>
      </w:r>
    </w:p>
  </w:footnote>
  <w:footnote w:type="continuationSeparator" w:id="0">
    <w:p w14:paraId="6420C872" w14:textId="77777777" w:rsidR="00D12F61" w:rsidRDefault="00D12F61" w:rsidP="00981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1B173" w14:textId="77777777" w:rsidR="00D73CE0" w:rsidRPr="00F95221" w:rsidRDefault="00F95221" w:rsidP="00F952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6415-10-23</w:t>
    </w:r>
    <w:r>
      <w:rPr>
        <w:rFonts w:ascii="David" w:hAnsi="David"/>
        <w:color w:val="000000"/>
        <w:sz w:val="22"/>
        <w:szCs w:val="22"/>
        <w:rtl/>
      </w:rPr>
      <w:tab/>
      <w:t xml:space="preserve"> מדינת ישראל נ' ואדיע טראבלסי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43943" w14:textId="77777777" w:rsidR="00D73CE0" w:rsidRPr="00F95221" w:rsidRDefault="00F95221" w:rsidP="00F952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6415-10-23</w:t>
    </w:r>
    <w:r>
      <w:rPr>
        <w:rFonts w:ascii="David" w:hAnsi="David"/>
        <w:color w:val="000000"/>
        <w:sz w:val="22"/>
        <w:szCs w:val="22"/>
        <w:rtl/>
      </w:rPr>
      <w:tab/>
      <w:t xml:space="preserve"> מדינת ישראל נ' ואדיע טראבלסי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51F1B"/>
    <w:multiLevelType w:val="hybridMultilevel"/>
    <w:tmpl w:val="560EB6E6"/>
    <w:lvl w:ilvl="0" w:tplc="04090013">
      <w:start w:val="1"/>
      <w:numFmt w:val="hebrew1"/>
      <w:lvlText w:val="%1."/>
      <w:lvlJc w:val="center"/>
      <w:pPr>
        <w:ind w:left="1543"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20713425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158B"/>
    <w:rsid w:val="000316C4"/>
    <w:rsid w:val="0009158B"/>
    <w:rsid w:val="001B5A3B"/>
    <w:rsid w:val="00970EB4"/>
    <w:rsid w:val="00981BE3"/>
    <w:rsid w:val="00A8463F"/>
    <w:rsid w:val="00D12F61"/>
    <w:rsid w:val="00D607B6"/>
    <w:rsid w:val="00D73CE0"/>
    <w:rsid w:val="00F952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EA5142"/>
  <w15:chartTrackingRefBased/>
  <w15:docId w15:val="{EDAC78B6-D531-445D-85CC-C7AAF6B3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5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158B"/>
    <w:pPr>
      <w:tabs>
        <w:tab w:val="center" w:pos="4153"/>
        <w:tab w:val="right" w:pos="8306"/>
      </w:tabs>
    </w:pPr>
  </w:style>
  <w:style w:type="character" w:customStyle="1" w:styleId="a4">
    <w:name w:val="כותרת עליונה תו"/>
    <w:link w:val="a3"/>
    <w:rsid w:val="0009158B"/>
    <w:rPr>
      <w:rFonts w:ascii="Times New Roman" w:eastAsia="Times New Roman" w:hAnsi="Times New Roman" w:cs="David"/>
      <w:sz w:val="24"/>
      <w:szCs w:val="24"/>
    </w:rPr>
  </w:style>
  <w:style w:type="paragraph" w:styleId="a5">
    <w:name w:val="footer"/>
    <w:basedOn w:val="a"/>
    <w:link w:val="a6"/>
    <w:rsid w:val="0009158B"/>
    <w:pPr>
      <w:tabs>
        <w:tab w:val="center" w:pos="4153"/>
        <w:tab w:val="right" w:pos="8306"/>
      </w:tabs>
    </w:pPr>
  </w:style>
  <w:style w:type="character" w:customStyle="1" w:styleId="a6">
    <w:name w:val="כותרת תחתונה תו"/>
    <w:link w:val="a5"/>
    <w:rsid w:val="0009158B"/>
    <w:rPr>
      <w:rFonts w:ascii="Times New Roman" w:eastAsia="Times New Roman" w:hAnsi="Times New Roman" w:cs="David"/>
      <w:sz w:val="24"/>
      <w:szCs w:val="24"/>
    </w:rPr>
  </w:style>
  <w:style w:type="table" w:styleId="a7">
    <w:name w:val="Table Grid"/>
    <w:basedOn w:val="a1"/>
    <w:rsid w:val="000915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158B"/>
  </w:style>
  <w:style w:type="character" w:styleId="Hyperlink">
    <w:name w:val="Hyperlink"/>
    <w:rsid w:val="00D73CE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jc.b" TargetMode="External"/><Relationship Id="rId39" Type="http://schemas.openxmlformats.org/officeDocument/2006/relationships/hyperlink" Target="http://www.nevo.co.il/case/28550118" TargetMode="External"/><Relationship Id="rId21" Type="http://schemas.openxmlformats.org/officeDocument/2006/relationships/hyperlink" Target="http://www.nevo.co.il/law/70301/340a.b.1" TargetMode="External"/><Relationship Id="rId34" Type="http://schemas.openxmlformats.org/officeDocument/2006/relationships/hyperlink" Target="http://www.nevo.co.il/case/28697227"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40jc.b" TargetMode="External"/><Relationship Id="rId50" Type="http://schemas.openxmlformats.org/officeDocument/2006/relationships/hyperlink" Target="http://www.nevo.co.il/law/70301/404"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law/70301/144.g" TargetMode="External"/><Relationship Id="rId37" Type="http://schemas.openxmlformats.org/officeDocument/2006/relationships/hyperlink" Target="http://www.nevo.co.il/law/70301/340a.b.2" TargetMode="External"/><Relationship Id="rId40" Type="http://schemas.openxmlformats.org/officeDocument/2006/relationships/hyperlink" Target="http://www.nevo.co.il/case/26492590" TargetMode="External"/><Relationship Id="rId45" Type="http://schemas.openxmlformats.org/officeDocument/2006/relationships/hyperlink" Target="http://www.nevo.co.il/law/70301/40i"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40a.b.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6934681" TargetMode="External"/><Relationship Id="rId35" Type="http://schemas.openxmlformats.org/officeDocument/2006/relationships/hyperlink" Target="http://www.nevo.co.il/case/30315066" TargetMode="External"/><Relationship Id="rId43" Type="http://schemas.openxmlformats.org/officeDocument/2006/relationships/hyperlink" Target="http://www.nevo.co.il/law/70301/404" TargetMode="External"/><Relationship Id="rId48" Type="http://schemas.openxmlformats.org/officeDocument/2006/relationships/hyperlink" Target="http://www.nevo.co.il/law/70301/144" TargetMode="External"/><Relationship Id="rId56" Type="http://schemas.openxmlformats.org/officeDocument/2006/relationships/fontTable" Target="fontTable.xml"/><Relationship Id="rId8" Type="http://schemas.openxmlformats.org/officeDocument/2006/relationships/hyperlink" Target="http://www.nevo.co.il/law/70301/40g"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case/5576587"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23509035" TargetMode="External"/><Relationship Id="rId46" Type="http://schemas.openxmlformats.org/officeDocument/2006/relationships/hyperlink" Target="http://www.nevo.co.il/law/70301/40g"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0033653"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0301/404" TargetMode="External"/><Relationship Id="rId28" Type="http://schemas.openxmlformats.org/officeDocument/2006/relationships/hyperlink" Target="http://www.nevo.co.il/case/26905927" TargetMode="External"/><Relationship Id="rId36" Type="http://schemas.openxmlformats.org/officeDocument/2006/relationships/hyperlink" Target="http://www.nevo.co.il/law/70301/340a.b.1"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144"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683491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3057</Words>
  <Characters>15288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18309</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6619233</vt:i4>
      </vt:variant>
      <vt:variant>
        <vt:i4>129</vt:i4>
      </vt:variant>
      <vt:variant>
        <vt:i4>0</vt:i4>
      </vt:variant>
      <vt:variant>
        <vt:i4>5</vt:i4>
      </vt:variant>
      <vt:variant>
        <vt:lpwstr>http://www.nevo.co.il/law/70301/404</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6357092</vt:i4>
      </vt:variant>
      <vt:variant>
        <vt:i4>123</vt:i4>
      </vt:variant>
      <vt:variant>
        <vt:i4>0</vt:i4>
      </vt:variant>
      <vt:variant>
        <vt:i4>5</vt:i4>
      </vt:variant>
      <vt:variant>
        <vt:lpwstr>http://www.nevo.co.il/law/70301/144</vt:lpwstr>
      </vt:variant>
      <vt:variant>
        <vt:lpwstr/>
      </vt:variant>
      <vt:variant>
        <vt:i4>6553637</vt:i4>
      </vt:variant>
      <vt:variant>
        <vt:i4>120</vt:i4>
      </vt:variant>
      <vt:variant>
        <vt:i4>0</vt:i4>
      </vt:variant>
      <vt:variant>
        <vt:i4>5</vt:i4>
      </vt:variant>
      <vt:variant>
        <vt:lpwstr>http://www.nevo.co.il/law/70301/40jc.b</vt:lpwstr>
      </vt:variant>
      <vt:variant>
        <vt:lpwstr/>
      </vt:variant>
      <vt:variant>
        <vt:i4>6619233</vt:i4>
      </vt:variant>
      <vt:variant>
        <vt:i4>117</vt:i4>
      </vt:variant>
      <vt:variant>
        <vt:i4>0</vt:i4>
      </vt:variant>
      <vt:variant>
        <vt:i4>5</vt:i4>
      </vt:variant>
      <vt:variant>
        <vt:lpwstr>http://www.nevo.co.il/law/70301/40g</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3997817</vt:i4>
      </vt:variant>
      <vt:variant>
        <vt:i4>111</vt:i4>
      </vt:variant>
      <vt:variant>
        <vt:i4>0</vt:i4>
      </vt:variant>
      <vt:variant>
        <vt:i4>5</vt:i4>
      </vt:variant>
      <vt:variant>
        <vt:lpwstr>http://www.nevo.co.il/case/6834911</vt:lpwstr>
      </vt:variant>
      <vt:variant>
        <vt:lpwstr/>
      </vt:variant>
      <vt:variant>
        <vt:i4>6619233</vt:i4>
      </vt:variant>
      <vt:variant>
        <vt:i4>108</vt:i4>
      </vt:variant>
      <vt:variant>
        <vt:i4>0</vt:i4>
      </vt:variant>
      <vt:variant>
        <vt:i4>5</vt:i4>
      </vt:variant>
      <vt:variant>
        <vt:lpwstr>http://www.nevo.co.il/law/70301/404</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3407985</vt:i4>
      </vt:variant>
      <vt:variant>
        <vt:i4>102</vt:i4>
      </vt:variant>
      <vt:variant>
        <vt:i4>0</vt:i4>
      </vt:variant>
      <vt:variant>
        <vt:i4>5</vt:i4>
      </vt:variant>
      <vt:variant>
        <vt:lpwstr>http://www.nevo.co.il/case/20033653</vt:lpwstr>
      </vt:variant>
      <vt:variant>
        <vt:lpwstr/>
      </vt:variant>
      <vt:variant>
        <vt:i4>3997822</vt:i4>
      </vt:variant>
      <vt:variant>
        <vt:i4>99</vt:i4>
      </vt:variant>
      <vt:variant>
        <vt:i4>0</vt:i4>
      </vt:variant>
      <vt:variant>
        <vt:i4>5</vt:i4>
      </vt:variant>
      <vt:variant>
        <vt:lpwstr>http://www.nevo.co.il/case/26492590</vt:lpwstr>
      </vt:variant>
      <vt:variant>
        <vt:lpwstr/>
      </vt:variant>
      <vt:variant>
        <vt:i4>3539064</vt:i4>
      </vt:variant>
      <vt:variant>
        <vt:i4>96</vt:i4>
      </vt:variant>
      <vt:variant>
        <vt:i4>0</vt:i4>
      </vt:variant>
      <vt:variant>
        <vt:i4>5</vt:i4>
      </vt:variant>
      <vt:variant>
        <vt:lpwstr>http://www.nevo.co.il/case/28550118</vt:lpwstr>
      </vt:variant>
      <vt:variant>
        <vt:lpwstr/>
      </vt:variant>
      <vt:variant>
        <vt:i4>3997815</vt:i4>
      </vt:variant>
      <vt:variant>
        <vt:i4>93</vt:i4>
      </vt:variant>
      <vt:variant>
        <vt:i4>0</vt:i4>
      </vt:variant>
      <vt:variant>
        <vt:i4>5</vt:i4>
      </vt:variant>
      <vt:variant>
        <vt:lpwstr>http://www.nevo.co.il/case/23509035</vt:lpwstr>
      </vt:variant>
      <vt:variant>
        <vt:lpwstr/>
      </vt:variant>
      <vt:variant>
        <vt:i4>5242966</vt:i4>
      </vt:variant>
      <vt:variant>
        <vt:i4>90</vt:i4>
      </vt:variant>
      <vt:variant>
        <vt:i4>0</vt:i4>
      </vt:variant>
      <vt:variant>
        <vt:i4>5</vt:i4>
      </vt:variant>
      <vt:variant>
        <vt:lpwstr>http://www.nevo.co.il/law/70301/340a.b.2</vt:lpwstr>
      </vt:variant>
      <vt:variant>
        <vt:lpwstr/>
      </vt:variant>
      <vt:variant>
        <vt:i4>5439574</vt:i4>
      </vt:variant>
      <vt:variant>
        <vt:i4>87</vt:i4>
      </vt:variant>
      <vt:variant>
        <vt:i4>0</vt:i4>
      </vt:variant>
      <vt:variant>
        <vt:i4>5</vt:i4>
      </vt:variant>
      <vt:variant>
        <vt:lpwstr>http://www.nevo.co.il/law/70301/340a.b.1</vt:lpwstr>
      </vt:variant>
      <vt:variant>
        <vt:lpwstr/>
      </vt:variant>
      <vt:variant>
        <vt:i4>3342453</vt:i4>
      </vt:variant>
      <vt:variant>
        <vt:i4>84</vt:i4>
      </vt:variant>
      <vt:variant>
        <vt:i4>0</vt:i4>
      </vt:variant>
      <vt:variant>
        <vt:i4>5</vt:i4>
      </vt:variant>
      <vt:variant>
        <vt:lpwstr>http://www.nevo.co.il/case/30315066</vt:lpwstr>
      </vt:variant>
      <vt:variant>
        <vt:lpwstr/>
      </vt:variant>
      <vt:variant>
        <vt:i4>3211383</vt:i4>
      </vt:variant>
      <vt:variant>
        <vt:i4>81</vt:i4>
      </vt:variant>
      <vt:variant>
        <vt:i4>0</vt:i4>
      </vt:variant>
      <vt:variant>
        <vt:i4>5</vt:i4>
      </vt:variant>
      <vt:variant>
        <vt:lpwstr>http://www.nevo.co.il/case/28697227</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5177424</vt:i4>
      </vt:variant>
      <vt:variant>
        <vt:i4>75</vt:i4>
      </vt:variant>
      <vt:variant>
        <vt:i4>0</vt:i4>
      </vt:variant>
      <vt:variant>
        <vt:i4>5</vt:i4>
      </vt:variant>
      <vt:variant>
        <vt:lpwstr>http://www.nevo.co.il/law/70301/144.g</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3604599</vt:i4>
      </vt:variant>
      <vt:variant>
        <vt:i4>69</vt:i4>
      </vt:variant>
      <vt:variant>
        <vt:i4>0</vt:i4>
      </vt:variant>
      <vt:variant>
        <vt:i4>5</vt:i4>
      </vt:variant>
      <vt:variant>
        <vt:lpwstr>http://www.nevo.co.il/case/26934681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3932283</vt:i4>
      </vt:variant>
      <vt:variant>
        <vt:i4>63</vt:i4>
      </vt:variant>
      <vt:variant>
        <vt:i4>0</vt:i4>
      </vt:variant>
      <vt:variant>
        <vt:i4>5</vt:i4>
      </vt:variant>
      <vt:variant>
        <vt:lpwstr>http://www.nevo.co.il/case/26905927</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6553637</vt:i4>
      </vt:variant>
      <vt:variant>
        <vt:i4>57</vt:i4>
      </vt:variant>
      <vt:variant>
        <vt:i4>0</vt:i4>
      </vt:variant>
      <vt:variant>
        <vt:i4>5</vt:i4>
      </vt:variant>
      <vt:variant>
        <vt:lpwstr>http://www.nevo.co.il/law/70301/40jc.b</vt:lpwstr>
      </vt:variant>
      <vt:variant>
        <vt:lpwstr/>
      </vt:variant>
      <vt:variant>
        <vt:i4>3145855</vt:i4>
      </vt:variant>
      <vt:variant>
        <vt:i4>54</vt:i4>
      </vt:variant>
      <vt:variant>
        <vt:i4>0</vt:i4>
      </vt:variant>
      <vt:variant>
        <vt:i4>5</vt:i4>
      </vt:variant>
      <vt:variant>
        <vt:lpwstr>http://www.nevo.co.il/case/5576587</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6619233</vt:i4>
      </vt:variant>
      <vt:variant>
        <vt:i4>48</vt:i4>
      </vt:variant>
      <vt:variant>
        <vt:i4>0</vt:i4>
      </vt:variant>
      <vt:variant>
        <vt:i4>5</vt:i4>
      </vt:variant>
      <vt:variant>
        <vt:lpwstr>http://www.nevo.co.il/law/70301/404</vt:lpwstr>
      </vt:variant>
      <vt:variant>
        <vt:lpwstr/>
      </vt:variant>
      <vt:variant>
        <vt:i4>5242966</vt:i4>
      </vt:variant>
      <vt:variant>
        <vt:i4>45</vt:i4>
      </vt:variant>
      <vt:variant>
        <vt:i4>0</vt:i4>
      </vt:variant>
      <vt:variant>
        <vt:i4>5</vt:i4>
      </vt:variant>
      <vt:variant>
        <vt:lpwstr>http://www.nevo.co.il/law/70301/340a.b.2</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6619233</vt:i4>
      </vt:variant>
      <vt:variant>
        <vt:i4>27</vt:i4>
      </vt:variant>
      <vt:variant>
        <vt:i4>0</vt:i4>
      </vt:variant>
      <vt:variant>
        <vt:i4>5</vt:i4>
      </vt:variant>
      <vt:variant>
        <vt:lpwstr>http://www.nevo.co.il/law/70301/404</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http://www.nevo.co.il/law/70301/40g</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6415</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ואדיע טראבלסי</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20241015</vt:lpwstr>
  </property>
  <property fmtid="{D5CDD505-2E9C-101B-9397-08002B2CF9AE}" pid="13" name="TYPE_N_DATE">
    <vt:lpwstr>39020241015</vt:lpwstr>
  </property>
  <property fmtid="{D5CDD505-2E9C-101B-9397-08002B2CF9AE}" pid="14" name="CASESLISTTMP1">
    <vt:lpwstr>13093721;5576587;26905927;26934681;25824863;28883087;28697227;30315066;23509035;28550118;26492590;20033653;6834911</vt:lpwstr>
  </property>
  <property fmtid="{D5CDD505-2E9C-101B-9397-08002B2CF9AE}" pid="15" name="CASENOTES1">
    <vt:lpwstr>ProcID=209&amp;PartA=50767&amp;PartB=06&amp;PartC=23</vt:lpwstr>
  </property>
  <property fmtid="{D5CDD505-2E9C-101B-9397-08002B2CF9AE}" pid="16" name="CASENOTES2">
    <vt:lpwstr>ProcID=133;209&amp;PartA=1391&amp;PartC=16</vt:lpwstr>
  </property>
  <property fmtid="{D5CDD505-2E9C-101B-9397-08002B2CF9AE}" pid="17" name="WORDNUMPAGES">
    <vt:lpwstr>9</vt:lpwstr>
  </property>
  <property fmtid="{D5CDD505-2E9C-101B-9397-08002B2CF9AE}" pid="18" name="TYPE_ABS_DATE">
    <vt:lpwstr>390020241015</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70301/144.a;144.b;340a.b.1:2;340a.b.2:2;404:3;40jc.b:2;144.g;040i:2;040g;144</vt:lpwstr>
  </property>
</Properties>
</file>