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8802" w:type="dxa"/>
        <w:jc w:val="center"/>
        <w:tblLook w:val="0000" w:firstRow="0" w:lastRow="0" w:firstColumn="0" w:lastColumn="0" w:noHBand="0" w:noVBand="0"/>
      </w:tblPr>
      <w:tblGrid>
        <w:gridCol w:w="28"/>
        <w:gridCol w:w="2852"/>
        <w:gridCol w:w="2202"/>
        <w:gridCol w:w="3636"/>
        <w:gridCol w:w="31"/>
        <w:gridCol w:w="53"/>
      </w:tblGrid>
      <w:tr w:rsidR="00F0483E" w:rsidRPr="004D1220" w14:paraId="747797D5" w14:textId="77777777" w:rsidTr="00AA4BC3">
        <w:trPr>
          <w:gridBefore w:val="1"/>
          <w:gridAfter w:val="1"/>
          <w:wBefore w:w="28" w:type="dxa"/>
          <w:wAfter w:w="53" w:type="dxa"/>
          <w:trHeight w:hRule="exact" w:val="418"/>
          <w:jc w:val="center"/>
        </w:trPr>
        <w:tc>
          <w:tcPr>
            <w:tcW w:w="8721" w:type="dxa"/>
            <w:gridSpan w:val="4"/>
          </w:tcPr>
          <w:p w14:paraId="5235C947" w14:textId="77777777" w:rsidR="00F0483E" w:rsidRPr="004D1220" w:rsidRDefault="00F0483E" w:rsidP="009324E0">
            <w:pPr>
              <w:pStyle w:val="a3"/>
              <w:jc w:val="center"/>
              <w:rPr>
                <w:rFonts w:ascii="Tahoma" w:hAnsi="Tahoma"/>
                <w:color w:val="000080"/>
                <w:sz w:val="32"/>
                <w:szCs w:val="32"/>
                <w:rtl/>
              </w:rPr>
            </w:pPr>
            <w:bookmarkStart w:id="0" w:name="LastJudge"/>
            <w:r w:rsidRPr="004D1220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המשפט המחוזי בתל אביב -יפו</w:t>
            </w:r>
          </w:p>
        </w:tc>
      </w:tr>
      <w:tr w:rsidR="00F0483E" w:rsidRPr="004D1220" w14:paraId="62C9A245" w14:textId="77777777" w:rsidTr="00AA4BC3">
        <w:trPr>
          <w:gridBefore w:val="1"/>
          <w:gridAfter w:val="1"/>
          <w:wBefore w:w="28" w:type="dxa"/>
          <w:wAfter w:w="53" w:type="dxa"/>
          <w:trHeight w:val="337"/>
          <w:jc w:val="center"/>
        </w:trPr>
        <w:tc>
          <w:tcPr>
            <w:tcW w:w="5054" w:type="dxa"/>
            <w:gridSpan w:val="2"/>
          </w:tcPr>
          <w:p w14:paraId="2B08CDED" w14:textId="77777777" w:rsidR="00F0483E" w:rsidRPr="004D1220" w:rsidRDefault="00F0483E" w:rsidP="009324E0">
            <w:pPr>
              <w:rPr>
                <w:sz w:val="26"/>
                <w:szCs w:val="26"/>
                <w:rtl/>
              </w:rPr>
            </w:pPr>
            <w:r w:rsidRPr="004D1220">
              <w:rPr>
                <w:sz w:val="26"/>
                <w:szCs w:val="26"/>
                <w:rtl/>
              </w:rPr>
              <w:t>ת"פ</w:t>
            </w:r>
            <w:r w:rsidRPr="004D122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D1220">
              <w:rPr>
                <w:sz w:val="26"/>
                <w:szCs w:val="26"/>
                <w:rtl/>
              </w:rPr>
              <w:t>6695-10-23</w:t>
            </w:r>
            <w:r w:rsidRPr="004D122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D1220">
              <w:rPr>
                <w:sz w:val="26"/>
                <w:szCs w:val="26"/>
                <w:rtl/>
              </w:rPr>
              <w:t>מדינת ישראל נ' אבו  חלווה ואח'</w:t>
            </w:r>
          </w:p>
          <w:p w14:paraId="0BD0C735" w14:textId="77777777" w:rsidR="00F0483E" w:rsidRPr="004D1220" w:rsidRDefault="00F0483E" w:rsidP="009324E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  <w:gridSpan w:val="2"/>
          </w:tcPr>
          <w:p w14:paraId="6376E204" w14:textId="77777777" w:rsidR="00F0483E" w:rsidRPr="004D1220" w:rsidRDefault="00F0483E" w:rsidP="009324E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  <w:tr w:rsidR="00F0483E" w:rsidRPr="004D1220" w14:paraId="4EC84EEA" w14:textId="77777777" w:rsidTr="00AA4BC3">
        <w:tblPrEx>
          <w:jc w:val="left"/>
          <w:tblInd w:w="-28" w:type="dxa"/>
          <w:tblLook w:val="01E0" w:firstRow="1" w:lastRow="1" w:firstColumn="1" w:lastColumn="1" w:noHBand="0" w:noVBand="0"/>
        </w:tblPrEx>
        <w:trPr>
          <w:gridAfter w:val="2"/>
          <w:wAfter w:w="84" w:type="dxa"/>
        </w:trPr>
        <w:tc>
          <w:tcPr>
            <w:tcW w:w="8718" w:type="dxa"/>
            <w:gridSpan w:val="4"/>
            <w:shd w:val="clear" w:color="auto" w:fill="auto"/>
          </w:tcPr>
          <w:p w14:paraId="6C6323B4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4D1220">
              <w:rPr>
                <w:rFonts w:hint="cs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 xml:space="preserve">בפני כב' השופט </w:t>
            </w:r>
            <w:r w:rsidRPr="004D1220">
              <w:rPr>
                <w:rFonts w:ascii="David" w:hAnsi="David" w:hint="cs"/>
                <w:b/>
                <w:bCs/>
                <w:rtl/>
              </w:rPr>
              <w:t>עמית,ציון קאפח</w:t>
            </w:r>
          </w:p>
          <w:p w14:paraId="325DAD26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</w:p>
        </w:tc>
      </w:tr>
      <w:tr w:rsidR="00F0483E" w:rsidRPr="004D1220" w14:paraId="0AAE8FD9" w14:textId="77777777" w:rsidTr="00AA4BC3">
        <w:tblPrEx>
          <w:jc w:val="left"/>
          <w:tblInd w:w="-28" w:type="dxa"/>
          <w:tblLook w:val="01E0" w:firstRow="1" w:lastRow="1" w:firstColumn="1" w:lastColumn="1" w:noHBand="0" w:noVBand="0"/>
        </w:tblPrEx>
        <w:trPr>
          <w:cantSplit/>
          <w:trHeight w:val="724"/>
        </w:trPr>
        <w:tc>
          <w:tcPr>
            <w:tcW w:w="2880" w:type="dxa"/>
            <w:gridSpan w:val="2"/>
            <w:shd w:val="clear" w:color="auto" w:fill="auto"/>
          </w:tcPr>
          <w:p w14:paraId="7588451D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bookmarkStart w:id="1" w:name="FirstAppellant"/>
          </w:p>
          <w:p w14:paraId="07D06F23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4D1220">
              <w:rPr>
                <w:rFonts w:ascii="David" w:hAnsi="David"/>
                <w:b/>
                <w:bCs/>
                <w:rtl/>
              </w:rPr>
              <w:t>המאשימה</w:t>
            </w:r>
          </w:p>
        </w:tc>
        <w:tc>
          <w:tcPr>
            <w:tcW w:w="5922" w:type="dxa"/>
            <w:gridSpan w:val="4"/>
            <w:shd w:val="clear" w:color="auto" w:fill="auto"/>
          </w:tcPr>
          <w:p w14:paraId="62444018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rtl/>
              </w:rPr>
            </w:pPr>
          </w:p>
          <w:p w14:paraId="6F5BC344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4D1220">
              <w:rPr>
                <w:rFonts w:ascii="David" w:hAnsi="David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>מדינת ישראל</w:t>
            </w:r>
          </w:p>
          <w:p w14:paraId="2E5EECC8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</w:p>
        </w:tc>
      </w:tr>
      <w:bookmarkEnd w:id="1"/>
      <w:tr w:rsidR="00F0483E" w:rsidRPr="004D1220" w14:paraId="02DAE207" w14:textId="77777777" w:rsidTr="00AA4BC3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8802" w:type="dxa"/>
            <w:gridSpan w:val="6"/>
            <w:shd w:val="clear" w:color="auto" w:fill="auto"/>
            <w:vAlign w:val="center"/>
          </w:tcPr>
          <w:p w14:paraId="65D12D7B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</w:p>
          <w:p w14:paraId="24CAA39F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4D1220">
              <w:rPr>
                <w:rFonts w:ascii="David" w:hAnsi="David"/>
                <w:b/>
                <w:bCs/>
                <w:rtl/>
              </w:rPr>
              <w:t>נגד</w:t>
            </w:r>
          </w:p>
          <w:p w14:paraId="0CF3DFBC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</w:p>
        </w:tc>
      </w:tr>
      <w:tr w:rsidR="00F0483E" w:rsidRPr="004D1220" w14:paraId="22CEDCE5" w14:textId="77777777" w:rsidTr="00AA4BC3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2880" w:type="dxa"/>
            <w:gridSpan w:val="2"/>
            <w:shd w:val="clear" w:color="auto" w:fill="auto"/>
          </w:tcPr>
          <w:p w14:paraId="221DD8E6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4D1220">
              <w:rPr>
                <w:rFonts w:ascii="David" w:hAnsi="David"/>
                <w:b/>
                <w:bCs/>
                <w:rtl/>
              </w:rPr>
              <w:t>הנאשמים</w:t>
            </w:r>
          </w:p>
        </w:tc>
        <w:tc>
          <w:tcPr>
            <w:tcW w:w="5922" w:type="dxa"/>
            <w:gridSpan w:val="4"/>
            <w:shd w:val="clear" w:color="auto" w:fill="auto"/>
          </w:tcPr>
          <w:p w14:paraId="6E16A56E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</w:rPr>
            </w:pPr>
            <w:r w:rsidRPr="004D1220">
              <w:rPr>
                <w:rFonts w:ascii="David" w:hAnsi="David"/>
                <w:b/>
                <w:bCs/>
              </w:rPr>
              <w:t>.1</w:t>
            </w:r>
            <w:r w:rsidRPr="004D1220">
              <w:rPr>
                <w:rFonts w:ascii="David" w:hAnsi="David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>רעד אבו חלווה (עציר)</w:t>
            </w:r>
            <w:r w:rsidRPr="004D1220">
              <w:rPr>
                <w:rFonts w:ascii="David" w:hAnsi="David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 xml:space="preserve">ת"ז  </w:t>
            </w:r>
            <w:r w:rsidR="004D1220">
              <w:rPr>
                <w:rFonts w:ascii="David" w:hAnsi="David"/>
                <w:b/>
                <w:bCs/>
              </w:rPr>
              <w:t>xxxxxxxxxx</w:t>
            </w:r>
          </w:p>
          <w:p w14:paraId="75D54E71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</w:p>
          <w:p w14:paraId="132F2B08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4D1220">
              <w:rPr>
                <w:rFonts w:ascii="David" w:hAnsi="David"/>
                <w:b/>
                <w:bCs/>
              </w:rPr>
              <w:t>.2</w:t>
            </w:r>
            <w:r w:rsidRPr="004D1220">
              <w:rPr>
                <w:rFonts w:ascii="David" w:hAnsi="David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>האני אצלוח (עציר)</w:t>
            </w:r>
            <w:r w:rsidRPr="004D1220">
              <w:rPr>
                <w:rFonts w:ascii="David" w:hAnsi="David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 xml:space="preserve">ת"ז  </w:t>
            </w:r>
            <w:r w:rsidR="004D1220">
              <w:rPr>
                <w:rFonts w:ascii="David" w:hAnsi="David"/>
                <w:b/>
                <w:bCs/>
              </w:rPr>
              <w:t>xxxxxxxxxx</w:t>
            </w:r>
          </w:p>
          <w:p w14:paraId="13928DA1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</w:p>
          <w:p w14:paraId="7850040B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4D1220">
              <w:rPr>
                <w:rFonts w:ascii="David" w:hAnsi="David"/>
                <w:b/>
                <w:bCs/>
              </w:rPr>
              <w:t>.3</w:t>
            </w:r>
            <w:r w:rsidRPr="004D1220">
              <w:rPr>
                <w:rFonts w:ascii="David" w:hAnsi="David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>גיבריל גאדלה (עציר)</w:t>
            </w:r>
            <w:r w:rsidRPr="004D1220">
              <w:rPr>
                <w:rFonts w:ascii="David" w:hAnsi="David"/>
                <w:rtl/>
              </w:rPr>
              <w:t xml:space="preserve"> </w:t>
            </w:r>
            <w:r w:rsidRPr="004D1220">
              <w:rPr>
                <w:rFonts w:ascii="David" w:hAnsi="David"/>
                <w:b/>
                <w:bCs/>
                <w:rtl/>
              </w:rPr>
              <w:t xml:space="preserve">ת"ז  </w:t>
            </w:r>
            <w:r w:rsidR="004D1220">
              <w:rPr>
                <w:rFonts w:ascii="David" w:hAnsi="David"/>
                <w:b/>
                <w:bCs/>
              </w:rPr>
              <w:t>xxxxxxxxxx</w:t>
            </w:r>
          </w:p>
          <w:p w14:paraId="30B820CB" w14:textId="77777777" w:rsidR="00F0483E" w:rsidRPr="004D1220" w:rsidRDefault="00F0483E" w:rsidP="00F0483E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</w:p>
        </w:tc>
      </w:tr>
    </w:tbl>
    <w:p w14:paraId="74FD0C2A" w14:textId="77777777" w:rsidR="004D1220" w:rsidRPr="004D1220" w:rsidRDefault="004D1220" w:rsidP="004D1220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AC89255" w14:textId="77777777" w:rsidR="004D1220" w:rsidRPr="004D1220" w:rsidRDefault="004D1220" w:rsidP="004D1220">
      <w:pPr>
        <w:spacing w:line="360" w:lineRule="auto"/>
        <w:jc w:val="both"/>
        <w:rPr>
          <w:rFonts w:ascii="Arial" w:hAnsi="Arial"/>
          <w:rtl/>
        </w:rPr>
      </w:pPr>
    </w:p>
    <w:p w14:paraId="6BA29015" w14:textId="77777777" w:rsidR="00AA4BC3" w:rsidRPr="00AA4BC3" w:rsidRDefault="00AA4BC3" w:rsidP="00AA4BC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</w:p>
    <w:p w14:paraId="567E613A" w14:textId="77777777" w:rsidR="00AA4BC3" w:rsidRPr="00AA4BC3" w:rsidRDefault="00AA4BC3" w:rsidP="00AA4BC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A4BC3">
        <w:rPr>
          <w:rFonts w:ascii="FrankRuehl" w:hAnsi="FrankRuehl" w:cs="FrankRuehl"/>
          <w:rtl/>
        </w:rPr>
        <w:t xml:space="preserve">חקיקה שאוזכרה: </w:t>
      </w:r>
    </w:p>
    <w:p w14:paraId="4964C19D" w14:textId="77777777" w:rsidR="00AA4BC3" w:rsidRPr="00AA4BC3" w:rsidRDefault="00AA4BC3" w:rsidP="00AA4BC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7" w:history="1">
        <w:r w:rsidRPr="00AA4BC3">
          <w:rPr>
            <w:rStyle w:val="Hyperlink"/>
            <w:rFonts w:ascii="FrankRuehl" w:hAnsi="FrankRuehl" w:cs="FrankRuehl"/>
            <w:u w:val="none"/>
            <w:rtl/>
          </w:rPr>
          <w:t>חוק העונשין, תשל"ז-1977</w:t>
        </w:r>
      </w:hyperlink>
      <w:r w:rsidRPr="00AA4BC3">
        <w:rPr>
          <w:rFonts w:ascii="FrankRuehl" w:hAnsi="FrankRuehl" w:cs="FrankRuehl"/>
          <w:color w:val="0000FF"/>
          <w:rtl/>
        </w:rPr>
        <w:t xml:space="preserve">: סע'  </w:t>
      </w:r>
      <w:hyperlink r:id="rId8" w:history="1">
        <w:r w:rsidRPr="00AA4BC3">
          <w:rPr>
            <w:rStyle w:val="Hyperlink"/>
            <w:rFonts w:ascii="FrankRuehl" w:hAnsi="FrankRuehl" w:cs="FrankRuehl"/>
            <w:u w:val="none"/>
          </w:rPr>
          <w:t>29</w:t>
        </w:r>
      </w:hyperlink>
      <w:r w:rsidRPr="00AA4BC3">
        <w:rPr>
          <w:rFonts w:ascii="FrankRuehl" w:hAnsi="FrankRuehl" w:cs="FrankRuehl"/>
          <w:color w:val="0000FF"/>
          <w:rtl/>
        </w:rPr>
        <w:t xml:space="preserve">, </w:t>
      </w:r>
      <w:hyperlink r:id="rId9" w:history="1">
        <w:r w:rsidRPr="00AA4BC3">
          <w:rPr>
            <w:rStyle w:val="Hyperlink"/>
            <w:rFonts w:ascii="FrankRuehl" w:hAnsi="FrankRuehl" w:cs="FrankRuehl"/>
            <w:u w:val="none"/>
          </w:rPr>
          <w:t>144</w:t>
        </w:r>
      </w:hyperlink>
      <w:r w:rsidRPr="00AA4BC3">
        <w:rPr>
          <w:rFonts w:ascii="FrankRuehl" w:hAnsi="FrankRuehl" w:cs="FrankRuehl"/>
          <w:color w:val="0000FF"/>
          <w:rtl/>
        </w:rPr>
        <w:t xml:space="preserve">(א), </w:t>
      </w:r>
      <w:hyperlink r:id="rId10" w:history="1">
        <w:r w:rsidRPr="00AA4BC3">
          <w:rPr>
            <w:rStyle w:val="Hyperlink"/>
            <w:rFonts w:ascii="FrankRuehl" w:hAnsi="FrankRuehl" w:cs="FrankRuehl"/>
            <w:u w:val="none"/>
          </w:rPr>
          <w:t>144</w:t>
        </w:r>
      </w:hyperlink>
      <w:r w:rsidRPr="00AA4BC3">
        <w:rPr>
          <w:rFonts w:ascii="FrankRuehl" w:hAnsi="FrankRuehl" w:cs="FrankRuehl"/>
          <w:color w:val="0000FF"/>
          <w:rtl/>
        </w:rPr>
        <w:t>(ב)</w:t>
      </w:r>
    </w:p>
    <w:p w14:paraId="3964922E" w14:textId="77777777" w:rsidR="00F0483E" w:rsidRPr="00AA4BC3" w:rsidRDefault="00F0483E" w:rsidP="00AA4BC3">
      <w:pPr>
        <w:spacing w:line="360" w:lineRule="auto"/>
        <w:jc w:val="both"/>
        <w:rPr>
          <w:rFonts w:ascii="Arial" w:hAnsi="Arial"/>
          <w:rtl/>
        </w:rPr>
      </w:pPr>
      <w:bookmarkStart w:id="3" w:name="LawTable_End"/>
      <w:bookmarkEnd w:id="3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0483E" w14:paraId="34E397ED" w14:textId="77777777" w:rsidTr="00F0483E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8C8FF" w14:textId="77777777" w:rsidR="004D1220" w:rsidRPr="004D1220" w:rsidRDefault="004D1220" w:rsidP="004D1220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bookmarkEnd w:id="0"/>
            <w:r w:rsidRPr="004D122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 לנאשמים 2-3</w:t>
            </w:r>
          </w:p>
          <w:p w14:paraId="1D53DA1F" w14:textId="77777777" w:rsidR="00F0483E" w:rsidRPr="004D1220" w:rsidRDefault="00F0483E" w:rsidP="004D1220">
            <w:pPr>
              <w:spacing w:line="360" w:lineRule="auto"/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1A482F93" w14:textId="77777777" w:rsidR="00F0483E" w:rsidRPr="00B05847" w:rsidRDefault="00F0483E" w:rsidP="00F0483E">
      <w:pPr>
        <w:spacing w:line="360" w:lineRule="auto"/>
        <w:jc w:val="both"/>
        <w:rPr>
          <w:rFonts w:ascii="Arial" w:hAnsi="Arial"/>
          <w:rtl/>
        </w:rPr>
      </w:pPr>
    </w:p>
    <w:p w14:paraId="5E55D106" w14:textId="77777777" w:rsidR="00F0483E" w:rsidRPr="00B05847" w:rsidRDefault="00F0483E" w:rsidP="00F0483E">
      <w:pPr>
        <w:spacing w:line="360" w:lineRule="auto"/>
        <w:jc w:val="both"/>
        <w:rPr>
          <w:rFonts w:ascii="Arial" w:hAnsi="Arial"/>
          <w:rtl/>
        </w:rPr>
      </w:pPr>
      <w:bookmarkStart w:id="5" w:name="ABSTRACT_START"/>
      <w:bookmarkEnd w:id="5"/>
      <w:r>
        <w:rPr>
          <w:rFonts w:ascii="Arial" w:hAnsi="Arial" w:hint="cs"/>
          <w:rtl/>
        </w:rPr>
        <w:t>הנאשמים הורשעו על פי הודאותיהם ובמסגרת הסדר טיעון בעובדות כתב האישום המתוקן כדלקמן:</w:t>
      </w:r>
    </w:p>
    <w:p w14:paraId="1D40BCFB" w14:textId="77777777" w:rsidR="00F0483E" w:rsidRDefault="00F0483E" w:rsidP="00F0483E">
      <w:pPr>
        <w:spacing w:line="360" w:lineRule="auto"/>
        <w:jc w:val="both"/>
        <w:rPr>
          <w:b/>
          <w:bCs/>
          <w:sz w:val="22"/>
          <w:u w:val="single"/>
          <w:rtl/>
        </w:rPr>
      </w:pPr>
    </w:p>
    <w:p w14:paraId="579EAEF1" w14:textId="77777777" w:rsidR="00F0483E" w:rsidRPr="0095366D" w:rsidRDefault="00F0483E" w:rsidP="00F0483E">
      <w:pPr>
        <w:spacing w:after="200" w:line="360" w:lineRule="auto"/>
        <w:jc w:val="both"/>
        <w:rPr>
          <w:b/>
          <w:bCs/>
          <w:sz w:val="22"/>
          <w:szCs w:val="22"/>
          <w:rtl/>
        </w:rPr>
      </w:pPr>
      <w:r w:rsidRPr="0095366D">
        <w:rPr>
          <w:rFonts w:hint="cs"/>
          <w:b/>
          <w:bCs/>
          <w:sz w:val="22"/>
          <w:rtl/>
        </w:rPr>
        <w:t xml:space="preserve">א. </w:t>
      </w:r>
      <w:r w:rsidRPr="0095366D">
        <w:rPr>
          <w:b/>
          <w:bCs/>
          <w:sz w:val="22"/>
          <w:rtl/>
        </w:rPr>
        <w:t xml:space="preserve">העובדות : </w:t>
      </w:r>
    </w:p>
    <w:p w14:paraId="7DAA3182" w14:textId="77777777" w:rsidR="00F0483E" w:rsidRDefault="00F0483E" w:rsidP="00F0483E">
      <w:pPr>
        <w:numPr>
          <w:ilvl w:val="1"/>
          <w:numId w:val="1"/>
        </w:numPr>
        <w:tabs>
          <w:tab w:val="left" w:pos="720"/>
          <w:tab w:val="left" w:pos="2160"/>
          <w:tab w:val="left" w:pos="2880"/>
        </w:tabs>
        <w:spacing w:before="240"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ביום 24.07.2004 נגנב אקדח תוצרת חברת </w:t>
      </w:r>
      <w:r>
        <w:rPr>
          <w:rFonts w:ascii="Arial" w:hAnsi="Arial"/>
        </w:rPr>
        <w:t>CZ</w:t>
      </w:r>
      <w:r>
        <w:rPr>
          <w:rFonts w:ascii="Arial" w:hAnsi="Arial"/>
          <w:rtl/>
        </w:rPr>
        <w:t>, מספר סידורי 15862 (להלן: "</w:t>
      </w:r>
      <w:r>
        <w:rPr>
          <w:rFonts w:ascii="Arial" w:hAnsi="Arial"/>
          <w:b/>
          <w:bCs/>
          <w:rtl/>
        </w:rPr>
        <w:t>האקדח</w:t>
      </w:r>
      <w:r>
        <w:rPr>
          <w:rFonts w:ascii="Arial" w:hAnsi="Arial"/>
          <w:rtl/>
        </w:rPr>
        <w:t>"), אשר היה רשום כדין על שם בעליו, גיא גורצקי.</w:t>
      </w:r>
    </w:p>
    <w:p w14:paraId="053A3FE4" w14:textId="77777777" w:rsidR="00F0483E" w:rsidRDefault="00F0483E" w:rsidP="00F0483E">
      <w:pPr>
        <w:numPr>
          <w:ilvl w:val="1"/>
          <w:numId w:val="1"/>
        </w:numPr>
        <w:tabs>
          <w:tab w:val="left" w:pos="720"/>
          <w:tab w:val="left" w:pos="2160"/>
          <w:tab w:val="left" w:pos="2880"/>
        </w:tabs>
        <w:spacing w:before="240" w:line="360" w:lineRule="auto"/>
        <w:jc w:val="both"/>
        <w:rPr>
          <w:rFonts w:ascii="Arial" w:hAnsi="Arial"/>
        </w:rPr>
      </w:pPr>
      <w:bookmarkStart w:id="6" w:name="ABSTRACT_END"/>
      <w:bookmarkEnd w:id="6"/>
      <w:r>
        <w:rPr>
          <w:rFonts w:ascii="Arial" w:hAnsi="Arial"/>
          <w:rtl/>
        </w:rPr>
        <w:lastRenderedPageBreak/>
        <w:t xml:space="preserve">עובר ליום 24.9.2023 או בסמוך לכך, נשא והוביל נאשם 2 את האקדח עם מחסנית ללא כדורים, על גופו וזאת ללא כדין וללא רישיון לכך. </w:t>
      </w:r>
    </w:p>
    <w:p w14:paraId="26B1C474" w14:textId="77777777" w:rsidR="00F0483E" w:rsidRDefault="00F0483E" w:rsidP="00F0483E">
      <w:pPr>
        <w:numPr>
          <w:ilvl w:val="1"/>
          <w:numId w:val="1"/>
        </w:numPr>
        <w:tabs>
          <w:tab w:val="left" w:pos="720"/>
          <w:tab w:val="left" w:pos="2160"/>
          <w:tab w:val="left" w:pos="2880"/>
        </w:tabs>
        <w:spacing w:before="240"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ביום 24.09.2023, בשעות הערב, נסעו הנאשמים ברכב מסחרי מסוג מרצדס בנץ (מספר רישוי 467-41-602, להלן: "</w:t>
      </w:r>
      <w:r>
        <w:rPr>
          <w:rFonts w:ascii="Arial" w:hAnsi="Arial"/>
          <w:b/>
          <w:bCs/>
          <w:rtl/>
        </w:rPr>
        <w:t>הרכב"</w:t>
      </w:r>
      <w:r>
        <w:rPr>
          <w:rFonts w:ascii="Arial" w:hAnsi="Arial"/>
          <w:rtl/>
        </w:rPr>
        <w:t>). במהלך נסיעתם, החזיק נאשם 2 את הנשק ברכב ולחץ על ההדק, אך לא בוצע ירי.</w:t>
      </w:r>
    </w:p>
    <w:p w14:paraId="0CCA5994" w14:textId="77777777" w:rsidR="00F0483E" w:rsidRDefault="00F0483E" w:rsidP="00F0483E">
      <w:pPr>
        <w:numPr>
          <w:ilvl w:val="1"/>
          <w:numId w:val="1"/>
        </w:numPr>
        <w:tabs>
          <w:tab w:val="left" w:pos="720"/>
          <w:tab w:val="left" w:pos="2160"/>
          <w:tab w:val="left" w:pos="2880"/>
        </w:tabs>
        <w:spacing w:before="240"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בהמשך לכך, החזיק נאשם 3 באקדח והצטלם איתו, וזאת בשעה שנסעו ברכב באזור כיכר השעון ביפו.</w:t>
      </w:r>
    </w:p>
    <w:p w14:paraId="49DB4886" w14:textId="77777777" w:rsidR="00F0483E" w:rsidRDefault="00F0483E" w:rsidP="00F0483E">
      <w:pPr>
        <w:numPr>
          <w:ilvl w:val="1"/>
          <w:numId w:val="1"/>
        </w:numPr>
        <w:tabs>
          <w:tab w:val="left" w:pos="720"/>
          <w:tab w:val="left" w:pos="2160"/>
          <w:tab w:val="left" w:pos="2880"/>
        </w:tabs>
        <w:spacing w:before="240"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בסמוך לאחר מכן, נעצרו הנאשמים ברחוב שדרות הר ציון 65 בתל אביב יפו כשהאקדח והמחסנית מוסתר בתוך הרכב, בידיעת נאשם 1 והסכמתו. </w:t>
      </w:r>
    </w:p>
    <w:p w14:paraId="7C7A1AA3" w14:textId="77777777" w:rsidR="00F0483E" w:rsidRDefault="00F0483E" w:rsidP="00F0483E">
      <w:pPr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</w:tabs>
        <w:spacing w:before="240"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במעשיו המתוארים לעיל, סייע נאשם 1 לנאשמים האחרים בהחזקת נשק שלא כדין. נאשם 2 נשא והוביל נשק ללא רשות על פי דין. נאשם 3 החזיק בנשק ללא רשות על פי דין.</w:t>
      </w:r>
    </w:p>
    <w:p w14:paraId="735CD6DF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4BAC2C5C" w14:textId="77777777" w:rsidR="00F0483E" w:rsidRPr="0095366D" w:rsidRDefault="00F0483E" w:rsidP="00F0483E">
      <w:pPr>
        <w:spacing w:line="360" w:lineRule="auto"/>
        <w:jc w:val="both"/>
        <w:rPr>
          <w:b/>
          <w:bCs/>
          <w:rtl/>
        </w:rPr>
      </w:pPr>
      <w:r w:rsidRPr="0095366D">
        <w:rPr>
          <w:b/>
          <w:bCs/>
          <w:rtl/>
        </w:rPr>
        <w:t xml:space="preserve">הוראת החיקוק לפיה </w:t>
      </w:r>
      <w:r w:rsidRPr="0095366D">
        <w:rPr>
          <w:rFonts w:hint="cs"/>
          <w:b/>
          <w:bCs/>
          <w:rtl/>
        </w:rPr>
        <w:t>הורשע</w:t>
      </w:r>
      <w:r w:rsidRPr="0095366D">
        <w:rPr>
          <w:b/>
          <w:bCs/>
          <w:rtl/>
        </w:rPr>
        <w:t xml:space="preserve"> נאשם 2:</w:t>
      </w:r>
    </w:p>
    <w:p w14:paraId="272EAF4C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tl/>
        </w:rPr>
        <w:t xml:space="preserve">נשיאה והובלת נשק – עבירה לפי </w:t>
      </w:r>
      <w:hyperlink r:id="rId11" w:history="1">
        <w:r w:rsidR="00AA4BC3" w:rsidRPr="00AA4BC3">
          <w:rPr>
            <w:rStyle w:val="Hyperlink"/>
            <w:color w:val="0000FF"/>
            <w:rtl/>
          </w:rPr>
          <w:t>סעיף 144(ב)</w:t>
        </w:r>
      </w:hyperlink>
      <w:r>
        <w:rPr>
          <w:rtl/>
        </w:rPr>
        <w:t xml:space="preserve"> רישא יחד עם סעיף </w:t>
      </w:r>
      <w:hyperlink r:id="rId12" w:history="1">
        <w:r w:rsidR="00AA4BC3" w:rsidRPr="00AA4BC3">
          <w:rPr>
            <w:rStyle w:val="Hyperlink"/>
            <w:color w:val="0000FF"/>
            <w:rtl/>
          </w:rPr>
          <w:t>29</w:t>
        </w:r>
      </w:hyperlink>
      <w:r>
        <w:rPr>
          <w:rtl/>
        </w:rPr>
        <w:t xml:space="preserve"> ל</w:t>
      </w:r>
      <w:hyperlink r:id="rId13" w:history="1">
        <w:r w:rsidR="004D1220" w:rsidRPr="004D1220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>, התשל"ז-1977 (להלן: "</w:t>
      </w:r>
      <w:r w:rsidRPr="00FA0279">
        <w:rPr>
          <w:rFonts w:hint="cs"/>
          <w:b/>
          <w:bCs/>
          <w:rtl/>
        </w:rPr>
        <w:t>החוק</w:t>
      </w:r>
      <w:r>
        <w:rPr>
          <w:rFonts w:hint="cs"/>
          <w:rtl/>
        </w:rPr>
        <w:t>")</w:t>
      </w:r>
      <w:r>
        <w:rPr>
          <w:rtl/>
        </w:rPr>
        <w:t>.</w:t>
      </w:r>
    </w:p>
    <w:p w14:paraId="4507C356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55DD9415" w14:textId="77777777" w:rsidR="00F0483E" w:rsidRPr="0095366D" w:rsidRDefault="00F0483E" w:rsidP="00F0483E">
      <w:pPr>
        <w:spacing w:line="360" w:lineRule="auto"/>
        <w:jc w:val="both"/>
        <w:rPr>
          <w:b/>
          <w:bCs/>
          <w:rtl/>
        </w:rPr>
      </w:pPr>
      <w:r w:rsidRPr="0095366D">
        <w:rPr>
          <w:b/>
          <w:bCs/>
          <w:rtl/>
        </w:rPr>
        <w:t xml:space="preserve">הוראת החיקוק לפיה </w:t>
      </w:r>
      <w:r w:rsidRPr="0095366D">
        <w:rPr>
          <w:rFonts w:hint="cs"/>
          <w:b/>
          <w:bCs/>
          <w:rtl/>
        </w:rPr>
        <w:t>הורשע</w:t>
      </w:r>
      <w:r w:rsidRPr="0095366D">
        <w:rPr>
          <w:b/>
          <w:bCs/>
          <w:rtl/>
        </w:rPr>
        <w:t xml:space="preserve"> נאשם 3:</w:t>
      </w:r>
    </w:p>
    <w:p w14:paraId="3086BB4D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tl/>
        </w:rPr>
        <w:t xml:space="preserve">החזקת נשק, עבירה לפי </w:t>
      </w:r>
      <w:hyperlink r:id="rId14" w:history="1">
        <w:r w:rsidR="00AA4BC3" w:rsidRPr="00AA4BC3">
          <w:rPr>
            <w:rStyle w:val="Hyperlink"/>
            <w:color w:val="0000FF"/>
            <w:rtl/>
          </w:rPr>
          <w:t>סעיף 144(א)</w:t>
        </w:r>
      </w:hyperlink>
      <w:r>
        <w:rPr>
          <w:rtl/>
        </w:rPr>
        <w:t xml:space="preserve"> רישא לחוק.</w:t>
      </w:r>
    </w:p>
    <w:p w14:paraId="3BCC525D" w14:textId="77777777" w:rsidR="00F0483E" w:rsidRDefault="00F0483E" w:rsidP="00F0483E">
      <w:pPr>
        <w:spacing w:line="360" w:lineRule="auto"/>
        <w:ind w:firstLine="720"/>
        <w:jc w:val="both"/>
        <w:rPr>
          <w:rtl/>
        </w:rPr>
      </w:pPr>
    </w:p>
    <w:p w14:paraId="28808803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65EEA6D7" w14:textId="77777777" w:rsidR="00F0483E" w:rsidRPr="0095366D" w:rsidRDefault="00F0483E" w:rsidP="00F0483E">
      <w:pPr>
        <w:spacing w:line="360" w:lineRule="auto"/>
        <w:jc w:val="both"/>
        <w:rPr>
          <w:b/>
          <w:bCs/>
          <w:rtl/>
        </w:rPr>
      </w:pPr>
      <w:r w:rsidRPr="0095366D">
        <w:rPr>
          <w:rFonts w:hint="cs"/>
          <w:b/>
          <w:bCs/>
          <w:rtl/>
        </w:rPr>
        <w:t>ב. הסדר הטיעון:</w:t>
      </w:r>
    </w:p>
    <w:p w14:paraId="0F837873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41B08E4C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>פרט לתיקון כתב האישום, אין הסכמות לעניין העונש. הצדדים הגיעו למתווה דיוני מוסכם כי בעניינו של נאשם 2 אשר הינו מתחת לגיל 21 יוגש תסקיר המעצר, חלף תסקיר לעניין העונש.</w:t>
      </w:r>
    </w:p>
    <w:p w14:paraId="2D4FCE21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69A39DA1" w14:textId="77777777" w:rsidR="00F0483E" w:rsidRDefault="00F0483E" w:rsidP="00F0483E">
      <w:pPr>
        <w:spacing w:line="360" w:lineRule="auto"/>
        <w:jc w:val="both"/>
        <w:rPr>
          <w:rtl/>
        </w:rPr>
      </w:pPr>
      <w:r w:rsidRPr="0095366D">
        <w:rPr>
          <w:rFonts w:hint="cs"/>
          <w:b/>
          <w:bCs/>
          <w:rtl/>
        </w:rPr>
        <w:t>ג. ראיות לעונש מטעם התביעה</w:t>
      </w:r>
      <w:r>
        <w:rPr>
          <w:rFonts w:hint="cs"/>
          <w:rtl/>
        </w:rPr>
        <w:t xml:space="preserve">- הרשעה מאוחרת של נאשם 2 בגין עבירה של היזק בזדון. </w:t>
      </w:r>
    </w:p>
    <w:p w14:paraId="44E31AEE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אין ראיות לעונש מטעם ההגנה. </w:t>
      </w:r>
      <w:r>
        <w:rPr>
          <w:rtl/>
        </w:rPr>
        <w:t xml:space="preserve"> </w:t>
      </w:r>
    </w:p>
    <w:p w14:paraId="578CF673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55D77963" w14:textId="77777777" w:rsidR="00F0483E" w:rsidRPr="0095366D" w:rsidRDefault="00F0483E" w:rsidP="00F0483E">
      <w:pPr>
        <w:spacing w:line="360" w:lineRule="auto"/>
        <w:jc w:val="both"/>
        <w:rPr>
          <w:b/>
          <w:bCs/>
          <w:rtl/>
        </w:rPr>
      </w:pPr>
      <w:r w:rsidRPr="0095366D">
        <w:rPr>
          <w:rFonts w:hint="cs"/>
          <w:b/>
          <w:bCs/>
          <w:rtl/>
        </w:rPr>
        <w:t>ד. טיעוני הצדדים לעונש:</w:t>
      </w:r>
    </w:p>
    <w:p w14:paraId="46589C1D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התובע עמד בטיעוניו לעונש על עובדות כתב האישום ועל תיקון 140 לחוק לפיו יש להטיל עונש שלא יפחת מרבע העונש המרבי הקבוע בצידן של העבירות. </w:t>
      </w:r>
    </w:p>
    <w:p w14:paraId="5069D382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>משכך עתר התובע לקבוע מתחם לגבי העבירה של נשיאת נשק בין 24 ל-48 חודשים ולגבי החזקת נשק בין 18 ל- 36 חודשים.</w:t>
      </w:r>
    </w:p>
    <w:p w14:paraId="06E40D4E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בהגינותו הרבה, הסכים התובע שיש למקם את שני הנאשמים בתחתית המתחמים בהינתן מאפיין הנשק, היותו אקדח בודד, כאשר אין במחסנית כדורים. </w:t>
      </w:r>
    </w:p>
    <w:p w14:paraId="75DF0C1A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עוד עמד התובע על ההודאה, החיסכון בזמן שיפוטי ניכר וגילם הצעיר של הנאשמים. </w:t>
      </w:r>
    </w:p>
    <w:p w14:paraId="08E02614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1A217EA5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בישיבה מיום 4.6.24 הצהיר התובע כי אין כל מידע המייחס לנאשמים כוונה פלילית או ביטחונית. </w:t>
      </w:r>
    </w:p>
    <w:p w14:paraId="12044E52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4A3D531D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אחר כל אלה ביקש התובע לקבוע מתחם לנאשם 2 בין 24 ל-36 חודשים ולגבי נאשם 3 מתחם שבין 18 ל-36 חודשים והכל בתחתית המתחמים. </w:t>
      </w:r>
    </w:p>
    <w:p w14:paraId="2DAA69A3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7DA34D7B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בטיעוניו לעונש ציין ב"כ נאשם 3 כי מדובר במעשה קונדס וכי הוא מצטרף לעמדת התביעה. ב"כ נאשם 2 הצטרף לדברי ב"כ נאשם 3. נסיבותיו האישיות והמשפחתיות של הנאשם מורכבות. כן הפנה לתסקיר המגלה כי אין לנאשם דפוסים עברייניים. </w:t>
      </w:r>
    </w:p>
    <w:p w14:paraId="7CE05B85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4623F6A0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הנאשמים, איש איש בתורו הביעו צער על המקרה. </w:t>
      </w:r>
    </w:p>
    <w:p w14:paraId="6CB934F5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18319D3B" w14:textId="77777777" w:rsidR="00F0483E" w:rsidRPr="0095366D" w:rsidRDefault="00F0483E" w:rsidP="00F0483E">
      <w:pPr>
        <w:spacing w:line="360" w:lineRule="auto"/>
        <w:jc w:val="both"/>
        <w:rPr>
          <w:b/>
          <w:bCs/>
          <w:rtl/>
        </w:rPr>
      </w:pPr>
      <w:r w:rsidRPr="0095366D">
        <w:rPr>
          <w:rFonts w:hint="cs"/>
          <w:b/>
          <w:bCs/>
          <w:rtl/>
        </w:rPr>
        <w:t>ה. נסיבות הקשורות בביצוע העבירה:</w:t>
      </w:r>
    </w:p>
    <w:p w14:paraId="4269AE95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>עובדות כתב האישום מדברות בעד עצמן. אין מדובר בעבירות שעל פניהן מעידות על תכנון מוקדם לקראת ביצוע עבירה כלשהי, כפי שאישר  התובע והמחסנית הייתה ללא כדורים.</w:t>
      </w:r>
    </w:p>
    <w:p w14:paraId="6B5B7546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2EAEF4E5" w14:textId="77777777" w:rsidR="00F0483E" w:rsidRDefault="00F0483E" w:rsidP="00F0483E">
      <w:pPr>
        <w:spacing w:line="360" w:lineRule="auto"/>
        <w:jc w:val="both"/>
        <w:rPr>
          <w:rtl/>
        </w:rPr>
      </w:pPr>
      <w:r w:rsidRPr="0095366D">
        <w:rPr>
          <w:rFonts w:hint="cs"/>
          <w:b/>
          <w:bCs/>
          <w:rtl/>
        </w:rPr>
        <w:t>ו. הפגיעה בערך החברתי המוגן:</w:t>
      </w:r>
      <w:r>
        <w:rPr>
          <w:rFonts w:hint="cs"/>
          <w:rtl/>
        </w:rPr>
        <w:t xml:space="preserve"> בשורה ארוכה של פסקי דין עמד בית המשפט העליון על החומרה הרבה הטמונה בעבירות נשק. בסוגיה זו אני מפנה ל</w:t>
      </w:r>
      <w:hyperlink r:id="rId15" w:history="1">
        <w:r w:rsidR="004D1220" w:rsidRPr="004D1220">
          <w:rPr>
            <w:color w:val="0000FF"/>
            <w:u w:val="single"/>
            <w:rtl/>
          </w:rPr>
          <w:t>ע"פ 2482/22</w:t>
        </w:r>
      </w:hyperlink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מדינת ישראל נ' אחמד קדורה </w:t>
      </w:r>
      <w:r>
        <w:rPr>
          <w:rFonts w:hint="cs"/>
          <w:rtl/>
        </w:rPr>
        <w:t xml:space="preserve">(14.4.22). </w:t>
      </w:r>
    </w:p>
    <w:p w14:paraId="08F5AF6A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54572E27" w14:textId="77777777" w:rsidR="00F0483E" w:rsidRDefault="00F0483E" w:rsidP="00F0483E">
      <w:pPr>
        <w:spacing w:line="360" w:lineRule="auto"/>
        <w:jc w:val="both"/>
        <w:rPr>
          <w:rtl/>
        </w:rPr>
      </w:pPr>
      <w:r w:rsidRPr="0095366D">
        <w:rPr>
          <w:rFonts w:hint="cs"/>
          <w:b/>
          <w:bCs/>
          <w:rtl/>
        </w:rPr>
        <w:t>ז. מתחם הענישה:</w:t>
      </w:r>
      <w:r>
        <w:rPr>
          <w:rFonts w:hint="cs"/>
          <w:rtl/>
        </w:rPr>
        <w:t xml:space="preserve"> בפועל הגיעו הצדדים למתחם ענישה מוסכם העולה אף בקנה אחד עם מדיניות הענישה הנוהגת, כפי הפסיקה אשר הוגשה על ידי התביעה, זאת בהינתן הנסיבות הקונקרטיות של תיק זה. </w:t>
      </w:r>
    </w:p>
    <w:p w14:paraId="2F92744C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משכך, אני קובע כי מתחם הענישה לנאשם 2 יעמוד על 24 חודשים עד 48 חודשים מאסר בפועל. לנאשם 3 אני קובע מתחם ענישה של 18 חודשים עד 36 חודשים מאסר בפועל. </w:t>
      </w:r>
    </w:p>
    <w:p w14:paraId="20845131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0F2B8684" w14:textId="77777777" w:rsidR="00F0483E" w:rsidRPr="00AC4F29" w:rsidRDefault="00F0483E" w:rsidP="00F0483E">
      <w:pPr>
        <w:spacing w:line="360" w:lineRule="auto"/>
        <w:jc w:val="both"/>
        <w:rPr>
          <w:b/>
          <w:bCs/>
          <w:rtl/>
        </w:rPr>
      </w:pPr>
      <w:r w:rsidRPr="00AC4F29">
        <w:rPr>
          <w:rFonts w:hint="cs"/>
          <w:b/>
          <w:bCs/>
          <w:rtl/>
        </w:rPr>
        <w:t>ח. נסיבות אשר אינן קשורות בביצוע העבירה:</w:t>
      </w:r>
    </w:p>
    <w:p w14:paraId="13D434E5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הנאשמים נטלו אחריות והודו במיוחס להם. לשני הנאשמים זה מאסר ראשון והם עצורים מזה 8 חודשים לערך. </w:t>
      </w:r>
    </w:p>
    <w:p w14:paraId="4EFDFED8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התסקיר מגלה כי לנאשם 2 אין דפוסים עברייניים. </w:t>
      </w:r>
    </w:p>
    <w:p w14:paraId="01269384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3FF5E9C6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אחר כל אלה </w:t>
      </w:r>
      <w:r w:rsidRPr="008906E1">
        <w:rPr>
          <w:rFonts w:hint="cs"/>
          <w:b/>
          <w:bCs/>
          <w:rtl/>
        </w:rPr>
        <w:t>וכמוסכם על ידי הצדדים</w:t>
      </w:r>
      <w:r>
        <w:rPr>
          <w:rFonts w:hint="cs"/>
          <w:rtl/>
        </w:rPr>
        <w:t xml:space="preserve"> אני מעמיד את מתחם הענישה בתחתיתו. </w:t>
      </w:r>
    </w:p>
    <w:p w14:paraId="58161AF5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63151FFD" w14:textId="77777777" w:rsidR="00F0483E" w:rsidRDefault="00F0483E" w:rsidP="00F0483E">
      <w:pPr>
        <w:spacing w:line="360" w:lineRule="auto"/>
        <w:jc w:val="both"/>
        <w:rPr>
          <w:rtl/>
        </w:rPr>
      </w:pPr>
      <w:r w:rsidRPr="00AC4F29">
        <w:rPr>
          <w:rFonts w:hint="cs"/>
          <w:b/>
          <w:bCs/>
          <w:rtl/>
        </w:rPr>
        <w:t>ט. סוף דבר-</w:t>
      </w:r>
      <w:r>
        <w:rPr>
          <w:rFonts w:hint="cs"/>
          <w:rtl/>
        </w:rPr>
        <w:t xml:space="preserve"> אני גוזר על כל אחד מהנאשמים את העונשים הבאים:</w:t>
      </w:r>
    </w:p>
    <w:p w14:paraId="3C7917D5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0C9427F0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>נאשם 2 ירצה עונש מאסר בפועל בן 24 חודשים שמניינו יחל מיום מעצרו 24.9.23.</w:t>
      </w:r>
    </w:p>
    <w:p w14:paraId="2ACCE8B2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1207CB96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>נאשם 3 ירצה עונש מאסר בפועל בן 18 חודשים שמניינו יחל מיום מעצרו 24.9.23.</w:t>
      </w:r>
    </w:p>
    <w:p w14:paraId="5019E194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0BEFCB6D" w14:textId="77777777" w:rsidR="00F0483E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לשני הנאשמים אני גוזר מאסר על תנאי בן שנה לבל יעבור כל אחד מהם עבירת נשק תוך שנתיים מיום שחרורם. </w:t>
      </w:r>
    </w:p>
    <w:p w14:paraId="095BD437" w14:textId="77777777" w:rsidR="00F0483E" w:rsidRDefault="00F0483E" w:rsidP="00F0483E">
      <w:pPr>
        <w:spacing w:line="360" w:lineRule="auto"/>
        <w:jc w:val="both"/>
        <w:rPr>
          <w:rtl/>
        </w:rPr>
      </w:pPr>
    </w:p>
    <w:p w14:paraId="22E8FDA0" w14:textId="77777777" w:rsidR="00F0483E" w:rsidRPr="00B05847" w:rsidRDefault="00F0483E" w:rsidP="00F0483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כחוק. </w:t>
      </w:r>
    </w:p>
    <w:p w14:paraId="5F56AD14" w14:textId="77777777" w:rsidR="00F0483E" w:rsidRPr="00B05847" w:rsidRDefault="00F0483E" w:rsidP="00F0483E">
      <w:pPr>
        <w:spacing w:line="360" w:lineRule="auto"/>
        <w:jc w:val="both"/>
        <w:rPr>
          <w:rtl/>
        </w:rPr>
      </w:pPr>
    </w:p>
    <w:p w14:paraId="1B3ABCD2" w14:textId="77777777" w:rsidR="00F0483E" w:rsidRPr="004D1220" w:rsidRDefault="004D1220" w:rsidP="00F0483E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4D1220">
        <w:rPr>
          <w:color w:val="FFFFFF"/>
          <w:sz w:val="2"/>
          <w:szCs w:val="2"/>
          <w:rtl/>
        </w:rPr>
        <w:t>5129371</w:t>
      </w:r>
    </w:p>
    <w:p w14:paraId="376A94FD" w14:textId="77777777" w:rsidR="00F0483E" w:rsidRPr="00250B83" w:rsidRDefault="004D1220" w:rsidP="00F0483E">
      <w:pPr>
        <w:spacing w:line="360" w:lineRule="auto"/>
        <w:jc w:val="both"/>
        <w:rPr>
          <w:rtl/>
        </w:rPr>
      </w:pPr>
      <w:bookmarkStart w:id="7" w:name="Nitan"/>
      <w:r w:rsidRPr="004D1220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כ"ד סיוון תשפ"ד, 30 יוני 2024, במעמד הצדדים. </w:t>
      </w:r>
      <w:bookmarkEnd w:id="7"/>
    </w:p>
    <w:p w14:paraId="0EE27971" w14:textId="77777777" w:rsidR="00F0483E" w:rsidRPr="00250B83" w:rsidRDefault="00F0483E" w:rsidP="004D1220">
      <w:pPr>
        <w:spacing w:line="360" w:lineRule="auto"/>
        <w:jc w:val="both"/>
      </w:pPr>
      <w:r w:rsidRPr="00250B83">
        <w:rPr>
          <w:rFonts w:hint="cs"/>
          <w:rtl/>
        </w:rPr>
        <w:t xml:space="preserve">   </w:t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</w:p>
    <w:p w14:paraId="21599B20" w14:textId="77777777" w:rsidR="00F0483E" w:rsidRPr="00250B83" w:rsidRDefault="00F0483E" w:rsidP="00F0483E">
      <w:pPr>
        <w:spacing w:line="360" w:lineRule="auto"/>
        <w:jc w:val="both"/>
        <w:rPr>
          <w:rFonts w:ascii="Arial" w:hAnsi="Arial"/>
          <w:rtl/>
        </w:rPr>
      </w:pPr>
    </w:p>
    <w:p w14:paraId="05A0E183" w14:textId="77777777" w:rsidR="00F0483E" w:rsidRPr="00250B83" w:rsidRDefault="00F0483E" w:rsidP="00F0483E">
      <w:pPr>
        <w:spacing w:line="360" w:lineRule="auto"/>
        <w:jc w:val="both"/>
        <w:rPr>
          <w:rtl/>
        </w:rPr>
      </w:pPr>
    </w:p>
    <w:p w14:paraId="07F80BA0" w14:textId="77777777" w:rsidR="00F0483E" w:rsidRPr="00AA4BC3" w:rsidRDefault="00AA4BC3" w:rsidP="00F0483E">
      <w:pPr>
        <w:pStyle w:val="a3"/>
        <w:spacing w:line="360" w:lineRule="auto"/>
        <w:jc w:val="both"/>
        <w:rPr>
          <w:color w:val="FFFFFF"/>
          <w:sz w:val="2"/>
          <w:szCs w:val="2"/>
          <w:rtl/>
        </w:rPr>
      </w:pPr>
      <w:r w:rsidRPr="00AA4BC3">
        <w:rPr>
          <w:color w:val="FFFFFF"/>
          <w:sz w:val="2"/>
          <w:szCs w:val="2"/>
          <w:rtl/>
        </w:rPr>
        <w:t>5129371</w:t>
      </w:r>
    </w:p>
    <w:p w14:paraId="51E2B2F8" w14:textId="77777777" w:rsidR="007F47CF" w:rsidRPr="00AA4BC3" w:rsidRDefault="00AA4BC3" w:rsidP="004D1220">
      <w:pPr>
        <w:keepNext/>
        <w:rPr>
          <w:rFonts w:ascii="David" w:hAnsi="David"/>
          <w:color w:val="FFFFFF"/>
          <w:sz w:val="2"/>
          <w:szCs w:val="2"/>
          <w:rtl/>
        </w:rPr>
      </w:pPr>
      <w:r w:rsidRPr="00AA4BC3">
        <w:rPr>
          <w:rFonts w:ascii="David" w:hAnsi="David"/>
          <w:color w:val="FFFFFF"/>
          <w:sz w:val="2"/>
          <w:szCs w:val="2"/>
          <w:rtl/>
        </w:rPr>
        <w:t>54678313</w:t>
      </w:r>
    </w:p>
    <w:p w14:paraId="00F8B6A1" w14:textId="77777777" w:rsidR="004D1220" w:rsidRDefault="004D1220" w:rsidP="004D1220">
      <w:pPr>
        <w:rPr>
          <w:rtl/>
        </w:rPr>
      </w:pPr>
    </w:p>
    <w:p w14:paraId="6082EC7E" w14:textId="77777777" w:rsidR="004D1220" w:rsidRDefault="004D1220" w:rsidP="004D1220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9B78BD9" w14:textId="77777777" w:rsidR="00AA4BC3" w:rsidRPr="00AA4BC3" w:rsidRDefault="00AA4BC3" w:rsidP="00AA4BC3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17CBC41" w14:textId="77777777" w:rsidR="00AA4BC3" w:rsidRPr="00AA4BC3" w:rsidRDefault="00AA4BC3" w:rsidP="00AA4BC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A4BC3">
        <w:rPr>
          <w:rFonts w:ascii="David" w:hAnsi="David"/>
          <w:color w:val="000000"/>
          <w:sz w:val="22"/>
          <w:szCs w:val="22"/>
          <w:rtl/>
        </w:rPr>
        <w:t>ציון קאפח 54678313-/</w:t>
      </w:r>
    </w:p>
    <w:p w14:paraId="194EDAD7" w14:textId="77777777" w:rsidR="004D1220" w:rsidRPr="004D1220" w:rsidRDefault="00AA4BC3" w:rsidP="00AA4BC3">
      <w:pPr>
        <w:rPr>
          <w:color w:val="0000FF"/>
          <w:u w:val="single"/>
        </w:rPr>
      </w:pPr>
      <w:r w:rsidRPr="00AA4BC3">
        <w:rPr>
          <w:color w:val="000000"/>
          <w:u w:val="single"/>
          <w:rtl/>
        </w:rPr>
        <w:t>נוסח מסמך זה כפוף לשינויי ניסוח ועריכה</w:t>
      </w:r>
    </w:p>
    <w:sectPr w:rsidR="004D1220" w:rsidRPr="004D1220" w:rsidSect="00AA4BC3">
      <w:headerReference w:type="even" r:id="rId17"/>
      <w:headerReference w:type="default" r:id="rId18"/>
      <w:footerReference w:type="even" r:id="rId19"/>
      <w:footerReference w:type="default" r:id="rId2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C7614" w14:textId="77777777" w:rsidR="00390CAA" w:rsidRDefault="00390CAA" w:rsidP="00746A8F">
      <w:r>
        <w:separator/>
      </w:r>
    </w:p>
  </w:endnote>
  <w:endnote w:type="continuationSeparator" w:id="0">
    <w:p w14:paraId="0C4B2D3D" w14:textId="77777777" w:rsidR="00390CAA" w:rsidRDefault="00390CAA" w:rsidP="0074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ED61A" w14:textId="77777777" w:rsidR="00AA4BC3" w:rsidRDefault="00AA4BC3" w:rsidP="00AA4BC3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6786262" w14:textId="77777777" w:rsidR="009324E0" w:rsidRPr="00AA4BC3" w:rsidRDefault="00AA4BC3" w:rsidP="00AA4BC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A4BC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5172" w14:textId="77777777" w:rsidR="00AA4BC3" w:rsidRDefault="00AA4BC3" w:rsidP="00AA4BC3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147F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78F3D3D" w14:textId="77777777" w:rsidR="009324E0" w:rsidRPr="00AA4BC3" w:rsidRDefault="00AA4BC3" w:rsidP="00AA4BC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A4BC3">
      <w:rPr>
        <w:rFonts w:ascii="FrankRuehl" w:hAnsi="FrankRuehl" w:cs="FrankRuehl"/>
        <w:color w:val="000000"/>
      </w:rPr>
      <w:pict w14:anchorId="3DEF5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C3586" w14:textId="77777777" w:rsidR="00390CAA" w:rsidRDefault="00390CAA" w:rsidP="00746A8F">
      <w:r>
        <w:separator/>
      </w:r>
    </w:p>
  </w:footnote>
  <w:footnote w:type="continuationSeparator" w:id="0">
    <w:p w14:paraId="157EF86F" w14:textId="77777777" w:rsidR="00390CAA" w:rsidRDefault="00390CAA" w:rsidP="00746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8611F" w14:textId="77777777" w:rsidR="004D1220" w:rsidRPr="00AA4BC3" w:rsidRDefault="00AA4BC3" w:rsidP="00AA4BC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6695-10-23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רעד אבו חלווה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D5A31" w14:textId="77777777" w:rsidR="004D1220" w:rsidRPr="00AA4BC3" w:rsidRDefault="00AA4BC3" w:rsidP="00AA4BC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6695-10-23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רעד אבו חלווה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04CCE"/>
    <w:multiLevelType w:val="multilevel"/>
    <w:tmpl w:val="01461752"/>
    <w:lvl w:ilvl="0">
      <w:start w:val="1"/>
      <w:numFmt w:val="hebrew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David" w:hint="default"/>
        <w:bCs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David" w:eastAsia="Times New Roman" w:hAnsi="David" w:cs="David" w:hint="default"/>
        <w:bCs w:val="0"/>
        <w:iCs w:val="0"/>
        <w:sz w:val="24"/>
        <w:szCs w:val="24"/>
      </w:rPr>
    </w:lvl>
    <w:lvl w:ilvl="2">
      <w:start w:val="1"/>
      <w:numFmt w:val="hebrew1"/>
      <w:lvlText w:val="%3)"/>
      <w:lvlJc w:val="left"/>
      <w:pPr>
        <w:tabs>
          <w:tab w:val="num" w:pos="2160"/>
        </w:tabs>
        <w:ind w:left="2160" w:hanging="720"/>
      </w:pPr>
      <w:rPr>
        <w:rFonts w:cs="David"/>
        <w:bCs w:val="0"/>
        <w:iCs w:val="0"/>
        <w:color w:val="auto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cs="David"/>
        <w:bCs w:val="0"/>
        <w:iCs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num w:numId="1" w16cid:durableId="404374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0483E"/>
    <w:rsid w:val="001B5A3B"/>
    <w:rsid w:val="00390CAA"/>
    <w:rsid w:val="004D1220"/>
    <w:rsid w:val="005C5B6D"/>
    <w:rsid w:val="00746A8F"/>
    <w:rsid w:val="007F47CF"/>
    <w:rsid w:val="009147F4"/>
    <w:rsid w:val="009324E0"/>
    <w:rsid w:val="00AA4BC3"/>
    <w:rsid w:val="00F0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E28D1A"/>
  <w15:chartTrackingRefBased/>
  <w15:docId w15:val="{D23F1C31-170C-4C50-9D10-A5081B4E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483E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483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F0483E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F0483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F0483E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F0483E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F0483E"/>
  </w:style>
  <w:style w:type="character" w:styleId="Hyperlink">
    <w:name w:val="Hyperlink"/>
    <w:rsid w:val="004D12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law/70301/144.b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a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4727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3539061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http://www.nevo.co.il/case/28513828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2025-04-25T11:00:00Z</dcterms:created>
  <dcterms:modified xsi:type="dcterms:W3CDTF">2025-04-25T11:00:00Z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6695</vt:lpwstr>
  </property>
  <property fmtid="{D5CDD505-2E9C-101B-9397-08002B2CF9AE}" pid="6" name="NEWPARTB">
    <vt:lpwstr>10</vt:lpwstr>
  </property>
  <property fmtid="{D5CDD505-2E9C-101B-9397-08002B2CF9AE}" pid="7" name="NEWPARTC">
    <vt:lpwstr>23</vt:lpwstr>
  </property>
  <property fmtid="{D5CDD505-2E9C-101B-9397-08002B2CF9AE}" pid="8" name="APPELLANT">
    <vt:lpwstr>מדינת ישראל</vt:lpwstr>
  </property>
  <property fmtid="{D5CDD505-2E9C-101B-9397-08002B2CF9AE}" pid="9" name="APPELLEE">
    <vt:lpwstr>רעד אבו חלווה;האני אצלוח;גיבריל גאדלה  </vt:lpwstr>
  </property>
  <property fmtid="{D5CDD505-2E9C-101B-9397-08002B2CF9AE}" pid="10" name="JUDGE">
    <vt:lpwstr>ציון קאפח</vt:lpwstr>
  </property>
  <property fmtid="{D5CDD505-2E9C-101B-9397-08002B2CF9AE}" pid="11" name="CITY">
    <vt:lpwstr>ת"א</vt:lpwstr>
  </property>
  <property fmtid="{D5CDD505-2E9C-101B-9397-08002B2CF9AE}" pid="12" name="DATE">
    <vt:lpwstr>20240630</vt:lpwstr>
  </property>
  <property fmtid="{D5CDD505-2E9C-101B-9397-08002B2CF9AE}" pid="13" name="TYPE_N_DATE">
    <vt:lpwstr>39020240630</vt:lpwstr>
  </property>
  <property fmtid="{D5CDD505-2E9C-101B-9397-08002B2CF9AE}" pid="14" name="CASESLISTTMP1">
    <vt:lpwstr>28513828</vt:lpwstr>
  </property>
  <property fmtid="{D5CDD505-2E9C-101B-9397-08002B2CF9AE}" pid="15" name="WORDNUMPAGES">
    <vt:lpwstr>4</vt:lpwstr>
  </property>
  <property fmtid="{D5CDD505-2E9C-101B-9397-08002B2CF9AE}" pid="16" name="TYPE_ABS_DATE">
    <vt:lpwstr>390020240630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70301/144.b;029;144.a</vt:lpwstr>
  </property>
</Properties>
</file>