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12"/>
        <w:gridCol w:w="3626"/>
        <w:gridCol w:w="31"/>
        <w:gridCol w:w="53"/>
      </w:tblGrid>
      <w:tr w:rsidR="006C09C7" w:rsidRPr="00FA5A2C" w14:paraId="5C258D74" w14:textId="77777777" w:rsidTr="0037358F">
        <w:trPr>
          <w:gridBefore w:val="1"/>
          <w:gridAfter w:val="1"/>
          <w:wBefore w:w="28" w:type="dxa"/>
          <w:wAfter w:w="53" w:type="dxa"/>
          <w:trHeight w:hRule="exact" w:val="418"/>
          <w:jc w:val="center"/>
        </w:trPr>
        <w:tc>
          <w:tcPr>
            <w:tcW w:w="8721" w:type="dxa"/>
            <w:gridSpan w:val="4"/>
          </w:tcPr>
          <w:p w14:paraId="1BA32094" w14:textId="77777777" w:rsidR="006C09C7" w:rsidRPr="00FA5A2C" w:rsidRDefault="006C09C7" w:rsidP="007833ED">
            <w:pPr>
              <w:pStyle w:val="a3"/>
              <w:jc w:val="center"/>
              <w:rPr>
                <w:rFonts w:ascii="Tahoma" w:hAnsi="Tahoma" w:cs="Tahoma"/>
                <w:color w:val="000080"/>
                <w:rtl/>
              </w:rPr>
            </w:pPr>
            <w:bookmarkStart w:id="0" w:name="LastJudge"/>
            <w:r w:rsidRPr="00FA5A2C">
              <w:rPr>
                <w:rFonts w:ascii="Tahoma" w:hAnsi="Tahoma" w:cs="Tahoma"/>
                <w:b/>
                <w:bCs/>
                <w:color w:val="000080"/>
                <w:rtl/>
              </w:rPr>
              <w:t>בית המשפט המחוזי בחיפה</w:t>
            </w:r>
          </w:p>
        </w:tc>
      </w:tr>
      <w:tr w:rsidR="006C09C7" w:rsidRPr="00FA5A2C" w14:paraId="411BE576" w14:textId="77777777" w:rsidTr="0037358F">
        <w:trPr>
          <w:gridBefore w:val="1"/>
          <w:gridAfter w:val="1"/>
          <w:wBefore w:w="28" w:type="dxa"/>
          <w:wAfter w:w="53" w:type="dxa"/>
          <w:trHeight w:val="337"/>
          <w:jc w:val="center"/>
        </w:trPr>
        <w:tc>
          <w:tcPr>
            <w:tcW w:w="5064" w:type="dxa"/>
            <w:gridSpan w:val="2"/>
          </w:tcPr>
          <w:p w14:paraId="27B0841E" w14:textId="77777777" w:rsidR="006C09C7" w:rsidRPr="00FA5A2C" w:rsidRDefault="006C09C7" w:rsidP="007833ED">
            <w:pPr>
              <w:rPr>
                <w:rFonts w:cs="FrankRuehl"/>
                <w:sz w:val="28"/>
                <w:szCs w:val="28"/>
                <w:rtl/>
              </w:rPr>
            </w:pPr>
            <w:r w:rsidRPr="00FA5A2C">
              <w:rPr>
                <w:rFonts w:cs="FrankRuehl"/>
                <w:sz w:val="28"/>
                <w:szCs w:val="28"/>
                <w:rtl/>
              </w:rPr>
              <w:t>ת"פ</w:t>
            </w:r>
            <w:r w:rsidRPr="00FA5A2C">
              <w:rPr>
                <w:rFonts w:cs="FrankRuehl" w:hint="cs"/>
                <w:sz w:val="28"/>
                <w:szCs w:val="28"/>
                <w:rtl/>
              </w:rPr>
              <w:t xml:space="preserve"> </w:t>
            </w:r>
            <w:r w:rsidRPr="00FA5A2C">
              <w:rPr>
                <w:rFonts w:cs="FrankRuehl"/>
                <w:sz w:val="28"/>
                <w:szCs w:val="28"/>
                <w:rtl/>
              </w:rPr>
              <w:t>7811-10-23</w:t>
            </w:r>
            <w:r w:rsidRPr="00FA5A2C">
              <w:rPr>
                <w:rFonts w:cs="FrankRuehl" w:hint="cs"/>
                <w:sz w:val="28"/>
                <w:szCs w:val="28"/>
                <w:rtl/>
              </w:rPr>
              <w:t xml:space="preserve"> </w:t>
            </w:r>
            <w:r w:rsidRPr="00FA5A2C">
              <w:rPr>
                <w:rFonts w:cs="FrankRuehl"/>
                <w:sz w:val="28"/>
                <w:szCs w:val="28"/>
                <w:rtl/>
              </w:rPr>
              <w:t>מדינת ישראל נ' אמארה(עצור/אסיר בפיקוח)</w:t>
            </w:r>
          </w:p>
          <w:p w14:paraId="39C938BB" w14:textId="77777777" w:rsidR="006C09C7" w:rsidRPr="00FA5A2C" w:rsidRDefault="006C09C7" w:rsidP="007833ED">
            <w:pPr>
              <w:pStyle w:val="a3"/>
              <w:rPr>
                <w:rFonts w:cs="FrankRuehl"/>
                <w:sz w:val="28"/>
                <w:szCs w:val="28"/>
                <w:rtl/>
              </w:rPr>
            </w:pPr>
          </w:p>
        </w:tc>
        <w:tc>
          <w:tcPr>
            <w:tcW w:w="3657" w:type="dxa"/>
            <w:gridSpan w:val="2"/>
          </w:tcPr>
          <w:p w14:paraId="779242DC" w14:textId="77777777" w:rsidR="006C09C7" w:rsidRPr="00FA5A2C" w:rsidRDefault="006C09C7" w:rsidP="007833ED">
            <w:pPr>
              <w:pStyle w:val="a3"/>
              <w:jc w:val="right"/>
              <w:rPr>
                <w:rFonts w:cs="FrankRuehl"/>
                <w:sz w:val="28"/>
                <w:szCs w:val="28"/>
                <w:rtl/>
              </w:rPr>
            </w:pPr>
          </w:p>
        </w:tc>
      </w:tr>
      <w:tr w:rsidR="006C09C7" w:rsidRPr="00FA5A2C" w14:paraId="0FF12039" w14:textId="77777777" w:rsidTr="0037358F">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663EBD4D" w14:textId="77777777" w:rsidR="006C09C7" w:rsidRPr="00FA5A2C" w:rsidRDefault="006C09C7" w:rsidP="006C09C7">
            <w:pPr>
              <w:spacing w:line="360" w:lineRule="auto"/>
              <w:jc w:val="both"/>
              <w:rPr>
                <w:rFonts w:ascii="David" w:hAnsi="David"/>
                <w:rtl/>
              </w:rPr>
            </w:pPr>
            <w:r w:rsidRPr="00FA5A2C">
              <w:rPr>
                <w:rFonts w:hint="cs"/>
                <w:rtl/>
              </w:rPr>
              <w:t xml:space="preserve"> </w:t>
            </w:r>
            <w:r w:rsidRPr="00FA5A2C">
              <w:rPr>
                <w:rFonts w:ascii="David" w:hAnsi="David"/>
                <w:rtl/>
              </w:rPr>
              <w:t>בפני כבוד השופט איל באומגרט</w:t>
            </w:r>
          </w:p>
        </w:tc>
      </w:tr>
      <w:tr w:rsidR="006C09C7" w:rsidRPr="00FA5A2C" w14:paraId="57015915" w14:textId="77777777" w:rsidTr="0037358F">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306DD7BD" w14:textId="77777777" w:rsidR="006C09C7" w:rsidRPr="00FA5A2C" w:rsidRDefault="006C09C7" w:rsidP="006C09C7">
            <w:pPr>
              <w:spacing w:line="360" w:lineRule="auto"/>
              <w:ind w:left="26"/>
              <w:jc w:val="both"/>
              <w:rPr>
                <w:rFonts w:ascii="David" w:hAnsi="David"/>
                <w:b/>
                <w:bCs/>
                <w:rtl/>
              </w:rPr>
            </w:pPr>
            <w:bookmarkStart w:id="1" w:name="FirstAppellant"/>
            <w:r w:rsidRPr="00FA5A2C">
              <w:rPr>
                <w:rFonts w:ascii="David" w:hAnsi="David"/>
                <w:b/>
                <w:bCs/>
                <w:rtl/>
              </w:rPr>
              <w:t>המאשימה:</w:t>
            </w:r>
          </w:p>
          <w:p w14:paraId="00FA4DDF" w14:textId="77777777" w:rsidR="006C09C7" w:rsidRPr="00FA5A2C" w:rsidRDefault="006C09C7" w:rsidP="006C09C7">
            <w:pPr>
              <w:spacing w:line="360" w:lineRule="auto"/>
              <w:jc w:val="both"/>
              <w:rPr>
                <w:rFonts w:ascii="David" w:hAnsi="David"/>
                <w:b/>
                <w:bCs/>
                <w:rtl/>
              </w:rPr>
            </w:pPr>
          </w:p>
        </w:tc>
        <w:tc>
          <w:tcPr>
            <w:tcW w:w="5922" w:type="dxa"/>
            <w:gridSpan w:val="4"/>
            <w:shd w:val="clear" w:color="auto" w:fill="auto"/>
          </w:tcPr>
          <w:p w14:paraId="1D8A202E" w14:textId="77777777" w:rsidR="006C09C7" w:rsidRPr="00FA5A2C" w:rsidRDefault="006C09C7" w:rsidP="006C09C7">
            <w:pPr>
              <w:spacing w:line="360" w:lineRule="auto"/>
              <w:jc w:val="both"/>
              <w:rPr>
                <w:rFonts w:ascii="David" w:hAnsi="David"/>
                <w:b/>
                <w:bCs/>
                <w:rtl/>
              </w:rPr>
            </w:pPr>
            <w:r w:rsidRPr="00FA5A2C">
              <w:rPr>
                <w:rFonts w:ascii="David" w:hAnsi="David"/>
                <w:b/>
                <w:bCs/>
                <w:rtl/>
              </w:rPr>
              <w:t>מדינת-ישראל</w:t>
            </w:r>
          </w:p>
        </w:tc>
      </w:tr>
      <w:bookmarkEnd w:id="1"/>
      <w:tr w:rsidR="006C09C7" w:rsidRPr="00FA5A2C" w14:paraId="53C04BB4" w14:textId="77777777" w:rsidTr="0037358F">
        <w:tblPrEx>
          <w:jc w:val="left"/>
          <w:tblInd w:w="-28" w:type="dxa"/>
          <w:tblLook w:val="01E0" w:firstRow="1" w:lastRow="1" w:firstColumn="1" w:lastColumn="1" w:noHBand="0" w:noVBand="0"/>
        </w:tblPrEx>
        <w:tc>
          <w:tcPr>
            <w:tcW w:w="8802" w:type="dxa"/>
            <w:gridSpan w:val="6"/>
            <w:shd w:val="clear" w:color="auto" w:fill="auto"/>
            <w:vAlign w:val="center"/>
          </w:tcPr>
          <w:p w14:paraId="69C34DD6" w14:textId="77777777" w:rsidR="006C09C7" w:rsidRPr="00FA5A2C" w:rsidRDefault="006C09C7" w:rsidP="006C09C7">
            <w:pPr>
              <w:spacing w:line="360" w:lineRule="auto"/>
              <w:jc w:val="both"/>
              <w:rPr>
                <w:rFonts w:ascii="David" w:hAnsi="David"/>
                <w:b/>
                <w:bCs/>
                <w:rtl/>
              </w:rPr>
            </w:pPr>
            <w:r w:rsidRPr="00FA5A2C">
              <w:rPr>
                <w:rFonts w:ascii="David" w:hAnsi="David"/>
                <w:b/>
                <w:bCs/>
                <w:rtl/>
              </w:rPr>
              <w:t>- נגד -</w:t>
            </w:r>
          </w:p>
          <w:p w14:paraId="048DECC1" w14:textId="77777777" w:rsidR="006C09C7" w:rsidRPr="00FA5A2C" w:rsidRDefault="006C09C7" w:rsidP="006C09C7">
            <w:pPr>
              <w:spacing w:line="360" w:lineRule="auto"/>
              <w:jc w:val="both"/>
              <w:rPr>
                <w:rFonts w:ascii="David" w:hAnsi="David"/>
                <w:b/>
                <w:bCs/>
                <w:rtl/>
              </w:rPr>
            </w:pPr>
          </w:p>
        </w:tc>
      </w:tr>
      <w:tr w:rsidR="006C09C7" w:rsidRPr="00FA5A2C" w14:paraId="16BF9291" w14:textId="77777777" w:rsidTr="0037358F">
        <w:tblPrEx>
          <w:jc w:val="left"/>
          <w:tblInd w:w="-28" w:type="dxa"/>
          <w:tblLook w:val="01E0" w:firstRow="1" w:lastRow="1" w:firstColumn="1" w:lastColumn="1" w:noHBand="0" w:noVBand="0"/>
        </w:tblPrEx>
        <w:tc>
          <w:tcPr>
            <w:tcW w:w="2880" w:type="dxa"/>
            <w:gridSpan w:val="2"/>
            <w:shd w:val="clear" w:color="auto" w:fill="auto"/>
          </w:tcPr>
          <w:p w14:paraId="13251CF3" w14:textId="77777777" w:rsidR="006C09C7" w:rsidRPr="00FA5A2C" w:rsidRDefault="006C09C7" w:rsidP="006C09C7">
            <w:pPr>
              <w:spacing w:line="360" w:lineRule="auto"/>
              <w:ind w:left="26"/>
              <w:jc w:val="both"/>
              <w:rPr>
                <w:rFonts w:ascii="David" w:hAnsi="David"/>
                <w:b/>
                <w:bCs/>
                <w:rtl/>
              </w:rPr>
            </w:pPr>
            <w:r w:rsidRPr="00FA5A2C">
              <w:rPr>
                <w:rFonts w:ascii="David" w:hAnsi="David"/>
                <w:b/>
                <w:bCs/>
                <w:rtl/>
              </w:rPr>
              <w:t>הנאשם:</w:t>
            </w:r>
          </w:p>
        </w:tc>
        <w:tc>
          <w:tcPr>
            <w:tcW w:w="5922" w:type="dxa"/>
            <w:gridSpan w:val="4"/>
            <w:shd w:val="clear" w:color="auto" w:fill="auto"/>
          </w:tcPr>
          <w:p w14:paraId="11D4409D" w14:textId="77777777" w:rsidR="006C09C7" w:rsidRPr="00FA5A2C" w:rsidRDefault="006C09C7" w:rsidP="006C09C7">
            <w:pPr>
              <w:spacing w:line="360" w:lineRule="auto"/>
              <w:jc w:val="both"/>
              <w:rPr>
                <w:rFonts w:ascii="David" w:hAnsi="David"/>
                <w:b/>
                <w:bCs/>
                <w:rtl/>
              </w:rPr>
            </w:pPr>
            <w:r w:rsidRPr="00FA5A2C">
              <w:rPr>
                <w:rFonts w:ascii="David" w:hAnsi="David"/>
                <w:b/>
                <w:bCs/>
                <w:rtl/>
              </w:rPr>
              <w:t xml:space="preserve">מועאד אמארה (עצור/אסיר בפיקוח), ת"ז </w:t>
            </w:r>
            <w:r w:rsidR="00FA5A2C">
              <w:rPr>
                <w:rFonts w:ascii="David" w:hAnsi="David"/>
                <w:b/>
                <w:bCs/>
              </w:rPr>
              <w:t>xxxxxxxxx</w:t>
            </w:r>
          </w:p>
        </w:tc>
      </w:tr>
    </w:tbl>
    <w:p w14:paraId="4E667BBF" w14:textId="77777777" w:rsidR="006C09C7" w:rsidRPr="00FA5A2C" w:rsidRDefault="006C09C7" w:rsidP="006C09C7">
      <w:pPr>
        <w:suppressLineNumbers/>
        <w:spacing w:line="360" w:lineRule="auto"/>
        <w:jc w:val="both"/>
        <w:rPr>
          <w:rFonts w:ascii="David" w:hAnsi="David"/>
          <w:b/>
          <w:bCs/>
          <w:rtl/>
        </w:rPr>
      </w:pPr>
    </w:p>
    <w:p w14:paraId="4CA63BA2" w14:textId="77777777" w:rsidR="006C09C7" w:rsidRPr="00FA5A2C" w:rsidRDefault="006C09C7" w:rsidP="006C09C7">
      <w:pPr>
        <w:suppressLineNumbers/>
        <w:spacing w:line="360" w:lineRule="auto"/>
        <w:jc w:val="both"/>
        <w:rPr>
          <w:rFonts w:ascii="David" w:hAnsi="David"/>
          <w:b/>
          <w:bCs/>
          <w:rtl/>
        </w:rPr>
      </w:pPr>
      <w:r w:rsidRPr="00FA5A2C">
        <w:rPr>
          <w:rFonts w:ascii="David" w:hAnsi="David"/>
          <w:b/>
          <w:bCs/>
          <w:rtl/>
        </w:rPr>
        <w:t>נוכחים:</w:t>
      </w:r>
    </w:p>
    <w:p w14:paraId="204A8940" w14:textId="77777777" w:rsidR="006C09C7" w:rsidRPr="00FA5A2C" w:rsidRDefault="006C09C7" w:rsidP="006C09C7">
      <w:pPr>
        <w:suppressLineNumbers/>
        <w:spacing w:line="360" w:lineRule="auto"/>
        <w:jc w:val="both"/>
        <w:rPr>
          <w:rFonts w:ascii="David" w:hAnsi="David"/>
          <w:b/>
          <w:bCs/>
          <w:rtl/>
        </w:rPr>
      </w:pPr>
      <w:bookmarkStart w:id="2" w:name="FirstLawyer"/>
      <w:r w:rsidRPr="00FA5A2C">
        <w:rPr>
          <w:rFonts w:ascii="David" w:hAnsi="David"/>
          <w:b/>
          <w:bCs/>
          <w:rtl/>
        </w:rPr>
        <w:t>ב"כ</w:t>
      </w:r>
      <w:bookmarkEnd w:id="2"/>
      <w:r w:rsidRPr="00FA5A2C">
        <w:rPr>
          <w:rFonts w:ascii="David" w:hAnsi="David"/>
          <w:b/>
          <w:bCs/>
          <w:rtl/>
        </w:rPr>
        <w:t xml:space="preserve"> המאשימה: עו"ד</w:t>
      </w:r>
      <w:r w:rsidRPr="00FA5A2C">
        <w:rPr>
          <w:rFonts w:ascii="David" w:hAnsi="David" w:hint="cs"/>
          <w:b/>
          <w:bCs/>
          <w:rtl/>
        </w:rPr>
        <w:t xml:space="preserve"> אמיר אלרון</w:t>
      </w:r>
    </w:p>
    <w:p w14:paraId="66801618" w14:textId="77777777" w:rsidR="006C09C7" w:rsidRPr="00FA5A2C" w:rsidRDefault="006C09C7" w:rsidP="006C09C7">
      <w:pPr>
        <w:suppressLineNumbers/>
        <w:spacing w:line="360" w:lineRule="auto"/>
        <w:jc w:val="both"/>
        <w:rPr>
          <w:rFonts w:ascii="David" w:hAnsi="David"/>
          <w:b/>
          <w:bCs/>
          <w:rtl/>
        </w:rPr>
      </w:pPr>
      <w:r w:rsidRPr="00FA5A2C">
        <w:rPr>
          <w:rFonts w:ascii="David" w:hAnsi="David"/>
          <w:b/>
          <w:bCs/>
          <w:rtl/>
        </w:rPr>
        <w:t>ב"כ הנאשם: עו"ד עאדל בויראת</w:t>
      </w:r>
    </w:p>
    <w:p w14:paraId="5ADC7940" w14:textId="77777777" w:rsidR="006C09C7" w:rsidRPr="00FA5A2C" w:rsidRDefault="006C09C7" w:rsidP="006C09C7">
      <w:pPr>
        <w:suppressLineNumbers/>
        <w:spacing w:line="360" w:lineRule="auto"/>
        <w:jc w:val="both"/>
        <w:rPr>
          <w:rFonts w:ascii="David" w:hAnsi="David"/>
          <w:b/>
          <w:bCs/>
          <w:rtl/>
        </w:rPr>
      </w:pPr>
      <w:r w:rsidRPr="00FA5A2C">
        <w:rPr>
          <w:rFonts w:ascii="David" w:hAnsi="David"/>
          <w:b/>
          <w:bCs/>
          <w:rtl/>
        </w:rPr>
        <w:t xml:space="preserve">הנאשם: </w:t>
      </w:r>
      <w:r w:rsidRPr="00FA5A2C">
        <w:rPr>
          <w:rFonts w:ascii="David" w:hAnsi="David" w:hint="cs"/>
          <w:b/>
          <w:bCs/>
          <w:rtl/>
        </w:rPr>
        <w:t>בעצמו בליווי מפקחת</w:t>
      </w:r>
    </w:p>
    <w:p w14:paraId="5724609E" w14:textId="77777777" w:rsidR="006C09C7" w:rsidRPr="00FA5A2C" w:rsidRDefault="006C09C7" w:rsidP="006C09C7">
      <w:pPr>
        <w:spacing w:line="360" w:lineRule="auto"/>
        <w:jc w:val="both"/>
        <w:rPr>
          <w:rFonts w:ascii="David" w:hAnsi="David"/>
          <w:b/>
          <w:bCs/>
        </w:rPr>
      </w:pPr>
    </w:p>
    <w:p w14:paraId="299B7B78" w14:textId="77777777" w:rsidR="00FA5A2C" w:rsidRPr="00FA5A2C" w:rsidRDefault="00FA5A2C" w:rsidP="00FA5A2C">
      <w:pPr>
        <w:spacing w:before="120" w:after="120" w:line="240" w:lineRule="exact"/>
        <w:ind w:left="283" w:hanging="283"/>
        <w:jc w:val="both"/>
        <w:rPr>
          <w:rFonts w:ascii="FrankRuehl" w:hAnsi="FrankRuehl" w:cs="FrankRuehl"/>
          <w:rtl/>
        </w:rPr>
      </w:pPr>
    </w:p>
    <w:p w14:paraId="4CDC7DEA" w14:textId="77777777" w:rsidR="00FA5A2C" w:rsidRPr="00FA5A2C" w:rsidRDefault="00FA5A2C" w:rsidP="00FA5A2C">
      <w:pPr>
        <w:spacing w:line="360" w:lineRule="auto"/>
        <w:jc w:val="both"/>
        <w:rPr>
          <w:rFonts w:ascii="David" w:hAnsi="David"/>
          <w:rtl/>
        </w:rPr>
      </w:pPr>
    </w:p>
    <w:p w14:paraId="41D7533F" w14:textId="77777777" w:rsidR="0037358F" w:rsidRPr="0037358F" w:rsidRDefault="0037358F" w:rsidP="0037358F">
      <w:pPr>
        <w:spacing w:before="120" w:after="120" w:line="240" w:lineRule="exact"/>
        <w:ind w:left="283" w:hanging="283"/>
        <w:jc w:val="both"/>
        <w:rPr>
          <w:rFonts w:ascii="FrankRuehl" w:hAnsi="FrankRuehl" w:cs="FrankRuehl"/>
          <w:rtl/>
        </w:rPr>
      </w:pPr>
      <w:bookmarkStart w:id="3" w:name="LawTable"/>
      <w:bookmarkEnd w:id="3"/>
    </w:p>
    <w:p w14:paraId="7CA17E89" w14:textId="77777777" w:rsidR="0037358F" w:rsidRPr="0037358F" w:rsidRDefault="0037358F" w:rsidP="0037358F">
      <w:pPr>
        <w:spacing w:before="120" w:after="120" w:line="240" w:lineRule="exact"/>
        <w:ind w:left="283" w:hanging="283"/>
        <w:jc w:val="both"/>
        <w:rPr>
          <w:rFonts w:ascii="FrankRuehl" w:hAnsi="FrankRuehl" w:cs="FrankRuehl"/>
          <w:rtl/>
        </w:rPr>
      </w:pPr>
      <w:r w:rsidRPr="0037358F">
        <w:rPr>
          <w:rFonts w:ascii="FrankRuehl" w:hAnsi="FrankRuehl" w:cs="FrankRuehl"/>
          <w:rtl/>
        </w:rPr>
        <w:t xml:space="preserve">חקיקה שאוזכרה: </w:t>
      </w:r>
    </w:p>
    <w:p w14:paraId="5A804820" w14:textId="77777777" w:rsidR="0037358F" w:rsidRPr="0037358F" w:rsidRDefault="0037358F" w:rsidP="0037358F">
      <w:pPr>
        <w:spacing w:before="120" w:after="120" w:line="240" w:lineRule="exact"/>
        <w:ind w:left="283" w:hanging="283"/>
        <w:jc w:val="both"/>
        <w:rPr>
          <w:rFonts w:ascii="FrankRuehl" w:hAnsi="FrankRuehl" w:cs="FrankRuehl"/>
          <w:color w:val="0000FF"/>
          <w:rtl/>
        </w:rPr>
      </w:pPr>
      <w:hyperlink r:id="rId7" w:history="1">
        <w:r w:rsidRPr="0037358F">
          <w:rPr>
            <w:rStyle w:val="Hyperlink"/>
            <w:rFonts w:ascii="FrankRuehl" w:hAnsi="FrankRuehl" w:cs="FrankRuehl"/>
            <w:u w:val="none"/>
            <w:rtl/>
          </w:rPr>
          <w:t>חוק העונשין, תשל"ז-1977</w:t>
        </w:r>
      </w:hyperlink>
      <w:r w:rsidRPr="0037358F">
        <w:rPr>
          <w:rFonts w:ascii="FrankRuehl" w:hAnsi="FrankRuehl" w:cs="FrankRuehl"/>
          <w:color w:val="0000FF"/>
          <w:rtl/>
        </w:rPr>
        <w:t xml:space="preserve">: סע'  </w:t>
      </w:r>
      <w:hyperlink r:id="rId8" w:history="1">
        <w:r w:rsidRPr="0037358F">
          <w:rPr>
            <w:rStyle w:val="Hyperlink"/>
            <w:rFonts w:ascii="FrankRuehl" w:hAnsi="FrankRuehl" w:cs="FrankRuehl"/>
            <w:u w:val="none"/>
          </w:rPr>
          <w:t>40.</w:t>
        </w:r>
        <w:r w:rsidRPr="0037358F">
          <w:rPr>
            <w:rStyle w:val="Hyperlink"/>
            <w:rFonts w:ascii="FrankRuehl" w:hAnsi="FrankRuehl" w:cs="FrankRuehl"/>
            <w:u w:val="none"/>
            <w:rtl/>
          </w:rPr>
          <w:t>א</w:t>
        </w:r>
        <w:r w:rsidRPr="0037358F">
          <w:rPr>
            <w:rStyle w:val="Hyperlink"/>
            <w:rFonts w:ascii="FrankRuehl" w:hAnsi="FrankRuehl" w:cs="FrankRuehl"/>
            <w:u w:val="none"/>
          </w:rPr>
          <w:t>.</w:t>
        </w:r>
      </w:hyperlink>
      <w:r w:rsidRPr="0037358F">
        <w:rPr>
          <w:rFonts w:ascii="FrankRuehl" w:hAnsi="FrankRuehl" w:cs="FrankRuehl"/>
          <w:color w:val="0000FF"/>
          <w:rtl/>
        </w:rPr>
        <w:t xml:space="preserve">, </w:t>
      </w:r>
      <w:hyperlink r:id="rId9" w:history="1">
        <w:r w:rsidRPr="0037358F">
          <w:rPr>
            <w:rStyle w:val="Hyperlink"/>
            <w:rFonts w:ascii="FrankRuehl" w:hAnsi="FrankRuehl" w:cs="FrankRuehl"/>
            <w:u w:val="none"/>
          </w:rPr>
          <w:t>40.</w:t>
        </w:r>
        <w:r w:rsidRPr="0037358F">
          <w:rPr>
            <w:rStyle w:val="Hyperlink"/>
            <w:rFonts w:ascii="FrankRuehl" w:hAnsi="FrankRuehl" w:cs="FrankRuehl"/>
            <w:u w:val="none"/>
            <w:rtl/>
          </w:rPr>
          <w:t>טו</w:t>
        </w:r>
      </w:hyperlink>
      <w:r w:rsidRPr="0037358F">
        <w:rPr>
          <w:rFonts w:ascii="FrankRuehl" w:hAnsi="FrankRuehl" w:cs="FrankRuehl"/>
          <w:color w:val="0000FF"/>
          <w:rtl/>
        </w:rPr>
        <w:t xml:space="preserve">, </w:t>
      </w:r>
      <w:hyperlink r:id="rId10" w:history="1">
        <w:r w:rsidRPr="0037358F">
          <w:rPr>
            <w:rStyle w:val="Hyperlink"/>
            <w:rFonts w:ascii="FrankRuehl" w:hAnsi="FrankRuehl" w:cs="FrankRuehl"/>
            <w:u w:val="none"/>
          </w:rPr>
          <w:t>144</w:t>
        </w:r>
      </w:hyperlink>
      <w:r w:rsidRPr="0037358F">
        <w:rPr>
          <w:rFonts w:ascii="FrankRuehl" w:hAnsi="FrankRuehl" w:cs="FrankRuehl"/>
          <w:color w:val="0000FF"/>
          <w:rtl/>
        </w:rPr>
        <w:t xml:space="preserve">(א), </w:t>
      </w:r>
      <w:hyperlink r:id="rId11" w:history="1">
        <w:r w:rsidRPr="0037358F">
          <w:rPr>
            <w:rStyle w:val="Hyperlink"/>
            <w:rFonts w:ascii="FrankRuehl" w:hAnsi="FrankRuehl" w:cs="FrankRuehl"/>
            <w:u w:val="none"/>
          </w:rPr>
          <w:t xml:space="preserve">144 </w:t>
        </w:r>
      </w:hyperlink>
      <w:r w:rsidRPr="0037358F">
        <w:rPr>
          <w:rFonts w:ascii="FrankRuehl" w:hAnsi="FrankRuehl" w:cs="FrankRuehl"/>
          <w:color w:val="0000FF"/>
          <w:rtl/>
        </w:rPr>
        <w:t>(ב)</w:t>
      </w:r>
    </w:p>
    <w:p w14:paraId="065BE54C" w14:textId="77777777" w:rsidR="006C09C7" w:rsidRDefault="006C09C7" w:rsidP="0037358F">
      <w:pPr>
        <w:spacing w:line="360" w:lineRule="auto"/>
        <w:jc w:val="both"/>
        <w:rPr>
          <w:rFonts w:ascii="David" w:hAnsi="David" w:hint="cs"/>
          <w:rtl/>
        </w:rPr>
      </w:pPr>
      <w:bookmarkStart w:id="4" w:name="LawTable_End"/>
      <w:bookmarkEnd w:id="4"/>
    </w:p>
    <w:p w14:paraId="0E7836C8" w14:textId="77777777" w:rsidR="0037358F" w:rsidRDefault="0037358F" w:rsidP="0037358F">
      <w:pPr>
        <w:spacing w:line="360" w:lineRule="auto"/>
        <w:jc w:val="both"/>
        <w:rPr>
          <w:rFonts w:ascii="David" w:hAnsi="David" w:hint="cs"/>
          <w:rtl/>
        </w:rPr>
      </w:pPr>
    </w:p>
    <w:p w14:paraId="34DA438A" w14:textId="77777777" w:rsidR="0037358F" w:rsidRPr="0037358F" w:rsidRDefault="0037358F" w:rsidP="0037358F">
      <w:pPr>
        <w:spacing w:line="360" w:lineRule="auto"/>
        <w:jc w:val="both"/>
        <w:rPr>
          <w:rFonts w:ascii="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09C7" w:rsidRPr="00EC7254" w14:paraId="7825AC6B" w14:textId="77777777" w:rsidTr="006C09C7">
        <w:trPr>
          <w:trHeight w:val="355"/>
          <w:jc w:val="center"/>
        </w:trPr>
        <w:tc>
          <w:tcPr>
            <w:tcW w:w="8820" w:type="dxa"/>
            <w:tcBorders>
              <w:top w:val="nil"/>
              <w:left w:val="nil"/>
              <w:bottom w:val="nil"/>
              <w:right w:val="nil"/>
            </w:tcBorders>
            <w:shd w:val="clear" w:color="auto" w:fill="auto"/>
          </w:tcPr>
          <w:p w14:paraId="345DD768" w14:textId="77777777" w:rsidR="00FA5A2C" w:rsidRPr="00FA5A2C" w:rsidRDefault="00FA5A2C" w:rsidP="00FA5A2C">
            <w:pPr>
              <w:spacing w:line="360" w:lineRule="auto"/>
              <w:jc w:val="center"/>
              <w:rPr>
                <w:rFonts w:ascii="David" w:hAnsi="David"/>
                <w:b/>
                <w:bCs/>
                <w:sz w:val="32"/>
                <w:szCs w:val="32"/>
                <w:u w:val="single"/>
                <w:rtl/>
              </w:rPr>
            </w:pPr>
            <w:bookmarkStart w:id="5" w:name="PsakDin" w:colFirst="0" w:colLast="0"/>
            <w:bookmarkEnd w:id="0"/>
            <w:r w:rsidRPr="00FA5A2C">
              <w:rPr>
                <w:rFonts w:ascii="David" w:hAnsi="David"/>
                <w:b/>
                <w:bCs/>
                <w:sz w:val="32"/>
                <w:szCs w:val="32"/>
                <w:u w:val="single"/>
                <w:rtl/>
              </w:rPr>
              <w:t>גזר דין</w:t>
            </w:r>
          </w:p>
          <w:p w14:paraId="0F1D7532" w14:textId="77777777" w:rsidR="006C09C7" w:rsidRPr="00FA5A2C" w:rsidRDefault="006C09C7" w:rsidP="00FA5A2C">
            <w:pPr>
              <w:spacing w:line="360" w:lineRule="auto"/>
              <w:jc w:val="center"/>
              <w:rPr>
                <w:rFonts w:ascii="David" w:hAnsi="David"/>
                <w:b/>
                <w:bCs/>
                <w:sz w:val="32"/>
                <w:szCs w:val="32"/>
                <w:u w:val="single"/>
                <w:rtl/>
              </w:rPr>
            </w:pPr>
          </w:p>
        </w:tc>
      </w:tr>
    </w:tbl>
    <w:p w14:paraId="585479FC" w14:textId="77777777" w:rsidR="006C09C7" w:rsidRPr="00EC7254" w:rsidRDefault="006C09C7" w:rsidP="006C09C7">
      <w:pPr>
        <w:spacing w:line="360" w:lineRule="auto"/>
        <w:jc w:val="both"/>
        <w:rPr>
          <w:rFonts w:ascii="David" w:hAnsi="David"/>
        </w:rPr>
      </w:pPr>
      <w:bookmarkStart w:id="6" w:name="ABSTRACT_START"/>
      <w:bookmarkEnd w:id="5"/>
      <w:bookmarkEnd w:id="6"/>
    </w:p>
    <w:p w14:paraId="3BD88ECA"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הנאשם יליד שנת 1986, הורשע על פי הודאתו, שנמסרה במסגרת הסדר טיעון. על פי כתב האישום המתוקן, הורשע הנאשם בעבירה בנשק (החזקה ונשיאה), עבירה לפי </w:t>
      </w:r>
      <w:hyperlink r:id="rId12" w:history="1">
        <w:r w:rsidR="0037358F" w:rsidRPr="0037358F">
          <w:rPr>
            <w:rStyle w:val="Hyperlink"/>
            <w:rFonts w:ascii="David" w:hAnsi="David"/>
            <w:color w:val="0000FF"/>
            <w:rtl/>
          </w:rPr>
          <w:t>סעיפים 144(א)</w:t>
        </w:r>
      </w:hyperlink>
      <w:r w:rsidRPr="00EC7254">
        <w:rPr>
          <w:rFonts w:ascii="David" w:hAnsi="David"/>
          <w:rtl/>
        </w:rPr>
        <w:t xml:space="preserve"> רישא וסיפא + </w:t>
      </w:r>
      <w:hyperlink r:id="rId13" w:history="1">
        <w:r w:rsidR="0037358F" w:rsidRPr="0037358F">
          <w:rPr>
            <w:rStyle w:val="Hyperlink"/>
            <w:rFonts w:ascii="David" w:hAnsi="David"/>
            <w:color w:val="0000FF"/>
            <w:rtl/>
          </w:rPr>
          <w:t>144 (ב)</w:t>
        </w:r>
      </w:hyperlink>
      <w:r w:rsidRPr="00EC7254">
        <w:rPr>
          <w:rFonts w:ascii="David" w:hAnsi="David"/>
          <w:rtl/>
        </w:rPr>
        <w:t xml:space="preserve"> רישא וסיפא ל</w:t>
      </w:r>
      <w:hyperlink r:id="rId14" w:history="1">
        <w:r w:rsidR="00FA5A2C" w:rsidRPr="00FA5A2C">
          <w:rPr>
            <w:rFonts w:ascii="David" w:hAnsi="David"/>
            <w:b/>
            <w:bCs/>
            <w:color w:val="0000FF"/>
            <w:u w:val="single"/>
            <w:rtl/>
          </w:rPr>
          <w:t>חוק העונשין</w:t>
        </w:r>
      </w:hyperlink>
      <w:r w:rsidRPr="00EC7254">
        <w:rPr>
          <w:rFonts w:ascii="David" w:hAnsi="David"/>
          <w:rtl/>
        </w:rPr>
        <w:t>, תשל"ז-1977 (להלן: "</w:t>
      </w:r>
      <w:r w:rsidRPr="00EC7254">
        <w:rPr>
          <w:rFonts w:ascii="David" w:hAnsi="David"/>
          <w:b/>
          <w:bCs/>
          <w:rtl/>
        </w:rPr>
        <w:t>חוק העונשין</w:t>
      </w:r>
      <w:r w:rsidRPr="00EC7254">
        <w:rPr>
          <w:rFonts w:ascii="David" w:hAnsi="David"/>
          <w:rtl/>
        </w:rPr>
        <w:t>").</w:t>
      </w:r>
    </w:p>
    <w:p w14:paraId="7DEAB7D7" w14:textId="77777777" w:rsidR="006C09C7" w:rsidRDefault="006C09C7" w:rsidP="006C09C7">
      <w:pPr>
        <w:spacing w:line="360" w:lineRule="auto"/>
        <w:jc w:val="both"/>
        <w:rPr>
          <w:rFonts w:ascii="David" w:hAnsi="David"/>
          <w:rtl/>
        </w:rPr>
      </w:pPr>
      <w:bookmarkStart w:id="7" w:name="ABSTRACT_END"/>
      <w:bookmarkEnd w:id="7"/>
    </w:p>
    <w:p w14:paraId="309BB8DB" w14:textId="77777777" w:rsidR="006C09C7" w:rsidRPr="00EC7254" w:rsidRDefault="006C09C7" w:rsidP="006C09C7">
      <w:pPr>
        <w:spacing w:line="360" w:lineRule="auto"/>
        <w:ind w:firstLine="720"/>
        <w:jc w:val="both"/>
        <w:rPr>
          <w:rFonts w:ascii="David" w:hAnsi="David"/>
          <w:rtl/>
        </w:rPr>
      </w:pPr>
      <w:r w:rsidRPr="00EC7254">
        <w:rPr>
          <w:rFonts w:ascii="David" w:hAnsi="David"/>
          <w:rtl/>
        </w:rPr>
        <w:t xml:space="preserve">הסדר הטיעון לא כלל הסכמה לעניין העונש. </w:t>
      </w:r>
    </w:p>
    <w:p w14:paraId="610F65E0" w14:textId="77777777" w:rsidR="006C09C7" w:rsidRDefault="006C09C7" w:rsidP="006C09C7">
      <w:pPr>
        <w:spacing w:line="360" w:lineRule="auto"/>
        <w:jc w:val="both"/>
        <w:rPr>
          <w:rFonts w:ascii="David" w:hAnsi="David"/>
          <w:u w:val="single"/>
          <w:rtl/>
        </w:rPr>
      </w:pPr>
    </w:p>
    <w:p w14:paraId="26C424AF" w14:textId="77777777" w:rsidR="006C09C7" w:rsidRPr="00EC7254" w:rsidRDefault="006C09C7" w:rsidP="006C09C7">
      <w:pPr>
        <w:spacing w:line="360" w:lineRule="auto"/>
        <w:jc w:val="both"/>
        <w:rPr>
          <w:rFonts w:ascii="David" w:hAnsi="David"/>
          <w:b/>
          <w:bCs/>
          <w:u w:val="single"/>
          <w:rtl/>
        </w:rPr>
      </w:pPr>
      <w:r w:rsidRPr="00EC7254">
        <w:rPr>
          <w:rFonts w:ascii="David" w:hAnsi="David"/>
          <w:b/>
          <w:bCs/>
          <w:u w:val="single"/>
          <w:rtl/>
        </w:rPr>
        <w:lastRenderedPageBreak/>
        <w:t>עובדות כתב האישום המתוקן:</w:t>
      </w:r>
    </w:p>
    <w:p w14:paraId="4DC00D0A"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ביום 29.5.23 בסמוך לשעה 20:30 הגיע צוות משטרתי למפעל בלוקים בכפר זלפה, על מנת לבצע חיפוש אחר נשק. החיפוש בוצע במפעל בלוקים והשוטרים שהגיעו לשם, הבחינו בהתקהלות גדולה של אנשים. אחד השוטרים הבחין בנאשם שקם מהכיסא עליו הוא ישב והולך במהירות לחלקו האחורי של מפעל הבלוקים, כאשר הנאשם מסתכל לאחור. </w:t>
      </w:r>
    </w:p>
    <w:p w14:paraId="5BC10CB3" w14:textId="77777777" w:rsidR="006C09C7" w:rsidRDefault="006C09C7" w:rsidP="006C09C7">
      <w:pPr>
        <w:spacing w:line="360" w:lineRule="auto"/>
        <w:jc w:val="both"/>
        <w:rPr>
          <w:rFonts w:ascii="David" w:hAnsi="David"/>
          <w:rtl/>
        </w:rPr>
      </w:pPr>
    </w:p>
    <w:p w14:paraId="18112797" w14:textId="77777777" w:rsidR="006C09C7" w:rsidRPr="00EC7254" w:rsidRDefault="006C09C7" w:rsidP="006C09C7">
      <w:pPr>
        <w:spacing w:line="360" w:lineRule="auto"/>
        <w:ind w:left="720"/>
        <w:jc w:val="both"/>
        <w:rPr>
          <w:rFonts w:ascii="David" w:hAnsi="David"/>
          <w:rtl/>
        </w:rPr>
      </w:pPr>
      <w:r w:rsidRPr="00EC7254">
        <w:rPr>
          <w:rFonts w:ascii="David" w:hAnsi="David"/>
          <w:rtl/>
        </w:rPr>
        <w:t>תוך כדי כך הושיט הנאשם ידו לכיוון הבטן התחתונה, והוציא משם אקדח מסוג יריחו מס' סידורי 69098</w:t>
      </w:r>
      <w:r w:rsidRPr="00EC7254">
        <w:rPr>
          <w:rFonts w:ascii="David" w:hAnsi="David"/>
        </w:rPr>
        <w:t>C</w:t>
      </w:r>
      <w:r w:rsidRPr="00EC7254">
        <w:rPr>
          <w:rFonts w:ascii="David" w:hAnsi="David"/>
          <w:rtl/>
        </w:rPr>
        <w:t xml:space="preserve"> (להלן: "</w:t>
      </w:r>
      <w:r w:rsidRPr="00EC7254">
        <w:rPr>
          <w:rFonts w:ascii="David" w:hAnsi="David"/>
          <w:b/>
          <w:bCs/>
          <w:rtl/>
        </w:rPr>
        <w:t>הנשק</w:t>
      </w:r>
      <w:r w:rsidRPr="00EC7254">
        <w:rPr>
          <w:rFonts w:ascii="David" w:hAnsi="David"/>
          <w:rtl/>
        </w:rPr>
        <w:t>"). הנשק היה טעון במחסנית ובה שמונה כדורים (להלן: "</w:t>
      </w:r>
      <w:r w:rsidRPr="00EC7254">
        <w:rPr>
          <w:rFonts w:ascii="David" w:hAnsi="David"/>
          <w:b/>
          <w:bCs/>
          <w:rtl/>
        </w:rPr>
        <w:t>התחמושת</w:t>
      </w:r>
      <w:r w:rsidRPr="00EC7254">
        <w:rPr>
          <w:rFonts w:ascii="David" w:hAnsi="David"/>
          <w:rtl/>
        </w:rPr>
        <w:t xml:space="preserve">"). הנאשם החזיק בנשק ובתחמושת בלא רשות על פי דין והשליך אותם לעבר ערימה של צינורות פלסטיק.  </w:t>
      </w:r>
    </w:p>
    <w:p w14:paraId="6528894B" w14:textId="77777777" w:rsidR="006C09C7" w:rsidRDefault="006C09C7" w:rsidP="006C09C7">
      <w:pPr>
        <w:spacing w:line="360" w:lineRule="auto"/>
        <w:jc w:val="both"/>
        <w:rPr>
          <w:rFonts w:ascii="David" w:hAnsi="David"/>
          <w:rtl/>
        </w:rPr>
      </w:pPr>
    </w:p>
    <w:p w14:paraId="5F280059"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השוטר הבחין בכך, צעק לעבר הנאשם "משטרה עצור" ואחז בנאשם. אולם, הנאשם החל להשתולל וניסה להשתחרר מאחיזת השוטר אשר הצליח לעצור אותו. חיפוש שנערך על גוף הנאשם גילה בכיסי מכנסיו מחסנית אחת ובה 41 כדורי 9 מ"מ, כפפות ומפתחות לרכב ולטרקטורון. </w:t>
      </w:r>
    </w:p>
    <w:p w14:paraId="1CA24B13" w14:textId="77777777" w:rsidR="006C09C7" w:rsidRDefault="006C09C7" w:rsidP="006C09C7">
      <w:pPr>
        <w:spacing w:line="360" w:lineRule="auto"/>
        <w:jc w:val="both"/>
        <w:rPr>
          <w:rFonts w:ascii="David" w:hAnsi="David"/>
          <w:u w:val="single"/>
          <w:rtl/>
        </w:rPr>
      </w:pPr>
    </w:p>
    <w:p w14:paraId="1926CB3B" w14:textId="77777777" w:rsidR="006C09C7" w:rsidRPr="00EC7254" w:rsidRDefault="006C09C7" w:rsidP="006C09C7">
      <w:pPr>
        <w:spacing w:line="360" w:lineRule="auto"/>
        <w:jc w:val="both"/>
        <w:rPr>
          <w:rFonts w:ascii="David" w:hAnsi="David"/>
          <w:b/>
          <w:bCs/>
          <w:u w:val="single"/>
          <w:rtl/>
        </w:rPr>
      </w:pPr>
      <w:r w:rsidRPr="00EC7254">
        <w:rPr>
          <w:rFonts w:ascii="David" w:hAnsi="David"/>
          <w:b/>
          <w:bCs/>
          <w:u w:val="single"/>
          <w:rtl/>
        </w:rPr>
        <w:t xml:space="preserve">ראיות לעונש: </w:t>
      </w:r>
    </w:p>
    <w:p w14:paraId="004F5A2C"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לא הוגשו על ידי הצדדים ראיות לעונש. מוסכם על הצדדים שהנאשם נעדר עבר פלילי. </w:t>
      </w:r>
    </w:p>
    <w:p w14:paraId="7F430540" w14:textId="77777777" w:rsidR="006C09C7" w:rsidRDefault="006C09C7" w:rsidP="006C09C7">
      <w:pPr>
        <w:spacing w:line="360" w:lineRule="auto"/>
        <w:jc w:val="both"/>
        <w:rPr>
          <w:rFonts w:ascii="David" w:hAnsi="David"/>
          <w:u w:val="single"/>
          <w:rtl/>
        </w:rPr>
      </w:pPr>
    </w:p>
    <w:p w14:paraId="492D5C17" w14:textId="77777777" w:rsidR="006C09C7" w:rsidRPr="00EC7254" w:rsidRDefault="006C09C7" w:rsidP="006C09C7">
      <w:pPr>
        <w:spacing w:line="360" w:lineRule="auto"/>
        <w:jc w:val="both"/>
        <w:rPr>
          <w:rFonts w:ascii="David" w:hAnsi="David"/>
          <w:b/>
          <w:bCs/>
          <w:u w:val="single"/>
          <w:rtl/>
        </w:rPr>
      </w:pPr>
      <w:r w:rsidRPr="00EC7254">
        <w:rPr>
          <w:rFonts w:ascii="David" w:hAnsi="David"/>
          <w:b/>
          <w:bCs/>
          <w:u w:val="single"/>
          <w:rtl/>
        </w:rPr>
        <w:t xml:space="preserve">תסקיר שירות המבחן: </w:t>
      </w:r>
    </w:p>
    <w:p w14:paraId="6C32BF89"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לבקשת הנאשם ובהסכמת המאשימה הוזמן תסקיר משירות המבחן. </w:t>
      </w:r>
    </w:p>
    <w:p w14:paraId="71EADB29" w14:textId="77777777" w:rsidR="006C09C7" w:rsidRDefault="006C09C7" w:rsidP="006C09C7">
      <w:pPr>
        <w:spacing w:line="360" w:lineRule="auto"/>
        <w:jc w:val="both"/>
        <w:rPr>
          <w:rFonts w:ascii="David" w:hAnsi="David"/>
          <w:rtl/>
        </w:rPr>
      </w:pPr>
    </w:p>
    <w:p w14:paraId="59E69F6A"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כעולה מתסקיר שירות המבחן, הנאשם הוא כבן 38 נשוי, אב לשלושה ילדים קטינים, וסיים 12 שנות לימוד. עובר למעצר, עבד הנאשם כנהג אוטובוס והוא מתגורר עם משפחתו בכפר זלפה. </w:t>
      </w:r>
    </w:p>
    <w:p w14:paraId="7F7E9885" w14:textId="77777777" w:rsidR="006C09C7" w:rsidRDefault="006C09C7" w:rsidP="006C09C7">
      <w:pPr>
        <w:spacing w:line="360" w:lineRule="auto"/>
        <w:jc w:val="both"/>
        <w:rPr>
          <w:rFonts w:ascii="David" w:hAnsi="David"/>
          <w:rtl/>
        </w:rPr>
      </w:pPr>
    </w:p>
    <w:p w14:paraId="36AE1F8D"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עוד עולה מתסקיר שירות המבחן, כי הנאשם הכיר במידה מסוימת בכך שהתנהלותו בעייתית, הגם שנטה לצמצם את מעורבותו. בד בבד, שירות המבחן הגיע למסקנה שהנאשם בחן את הכשלים בהתנהלותו והשתלב בטיפול תואם. בסוגיה זו מציין שירות המבחן, שהנאשם השתתף בקבוצת עצורי בית המצויים באזוק בפיקוח אלקטרוני ומסר שהטיפול הקבוצתי סייע לו לרכוש דרכי התמודדות במצבי משבר ומתח. </w:t>
      </w:r>
    </w:p>
    <w:p w14:paraId="50FD3A2A" w14:textId="77777777" w:rsidR="006C09C7" w:rsidRDefault="006C09C7" w:rsidP="006C09C7">
      <w:pPr>
        <w:spacing w:line="360" w:lineRule="auto"/>
        <w:jc w:val="both"/>
        <w:rPr>
          <w:rFonts w:ascii="David" w:hAnsi="David"/>
          <w:rtl/>
        </w:rPr>
      </w:pPr>
    </w:p>
    <w:p w14:paraId="1DAD4436"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בכל הנוגע להערכת הסיכון להישנות פעילות עבריינית, מציין שירות המבחן שהנאשם הוא בעל כוחות פנימיים ויכולות גבוהות, אולם, הוא מצמצם את התייחסותו לביצוע העבירה בה הורשע, תוך שהוא מיתמם. </w:t>
      </w:r>
    </w:p>
    <w:p w14:paraId="1B1E9520" w14:textId="77777777" w:rsidR="006C09C7" w:rsidRDefault="006C09C7" w:rsidP="006C09C7">
      <w:pPr>
        <w:spacing w:line="360" w:lineRule="auto"/>
        <w:jc w:val="both"/>
        <w:rPr>
          <w:rFonts w:ascii="David" w:hAnsi="David"/>
          <w:rtl/>
        </w:rPr>
      </w:pPr>
    </w:p>
    <w:p w14:paraId="7F4BA75E"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על כן, הגיע שירות המבחן למסקנה שרמת הסיכון להישנות ביצוע עבירות דומות היא נמוכה. עם זאת, נוכח חומרת העבירה נמנע שירות המבחן מהמלצה שיקומית, והמליץ על ענישה מוחשית ומציבת גבול. </w:t>
      </w:r>
    </w:p>
    <w:p w14:paraId="1460AA93" w14:textId="77777777" w:rsidR="006C09C7" w:rsidRDefault="006C09C7" w:rsidP="006C09C7">
      <w:pPr>
        <w:spacing w:line="360" w:lineRule="auto"/>
        <w:jc w:val="both"/>
        <w:rPr>
          <w:rFonts w:ascii="David" w:hAnsi="David"/>
          <w:rtl/>
        </w:rPr>
      </w:pPr>
    </w:p>
    <w:p w14:paraId="5B7C92C1" w14:textId="77777777" w:rsidR="006C09C7" w:rsidRPr="00EC7254" w:rsidRDefault="006C09C7" w:rsidP="006C09C7">
      <w:pPr>
        <w:pStyle w:val="a9"/>
        <w:numPr>
          <w:ilvl w:val="0"/>
          <w:numId w:val="1"/>
        </w:numPr>
        <w:spacing w:line="360" w:lineRule="auto"/>
        <w:jc w:val="both"/>
        <w:rPr>
          <w:rFonts w:ascii="David" w:hAnsi="David"/>
          <w:rtl/>
        </w:rPr>
      </w:pPr>
      <w:r>
        <w:rPr>
          <w:rFonts w:ascii="David" w:hAnsi="David" w:hint="cs"/>
          <w:rtl/>
        </w:rPr>
        <w:t>בד בבד</w:t>
      </w:r>
      <w:r w:rsidRPr="00EC7254">
        <w:rPr>
          <w:rFonts w:ascii="David" w:hAnsi="David"/>
          <w:rtl/>
        </w:rPr>
        <w:t>, עולה מהתסקיר שהנאשם גילה דפוסי התנהגות מכשילים ועיוותי חשיבה. זאת ועוד, גרסת הנאשם לשירות המבחן, באשר לאירועים מושא כתב האישום, אינה עולה בקנה אחד עם עובדות כתב האישום המתוקן בו הודה. למעשה בדבריו לשירות המבחן מקל הנאשם עם עצמו וממזער  מאחריותו.</w:t>
      </w:r>
    </w:p>
    <w:p w14:paraId="5516EFA5" w14:textId="77777777" w:rsidR="006C09C7" w:rsidRDefault="006C09C7" w:rsidP="006C09C7">
      <w:pPr>
        <w:spacing w:line="360" w:lineRule="auto"/>
        <w:jc w:val="both"/>
        <w:rPr>
          <w:rFonts w:ascii="David" w:hAnsi="David"/>
          <w:u w:val="single"/>
          <w:rtl/>
        </w:rPr>
      </w:pPr>
    </w:p>
    <w:p w14:paraId="6BF47E9B" w14:textId="77777777" w:rsidR="006C09C7" w:rsidRDefault="006C09C7" w:rsidP="006C09C7">
      <w:pPr>
        <w:spacing w:line="360" w:lineRule="auto"/>
        <w:jc w:val="both"/>
        <w:rPr>
          <w:rFonts w:ascii="David" w:hAnsi="David"/>
          <w:b/>
          <w:bCs/>
          <w:u w:val="single"/>
          <w:rtl/>
        </w:rPr>
      </w:pPr>
    </w:p>
    <w:p w14:paraId="1DA9EF34" w14:textId="77777777" w:rsidR="006C09C7" w:rsidRPr="00EC7254" w:rsidRDefault="006C09C7" w:rsidP="006C09C7">
      <w:pPr>
        <w:spacing w:line="360" w:lineRule="auto"/>
        <w:jc w:val="both"/>
        <w:rPr>
          <w:rFonts w:ascii="David" w:hAnsi="David"/>
          <w:b/>
          <w:bCs/>
          <w:u w:val="single"/>
          <w:rtl/>
        </w:rPr>
      </w:pPr>
      <w:r w:rsidRPr="00EC7254">
        <w:rPr>
          <w:rFonts w:ascii="David" w:hAnsi="David"/>
          <w:b/>
          <w:bCs/>
          <w:u w:val="single"/>
          <w:rtl/>
        </w:rPr>
        <w:t xml:space="preserve">טיעוני המאשימה לעניין העונש: </w:t>
      </w:r>
    </w:p>
    <w:p w14:paraId="1B4A7123"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המאשימה עמדה על חומרת העבירה בה הורשע הנאשם ועל מגמת ההחמרה בענישה המובלת על ידי בית המשפט העליון. עוד הדגישה המאשימה, את הנזק העצום לגוף ולרכוש הנובע מעבירות נשק ואת הפגיעה בערך החברתי המוגן שנפגע עקב ביצוע העבירות, והוא פגיעה בשלום הציבור, בטחונו והגנה על חיי אדם. כך הוסיפה המאשימה, שעבירות הנשק הפכו מכת מדינה, ועל כן נדרשת ענישה הולמת. </w:t>
      </w:r>
    </w:p>
    <w:p w14:paraId="11E31DFD" w14:textId="77777777" w:rsidR="006C09C7" w:rsidRDefault="006C09C7" w:rsidP="006C09C7">
      <w:pPr>
        <w:spacing w:line="360" w:lineRule="auto"/>
        <w:jc w:val="both"/>
        <w:rPr>
          <w:rFonts w:ascii="David" w:hAnsi="David"/>
          <w:rtl/>
        </w:rPr>
      </w:pPr>
    </w:p>
    <w:p w14:paraId="51023752"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בכל הנוגע לנסיבותיו של הנאשם, סבורה המאשימה שקיימות נסיבות מחמירות ובהן תכנון שקדם לביצוע העבירה, שכן בעודו מחוץ לביתו הוא החזיק אקדח טעון וכדורים. עוד מדגישה המאשימה, שהנאשם הוא הדמות הדומיננטית בביצוע העבירה. כך גם הדגישה המאשימה שיכול היה להיגרם נזק גדול מביצוע העבירה, שכן במפעל הבלוקים בו נתפס הנאשם הייתה התקהלות רבתית של אנשים. </w:t>
      </w:r>
    </w:p>
    <w:p w14:paraId="5D111868" w14:textId="77777777" w:rsidR="006C09C7" w:rsidRDefault="006C09C7" w:rsidP="006C09C7">
      <w:pPr>
        <w:spacing w:line="360" w:lineRule="auto"/>
        <w:jc w:val="both"/>
        <w:rPr>
          <w:rFonts w:ascii="David" w:hAnsi="David"/>
          <w:rtl/>
        </w:rPr>
      </w:pPr>
    </w:p>
    <w:p w14:paraId="73E242E4"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לתמיכה בטיעוניה הגישה המאשימה אסופה של פסיקה. </w:t>
      </w:r>
    </w:p>
    <w:p w14:paraId="4A2D215C" w14:textId="77777777" w:rsidR="006C09C7" w:rsidRDefault="006C09C7" w:rsidP="006C09C7">
      <w:pPr>
        <w:spacing w:line="360" w:lineRule="auto"/>
        <w:jc w:val="both"/>
        <w:rPr>
          <w:rFonts w:ascii="David" w:hAnsi="David"/>
          <w:rtl/>
        </w:rPr>
      </w:pPr>
    </w:p>
    <w:p w14:paraId="40659C11"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בכל הנוגע לנסיבות שאינן קשורות לביצוע העבירה, המאשימה מאשרת שההודאה בעובדות כתב האישום המתוקן חסכה זמן שיפוטי ומזמנה שלה. </w:t>
      </w:r>
    </w:p>
    <w:p w14:paraId="15210342" w14:textId="77777777" w:rsidR="006C09C7" w:rsidRDefault="006C09C7" w:rsidP="006C09C7">
      <w:pPr>
        <w:spacing w:line="360" w:lineRule="auto"/>
        <w:jc w:val="both"/>
        <w:rPr>
          <w:rFonts w:ascii="David" w:hAnsi="David"/>
          <w:rtl/>
        </w:rPr>
      </w:pPr>
    </w:p>
    <w:p w14:paraId="2E86AE9B"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על כן, סבורה המאשימה שמתחם העונש ההולם נע בין 30 עד 48 חודשי מאסר, לצד עונשים נלווים של מאסר מותנה וקנס כספי. את עניינו של הנאשם סבורה המאשימה שיש להעמיד על עונש מאסר ברף בינוני נמוך בתוך המתחם המוצע, כאשר אין לנכות מתקופת המאסר שתיפסק את התקופה בה שהה הנאשם במעצר בדרך של אזוק אלקטרוני. </w:t>
      </w:r>
    </w:p>
    <w:p w14:paraId="7FE5298D" w14:textId="77777777" w:rsidR="006C09C7" w:rsidRDefault="006C09C7" w:rsidP="006C09C7">
      <w:pPr>
        <w:spacing w:line="360" w:lineRule="auto"/>
        <w:jc w:val="both"/>
        <w:rPr>
          <w:rFonts w:ascii="David" w:hAnsi="David"/>
          <w:u w:val="single"/>
          <w:rtl/>
        </w:rPr>
      </w:pPr>
    </w:p>
    <w:p w14:paraId="1577FDBC" w14:textId="77777777" w:rsidR="006C09C7" w:rsidRPr="00EC7254" w:rsidRDefault="006C09C7" w:rsidP="006C09C7">
      <w:pPr>
        <w:spacing w:line="360" w:lineRule="auto"/>
        <w:jc w:val="both"/>
        <w:rPr>
          <w:rFonts w:ascii="David" w:hAnsi="David"/>
          <w:b/>
          <w:bCs/>
          <w:u w:val="single"/>
          <w:rtl/>
        </w:rPr>
      </w:pPr>
      <w:r w:rsidRPr="00EC7254">
        <w:rPr>
          <w:rFonts w:ascii="David" w:hAnsi="David"/>
          <w:b/>
          <w:bCs/>
          <w:u w:val="single"/>
          <w:rtl/>
        </w:rPr>
        <w:t xml:space="preserve">טיעוני הנאשם: </w:t>
      </w:r>
    </w:p>
    <w:p w14:paraId="374DE459"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ב"כ הנאשם טען את כל שניתן לטעון עבור הנאשם, והוא ביקש למקד את הענישה הראויה בענייננו לנסיבותיו הפרטניות של הנאשם. </w:t>
      </w:r>
    </w:p>
    <w:p w14:paraId="423DF603" w14:textId="77777777" w:rsidR="006C09C7" w:rsidRDefault="006C09C7" w:rsidP="006C09C7">
      <w:pPr>
        <w:spacing w:line="360" w:lineRule="auto"/>
        <w:jc w:val="both"/>
        <w:rPr>
          <w:rFonts w:ascii="David" w:hAnsi="David"/>
          <w:rtl/>
        </w:rPr>
      </w:pPr>
    </w:p>
    <w:p w14:paraId="5E139619"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משכך, הפנה הסנגור לגילו של הנאשם, לעובדה שהוא קיים אורח חיים נורמטיבי עד לביצוע העבירה מושא ענייננו, לכך שהוא מפרנס יחיד לתא המשפחתי ועבד באופן מסודר עד למעצר. </w:t>
      </w:r>
    </w:p>
    <w:p w14:paraId="30722216" w14:textId="77777777" w:rsidR="006C09C7" w:rsidRDefault="006C09C7" w:rsidP="006C09C7">
      <w:pPr>
        <w:spacing w:line="360" w:lineRule="auto"/>
        <w:jc w:val="both"/>
        <w:rPr>
          <w:rFonts w:ascii="David" w:hAnsi="David"/>
          <w:rtl/>
        </w:rPr>
      </w:pPr>
    </w:p>
    <w:p w14:paraId="25927A23" w14:textId="77777777" w:rsidR="006C09C7" w:rsidRPr="00EC7254" w:rsidRDefault="006C09C7" w:rsidP="006C09C7">
      <w:pPr>
        <w:pStyle w:val="a9"/>
        <w:numPr>
          <w:ilvl w:val="0"/>
          <w:numId w:val="1"/>
        </w:numPr>
        <w:spacing w:line="360" w:lineRule="auto"/>
        <w:jc w:val="both"/>
        <w:rPr>
          <w:rFonts w:ascii="David" w:hAnsi="David"/>
          <w:rtl/>
        </w:rPr>
      </w:pPr>
      <w:r w:rsidRPr="00EC7254">
        <w:rPr>
          <w:rFonts w:ascii="David" w:hAnsi="David"/>
          <w:rtl/>
        </w:rPr>
        <w:t xml:space="preserve">בכל הנוגע לאסופת הפסיקה אליה הפנתה המאשימה, סבור הסנגור שאין להקיש ממנה לענייננו שכן זו עוסקת בעבירות חמורות יותר מזו מושא גזר הדין. </w:t>
      </w:r>
    </w:p>
    <w:p w14:paraId="7F6469E0" w14:textId="77777777" w:rsidR="006C09C7" w:rsidRPr="006A4231" w:rsidRDefault="006C09C7" w:rsidP="006C09C7">
      <w:pPr>
        <w:pStyle w:val="a9"/>
        <w:numPr>
          <w:ilvl w:val="0"/>
          <w:numId w:val="1"/>
        </w:numPr>
        <w:spacing w:line="360" w:lineRule="auto"/>
        <w:jc w:val="both"/>
        <w:rPr>
          <w:rFonts w:ascii="David" w:hAnsi="David"/>
          <w:rtl/>
        </w:rPr>
      </w:pPr>
      <w:r w:rsidRPr="006A4231">
        <w:rPr>
          <w:rFonts w:ascii="David" w:hAnsi="David"/>
          <w:rtl/>
        </w:rPr>
        <w:t xml:space="preserve">כמו כן, הפנה הסנגור לתסקיר שירות המבחן ממנו עולה שהנאשם הכיר בהתנהלותו הבעייתית ובחן את הכשלים בהתנהגותו. לשיטת הסנגור, קביעה של הערכת מסוכנות נמוכה היא נדירה במקרים כגון אלו ועל כן אין להחמיר עם הנאשם. </w:t>
      </w:r>
    </w:p>
    <w:p w14:paraId="4A3EBC6C" w14:textId="77777777" w:rsidR="006C09C7" w:rsidRDefault="006C09C7" w:rsidP="006C09C7">
      <w:pPr>
        <w:spacing w:line="360" w:lineRule="auto"/>
        <w:jc w:val="both"/>
        <w:rPr>
          <w:rFonts w:ascii="David" w:hAnsi="David"/>
          <w:rtl/>
        </w:rPr>
      </w:pPr>
    </w:p>
    <w:p w14:paraId="63CF536C"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זאת גם זאת, הסנגור הפנה לכך שנחסך זמן שיפוטי יקר ולעובדה שלא היה צורך לזמן עדים שרובם הגדול הם שוטרים. </w:t>
      </w:r>
    </w:p>
    <w:p w14:paraId="23C04E6C" w14:textId="77777777" w:rsidR="006C09C7" w:rsidRDefault="006C09C7" w:rsidP="006C09C7">
      <w:pPr>
        <w:spacing w:line="360" w:lineRule="auto"/>
        <w:jc w:val="both"/>
        <w:rPr>
          <w:rFonts w:ascii="David" w:hAnsi="David"/>
          <w:rtl/>
        </w:rPr>
      </w:pPr>
    </w:p>
    <w:p w14:paraId="238D4633" w14:textId="77777777" w:rsidR="006C09C7" w:rsidRPr="006A4231" w:rsidRDefault="006C09C7" w:rsidP="006C09C7">
      <w:pPr>
        <w:pStyle w:val="a9"/>
        <w:numPr>
          <w:ilvl w:val="0"/>
          <w:numId w:val="1"/>
        </w:numPr>
        <w:spacing w:line="360" w:lineRule="auto"/>
        <w:jc w:val="both"/>
        <w:rPr>
          <w:rFonts w:ascii="David" w:hAnsi="David"/>
          <w:rtl/>
        </w:rPr>
      </w:pPr>
      <w:r w:rsidRPr="006A4231">
        <w:rPr>
          <w:rFonts w:ascii="David" w:hAnsi="David"/>
          <w:rtl/>
        </w:rPr>
        <w:t xml:space="preserve">הסנגור הפנה לאסופת פסיקה אשר תומכת בגישתו, לפיה מתחם הענישה המבוקש על ידי המאשימה אינו תואם את נסיבות העניין, ולהבנתו עונש המאסר הראוי לנאשם הוא כ-18 חודשים. </w:t>
      </w:r>
    </w:p>
    <w:p w14:paraId="7DCAD882" w14:textId="77777777" w:rsidR="006C09C7" w:rsidRDefault="006C09C7" w:rsidP="006C09C7">
      <w:pPr>
        <w:spacing w:line="360" w:lineRule="auto"/>
        <w:jc w:val="both"/>
        <w:rPr>
          <w:rFonts w:ascii="David" w:hAnsi="David"/>
          <w:u w:val="single"/>
          <w:rtl/>
        </w:rPr>
      </w:pPr>
    </w:p>
    <w:p w14:paraId="69E0E617" w14:textId="77777777" w:rsidR="006C09C7" w:rsidRPr="006A4231" w:rsidRDefault="006C09C7" w:rsidP="006C09C7">
      <w:pPr>
        <w:spacing w:line="360" w:lineRule="auto"/>
        <w:jc w:val="both"/>
        <w:rPr>
          <w:rFonts w:ascii="David" w:hAnsi="David"/>
          <w:b/>
          <w:bCs/>
          <w:u w:val="single"/>
          <w:rtl/>
        </w:rPr>
      </w:pPr>
      <w:r w:rsidRPr="006A4231">
        <w:rPr>
          <w:rFonts w:ascii="David" w:hAnsi="David"/>
          <w:b/>
          <w:bCs/>
          <w:u w:val="single"/>
          <w:rtl/>
        </w:rPr>
        <w:t xml:space="preserve">דברי הנאשם: </w:t>
      </w:r>
    </w:p>
    <w:p w14:paraId="73E7EBBA" w14:textId="77777777" w:rsidR="006C09C7" w:rsidRPr="006A4231" w:rsidRDefault="006C09C7" w:rsidP="006C09C7">
      <w:pPr>
        <w:pStyle w:val="a9"/>
        <w:numPr>
          <w:ilvl w:val="0"/>
          <w:numId w:val="1"/>
        </w:numPr>
        <w:spacing w:line="360" w:lineRule="auto"/>
        <w:jc w:val="both"/>
        <w:rPr>
          <w:rFonts w:ascii="David" w:hAnsi="David"/>
          <w:rtl/>
        </w:rPr>
      </w:pPr>
      <w:r w:rsidRPr="006A4231">
        <w:rPr>
          <w:rFonts w:ascii="David" w:hAnsi="David"/>
          <w:rtl/>
        </w:rPr>
        <w:t xml:space="preserve">הנאשם אמר, כי הוא למד דברים רבים והוא מתנצל על ביצוע העבירה. עוד ביקש הנאשם להתחשב בו נוכח העובדה שהוא אב לשלושה ילדים קטינים. </w:t>
      </w:r>
    </w:p>
    <w:p w14:paraId="234B2393" w14:textId="77777777" w:rsidR="006C09C7" w:rsidRDefault="006C09C7" w:rsidP="006C09C7">
      <w:pPr>
        <w:spacing w:line="360" w:lineRule="auto"/>
        <w:jc w:val="both"/>
        <w:rPr>
          <w:rFonts w:ascii="David" w:hAnsi="David"/>
          <w:u w:val="single"/>
          <w:rtl/>
        </w:rPr>
      </w:pPr>
    </w:p>
    <w:p w14:paraId="14A0928D" w14:textId="77777777" w:rsidR="006C09C7" w:rsidRPr="006A4231" w:rsidRDefault="006C09C7" w:rsidP="006C09C7">
      <w:pPr>
        <w:spacing w:line="360" w:lineRule="auto"/>
        <w:jc w:val="both"/>
        <w:rPr>
          <w:rFonts w:ascii="David" w:hAnsi="David"/>
          <w:b/>
          <w:bCs/>
          <w:u w:val="single"/>
          <w:rtl/>
        </w:rPr>
      </w:pPr>
      <w:r w:rsidRPr="006A4231">
        <w:rPr>
          <w:rFonts w:ascii="David" w:hAnsi="David"/>
          <w:b/>
          <w:bCs/>
          <w:u w:val="single"/>
          <w:rtl/>
        </w:rPr>
        <w:t xml:space="preserve">דיון והכרעה: </w:t>
      </w:r>
    </w:p>
    <w:p w14:paraId="6F22DE06" w14:textId="77777777" w:rsidR="006C09C7" w:rsidRPr="006A4231" w:rsidRDefault="006C09C7" w:rsidP="006C09C7">
      <w:pPr>
        <w:spacing w:line="360" w:lineRule="auto"/>
        <w:jc w:val="both"/>
        <w:rPr>
          <w:rFonts w:ascii="David" w:hAnsi="David"/>
          <w:b/>
          <w:bCs/>
          <w:u w:val="single"/>
          <w:rtl/>
        </w:rPr>
      </w:pPr>
      <w:r w:rsidRPr="006A4231">
        <w:rPr>
          <w:rFonts w:ascii="David" w:hAnsi="David"/>
          <w:b/>
          <w:bCs/>
          <w:u w:val="single"/>
          <w:rtl/>
        </w:rPr>
        <w:t xml:space="preserve">דרכי קביעת מתחם העונש ההולם: </w:t>
      </w:r>
    </w:p>
    <w:p w14:paraId="27AC6BDD" w14:textId="77777777" w:rsidR="006C09C7" w:rsidRPr="006A4231" w:rsidRDefault="0037358F" w:rsidP="006C09C7">
      <w:pPr>
        <w:pStyle w:val="a9"/>
        <w:numPr>
          <w:ilvl w:val="0"/>
          <w:numId w:val="1"/>
        </w:numPr>
        <w:spacing w:line="360" w:lineRule="auto"/>
        <w:jc w:val="both"/>
        <w:rPr>
          <w:rFonts w:ascii="David" w:hAnsi="David"/>
          <w:rtl/>
        </w:rPr>
      </w:pPr>
      <w:hyperlink r:id="rId15" w:history="1">
        <w:r w:rsidRPr="0037358F">
          <w:rPr>
            <w:rStyle w:val="Hyperlink"/>
            <w:rFonts w:ascii="David" w:hAnsi="David"/>
            <w:color w:val="0000FF"/>
            <w:rtl/>
          </w:rPr>
          <w:t>סעיפים 40 א - טו</w:t>
        </w:r>
      </w:hyperlink>
      <w:r w:rsidR="006C09C7" w:rsidRPr="006A4231">
        <w:rPr>
          <w:rFonts w:ascii="David" w:hAnsi="David"/>
          <w:rtl/>
        </w:rPr>
        <w:t xml:space="preserve"> ל</w:t>
      </w:r>
      <w:hyperlink r:id="rId16" w:history="1">
        <w:r w:rsidR="00FA5A2C" w:rsidRPr="00FA5A2C">
          <w:rPr>
            <w:rFonts w:ascii="David" w:hAnsi="David"/>
            <w:color w:val="0000FF"/>
            <w:u w:val="single"/>
            <w:rtl/>
          </w:rPr>
          <w:t>חוק העונשין</w:t>
        </w:r>
      </w:hyperlink>
      <w:r w:rsidR="006C09C7" w:rsidRPr="006A4231">
        <w:rPr>
          <w:rFonts w:ascii="David" w:hAnsi="David"/>
          <w:rtl/>
        </w:rPr>
        <w:t xml:space="preserve"> קובעים שהעיקרון המנחה בגזירת הדין הוא קיום יחס הולם בין חומרת מעשה העבירה בנסיבותיה, מידת אשמו של הנאשם וסוג ומידת העונש המוטל עליו. בהמשך על בית המשפט לקבוע מתחם ענישה הולם למעשה העבירה שביצע הנאשם, זאת בית המשפט עושה בהתאם לעיקרון המנחה. לצורך קביעת מתחם העונש ההולם, על בית המשפט להתחשב בערך החברתי שנפגע מביצוע העבירה, במידת הפגיעה בו, במדיניות הענישה הנהוגה ובנסיבות הקשורות בביצוע העבירה. </w:t>
      </w:r>
    </w:p>
    <w:p w14:paraId="1CB2D57A" w14:textId="77777777" w:rsidR="006C09C7" w:rsidRDefault="006C09C7" w:rsidP="006C09C7">
      <w:pPr>
        <w:spacing w:line="360" w:lineRule="auto"/>
        <w:jc w:val="both"/>
        <w:rPr>
          <w:rFonts w:ascii="David" w:hAnsi="David"/>
          <w:rtl/>
        </w:rPr>
      </w:pPr>
    </w:p>
    <w:p w14:paraId="13B47B25"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לאחר שבית המשפט קובע את מתחם העונש ההולם, נדרש בית המשפט לקבוע את העונש המתאים לנאשם בתוך גבולות המתחם שנקבע. בית המשפט עושה זאת בהתחשב בנסיבות שאינן קשורות בביצוע העבירה. </w:t>
      </w:r>
    </w:p>
    <w:p w14:paraId="0DE4FB68" w14:textId="77777777" w:rsidR="006C09C7" w:rsidRDefault="006C09C7" w:rsidP="006C09C7">
      <w:pPr>
        <w:spacing w:line="360" w:lineRule="auto"/>
        <w:jc w:val="both"/>
        <w:rPr>
          <w:rFonts w:ascii="David" w:hAnsi="David"/>
          <w:rtl/>
        </w:rPr>
      </w:pPr>
    </w:p>
    <w:p w14:paraId="248D8AC4"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עוד בוחן בית המשפט את הערכים החברתיים שנפגעו, הגנה על שלום הציבור, שיקום, הרתעת הרבים והפרט. </w:t>
      </w:r>
    </w:p>
    <w:p w14:paraId="65114DB4" w14:textId="77777777" w:rsidR="006C09C7" w:rsidRDefault="006C09C7" w:rsidP="006C09C7">
      <w:pPr>
        <w:spacing w:line="360" w:lineRule="auto"/>
        <w:jc w:val="both"/>
        <w:rPr>
          <w:rFonts w:ascii="David" w:hAnsi="David"/>
          <w:u w:val="single"/>
          <w:rtl/>
        </w:rPr>
      </w:pPr>
    </w:p>
    <w:p w14:paraId="63DEDDB0" w14:textId="77777777" w:rsidR="006C09C7" w:rsidRDefault="006C09C7" w:rsidP="006C09C7">
      <w:pPr>
        <w:spacing w:line="360" w:lineRule="auto"/>
        <w:jc w:val="both"/>
        <w:rPr>
          <w:rFonts w:ascii="David" w:hAnsi="David"/>
          <w:b/>
          <w:bCs/>
          <w:u w:val="single"/>
          <w:rtl/>
        </w:rPr>
      </w:pPr>
    </w:p>
    <w:p w14:paraId="77EB86F8" w14:textId="77777777" w:rsidR="006C09C7" w:rsidRDefault="006C09C7" w:rsidP="006C09C7">
      <w:pPr>
        <w:spacing w:line="360" w:lineRule="auto"/>
        <w:jc w:val="both"/>
        <w:rPr>
          <w:rFonts w:ascii="David" w:hAnsi="David"/>
          <w:b/>
          <w:bCs/>
          <w:u w:val="single"/>
          <w:rtl/>
        </w:rPr>
      </w:pPr>
    </w:p>
    <w:p w14:paraId="21A5D6BA" w14:textId="77777777" w:rsidR="006C09C7" w:rsidRPr="006A4231" w:rsidRDefault="006C09C7" w:rsidP="006C09C7">
      <w:pPr>
        <w:spacing w:line="360" w:lineRule="auto"/>
        <w:jc w:val="both"/>
        <w:rPr>
          <w:rFonts w:ascii="David" w:hAnsi="David"/>
          <w:b/>
          <w:bCs/>
          <w:u w:val="single"/>
          <w:rtl/>
        </w:rPr>
      </w:pPr>
      <w:r w:rsidRPr="006A4231">
        <w:rPr>
          <w:rFonts w:ascii="David" w:hAnsi="David"/>
          <w:b/>
          <w:bCs/>
          <w:u w:val="single"/>
          <w:rtl/>
        </w:rPr>
        <w:t xml:space="preserve">הערך החברתי שנפגע: </w:t>
      </w:r>
    </w:p>
    <w:p w14:paraId="722B5025" w14:textId="77777777" w:rsidR="006C09C7" w:rsidRPr="006A4231" w:rsidRDefault="006C09C7" w:rsidP="006C09C7">
      <w:pPr>
        <w:pStyle w:val="a9"/>
        <w:numPr>
          <w:ilvl w:val="0"/>
          <w:numId w:val="1"/>
        </w:numPr>
        <w:spacing w:line="360" w:lineRule="auto"/>
        <w:jc w:val="both"/>
        <w:rPr>
          <w:rFonts w:ascii="David" w:hAnsi="David"/>
          <w:rtl/>
        </w:rPr>
      </w:pPr>
      <w:r w:rsidRPr="006A4231">
        <w:rPr>
          <w:rFonts w:ascii="David" w:hAnsi="David"/>
          <w:rtl/>
        </w:rPr>
        <w:t xml:space="preserve">דומה שאין צורך להרחיב בפרק זה. מוסכם על הכל שנפגעו הערך החברתי של חיי אדם ושלמות הגוף ואף נפגעה תחושת הציבור לביטחון. לעניין זה ראו את עמדת המחוקק הרואה בעבירות נשק חומרה יתרה. </w:t>
      </w:r>
    </w:p>
    <w:p w14:paraId="02AE8C96" w14:textId="77777777" w:rsidR="006C09C7" w:rsidRDefault="006C09C7" w:rsidP="006C09C7">
      <w:pPr>
        <w:spacing w:line="360" w:lineRule="auto"/>
        <w:jc w:val="both"/>
        <w:rPr>
          <w:rFonts w:ascii="David" w:hAnsi="David"/>
          <w:rtl/>
        </w:rPr>
      </w:pPr>
    </w:p>
    <w:p w14:paraId="7D5414C1"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ראו לדוגמא </w:t>
      </w:r>
      <w:hyperlink r:id="rId17" w:history="1">
        <w:r w:rsidR="00FA5A2C" w:rsidRPr="00FA5A2C">
          <w:rPr>
            <w:rFonts w:ascii="David" w:hAnsi="David"/>
            <w:color w:val="0000FF"/>
            <w:u w:val="single"/>
            <w:rtl/>
          </w:rPr>
          <w:t>ע"פ 5681/23</w:t>
        </w:r>
      </w:hyperlink>
      <w:r w:rsidRPr="00EC7254">
        <w:rPr>
          <w:rFonts w:ascii="David" w:hAnsi="David"/>
          <w:rtl/>
        </w:rPr>
        <w:t xml:space="preserve"> חווא נ' מדינת ישראל (נבו 20.12.23) (להלן: "עניין חווא") והאסמכתאות שם: </w:t>
      </w:r>
    </w:p>
    <w:p w14:paraId="1DAD2E26" w14:textId="77777777" w:rsidR="006C09C7" w:rsidRPr="00EC7254" w:rsidRDefault="006C09C7" w:rsidP="006C09C7">
      <w:pPr>
        <w:spacing w:line="360" w:lineRule="auto"/>
        <w:ind w:left="720"/>
        <w:jc w:val="both"/>
        <w:rPr>
          <w:rFonts w:ascii="David" w:hAnsi="David"/>
          <w:rtl/>
        </w:rPr>
      </w:pPr>
      <w:r w:rsidRPr="00EC7254">
        <w:rPr>
          <w:rFonts w:ascii="David" w:hAnsi="David"/>
          <w:rtl/>
        </w:rPr>
        <w:t>"</w:t>
      </w:r>
      <w:r w:rsidRPr="006A4231">
        <w:rPr>
          <w:rFonts w:ascii="David" w:hAnsi="David"/>
          <w:b/>
          <w:bCs/>
          <w:rtl/>
        </w:rPr>
        <w:t>עבירות הנשק באשר הן הפכו למכת מדינה. חומרתן היתרה והשפעתן על תחושת הביטחון של כלל אזרחי המדינה מחייבת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 בסעיף 144 (ז) ל</w:t>
      </w:r>
      <w:hyperlink r:id="rId18" w:history="1">
        <w:r w:rsidR="00FA5A2C" w:rsidRPr="00FA5A2C">
          <w:rPr>
            <w:rFonts w:ascii="David" w:hAnsi="David"/>
            <w:b/>
            <w:bCs/>
            <w:color w:val="0000FF"/>
            <w:u w:val="single"/>
            <w:rtl/>
          </w:rPr>
          <w:t>חוק העונשין</w:t>
        </w:r>
      </w:hyperlink>
      <w:r w:rsidRPr="006A4231">
        <w:rPr>
          <w:rFonts w:ascii="David" w:hAnsi="David"/>
          <w:b/>
          <w:bCs/>
          <w:rtl/>
        </w:rPr>
        <w:t xml:space="preserve"> אשר חוקק במסגרת תיקון 144 לחוק"</w:t>
      </w:r>
      <w:r w:rsidRPr="00EC7254">
        <w:rPr>
          <w:rFonts w:ascii="David" w:hAnsi="David"/>
          <w:rtl/>
        </w:rPr>
        <w:t xml:space="preserve">. </w:t>
      </w:r>
    </w:p>
    <w:p w14:paraId="17D01FEE" w14:textId="77777777" w:rsidR="006C09C7" w:rsidRDefault="006C09C7" w:rsidP="006C09C7">
      <w:pPr>
        <w:spacing w:line="360" w:lineRule="auto"/>
        <w:jc w:val="both"/>
        <w:rPr>
          <w:rFonts w:ascii="David" w:hAnsi="David"/>
          <w:rtl/>
        </w:rPr>
      </w:pPr>
    </w:p>
    <w:p w14:paraId="2665A2D0" w14:textId="77777777" w:rsidR="006C09C7" w:rsidRPr="006A4231" w:rsidRDefault="006C09C7" w:rsidP="006C09C7">
      <w:pPr>
        <w:pStyle w:val="a9"/>
        <w:numPr>
          <w:ilvl w:val="0"/>
          <w:numId w:val="1"/>
        </w:numPr>
        <w:spacing w:line="360" w:lineRule="auto"/>
        <w:jc w:val="both"/>
        <w:rPr>
          <w:rFonts w:ascii="David" w:hAnsi="David"/>
          <w:rtl/>
        </w:rPr>
      </w:pPr>
      <w:r w:rsidRPr="006A4231">
        <w:rPr>
          <w:rFonts w:ascii="David" w:hAnsi="David"/>
          <w:rtl/>
        </w:rPr>
        <w:t xml:space="preserve">במקרה דנן, נשא והחזיק הנאשם ובכדורים באקדח טעון, במחסנית רבים בנפרד. </w:t>
      </w:r>
    </w:p>
    <w:p w14:paraId="2423C5A1" w14:textId="77777777" w:rsidR="006C09C7" w:rsidRDefault="006C09C7" w:rsidP="006C09C7">
      <w:pPr>
        <w:spacing w:line="360" w:lineRule="auto"/>
        <w:jc w:val="both"/>
        <w:rPr>
          <w:rFonts w:ascii="David" w:hAnsi="David"/>
          <w:u w:val="single"/>
          <w:rtl/>
        </w:rPr>
      </w:pPr>
    </w:p>
    <w:p w14:paraId="0B617095" w14:textId="77777777" w:rsidR="006C09C7" w:rsidRPr="006A4231" w:rsidRDefault="006C09C7" w:rsidP="006C09C7">
      <w:pPr>
        <w:spacing w:line="360" w:lineRule="auto"/>
        <w:jc w:val="both"/>
        <w:rPr>
          <w:rFonts w:ascii="David" w:hAnsi="David"/>
          <w:b/>
          <w:bCs/>
          <w:u w:val="single"/>
          <w:rtl/>
        </w:rPr>
      </w:pPr>
      <w:r w:rsidRPr="006A4231">
        <w:rPr>
          <w:rFonts w:ascii="David" w:hAnsi="David"/>
          <w:b/>
          <w:bCs/>
          <w:u w:val="single"/>
          <w:rtl/>
        </w:rPr>
        <w:t xml:space="preserve">נסיבות ביצוע העבירה: </w:t>
      </w:r>
    </w:p>
    <w:p w14:paraId="3428B55C" w14:textId="77777777" w:rsidR="006C09C7" w:rsidRPr="006A4231" w:rsidRDefault="006C09C7" w:rsidP="006C09C7">
      <w:pPr>
        <w:pStyle w:val="a9"/>
        <w:numPr>
          <w:ilvl w:val="0"/>
          <w:numId w:val="1"/>
        </w:numPr>
        <w:spacing w:line="360" w:lineRule="auto"/>
        <w:jc w:val="both"/>
        <w:rPr>
          <w:rFonts w:ascii="David" w:hAnsi="David"/>
          <w:rtl/>
        </w:rPr>
      </w:pPr>
      <w:r w:rsidRPr="006A4231">
        <w:rPr>
          <w:rFonts w:ascii="David" w:hAnsi="David"/>
          <w:rtl/>
        </w:rPr>
        <w:t xml:space="preserve">אין בכתב האישום כל טענה בדבר מטרה נוספת לנשיאת הנשק והתחמושת. עם זאת יש לזכור שהנאשם נשא והחזיק באקדח טעון ותחמושת בתחומי מפעל בלוקים הומה אדם, אותם הוא השליך על מנת להתחמק מהשוטר. כך גם יש לזכור שהנאשם השתולל וביקש להשתחרר מהשוטר אשר עצר אותו. עוד נזכיר כי ניתן היה לעשות שימוש מידי באקדח בהיותו טעון במחסנית ובה כדורים.   </w:t>
      </w:r>
    </w:p>
    <w:p w14:paraId="18C24ADD" w14:textId="77777777" w:rsidR="006C09C7" w:rsidRDefault="006C09C7" w:rsidP="006C09C7">
      <w:pPr>
        <w:spacing w:line="360" w:lineRule="auto"/>
        <w:jc w:val="both"/>
        <w:rPr>
          <w:rFonts w:ascii="David" w:hAnsi="David"/>
          <w:u w:val="single"/>
          <w:rtl/>
        </w:rPr>
      </w:pPr>
    </w:p>
    <w:p w14:paraId="70BEBBDA" w14:textId="77777777" w:rsidR="006C09C7" w:rsidRPr="006A4231" w:rsidRDefault="006C09C7" w:rsidP="006C09C7">
      <w:pPr>
        <w:spacing w:line="360" w:lineRule="auto"/>
        <w:jc w:val="both"/>
        <w:rPr>
          <w:rFonts w:ascii="David" w:hAnsi="David"/>
          <w:b/>
          <w:bCs/>
          <w:u w:val="single"/>
          <w:rtl/>
        </w:rPr>
      </w:pPr>
      <w:r w:rsidRPr="006A4231">
        <w:rPr>
          <w:rFonts w:ascii="David" w:hAnsi="David"/>
          <w:b/>
          <w:bCs/>
          <w:u w:val="single"/>
          <w:rtl/>
        </w:rPr>
        <w:t>מדיניות הענישה וההלכה הפסוקה</w:t>
      </w:r>
    </w:p>
    <w:p w14:paraId="6039838B" w14:textId="77777777" w:rsidR="006C09C7" w:rsidRPr="006A4231" w:rsidRDefault="006C09C7" w:rsidP="006C09C7">
      <w:pPr>
        <w:pStyle w:val="a9"/>
        <w:numPr>
          <w:ilvl w:val="0"/>
          <w:numId w:val="1"/>
        </w:numPr>
        <w:spacing w:line="360" w:lineRule="auto"/>
        <w:jc w:val="both"/>
        <w:rPr>
          <w:rFonts w:ascii="David" w:hAnsi="David"/>
          <w:rtl/>
        </w:rPr>
      </w:pPr>
      <w:r w:rsidRPr="006A4231">
        <w:rPr>
          <w:rFonts w:ascii="David" w:hAnsi="David"/>
          <w:rtl/>
        </w:rPr>
        <w:t xml:space="preserve">בשורה של פסקי דין עמד בית המשפט העליון על החומרה הטמונה בעבירות נשק והסיכון הממשי לשלום הציבור, בטחונו והחשש להסכמה. על כן, ככלל, קבע בית המשפט העליון שדינם של מבצעי עבירות בנשק הוא מאסר ממשי מאחורי סורג ובריח, זאת במטרה להגן על הציבור, להרתיע מפני החזקת כלי נשק למיניהם ולהרחיק את מחזיקי הנשק מהחברה. </w:t>
      </w:r>
    </w:p>
    <w:p w14:paraId="19785453" w14:textId="77777777" w:rsidR="006C09C7" w:rsidRDefault="006C09C7" w:rsidP="006C09C7">
      <w:pPr>
        <w:spacing w:line="360" w:lineRule="auto"/>
        <w:jc w:val="both"/>
        <w:rPr>
          <w:rFonts w:ascii="David" w:hAnsi="David"/>
          <w:rtl/>
        </w:rPr>
      </w:pPr>
    </w:p>
    <w:p w14:paraId="3847AC0D" w14:textId="77777777" w:rsidR="006C09C7" w:rsidRDefault="006C09C7" w:rsidP="006C09C7">
      <w:pPr>
        <w:spacing w:line="360" w:lineRule="auto"/>
        <w:ind w:left="720"/>
        <w:jc w:val="both"/>
        <w:rPr>
          <w:rFonts w:ascii="David" w:hAnsi="David"/>
          <w:rtl/>
        </w:rPr>
      </w:pPr>
      <w:r w:rsidRPr="00EC7254">
        <w:rPr>
          <w:rFonts w:ascii="David" w:hAnsi="David"/>
          <w:rtl/>
        </w:rPr>
        <w:t xml:space="preserve">ראו לדוגמא </w:t>
      </w:r>
      <w:hyperlink r:id="rId19" w:history="1">
        <w:r w:rsidR="00FA5A2C" w:rsidRPr="00FA5A2C">
          <w:rPr>
            <w:rFonts w:ascii="David" w:hAnsi="David"/>
            <w:color w:val="0000FF"/>
            <w:u w:val="single"/>
            <w:rtl/>
          </w:rPr>
          <w:t>ע"פ 4409/19</w:t>
        </w:r>
      </w:hyperlink>
      <w:r w:rsidRPr="00EC7254">
        <w:rPr>
          <w:rFonts w:ascii="David" w:hAnsi="David"/>
          <w:rtl/>
        </w:rPr>
        <w:t xml:space="preserve"> </w:t>
      </w:r>
      <w:r w:rsidRPr="006A4231">
        <w:rPr>
          <w:rFonts w:ascii="David" w:hAnsi="David"/>
          <w:b/>
          <w:bCs/>
          <w:rtl/>
        </w:rPr>
        <w:t xml:space="preserve">מדינת ישראל נ' סובח </w:t>
      </w:r>
      <w:r w:rsidRPr="00EC7254">
        <w:rPr>
          <w:rFonts w:ascii="David" w:hAnsi="David"/>
          <w:rtl/>
        </w:rPr>
        <w:t>(נבו 5.11.2019) (להלן: "</w:t>
      </w:r>
      <w:r w:rsidRPr="006A4231">
        <w:rPr>
          <w:rFonts w:ascii="David" w:hAnsi="David"/>
          <w:b/>
          <w:bCs/>
          <w:rtl/>
        </w:rPr>
        <w:t>עניין סובח</w:t>
      </w:r>
      <w:r w:rsidRPr="00EC7254">
        <w:rPr>
          <w:rFonts w:ascii="David" w:hAnsi="David"/>
          <w:rtl/>
        </w:rPr>
        <w:t xml:space="preserve">"). בעניין סובח נקבע שמקום בו מדיניות הענישה הנוהגת אינה מספקת, נדרש בית המשפט להורות על החמרת הענישה, זאת במטרה להגן על ערכי החברה ולבלום את נפיצות העבירות שהופכות למכת מדינה. עבירות בנשק, כך על פי עניין סובח, נמנות על המקרים החריגים בהם על בית המשפט להחמיר בענישה. עוד הדגיש בית המשפט בעניין סובח ששימוש בכלי נשק הפך לרעה חולה והוא גובה מדי יום ביומו חיי אדם, ולעיתים אף את חייהם של חפים מפשע. </w:t>
      </w:r>
    </w:p>
    <w:p w14:paraId="30A03588" w14:textId="77777777" w:rsidR="006C09C7" w:rsidRPr="00EC7254" w:rsidRDefault="006C09C7" w:rsidP="006C09C7">
      <w:pPr>
        <w:spacing w:line="360" w:lineRule="auto"/>
        <w:ind w:left="720"/>
        <w:jc w:val="both"/>
        <w:rPr>
          <w:rFonts w:ascii="David" w:hAnsi="David"/>
          <w:rtl/>
        </w:rPr>
      </w:pPr>
    </w:p>
    <w:p w14:paraId="0D326ED6" w14:textId="77777777" w:rsidR="006C09C7" w:rsidRPr="006A4231" w:rsidRDefault="006C09C7" w:rsidP="006C09C7">
      <w:pPr>
        <w:pStyle w:val="a9"/>
        <w:numPr>
          <w:ilvl w:val="0"/>
          <w:numId w:val="1"/>
        </w:numPr>
        <w:spacing w:line="360" w:lineRule="auto"/>
        <w:jc w:val="both"/>
        <w:rPr>
          <w:rFonts w:ascii="David" w:hAnsi="David"/>
          <w:rtl/>
        </w:rPr>
      </w:pPr>
      <w:r w:rsidRPr="006A4231">
        <w:rPr>
          <w:rFonts w:ascii="David" w:hAnsi="David"/>
          <w:rtl/>
        </w:rPr>
        <w:t xml:space="preserve">בכל הנוגע לגזרי דין במקרים כגון זה מושא ענייננו ראו בין היתר </w:t>
      </w:r>
      <w:hyperlink r:id="rId20" w:history="1">
        <w:r w:rsidR="00FA5A2C" w:rsidRPr="00FA5A2C">
          <w:rPr>
            <w:rFonts w:ascii="David" w:hAnsi="David"/>
            <w:color w:val="0000FF"/>
            <w:u w:val="single"/>
            <w:rtl/>
          </w:rPr>
          <w:t>ע"פ 7971/23</w:t>
        </w:r>
      </w:hyperlink>
      <w:r w:rsidRPr="006A4231">
        <w:rPr>
          <w:rFonts w:ascii="David" w:hAnsi="David"/>
          <w:rtl/>
        </w:rPr>
        <w:t xml:space="preserve"> </w:t>
      </w:r>
      <w:r w:rsidRPr="006A4231">
        <w:rPr>
          <w:rFonts w:ascii="David" w:hAnsi="David"/>
          <w:b/>
          <w:bCs/>
          <w:rtl/>
        </w:rPr>
        <w:t>אגברייה נ' מדינת ישראל</w:t>
      </w:r>
      <w:r w:rsidRPr="006A4231">
        <w:rPr>
          <w:rFonts w:ascii="David" w:hAnsi="David"/>
          <w:rtl/>
        </w:rPr>
        <w:t xml:space="preserve"> (נבו 26.5.2024) (להלן: "</w:t>
      </w:r>
      <w:r w:rsidRPr="006A4231">
        <w:rPr>
          <w:rFonts w:ascii="David" w:hAnsi="David"/>
          <w:b/>
          <w:bCs/>
          <w:rtl/>
        </w:rPr>
        <w:t>עניין אגברייה</w:t>
      </w:r>
      <w:r w:rsidRPr="006A4231">
        <w:rPr>
          <w:rFonts w:ascii="David" w:hAnsi="David"/>
          <w:rtl/>
        </w:rPr>
        <w:t xml:space="preserve">"). בעניין אגברייה עמד בית המשפט העליון על כך שעבירות הנשק מהוות בבועה של תמונת האלימות והפשיעה בנשק הגואה בחברה הישראלית, באופן שכמות הקורבנות מעבירות נשק גדלה מדי שנה. על פי עניין אגברייה, מצב זה הגיע לכדי מצב חירום לאומי. על כן, הדגיש בית המשפט את מגמת ההקשחה של מדיניות הענישה בעבירות נשק תוך מתן משקל מרכזי להרתעת הכלל. </w:t>
      </w:r>
    </w:p>
    <w:p w14:paraId="62D2C5B5" w14:textId="77777777" w:rsidR="006C09C7" w:rsidRDefault="006C09C7" w:rsidP="006C09C7">
      <w:pPr>
        <w:spacing w:line="360" w:lineRule="auto"/>
        <w:jc w:val="both"/>
        <w:rPr>
          <w:rFonts w:ascii="David" w:hAnsi="David"/>
          <w:rtl/>
        </w:rPr>
      </w:pPr>
    </w:p>
    <w:p w14:paraId="4AF792E9" w14:textId="77777777" w:rsidR="006C09C7" w:rsidRPr="00EC7254" w:rsidRDefault="006C09C7" w:rsidP="006C09C7">
      <w:pPr>
        <w:spacing w:line="360" w:lineRule="auto"/>
        <w:ind w:left="720"/>
        <w:jc w:val="both"/>
        <w:rPr>
          <w:rFonts w:ascii="David" w:hAnsi="David"/>
          <w:rtl/>
        </w:rPr>
      </w:pPr>
      <w:r w:rsidRPr="00EC7254">
        <w:rPr>
          <w:rFonts w:ascii="David" w:hAnsi="David"/>
          <w:rtl/>
        </w:rPr>
        <w:t>עוד הדגיש בית המשפט העליון בעניין אגברייה, שגם אם עבירת הנשק אינה כוללת ירי בנשק היא בגדר "</w:t>
      </w:r>
      <w:r w:rsidRPr="006A4231">
        <w:rPr>
          <w:rFonts w:ascii="David" w:hAnsi="David"/>
          <w:b/>
          <w:bCs/>
          <w:rtl/>
        </w:rPr>
        <w:t>הסנונית הראשונה, בואכה מעשים חמורים יותר – חבלה חמורה, שוד מזוין, רצח וכיוצא באלה</w:t>
      </w:r>
      <w:r w:rsidRPr="00EC7254">
        <w:rPr>
          <w:rFonts w:ascii="David" w:hAnsi="David"/>
          <w:rtl/>
        </w:rPr>
        <w:t xml:space="preserve">". </w:t>
      </w:r>
    </w:p>
    <w:p w14:paraId="16CBCC8A" w14:textId="77777777" w:rsidR="006C09C7" w:rsidRDefault="006C09C7" w:rsidP="006C09C7">
      <w:pPr>
        <w:spacing w:line="360" w:lineRule="auto"/>
        <w:jc w:val="both"/>
        <w:rPr>
          <w:rFonts w:ascii="David" w:hAnsi="David"/>
          <w:rtl/>
        </w:rPr>
      </w:pPr>
    </w:p>
    <w:p w14:paraId="23728015"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על כן, כמורה דרך, קבע בית המשפט בעניין אגברייה, כי מתחם הענישה הראוי לנאשם בגיר הנושא נשק חם במרחב הציבורי נע בין 30 ל- 48 חודשי מאסר בפועל. זאת גם זו, בית המשפט הדגיש כי נסיבות מיוחדות לחומרא או לקולא יש בהם כדי לסטות מכך. ככלל, נקבע, שמאסר בפועל הנע בתחום של שלוש שנות מאסר הוא הולם מקום בו מדובר בעבירה חד פעמית בנשק. </w:t>
      </w:r>
    </w:p>
    <w:p w14:paraId="7AA87713" w14:textId="77777777" w:rsidR="006C09C7" w:rsidRDefault="006C09C7" w:rsidP="006C09C7">
      <w:pPr>
        <w:spacing w:line="360" w:lineRule="auto"/>
        <w:jc w:val="both"/>
        <w:rPr>
          <w:rFonts w:ascii="David" w:hAnsi="David"/>
          <w:rtl/>
        </w:rPr>
      </w:pPr>
    </w:p>
    <w:p w14:paraId="2BECFEC0" w14:textId="77777777" w:rsidR="006C09C7" w:rsidRPr="006A4231" w:rsidRDefault="006C09C7" w:rsidP="006C09C7">
      <w:pPr>
        <w:pStyle w:val="a9"/>
        <w:numPr>
          <w:ilvl w:val="0"/>
          <w:numId w:val="1"/>
        </w:numPr>
        <w:spacing w:line="360" w:lineRule="auto"/>
        <w:jc w:val="both"/>
        <w:rPr>
          <w:rFonts w:ascii="David" w:hAnsi="David"/>
          <w:rtl/>
        </w:rPr>
      </w:pPr>
      <w:r w:rsidRPr="006A4231">
        <w:rPr>
          <w:rFonts w:ascii="David" w:hAnsi="David"/>
          <w:rtl/>
        </w:rPr>
        <w:t xml:space="preserve">כמו כן ראו בענייננו </w:t>
      </w:r>
      <w:hyperlink r:id="rId21" w:history="1">
        <w:r w:rsidR="00FA5A2C" w:rsidRPr="00FA5A2C">
          <w:rPr>
            <w:rFonts w:ascii="David" w:hAnsi="David"/>
            <w:color w:val="0000FF"/>
            <w:u w:val="single"/>
            <w:rtl/>
          </w:rPr>
          <w:t>ע"פ 5602/22</w:t>
        </w:r>
      </w:hyperlink>
      <w:r w:rsidRPr="006A4231">
        <w:rPr>
          <w:rFonts w:ascii="David" w:hAnsi="David"/>
          <w:b/>
          <w:bCs/>
          <w:rtl/>
        </w:rPr>
        <w:t xml:space="preserve"> מדינת ישראל נ' פלוני</w:t>
      </w:r>
      <w:r w:rsidRPr="006A4231">
        <w:rPr>
          <w:rFonts w:ascii="David" w:hAnsi="David"/>
          <w:rtl/>
        </w:rPr>
        <w:t xml:space="preserve"> (נבו 14.9.2022) (להלן: "</w:t>
      </w:r>
      <w:r w:rsidRPr="006A4231">
        <w:rPr>
          <w:rFonts w:ascii="David" w:hAnsi="David"/>
          <w:b/>
          <w:bCs/>
          <w:rtl/>
        </w:rPr>
        <w:t>עניין פלוני</w:t>
      </w:r>
      <w:r w:rsidRPr="006A4231">
        <w:rPr>
          <w:rFonts w:ascii="David" w:hAnsi="David"/>
          <w:rtl/>
        </w:rPr>
        <w:t xml:space="preserve">"). בעניין פלוני הורשע הנאשם בעבירה של נשיאת נשק שלא כדין והנשק בו היה מדובר הוא אקדח. באותו מקרה העמיד בית המשפט העליון את תקופת המאסר על 28 חודשים, תוך הבהרה שערכאת הערעור אינה ממצה את הדין. </w:t>
      </w:r>
    </w:p>
    <w:p w14:paraId="3DF5E67D" w14:textId="77777777" w:rsidR="006C09C7" w:rsidRDefault="006C09C7" w:rsidP="006C09C7">
      <w:pPr>
        <w:spacing w:line="360" w:lineRule="auto"/>
        <w:jc w:val="both"/>
        <w:rPr>
          <w:rFonts w:ascii="David" w:hAnsi="David"/>
          <w:rtl/>
        </w:rPr>
      </w:pPr>
    </w:p>
    <w:p w14:paraId="1D9821FA" w14:textId="77777777" w:rsidR="006C09C7" w:rsidRPr="006A4231" w:rsidRDefault="006C09C7" w:rsidP="006C09C7">
      <w:pPr>
        <w:spacing w:line="360" w:lineRule="auto"/>
        <w:ind w:left="720"/>
        <w:jc w:val="both"/>
        <w:rPr>
          <w:rFonts w:ascii="David" w:hAnsi="David"/>
        </w:rPr>
      </w:pPr>
      <w:r w:rsidRPr="006A4231">
        <w:rPr>
          <w:rFonts w:ascii="David" w:hAnsi="David"/>
          <w:rtl/>
        </w:rPr>
        <w:t xml:space="preserve">כן ראו לעניין זה </w:t>
      </w:r>
      <w:hyperlink r:id="rId22" w:history="1">
        <w:r w:rsidR="00FA5A2C" w:rsidRPr="00FA5A2C">
          <w:rPr>
            <w:rFonts w:ascii="David" w:hAnsi="David"/>
            <w:color w:val="0000FF"/>
            <w:u w:val="single"/>
            <w:rtl/>
          </w:rPr>
          <w:t>ע"פ 5856/22</w:t>
        </w:r>
      </w:hyperlink>
      <w:r w:rsidRPr="006A4231">
        <w:rPr>
          <w:rFonts w:ascii="David" w:hAnsi="David"/>
          <w:rtl/>
        </w:rPr>
        <w:t xml:space="preserve"> </w:t>
      </w:r>
      <w:r w:rsidRPr="006A4231">
        <w:rPr>
          <w:rFonts w:ascii="David" w:hAnsi="David"/>
          <w:b/>
          <w:bCs/>
          <w:rtl/>
        </w:rPr>
        <w:t>סויטאת נ' מדינת ישראל</w:t>
      </w:r>
      <w:r w:rsidRPr="006A4231">
        <w:rPr>
          <w:rFonts w:ascii="David" w:hAnsi="David"/>
          <w:rtl/>
        </w:rPr>
        <w:t xml:space="preserve"> (נבו 21.3.2023), ממנו עולים דברים כמו מעניין פלוני. </w:t>
      </w:r>
    </w:p>
    <w:p w14:paraId="705C421E" w14:textId="77777777" w:rsidR="006C09C7" w:rsidRDefault="006C09C7" w:rsidP="006C09C7">
      <w:pPr>
        <w:spacing w:line="360" w:lineRule="auto"/>
        <w:jc w:val="both"/>
        <w:rPr>
          <w:rFonts w:ascii="David" w:hAnsi="David"/>
          <w:rtl/>
        </w:rPr>
      </w:pPr>
    </w:p>
    <w:p w14:paraId="1E6171FC" w14:textId="77777777" w:rsidR="006C09C7" w:rsidRPr="00E940DE" w:rsidRDefault="006C09C7" w:rsidP="006C09C7">
      <w:pPr>
        <w:pStyle w:val="a9"/>
        <w:numPr>
          <w:ilvl w:val="0"/>
          <w:numId w:val="1"/>
        </w:numPr>
        <w:spacing w:line="360" w:lineRule="auto"/>
        <w:jc w:val="both"/>
        <w:rPr>
          <w:rFonts w:ascii="David" w:hAnsi="David"/>
        </w:rPr>
      </w:pPr>
      <w:r w:rsidRPr="00E940DE">
        <w:rPr>
          <w:rFonts w:ascii="David" w:hAnsi="David"/>
          <w:rtl/>
        </w:rPr>
        <w:t>אשר לאסופת הפסיקה אליה הפנה ב"כ הנאשם, יש לזכור שזו נפסקה עובר לעניין אגברייה, אשר הדגיש באופן נחרץ וברור, כי העונש ההולם במקרה של עבירת נשק חד פעמית הוא כשלוש שנות מאסר.</w:t>
      </w:r>
    </w:p>
    <w:p w14:paraId="1B5E9868" w14:textId="77777777" w:rsidR="006C09C7" w:rsidRDefault="006C09C7" w:rsidP="006C09C7">
      <w:pPr>
        <w:spacing w:line="360" w:lineRule="auto"/>
        <w:jc w:val="both"/>
        <w:rPr>
          <w:rFonts w:ascii="David" w:hAnsi="David"/>
          <w:rtl/>
        </w:rPr>
      </w:pPr>
    </w:p>
    <w:p w14:paraId="170988AD" w14:textId="77777777" w:rsidR="006C09C7" w:rsidRDefault="006C09C7" w:rsidP="006C09C7">
      <w:pPr>
        <w:spacing w:line="360" w:lineRule="auto"/>
        <w:ind w:left="720"/>
        <w:jc w:val="both"/>
        <w:rPr>
          <w:rFonts w:ascii="David" w:hAnsi="David"/>
          <w:rtl/>
        </w:rPr>
      </w:pPr>
      <w:r w:rsidRPr="00EC7254">
        <w:rPr>
          <w:rFonts w:ascii="David" w:hAnsi="David"/>
          <w:rtl/>
        </w:rPr>
        <w:t xml:space="preserve">נכון הדבר שלעיתים יש מקום להבחין בין סוגי נשק. כך לדוגמה נודעה חומרה יתרה בעבירה של החזקת נשק ארוך והתקפי לעומת החזקת נשק מסוג אקדח. עם זאת, נשק הוא נשק וההבחנה בין סוגי הנשק לעניין העונש, בעת המשבר הנוכחי שמקורו באחזקת נשק שלא כדין והעבירות שנובעות ממנו, יכולה להוות שיקול להקל או להחמיר, בתוך מתחם הענישה שהתווה בית המשפט העליון. </w:t>
      </w:r>
    </w:p>
    <w:p w14:paraId="63CD25D8" w14:textId="77777777" w:rsidR="006C09C7" w:rsidRPr="00EC7254" w:rsidRDefault="006C09C7" w:rsidP="006C09C7">
      <w:pPr>
        <w:spacing w:line="360" w:lineRule="auto"/>
        <w:ind w:left="720"/>
        <w:jc w:val="both"/>
        <w:rPr>
          <w:rFonts w:ascii="David" w:hAnsi="David"/>
          <w:rtl/>
        </w:rPr>
      </w:pPr>
    </w:p>
    <w:p w14:paraId="5031B6DE" w14:textId="77777777" w:rsidR="006C09C7" w:rsidRPr="00E940DE" w:rsidRDefault="006C09C7" w:rsidP="006C09C7">
      <w:pPr>
        <w:spacing w:line="360" w:lineRule="auto"/>
        <w:jc w:val="both"/>
        <w:rPr>
          <w:rFonts w:ascii="David" w:hAnsi="David"/>
          <w:b/>
          <w:bCs/>
          <w:u w:val="single"/>
          <w:rtl/>
        </w:rPr>
      </w:pPr>
      <w:r w:rsidRPr="00E940DE">
        <w:rPr>
          <w:rFonts w:ascii="David" w:hAnsi="David"/>
          <w:b/>
          <w:bCs/>
          <w:u w:val="single"/>
          <w:rtl/>
        </w:rPr>
        <w:t>מתחם העונש ההולם:</w:t>
      </w:r>
    </w:p>
    <w:p w14:paraId="1E4155F7" w14:textId="77777777" w:rsidR="006C09C7" w:rsidRPr="00E940DE" w:rsidRDefault="006C09C7" w:rsidP="006C09C7">
      <w:pPr>
        <w:pStyle w:val="a9"/>
        <w:numPr>
          <w:ilvl w:val="0"/>
          <w:numId w:val="1"/>
        </w:numPr>
        <w:spacing w:line="360" w:lineRule="auto"/>
        <w:jc w:val="both"/>
        <w:rPr>
          <w:rFonts w:ascii="David" w:hAnsi="David"/>
          <w:rtl/>
        </w:rPr>
      </w:pPr>
      <w:r w:rsidRPr="00E940DE">
        <w:rPr>
          <w:rFonts w:ascii="David" w:hAnsi="David"/>
          <w:rtl/>
        </w:rPr>
        <w:t xml:space="preserve">בענייננו, יש לזכור כי המחוקק קבע </w:t>
      </w:r>
      <w:hyperlink r:id="rId23" w:history="1">
        <w:r w:rsidR="0037358F" w:rsidRPr="0037358F">
          <w:rPr>
            <w:rStyle w:val="Hyperlink"/>
            <w:rFonts w:ascii="David" w:hAnsi="David"/>
            <w:color w:val="0000FF"/>
            <w:rtl/>
          </w:rPr>
          <w:t>בסעיף 144(ב)</w:t>
        </w:r>
      </w:hyperlink>
      <w:r w:rsidRPr="00E940DE">
        <w:rPr>
          <w:rFonts w:ascii="David" w:hAnsi="David"/>
          <w:rtl/>
        </w:rPr>
        <w:t xml:space="preserve"> ל</w:t>
      </w:r>
      <w:hyperlink r:id="rId24" w:history="1">
        <w:r w:rsidR="00FA5A2C" w:rsidRPr="00FA5A2C">
          <w:rPr>
            <w:rFonts w:ascii="David" w:hAnsi="David"/>
            <w:color w:val="0000FF"/>
            <w:u w:val="single"/>
            <w:rtl/>
          </w:rPr>
          <w:t>חוק העונשין</w:t>
        </w:r>
      </w:hyperlink>
      <w:r w:rsidRPr="00E940DE">
        <w:rPr>
          <w:rFonts w:ascii="David" w:hAnsi="David"/>
          <w:rtl/>
        </w:rPr>
        <w:t xml:space="preserve"> שהעונש המרבי הוא 10 שנות מאסר. </w:t>
      </w:r>
    </w:p>
    <w:p w14:paraId="4B8BAD1C" w14:textId="77777777" w:rsidR="006C09C7" w:rsidRDefault="006C09C7" w:rsidP="006C09C7">
      <w:pPr>
        <w:spacing w:line="360" w:lineRule="auto"/>
        <w:jc w:val="both"/>
        <w:rPr>
          <w:rFonts w:ascii="David" w:hAnsi="David"/>
          <w:rtl/>
        </w:rPr>
      </w:pPr>
    </w:p>
    <w:p w14:paraId="487CF6D8"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עוד לזכור את קביעת בית המשפט העליון שעבירות נשק הפכו למכת מדינה ולמעשה נוצר משבר לאומי. עבירות בנשק הפכו לנפוצות והמרחק בין נשיאה והחזקה של נשק עד השימוש בו הוא מרחק הדק בלבד. בהקשר זה ראוי להזכיר שהנשק שנישא היה מוכן לפעולה, ותכלית החזקתו ונשיאתו לא בוררה עד תום. </w:t>
      </w:r>
    </w:p>
    <w:p w14:paraId="7D1696FB" w14:textId="77777777" w:rsidR="006C09C7" w:rsidRDefault="006C09C7" w:rsidP="006C09C7">
      <w:pPr>
        <w:spacing w:line="360" w:lineRule="auto"/>
        <w:jc w:val="both"/>
        <w:rPr>
          <w:rFonts w:ascii="David" w:hAnsi="David"/>
          <w:rtl/>
        </w:rPr>
      </w:pPr>
    </w:p>
    <w:p w14:paraId="66AB0535" w14:textId="77777777" w:rsidR="006C09C7" w:rsidRPr="00E940DE" w:rsidRDefault="006C09C7" w:rsidP="006C09C7">
      <w:pPr>
        <w:spacing w:line="360" w:lineRule="auto"/>
        <w:jc w:val="both"/>
        <w:rPr>
          <w:rFonts w:ascii="David" w:hAnsi="David"/>
          <w:b/>
          <w:bCs/>
          <w:u w:val="single"/>
          <w:rtl/>
        </w:rPr>
      </w:pPr>
      <w:r w:rsidRPr="00E940DE">
        <w:rPr>
          <w:rFonts w:ascii="David" w:hAnsi="David"/>
          <w:b/>
          <w:bCs/>
          <w:u w:val="single"/>
          <w:rtl/>
        </w:rPr>
        <w:t>נסיבות שאינן קשורות בביצוע העבירה:</w:t>
      </w:r>
    </w:p>
    <w:p w14:paraId="49F39CFE" w14:textId="77777777" w:rsidR="006C09C7" w:rsidRPr="00E940DE" w:rsidRDefault="006C09C7" w:rsidP="006C09C7">
      <w:pPr>
        <w:pStyle w:val="a9"/>
        <w:numPr>
          <w:ilvl w:val="0"/>
          <w:numId w:val="1"/>
        </w:numPr>
        <w:spacing w:line="360" w:lineRule="auto"/>
        <w:jc w:val="both"/>
        <w:rPr>
          <w:rFonts w:ascii="David" w:hAnsi="David"/>
          <w:rtl/>
        </w:rPr>
      </w:pPr>
      <w:r w:rsidRPr="00E940DE">
        <w:rPr>
          <w:rFonts w:ascii="David" w:hAnsi="David"/>
          <w:rtl/>
        </w:rPr>
        <w:t>הנאשם נעדר עבר פלילי, נשוי אב לילדים קטנים, מפרנס יחיד ושמר על מקום תעסוקה קבוע. כמו כן, יש לזכור את הודאת הנאשם עובר לשמיעת ראיות. בכך חסך הנאשם מזמנו של בית המשפט ומזמנה של המאשימה. די להפנות לכתב האישום המונה 23 עדים.</w:t>
      </w:r>
    </w:p>
    <w:p w14:paraId="21DA94D7" w14:textId="77777777" w:rsidR="006C09C7" w:rsidRDefault="006C09C7" w:rsidP="006C09C7">
      <w:pPr>
        <w:spacing w:line="360" w:lineRule="auto"/>
        <w:jc w:val="both"/>
        <w:rPr>
          <w:rFonts w:ascii="David" w:hAnsi="David"/>
          <w:rtl/>
        </w:rPr>
      </w:pPr>
    </w:p>
    <w:p w14:paraId="598CCA68"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כמו כן, יש לזכור שהנאשם שהה במעצר באיזוק אלקטרוני כשבעה חודשים. ראו לעניין זה </w:t>
      </w:r>
      <w:hyperlink r:id="rId25" w:history="1">
        <w:r w:rsidR="00FA5A2C" w:rsidRPr="00FA5A2C">
          <w:rPr>
            <w:rFonts w:ascii="David" w:hAnsi="David"/>
            <w:color w:val="0000FF"/>
            <w:u w:val="single"/>
            <w:rtl/>
          </w:rPr>
          <w:t>ע"פ 7768/15</w:t>
        </w:r>
      </w:hyperlink>
      <w:r w:rsidRPr="00EC7254">
        <w:rPr>
          <w:rFonts w:ascii="David" w:hAnsi="David"/>
          <w:rtl/>
        </w:rPr>
        <w:t xml:space="preserve"> </w:t>
      </w:r>
      <w:r w:rsidRPr="00E940DE">
        <w:rPr>
          <w:rFonts w:ascii="David" w:hAnsi="David"/>
          <w:b/>
          <w:bCs/>
          <w:rtl/>
        </w:rPr>
        <w:t xml:space="preserve">פלוני נ' מדינת ישראל </w:t>
      </w:r>
      <w:r w:rsidRPr="00EC7254">
        <w:rPr>
          <w:rFonts w:ascii="David" w:hAnsi="David"/>
          <w:rtl/>
        </w:rPr>
        <w:t>(נבו 20.4.2016). כפי שנקבע ב</w:t>
      </w:r>
      <w:hyperlink r:id="rId26" w:history="1">
        <w:r w:rsidR="00FA5A2C" w:rsidRPr="00FA5A2C">
          <w:rPr>
            <w:rFonts w:ascii="David" w:hAnsi="David"/>
            <w:color w:val="0000FF"/>
            <w:u w:val="single"/>
            <w:rtl/>
          </w:rPr>
          <w:t>ע"פ 7768/15</w:t>
        </w:r>
      </w:hyperlink>
      <w:r w:rsidRPr="00EC7254">
        <w:rPr>
          <w:rFonts w:ascii="David" w:hAnsi="David"/>
          <w:rtl/>
        </w:rPr>
        <w:t xml:space="preserve"> תקופת מעצר בפיקוח אלקטרוני מהווה שיקול במסגרת שיקולי הענישה.</w:t>
      </w:r>
    </w:p>
    <w:p w14:paraId="093DCA81" w14:textId="77777777" w:rsidR="006C09C7" w:rsidRDefault="006C09C7" w:rsidP="006C09C7">
      <w:pPr>
        <w:spacing w:line="360" w:lineRule="auto"/>
        <w:jc w:val="both"/>
        <w:rPr>
          <w:rFonts w:ascii="David" w:hAnsi="David"/>
          <w:u w:val="single"/>
          <w:rtl/>
        </w:rPr>
      </w:pPr>
    </w:p>
    <w:p w14:paraId="228E7EB9" w14:textId="77777777" w:rsidR="006C09C7" w:rsidRPr="00E940DE" w:rsidRDefault="006C09C7" w:rsidP="006C09C7">
      <w:pPr>
        <w:spacing w:line="360" w:lineRule="auto"/>
        <w:jc w:val="both"/>
        <w:rPr>
          <w:rFonts w:ascii="David" w:hAnsi="David"/>
          <w:b/>
          <w:bCs/>
          <w:u w:val="single"/>
          <w:rtl/>
        </w:rPr>
      </w:pPr>
      <w:r w:rsidRPr="00E940DE">
        <w:rPr>
          <w:rFonts w:ascii="David" w:hAnsi="David"/>
          <w:b/>
          <w:bCs/>
          <w:u w:val="single"/>
          <w:rtl/>
        </w:rPr>
        <w:t>מתחם העונש ההולם – קביעה:</w:t>
      </w:r>
    </w:p>
    <w:p w14:paraId="4FA03A1A" w14:textId="77777777" w:rsidR="006C09C7" w:rsidRPr="00A148EB" w:rsidRDefault="006C09C7" w:rsidP="006C09C7">
      <w:pPr>
        <w:pStyle w:val="a9"/>
        <w:numPr>
          <w:ilvl w:val="0"/>
          <w:numId w:val="1"/>
        </w:numPr>
        <w:spacing w:line="360" w:lineRule="auto"/>
        <w:jc w:val="both"/>
        <w:rPr>
          <w:rFonts w:ascii="David" w:hAnsi="David"/>
          <w:u w:val="single"/>
        </w:rPr>
      </w:pPr>
      <w:r w:rsidRPr="00E940DE">
        <w:rPr>
          <w:rFonts w:ascii="David" w:hAnsi="David"/>
          <w:rtl/>
        </w:rPr>
        <w:t xml:space="preserve">בשים לב לאמור מתחם העונש ההולם נע בין 30 ל- 48 חודשי מאסר בפועל. יש לקחת בחשבון בעת גזירת הדין, את ההודאה בהזדמנות הראשונה, תקופת המעצר באזוק אלקטרוני והיעדר עבר פלילי, כמו גם נסיבותיו האישיות של הנאשם, בעל משפחה, אשר לבטח תיפגע אם יוטל עליו עונש מאסר בפועל לתקופה ממושכת. כל אלה מטים את הכף לגזירת הדין ברף הנמוך של מתחם העונש שנקבע. </w:t>
      </w:r>
    </w:p>
    <w:p w14:paraId="50E1C871" w14:textId="77777777" w:rsidR="006C09C7" w:rsidRPr="00A148EB" w:rsidRDefault="006C09C7" w:rsidP="006C09C7">
      <w:pPr>
        <w:pStyle w:val="a9"/>
        <w:spacing w:line="360" w:lineRule="auto"/>
        <w:jc w:val="both"/>
        <w:rPr>
          <w:rFonts w:ascii="David" w:hAnsi="David"/>
          <w:u w:val="single"/>
          <w:rtl/>
        </w:rPr>
      </w:pPr>
    </w:p>
    <w:p w14:paraId="00D37E75" w14:textId="77777777" w:rsidR="006C09C7" w:rsidRPr="00E940DE" w:rsidRDefault="006C09C7" w:rsidP="006C09C7">
      <w:pPr>
        <w:spacing w:line="360" w:lineRule="auto"/>
        <w:jc w:val="both"/>
        <w:rPr>
          <w:rFonts w:ascii="David" w:hAnsi="David"/>
          <w:b/>
          <w:bCs/>
          <w:u w:val="single"/>
          <w:rtl/>
        </w:rPr>
      </w:pPr>
      <w:r w:rsidRPr="00E940DE">
        <w:rPr>
          <w:rFonts w:ascii="David" w:hAnsi="David"/>
          <w:b/>
          <w:bCs/>
          <w:u w:val="single"/>
          <w:rtl/>
        </w:rPr>
        <w:t>התוצאה:</w:t>
      </w:r>
    </w:p>
    <w:p w14:paraId="4CA6F517" w14:textId="77777777" w:rsidR="006C09C7" w:rsidRDefault="006C09C7" w:rsidP="006C09C7">
      <w:pPr>
        <w:spacing w:line="360" w:lineRule="auto"/>
        <w:jc w:val="both"/>
        <w:rPr>
          <w:rFonts w:ascii="David" w:hAnsi="David"/>
          <w:rtl/>
        </w:rPr>
      </w:pPr>
    </w:p>
    <w:p w14:paraId="3C15621A" w14:textId="77777777" w:rsidR="006C09C7" w:rsidRDefault="006C09C7" w:rsidP="006C09C7">
      <w:pPr>
        <w:pStyle w:val="a9"/>
        <w:numPr>
          <w:ilvl w:val="0"/>
          <w:numId w:val="1"/>
        </w:numPr>
        <w:spacing w:line="360" w:lineRule="auto"/>
        <w:jc w:val="both"/>
        <w:rPr>
          <w:rFonts w:ascii="David" w:hAnsi="David"/>
        </w:rPr>
      </w:pPr>
      <w:r>
        <w:rPr>
          <w:rFonts w:ascii="David" w:hAnsi="David"/>
          <w:rtl/>
        </w:rPr>
        <w:t>מוטלים על הנאשם</w:t>
      </w:r>
      <w:r w:rsidRPr="00E940DE">
        <w:rPr>
          <w:rFonts w:ascii="David" w:hAnsi="David"/>
          <w:rtl/>
        </w:rPr>
        <w:t xml:space="preserve"> רכיבי הענישה שלהלן:</w:t>
      </w:r>
    </w:p>
    <w:p w14:paraId="1B615038" w14:textId="77777777" w:rsidR="006C09C7" w:rsidRPr="00E940DE" w:rsidRDefault="006C09C7" w:rsidP="006C09C7">
      <w:pPr>
        <w:pStyle w:val="a9"/>
        <w:spacing w:line="360" w:lineRule="auto"/>
        <w:jc w:val="both"/>
        <w:rPr>
          <w:rFonts w:ascii="David" w:hAnsi="David"/>
          <w:rtl/>
        </w:rPr>
      </w:pPr>
    </w:p>
    <w:p w14:paraId="7F4F46D6" w14:textId="77777777" w:rsidR="006C09C7" w:rsidRPr="00EC7254" w:rsidRDefault="006C09C7" w:rsidP="006C09C7">
      <w:pPr>
        <w:spacing w:line="360" w:lineRule="auto"/>
        <w:ind w:left="720"/>
        <w:jc w:val="both"/>
        <w:rPr>
          <w:rFonts w:ascii="David" w:hAnsi="David"/>
          <w:rtl/>
        </w:rPr>
      </w:pPr>
      <w:r w:rsidRPr="00EC7254">
        <w:rPr>
          <w:rFonts w:ascii="David" w:hAnsi="David"/>
          <w:rtl/>
        </w:rPr>
        <w:t xml:space="preserve">30 </w:t>
      </w:r>
      <w:r>
        <w:rPr>
          <w:rFonts w:ascii="David" w:hAnsi="David" w:hint="cs"/>
          <w:rtl/>
        </w:rPr>
        <w:t xml:space="preserve">(שלושים) </w:t>
      </w:r>
      <w:r w:rsidRPr="00EC7254">
        <w:rPr>
          <w:rFonts w:ascii="David" w:hAnsi="David"/>
          <w:rtl/>
        </w:rPr>
        <w:t xml:space="preserve">חודשי מאסר בפועל. מתקופה זו ינוכו ימי המעצר הממשי מאחורי הסורג ובריח בהם שהה הנאשם עד שמעצרו הפך למעצר באיזוק אלקטרוני. </w:t>
      </w:r>
    </w:p>
    <w:p w14:paraId="1F5D7F6C" w14:textId="77777777" w:rsidR="006C09C7" w:rsidRDefault="006C09C7" w:rsidP="006C09C7">
      <w:pPr>
        <w:spacing w:line="360" w:lineRule="auto"/>
        <w:jc w:val="both"/>
        <w:rPr>
          <w:rFonts w:ascii="David" w:hAnsi="David"/>
          <w:rtl/>
        </w:rPr>
      </w:pPr>
    </w:p>
    <w:p w14:paraId="60EE197D" w14:textId="77777777" w:rsidR="006C09C7" w:rsidRPr="00EC7254" w:rsidRDefault="006C09C7" w:rsidP="006C09C7">
      <w:pPr>
        <w:spacing w:line="360" w:lineRule="auto"/>
        <w:ind w:left="720"/>
        <w:jc w:val="both"/>
        <w:rPr>
          <w:rFonts w:ascii="David" w:hAnsi="David"/>
          <w:rtl/>
        </w:rPr>
      </w:pPr>
      <w:r w:rsidRPr="00EC7254">
        <w:rPr>
          <w:rFonts w:ascii="David" w:hAnsi="David"/>
          <w:rtl/>
        </w:rPr>
        <w:t>עשרה (10) חודשי מאסר על תנאי למשך שלוש שנים מיום השחרור על כל עבירה בנשק מסוג פשע.</w:t>
      </w:r>
    </w:p>
    <w:p w14:paraId="2954C6A6" w14:textId="77777777" w:rsidR="006C09C7" w:rsidRDefault="006C09C7" w:rsidP="006C09C7">
      <w:pPr>
        <w:spacing w:line="360" w:lineRule="auto"/>
        <w:jc w:val="both"/>
        <w:rPr>
          <w:rFonts w:ascii="David" w:hAnsi="David"/>
          <w:rtl/>
        </w:rPr>
      </w:pPr>
    </w:p>
    <w:p w14:paraId="345599E9" w14:textId="77777777" w:rsidR="006C09C7" w:rsidRPr="00EC7254" w:rsidRDefault="006C09C7" w:rsidP="006C09C7">
      <w:pPr>
        <w:spacing w:line="360" w:lineRule="auto"/>
        <w:ind w:left="720"/>
        <w:jc w:val="both"/>
        <w:rPr>
          <w:rFonts w:ascii="David" w:hAnsi="David"/>
        </w:rPr>
      </w:pPr>
      <w:r w:rsidRPr="00EC7254">
        <w:rPr>
          <w:rFonts w:ascii="David" w:hAnsi="David"/>
          <w:rtl/>
        </w:rPr>
        <w:t>חמישה (5) חודשי מאסר על תנאי למשך שלוש שנים מיום השחרור על כל עבירת נשק, מסוג עוון.</w:t>
      </w:r>
    </w:p>
    <w:p w14:paraId="52FE3DAF" w14:textId="77777777" w:rsidR="006C09C7" w:rsidRDefault="006C09C7" w:rsidP="006C09C7">
      <w:pPr>
        <w:spacing w:line="360" w:lineRule="auto"/>
        <w:jc w:val="both"/>
        <w:rPr>
          <w:rFonts w:ascii="David" w:hAnsi="David"/>
          <w:rtl/>
        </w:rPr>
      </w:pPr>
    </w:p>
    <w:p w14:paraId="7E914BB2" w14:textId="77777777" w:rsidR="006C09C7" w:rsidRPr="00E940DE" w:rsidRDefault="006C09C7" w:rsidP="006C09C7">
      <w:pPr>
        <w:pStyle w:val="a9"/>
        <w:numPr>
          <w:ilvl w:val="0"/>
          <w:numId w:val="1"/>
        </w:numPr>
        <w:spacing w:line="360" w:lineRule="auto"/>
        <w:jc w:val="both"/>
        <w:rPr>
          <w:rFonts w:ascii="David" w:hAnsi="David"/>
          <w:rtl/>
        </w:rPr>
      </w:pPr>
      <w:r>
        <w:rPr>
          <w:rFonts w:ascii="David" w:hAnsi="David" w:hint="cs"/>
          <w:rtl/>
        </w:rPr>
        <w:t xml:space="preserve"> הנאשם </w:t>
      </w:r>
      <w:r>
        <w:rPr>
          <w:rFonts w:ascii="David" w:hAnsi="David"/>
          <w:rtl/>
        </w:rPr>
        <w:t>יתייצב הנאשם ביום</w:t>
      </w:r>
      <w:r>
        <w:rPr>
          <w:rFonts w:ascii="David" w:hAnsi="David" w:hint="cs"/>
          <w:rtl/>
        </w:rPr>
        <w:t xml:space="preserve"> 25.6.24 </w:t>
      </w:r>
      <w:r w:rsidRPr="00E940DE">
        <w:rPr>
          <w:rFonts w:ascii="David" w:hAnsi="David"/>
          <w:rtl/>
        </w:rPr>
        <w:t xml:space="preserve">עד שעה 11:00 בבית מעצר קישון לתחילת ריצוי עונשו, כשהוא מצויד בדרכון ותעודת זהות ובחזקתו גזר הדין. </w:t>
      </w:r>
    </w:p>
    <w:p w14:paraId="2711E5CD" w14:textId="77777777" w:rsidR="006C09C7" w:rsidRDefault="006C09C7" w:rsidP="006C09C7">
      <w:pPr>
        <w:spacing w:line="360" w:lineRule="auto"/>
        <w:jc w:val="both"/>
        <w:rPr>
          <w:rFonts w:ascii="David" w:hAnsi="David"/>
          <w:rtl/>
        </w:rPr>
      </w:pPr>
    </w:p>
    <w:p w14:paraId="74A99FF1" w14:textId="77777777" w:rsidR="006C09C7" w:rsidRPr="00EC7254" w:rsidRDefault="006C09C7" w:rsidP="006C09C7">
      <w:pPr>
        <w:spacing w:line="360" w:lineRule="auto"/>
        <w:ind w:left="720"/>
        <w:jc w:val="both"/>
        <w:rPr>
          <w:rFonts w:ascii="David" w:hAnsi="David"/>
          <w:rtl/>
        </w:rPr>
      </w:pPr>
      <w:r w:rsidRPr="00EC7254">
        <w:rPr>
          <w:rFonts w:ascii="David" w:hAnsi="David"/>
          <w:rtl/>
        </w:rPr>
        <w:t>עד למועד ההתייצבות ימשיכו לחול התנאים שבהם נתון הנאשם, לרבות מעצרו בפיקוח אלקטרוני, וזאת להבטחת התייצבותו לנשיאה בעונש.</w:t>
      </w:r>
    </w:p>
    <w:p w14:paraId="2A69E2C7" w14:textId="77777777" w:rsidR="006C09C7" w:rsidRDefault="006C09C7" w:rsidP="006C09C7">
      <w:pPr>
        <w:spacing w:line="360" w:lineRule="auto"/>
        <w:jc w:val="both"/>
        <w:rPr>
          <w:rFonts w:ascii="David" w:hAnsi="David"/>
          <w:u w:val="single"/>
          <w:rtl/>
        </w:rPr>
      </w:pPr>
    </w:p>
    <w:p w14:paraId="3B2DBA72" w14:textId="77777777" w:rsidR="006C09C7" w:rsidRPr="00E940DE" w:rsidRDefault="006C09C7" w:rsidP="006C09C7">
      <w:pPr>
        <w:spacing w:line="360" w:lineRule="auto"/>
        <w:ind w:firstLine="720"/>
        <w:jc w:val="both"/>
        <w:rPr>
          <w:rFonts w:ascii="David" w:hAnsi="David"/>
          <w:b/>
          <w:bCs/>
          <w:u w:val="single"/>
          <w:rtl/>
        </w:rPr>
      </w:pPr>
      <w:r w:rsidRPr="00E940DE">
        <w:rPr>
          <w:rFonts w:ascii="David" w:hAnsi="David"/>
          <w:b/>
          <w:bCs/>
          <w:u w:val="single"/>
          <w:rtl/>
        </w:rPr>
        <w:t xml:space="preserve">המזכירות תשלח עותק לשב"ס וליחידה לפיקוח אלקטרוני בשב"ס.  </w:t>
      </w:r>
    </w:p>
    <w:p w14:paraId="64566C32" w14:textId="77777777" w:rsidR="006C09C7" w:rsidRPr="00E940DE" w:rsidRDefault="006C09C7" w:rsidP="006C09C7">
      <w:pPr>
        <w:spacing w:line="360" w:lineRule="auto"/>
        <w:jc w:val="both"/>
        <w:rPr>
          <w:rFonts w:ascii="David" w:hAnsi="David"/>
          <w:b/>
          <w:bCs/>
          <w:u w:val="single"/>
          <w:rtl/>
        </w:rPr>
      </w:pPr>
    </w:p>
    <w:p w14:paraId="6281B0A0" w14:textId="77777777" w:rsidR="006C09C7" w:rsidRPr="00E940DE" w:rsidRDefault="006C09C7" w:rsidP="006C09C7">
      <w:pPr>
        <w:spacing w:line="360" w:lineRule="auto"/>
        <w:ind w:firstLine="720"/>
        <w:jc w:val="both"/>
        <w:rPr>
          <w:rFonts w:ascii="David" w:hAnsi="David"/>
          <w:b/>
          <w:bCs/>
          <w:u w:val="single"/>
          <w:rtl/>
        </w:rPr>
      </w:pPr>
      <w:r w:rsidRPr="00E940DE">
        <w:rPr>
          <w:rFonts w:ascii="David" w:hAnsi="David"/>
          <w:b/>
          <w:bCs/>
          <w:u w:val="single"/>
          <w:rtl/>
        </w:rPr>
        <w:t>זכות ערעור כחוק</w:t>
      </w:r>
    </w:p>
    <w:p w14:paraId="2461CAA2" w14:textId="77777777" w:rsidR="006C09C7" w:rsidRPr="00E940DE" w:rsidRDefault="006C09C7" w:rsidP="006C09C7">
      <w:pPr>
        <w:spacing w:line="360" w:lineRule="auto"/>
        <w:jc w:val="both"/>
        <w:rPr>
          <w:rFonts w:ascii="David" w:hAnsi="David"/>
          <w:b/>
          <w:bCs/>
          <w:u w:val="single"/>
          <w:rtl/>
        </w:rPr>
      </w:pPr>
    </w:p>
    <w:p w14:paraId="56A780E4" w14:textId="77777777" w:rsidR="006C09C7" w:rsidRPr="00E940DE" w:rsidRDefault="006C09C7" w:rsidP="006C09C7">
      <w:pPr>
        <w:spacing w:line="360" w:lineRule="auto"/>
        <w:jc w:val="both"/>
        <w:rPr>
          <w:rFonts w:ascii="David" w:hAnsi="David"/>
          <w:b/>
          <w:bCs/>
          <w:u w:val="single"/>
          <w:rtl/>
        </w:rPr>
      </w:pPr>
    </w:p>
    <w:p w14:paraId="73089513" w14:textId="77777777" w:rsidR="006C09C7" w:rsidRPr="00EC7254" w:rsidRDefault="006C09C7" w:rsidP="006C09C7">
      <w:pPr>
        <w:spacing w:line="360" w:lineRule="auto"/>
        <w:jc w:val="both"/>
        <w:rPr>
          <w:rFonts w:ascii="David" w:hAnsi="David"/>
          <w:u w:val="single"/>
          <w:rtl/>
        </w:rPr>
      </w:pPr>
    </w:p>
    <w:p w14:paraId="2B4BE979" w14:textId="77777777" w:rsidR="006C09C7" w:rsidRPr="00EC7254" w:rsidRDefault="006C09C7" w:rsidP="006C09C7">
      <w:pPr>
        <w:spacing w:line="360" w:lineRule="auto"/>
        <w:jc w:val="both"/>
        <w:rPr>
          <w:rFonts w:ascii="David" w:hAnsi="David"/>
        </w:rPr>
      </w:pPr>
    </w:p>
    <w:p w14:paraId="1A488C45" w14:textId="77777777" w:rsidR="006C09C7" w:rsidRPr="00FA5A2C" w:rsidRDefault="00FA5A2C" w:rsidP="006C09C7">
      <w:pPr>
        <w:spacing w:line="360" w:lineRule="auto"/>
        <w:jc w:val="both"/>
        <w:rPr>
          <w:rFonts w:ascii="David" w:hAnsi="David"/>
          <w:color w:val="FFFFFF"/>
          <w:sz w:val="2"/>
          <w:szCs w:val="2"/>
          <w:rtl/>
        </w:rPr>
      </w:pPr>
      <w:r w:rsidRPr="00FA5A2C">
        <w:rPr>
          <w:rFonts w:ascii="David" w:hAnsi="David"/>
          <w:color w:val="FFFFFF"/>
          <w:sz w:val="2"/>
          <w:szCs w:val="2"/>
          <w:rtl/>
        </w:rPr>
        <w:t>5129371</w:t>
      </w:r>
    </w:p>
    <w:p w14:paraId="6C39E737" w14:textId="77777777" w:rsidR="006C09C7" w:rsidRPr="00FA5A2C" w:rsidRDefault="00FA5A2C" w:rsidP="006C09C7">
      <w:pPr>
        <w:spacing w:line="360" w:lineRule="auto"/>
        <w:jc w:val="both"/>
        <w:rPr>
          <w:rFonts w:ascii="David" w:hAnsi="David"/>
          <w:color w:val="FFFFFF"/>
          <w:sz w:val="2"/>
          <w:szCs w:val="2"/>
          <w:rtl/>
        </w:rPr>
      </w:pPr>
      <w:r w:rsidRPr="00FA5A2C">
        <w:rPr>
          <w:rFonts w:ascii="David" w:hAnsi="David"/>
          <w:color w:val="FFFFFF"/>
          <w:sz w:val="2"/>
          <w:szCs w:val="2"/>
          <w:rtl/>
        </w:rPr>
        <w:t>54678313</w:t>
      </w:r>
    </w:p>
    <w:p w14:paraId="04681302" w14:textId="77777777" w:rsidR="006C09C7" w:rsidRPr="00EC7254" w:rsidRDefault="006C09C7" w:rsidP="006C09C7">
      <w:pPr>
        <w:spacing w:line="360" w:lineRule="auto"/>
        <w:jc w:val="both"/>
        <w:rPr>
          <w:rFonts w:ascii="David" w:hAnsi="David"/>
          <w:rtl/>
        </w:rPr>
      </w:pPr>
    </w:p>
    <w:p w14:paraId="27ADE81A" w14:textId="77777777" w:rsidR="006C09C7" w:rsidRPr="00EC7254" w:rsidRDefault="00FA5A2C" w:rsidP="006C09C7">
      <w:pPr>
        <w:spacing w:line="360" w:lineRule="auto"/>
        <w:jc w:val="both"/>
        <w:rPr>
          <w:rFonts w:ascii="David" w:hAnsi="David"/>
          <w:rtl/>
        </w:rPr>
      </w:pPr>
      <w:bookmarkStart w:id="8" w:name="Nitan"/>
      <w:r>
        <w:rPr>
          <w:rFonts w:ascii="David" w:hAnsi="David"/>
          <w:rtl/>
        </w:rPr>
        <w:t xml:space="preserve">ניתן היום24 יוני 2024, במעמד הצדדים. </w:t>
      </w:r>
      <w:bookmarkEnd w:id="8"/>
      <w:r w:rsidR="006C09C7" w:rsidRPr="00EC7254">
        <w:rPr>
          <w:rFonts w:ascii="David" w:hAnsi="David"/>
          <w:rtl/>
        </w:rPr>
        <w:tab/>
      </w:r>
      <w:r w:rsidR="006C09C7" w:rsidRPr="00EC7254">
        <w:rPr>
          <w:rFonts w:ascii="David" w:hAnsi="David"/>
          <w:rtl/>
        </w:rPr>
        <w:tab/>
      </w:r>
      <w:r w:rsidR="006C09C7" w:rsidRPr="00EC7254">
        <w:rPr>
          <w:rFonts w:ascii="David" w:hAnsi="David"/>
          <w:rtl/>
        </w:rPr>
        <w:tab/>
      </w:r>
      <w:r w:rsidR="006C09C7" w:rsidRPr="00EC7254">
        <w:rPr>
          <w:rFonts w:ascii="David" w:hAnsi="David"/>
          <w:rtl/>
        </w:rPr>
        <w:tab/>
      </w:r>
      <w:r w:rsidR="006C09C7" w:rsidRPr="00EC7254">
        <w:rPr>
          <w:rFonts w:ascii="David" w:hAnsi="David"/>
          <w:rtl/>
        </w:rPr>
        <w:tab/>
      </w:r>
      <w:r w:rsidR="006C09C7" w:rsidRPr="00EC7254">
        <w:rPr>
          <w:rFonts w:ascii="David" w:hAnsi="David"/>
          <w:rtl/>
        </w:rPr>
        <w:tab/>
      </w:r>
      <w:r w:rsidR="006C09C7" w:rsidRPr="00EC7254">
        <w:rPr>
          <w:rFonts w:ascii="David" w:hAnsi="David"/>
          <w:rtl/>
        </w:rPr>
        <w:tab/>
        <w:t xml:space="preserve">         </w:t>
      </w:r>
    </w:p>
    <w:p w14:paraId="55AE0602" w14:textId="77777777" w:rsidR="006C09C7" w:rsidRPr="00EC7254" w:rsidRDefault="006C09C7" w:rsidP="00FA5A2C">
      <w:pPr>
        <w:spacing w:line="360" w:lineRule="auto"/>
        <w:jc w:val="both"/>
      </w:pPr>
      <w:r w:rsidRPr="00EC7254">
        <w:rPr>
          <w:rFonts w:ascii="David" w:hAnsi="David"/>
          <w:rtl/>
        </w:rPr>
        <w:t xml:space="preserve">   </w:t>
      </w:r>
      <w:r w:rsidRPr="00EC7254">
        <w:rPr>
          <w:rFonts w:ascii="David" w:hAnsi="David"/>
          <w:rtl/>
        </w:rPr>
        <w:tab/>
      </w:r>
      <w:r w:rsidRPr="00EC7254">
        <w:rPr>
          <w:rFonts w:ascii="David" w:hAnsi="David"/>
          <w:rtl/>
        </w:rPr>
        <w:tab/>
      </w:r>
      <w:r w:rsidRPr="00EC7254">
        <w:rPr>
          <w:rFonts w:ascii="David" w:hAnsi="David"/>
          <w:rtl/>
        </w:rPr>
        <w:tab/>
      </w:r>
      <w:r w:rsidRPr="00EC7254">
        <w:rPr>
          <w:rFonts w:ascii="David" w:hAnsi="David"/>
          <w:rtl/>
        </w:rPr>
        <w:tab/>
      </w:r>
      <w:r w:rsidRPr="00EC7254">
        <w:rPr>
          <w:rFonts w:ascii="David" w:hAnsi="David"/>
          <w:rtl/>
        </w:rPr>
        <w:tab/>
      </w:r>
    </w:p>
    <w:p w14:paraId="10296F65" w14:textId="77777777" w:rsidR="006C09C7" w:rsidRPr="0037358F" w:rsidRDefault="0037358F" w:rsidP="006C09C7">
      <w:pPr>
        <w:spacing w:line="360" w:lineRule="auto"/>
        <w:jc w:val="both"/>
        <w:rPr>
          <w:rFonts w:ascii="David" w:hAnsi="David"/>
          <w:color w:val="FFFFFF"/>
          <w:sz w:val="2"/>
          <w:szCs w:val="2"/>
          <w:rtl/>
        </w:rPr>
      </w:pPr>
      <w:r w:rsidRPr="0037358F">
        <w:rPr>
          <w:rFonts w:ascii="David" w:hAnsi="David"/>
          <w:color w:val="FFFFFF"/>
          <w:sz w:val="2"/>
          <w:szCs w:val="2"/>
          <w:rtl/>
        </w:rPr>
        <w:t>5129371</w:t>
      </w:r>
    </w:p>
    <w:p w14:paraId="20A3220D" w14:textId="77777777" w:rsidR="00FA5A2C" w:rsidRPr="0037358F" w:rsidRDefault="0037358F" w:rsidP="0037358F">
      <w:pPr>
        <w:keepNext/>
        <w:rPr>
          <w:rFonts w:ascii="David" w:hAnsi="David" w:hint="cs"/>
          <w:color w:val="FFFFFF"/>
          <w:sz w:val="2"/>
          <w:szCs w:val="2"/>
        </w:rPr>
      </w:pPr>
      <w:r w:rsidRPr="0037358F">
        <w:rPr>
          <w:rFonts w:ascii="David" w:hAnsi="David"/>
          <w:color w:val="FFFFFF"/>
          <w:sz w:val="2"/>
          <w:szCs w:val="2"/>
          <w:rtl/>
        </w:rPr>
        <w:t>54678313</w:t>
      </w:r>
    </w:p>
    <w:p w14:paraId="2D5E1495" w14:textId="77777777" w:rsidR="00FA5A2C" w:rsidRDefault="00FA5A2C" w:rsidP="00FA5A2C">
      <w:pPr>
        <w:rPr>
          <w:rtl/>
        </w:rPr>
      </w:pPr>
    </w:p>
    <w:p w14:paraId="0D485307" w14:textId="77777777" w:rsidR="00FA5A2C" w:rsidRDefault="00FA5A2C" w:rsidP="00FA5A2C">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2AA5DE2E" w14:textId="77777777" w:rsidR="0037358F" w:rsidRPr="0037358F" w:rsidRDefault="0037358F" w:rsidP="0037358F">
      <w:pPr>
        <w:keepNext/>
        <w:rPr>
          <w:rFonts w:ascii="David" w:hAnsi="David"/>
          <w:color w:val="000000"/>
          <w:sz w:val="22"/>
          <w:szCs w:val="22"/>
          <w:rtl/>
        </w:rPr>
      </w:pPr>
    </w:p>
    <w:p w14:paraId="38494BC0" w14:textId="77777777" w:rsidR="0037358F" w:rsidRPr="0037358F" w:rsidRDefault="0037358F" w:rsidP="0037358F">
      <w:pPr>
        <w:keepNext/>
        <w:rPr>
          <w:rFonts w:ascii="David" w:hAnsi="David"/>
          <w:color w:val="000000"/>
          <w:sz w:val="22"/>
          <w:szCs w:val="22"/>
          <w:rtl/>
        </w:rPr>
      </w:pPr>
      <w:r w:rsidRPr="0037358F">
        <w:rPr>
          <w:rFonts w:ascii="David" w:hAnsi="David"/>
          <w:color w:val="000000"/>
          <w:sz w:val="22"/>
          <w:szCs w:val="22"/>
          <w:rtl/>
        </w:rPr>
        <w:t>איל באומגרט 54678313-/</w:t>
      </w:r>
    </w:p>
    <w:p w14:paraId="6EEBD1B3" w14:textId="77777777" w:rsidR="00FA5A2C" w:rsidRPr="00FA5A2C" w:rsidRDefault="0037358F" w:rsidP="0037358F">
      <w:pPr>
        <w:rPr>
          <w:color w:val="0000FF"/>
          <w:u w:val="single"/>
        </w:rPr>
      </w:pPr>
      <w:r w:rsidRPr="0037358F">
        <w:rPr>
          <w:color w:val="000000"/>
          <w:u w:val="single"/>
          <w:rtl/>
        </w:rPr>
        <w:t>נוסח מסמך זה כפוף לשינויי ניסוח ועריכה</w:t>
      </w:r>
    </w:p>
    <w:sectPr w:rsidR="00FA5A2C" w:rsidRPr="00FA5A2C" w:rsidSect="0037358F">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6DCF1" w14:textId="77777777" w:rsidR="00587C4F" w:rsidRDefault="00587C4F" w:rsidP="00AE4E9A">
      <w:r>
        <w:separator/>
      </w:r>
    </w:p>
  </w:endnote>
  <w:endnote w:type="continuationSeparator" w:id="0">
    <w:p w14:paraId="04B0F337" w14:textId="77777777" w:rsidR="00587C4F" w:rsidRDefault="00587C4F" w:rsidP="00AE4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FC001" w14:textId="77777777" w:rsidR="0037358F" w:rsidRDefault="0037358F" w:rsidP="0037358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05BE7B" w14:textId="77777777" w:rsidR="007833ED" w:rsidRPr="0037358F" w:rsidRDefault="0037358F" w:rsidP="0037358F">
    <w:pPr>
      <w:pStyle w:val="a5"/>
      <w:pBdr>
        <w:top w:val="single" w:sz="4" w:space="1" w:color="auto"/>
        <w:between w:val="single" w:sz="4" w:space="0" w:color="auto"/>
      </w:pBdr>
      <w:spacing w:after="60"/>
      <w:jc w:val="center"/>
      <w:rPr>
        <w:rFonts w:ascii="FrankRuehl" w:hAnsi="FrankRuehl" w:cs="FrankRuehl"/>
        <w:color w:val="000000"/>
      </w:rPr>
    </w:pPr>
    <w:r w:rsidRPr="003735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75637" w14:textId="77777777" w:rsidR="0037358F" w:rsidRDefault="0037358F" w:rsidP="0037358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29CA">
      <w:rPr>
        <w:rFonts w:ascii="FrankRuehl" w:hAnsi="FrankRuehl" w:cs="FrankRuehl"/>
        <w:noProof/>
        <w:rtl/>
      </w:rPr>
      <w:t>1</w:t>
    </w:r>
    <w:r>
      <w:rPr>
        <w:rFonts w:ascii="FrankRuehl" w:hAnsi="FrankRuehl" w:cs="FrankRuehl"/>
        <w:rtl/>
      </w:rPr>
      <w:fldChar w:fldCharType="end"/>
    </w:r>
  </w:p>
  <w:p w14:paraId="0D7367F5" w14:textId="77777777" w:rsidR="007833ED" w:rsidRPr="0037358F" w:rsidRDefault="0037358F" w:rsidP="0037358F">
    <w:pPr>
      <w:pStyle w:val="a5"/>
      <w:pBdr>
        <w:top w:val="single" w:sz="4" w:space="1" w:color="auto"/>
        <w:between w:val="single" w:sz="4" w:space="0" w:color="auto"/>
      </w:pBdr>
      <w:spacing w:after="60"/>
      <w:jc w:val="center"/>
      <w:rPr>
        <w:rFonts w:ascii="FrankRuehl" w:hAnsi="FrankRuehl" w:cs="FrankRuehl"/>
        <w:color w:val="000000"/>
      </w:rPr>
    </w:pPr>
    <w:r w:rsidRPr="0037358F">
      <w:rPr>
        <w:rFonts w:ascii="FrankRuehl" w:hAnsi="FrankRuehl" w:cs="FrankRuehl"/>
        <w:color w:val="000000"/>
      </w:rPr>
      <w:pict w14:anchorId="66B3C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5A762" w14:textId="77777777" w:rsidR="00587C4F" w:rsidRDefault="00587C4F" w:rsidP="00AE4E9A">
      <w:r>
        <w:separator/>
      </w:r>
    </w:p>
  </w:footnote>
  <w:footnote w:type="continuationSeparator" w:id="0">
    <w:p w14:paraId="444FE970" w14:textId="77777777" w:rsidR="00587C4F" w:rsidRDefault="00587C4F" w:rsidP="00AE4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66A9F" w14:textId="77777777" w:rsidR="00FA5A2C" w:rsidRPr="0037358F" w:rsidRDefault="0037358F" w:rsidP="003735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7811-10-23</w:t>
    </w:r>
    <w:r>
      <w:rPr>
        <w:rFonts w:ascii="David" w:hAnsi="David"/>
        <w:color w:val="000000"/>
        <w:sz w:val="22"/>
        <w:szCs w:val="22"/>
        <w:rtl/>
      </w:rPr>
      <w:tab/>
      <w:t xml:space="preserve"> מדינת-ישראל נ' מועאד אמארה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8790" w14:textId="77777777" w:rsidR="00FA5A2C" w:rsidRPr="0037358F" w:rsidRDefault="0037358F" w:rsidP="003735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7811-10-23</w:t>
    </w:r>
    <w:r>
      <w:rPr>
        <w:rFonts w:ascii="David" w:hAnsi="David"/>
        <w:color w:val="000000"/>
        <w:sz w:val="22"/>
        <w:szCs w:val="22"/>
        <w:rtl/>
      </w:rPr>
      <w:tab/>
      <w:t xml:space="preserve"> מדינת-ישראל נ' מועאד אמארה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2E23E8"/>
    <w:multiLevelType w:val="hybridMultilevel"/>
    <w:tmpl w:val="3FE8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24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09C7"/>
    <w:rsid w:val="00153027"/>
    <w:rsid w:val="001B5A3B"/>
    <w:rsid w:val="0037358F"/>
    <w:rsid w:val="00587C4F"/>
    <w:rsid w:val="006C09C7"/>
    <w:rsid w:val="006E5FA3"/>
    <w:rsid w:val="007833ED"/>
    <w:rsid w:val="00AE4E9A"/>
    <w:rsid w:val="00B229CA"/>
    <w:rsid w:val="00FA5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959F85"/>
  <w15:chartTrackingRefBased/>
  <w15:docId w15:val="{4BA02E43-A029-4D6C-8743-29F05844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09C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09C7"/>
    <w:pPr>
      <w:tabs>
        <w:tab w:val="center" w:pos="4153"/>
        <w:tab w:val="right" w:pos="8306"/>
      </w:tabs>
    </w:pPr>
  </w:style>
  <w:style w:type="character" w:customStyle="1" w:styleId="a4">
    <w:name w:val="כותרת עליונה תו"/>
    <w:link w:val="a3"/>
    <w:rsid w:val="006C09C7"/>
    <w:rPr>
      <w:rFonts w:ascii="Times New Roman" w:eastAsia="Times New Roman" w:hAnsi="Times New Roman" w:cs="David"/>
      <w:sz w:val="24"/>
      <w:szCs w:val="24"/>
    </w:rPr>
  </w:style>
  <w:style w:type="paragraph" w:styleId="a5">
    <w:name w:val="footer"/>
    <w:basedOn w:val="a"/>
    <w:link w:val="a6"/>
    <w:rsid w:val="006C09C7"/>
    <w:pPr>
      <w:tabs>
        <w:tab w:val="center" w:pos="4153"/>
        <w:tab w:val="right" w:pos="8306"/>
      </w:tabs>
    </w:pPr>
  </w:style>
  <w:style w:type="character" w:customStyle="1" w:styleId="a6">
    <w:name w:val="כותרת תחתונה תו"/>
    <w:link w:val="a5"/>
    <w:rsid w:val="006C09C7"/>
    <w:rPr>
      <w:rFonts w:ascii="Times New Roman" w:eastAsia="Times New Roman" w:hAnsi="Times New Roman" w:cs="David"/>
      <w:sz w:val="24"/>
      <w:szCs w:val="24"/>
    </w:rPr>
  </w:style>
  <w:style w:type="table" w:styleId="a7">
    <w:name w:val="Table Grid"/>
    <w:basedOn w:val="a1"/>
    <w:rsid w:val="006C09C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09C7"/>
  </w:style>
  <w:style w:type="paragraph" w:styleId="a9">
    <w:name w:val="List Paragraph"/>
    <w:basedOn w:val="a"/>
    <w:qFormat/>
    <w:rsid w:val="006C09C7"/>
    <w:pPr>
      <w:ind w:left="720"/>
      <w:contextualSpacing/>
    </w:pPr>
  </w:style>
  <w:style w:type="character" w:styleId="Hyperlink">
    <w:name w:val="Hyperlink"/>
    <w:rsid w:val="00FA5A2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832660" TargetMode="External"/><Relationship Id="rId3" Type="http://schemas.openxmlformats.org/officeDocument/2006/relationships/settings" Target="settings.xml"/><Relationship Id="rId21" Type="http://schemas.openxmlformats.org/officeDocument/2006/relationships/hyperlink" Target="http://www.nevo.co.il/case/28883087"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9867910" TargetMode="External"/><Relationship Id="rId25" Type="http://schemas.openxmlformats.org/officeDocument/2006/relationships/hyperlink" Target="http://www.nevo.co.il/case/2083266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30168342"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a.;40.if" TargetMode="External"/><Relationship Id="rId23" Type="http://schemas.openxmlformats.org/officeDocument/2006/relationships/hyperlink" Target="http://www.nevo.co.il/law/70301/144.b"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2582486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f"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916087"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40.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2114</Words>
  <Characters>10570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12659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4063345</vt:i4>
      </vt:variant>
      <vt:variant>
        <vt:i4>57</vt:i4>
      </vt:variant>
      <vt:variant>
        <vt:i4>0</vt:i4>
      </vt:variant>
      <vt:variant>
        <vt:i4>5</vt:i4>
      </vt:variant>
      <vt:variant>
        <vt:lpwstr>http://www.nevo.co.il/case/20832660</vt:lpwstr>
      </vt:variant>
      <vt:variant>
        <vt:lpwstr/>
      </vt:variant>
      <vt:variant>
        <vt:i4>4063345</vt:i4>
      </vt:variant>
      <vt:variant>
        <vt:i4>54</vt:i4>
      </vt:variant>
      <vt:variant>
        <vt:i4>0</vt:i4>
      </vt:variant>
      <vt:variant>
        <vt:i4>5</vt:i4>
      </vt:variant>
      <vt:variant>
        <vt:lpwstr>http://www.nevo.co.il/case/20832660</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3473533</vt:i4>
      </vt:variant>
      <vt:variant>
        <vt:i4>45</vt:i4>
      </vt:variant>
      <vt:variant>
        <vt:i4>0</vt:i4>
      </vt:variant>
      <vt:variant>
        <vt:i4>5</vt:i4>
      </vt:variant>
      <vt:variant>
        <vt:lpwstr>http://www.nevo.co.il/case/28916087</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4063345</vt:i4>
      </vt:variant>
      <vt:variant>
        <vt:i4>39</vt:i4>
      </vt:variant>
      <vt:variant>
        <vt:i4>0</vt:i4>
      </vt:variant>
      <vt:variant>
        <vt:i4>5</vt:i4>
      </vt:variant>
      <vt:variant>
        <vt:lpwstr>http://www.nevo.co.il/case/30168342</vt:lpwstr>
      </vt:variant>
      <vt:variant>
        <vt:lpwstr/>
      </vt:variant>
      <vt:variant>
        <vt:i4>3670139</vt:i4>
      </vt:variant>
      <vt:variant>
        <vt:i4>36</vt:i4>
      </vt:variant>
      <vt:variant>
        <vt:i4>0</vt:i4>
      </vt:variant>
      <vt:variant>
        <vt:i4>5</vt:i4>
      </vt:variant>
      <vt:variant>
        <vt:lpwstr>http://www.nevo.co.il/case/25824865</vt:lpwstr>
      </vt:variant>
      <vt:variant>
        <vt:lpwstr/>
      </vt:variant>
      <vt:variant>
        <vt:i4>7995492</vt:i4>
      </vt:variant>
      <vt:variant>
        <vt:i4>33</vt:i4>
      </vt:variant>
      <vt:variant>
        <vt:i4>0</vt:i4>
      </vt:variant>
      <vt:variant>
        <vt:i4>5</vt:i4>
      </vt:variant>
      <vt:variant>
        <vt:lpwstr>http://www.nevo.co.il/law/70301</vt:lpwstr>
      </vt:variant>
      <vt:variant>
        <vt:lpwstr/>
      </vt:variant>
      <vt:variant>
        <vt:i4>3932274</vt:i4>
      </vt:variant>
      <vt:variant>
        <vt:i4>30</vt:i4>
      </vt:variant>
      <vt:variant>
        <vt:i4>0</vt:i4>
      </vt:variant>
      <vt:variant>
        <vt:i4>5</vt:i4>
      </vt:variant>
      <vt:variant>
        <vt:lpwstr>http://www.nevo.co.il/case/29867910</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6684795</vt:i4>
      </vt:variant>
      <vt:variant>
        <vt:i4>24</vt:i4>
      </vt:variant>
      <vt:variant>
        <vt:i4>0</vt:i4>
      </vt:variant>
      <vt:variant>
        <vt:i4>5</vt:i4>
      </vt:variant>
      <vt:variant>
        <vt:lpwstr>http://www.nevo.co.il/law/70301/40.a.;40.if</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786511</vt:i4>
      </vt:variant>
      <vt:variant>
        <vt:i4>6</vt:i4>
      </vt:variant>
      <vt:variant>
        <vt:i4>0</vt:i4>
      </vt:variant>
      <vt:variant>
        <vt:i4>5</vt:i4>
      </vt:variant>
      <vt:variant>
        <vt:lpwstr>http://www.nevo.co.il/law/70301/40.if</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2025-01-19T17:07:00Z</dcterms:created>
  <dcterms:modified xsi:type="dcterms:W3CDTF">2025-01-19T17:07:00Z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7811</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מדינת-ישראל</vt:lpwstr>
  </property>
  <property fmtid="{D5CDD505-2E9C-101B-9397-08002B2CF9AE}" pid="9" name="APPELLEE">
    <vt:lpwstr>מועאד אמארה </vt:lpwstr>
  </property>
  <property fmtid="{D5CDD505-2E9C-101B-9397-08002B2CF9AE}" pid="10" name="LAWYER">
    <vt:lpwstr>אמיר אלרון;עאדל בויראת</vt:lpwstr>
  </property>
  <property fmtid="{D5CDD505-2E9C-101B-9397-08002B2CF9AE}" pid="11" name="JUDGE">
    <vt:lpwstr>איל באומגרט</vt:lpwstr>
  </property>
  <property fmtid="{D5CDD505-2E9C-101B-9397-08002B2CF9AE}" pid="12" name="CITY">
    <vt:lpwstr>חי'</vt:lpwstr>
  </property>
  <property fmtid="{D5CDD505-2E9C-101B-9397-08002B2CF9AE}" pid="13" name="DATE">
    <vt:lpwstr>20240624</vt:lpwstr>
  </property>
  <property fmtid="{D5CDD505-2E9C-101B-9397-08002B2CF9AE}" pid="14" name="TYPE_N_DATE">
    <vt:lpwstr>39020240624</vt:lpwstr>
  </property>
  <property fmtid="{D5CDD505-2E9C-101B-9397-08002B2CF9AE}" pid="15" name="CASESLISTTMP1">
    <vt:lpwstr>29867910;25824865;30168342;28883087;28916087;20832660:2</vt:lpwstr>
  </property>
  <property fmtid="{D5CDD505-2E9C-101B-9397-08002B2CF9AE}" pid="16" name="WORDNUMPAGES">
    <vt:lpwstr>8</vt:lpwstr>
  </property>
  <property fmtid="{D5CDD505-2E9C-101B-9397-08002B2CF9AE}" pid="17" name="TYPE_ABS_DATE">
    <vt:lpwstr>390020240624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70301/144.a;144.b:2;040.a;040.if</vt:lpwstr>
  </property>
</Properties>
</file>