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3255B2" w:rsidRPr="006C626C" w14:paraId="7EE6B6A5" w14:textId="77777777" w:rsidTr="00E25604">
        <w:trPr>
          <w:trHeight w:hRule="exact" w:val="418"/>
          <w:jc w:val="center"/>
        </w:trPr>
        <w:tc>
          <w:tcPr>
            <w:tcW w:w="8721" w:type="dxa"/>
            <w:gridSpan w:val="2"/>
          </w:tcPr>
          <w:p w14:paraId="50CA608C" w14:textId="77777777" w:rsidR="003255B2" w:rsidRPr="006C626C" w:rsidRDefault="003255B2" w:rsidP="00DC445C">
            <w:pPr>
              <w:pStyle w:val="a3"/>
              <w:jc w:val="center"/>
              <w:rPr>
                <w:rFonts w:ascii="Tahoma" w:hAnsi="Tahoma" w:cs="Tahoma"/>
                <w:color w:val="000080"/>
                <w:rtl/>
              </w:rPr>
            </w:pPr>
            <w:bookmarkStart w:id="0" w:name="LastJudge"/>
            <w:r w:rsidRPr="006C626C">
              <w:rPr>
                <w:rFonts w:ascii="Tahoma" w:hAnsi="Tahoma" w:cs="Tahoma"/>
                <w:b/>
                <w:bCs/>
                <w:color w:val="000080"/>
                <w:rtl/>
              </w:rPr>
              <w:t>בית המשפט המחוזי בירושלים</w:t>
            </w:r>
          </w:p>
        </w:tc>
      </w:tr>
      <w:tr w:rsidR="003255B2" w:rsidRPr="006C626C" w14:paraId="719A994C" w14:textId="77777777" w:rsidTr="00E25604">
        <w:trPr>
          <w:trHeight w:val="337"/>
          <w:jc w:val="center"/>
        </w:trPr>
        <w:tc>
          <w:tcPr>
            <w:tcW w:w="5058" w:type="dxa"/>
          </w:tcPr>
          <w:p w14:paraId="73F9C555" w14:textId="77777777" w:rsidR="003255B2" w:rsidRPr="006C626C" w:rsidRDefault="003255B2" w:rsidP="00DC445C">
            <w:pPr>
              <w:rPr>
                <w:rFonts w:cs="FrankRuehl"/>
                <w:sz w:val="28"/>
                <w:szCs w:val="28"/>
                <w:rtl/>
              </w:rPr>
            </w:pPr>
            <w:r w:rsidRPr="006C626C">
              <w:rPr>
                <w:rFonts w:cs="FrankRuehl"/>
                <w:sz w:val="28"/>
                <w:szCs w:val="28"/>
                <w:rtl/>
              </w:rPr>
              <w:t>ת"פ</w:t>
            </w:r>
            <w:r w:rsidRPr="006C626C">
              <w:rPr>
                <w:rFonts w:cs="FrankRuehl" w:hint="cs"/>
                <w:sz w:val="28"/>
                <w:szCs w:val="28"/>
                <w:rtl/>
              </w:rPr>
              <w:t xml:space="preserve"> </w:t>
            </w:r>
            <w:r w:rsidRPr="006C626C">
              <w:rPr>
                <w:rFonts w:cs="FrankRuehl"/>
                <w:sz w:val="28"/>
                <w:szCs w:val="28"/>
                <w:rtl/>
              </w:rPr>
              <w:t>11033-11-23</w:t>
            </w:r>
            <w:r w:rsidRPr="006C626C">
              <w:rPr>
                <w:rFonts w:cs="FrankRuehl" w:hint="cs"/>
                <w:sz w:val="28"/>
                <w:szCs w:val="28"/>
                <w:rtl/>
              </w:rPr>
              <w:t xml:space="preserve"> </w:t>
            </w:r>
            <w:r w:rsidRPr="006C626C">
              <w:rPr>
                <w:rFonts w:cs="FrankRuehl"/>
                <w:sz w:val="28"/>
                <w:szCs w:val="28"/>
                <w:rtl/>
              </w:rPr>
              <w:t>מדינת ישראל נ' עבאסי(עציר)</w:t>
            </w:r>
          </w:p>
          <w:p w14:paraId="50145593" w14:textId="77777777" w:rsidR="003255B2" w:rsidRPr="006C626C" w:rsidRDefault="003255B2" w:rsidP="00DC445C">
            <w:pPr>
              <w:pStyle w:val="a3"/>
              <w:rPr>
                <w:rFonts w:cs="FrankRuehl"/>
                <w:sz w:val="28"/>
                <w:szCs w:val="28"/>
                <w:rtl/>
              </w:rPr>
            </w:pPr>
          </w:p>
        </w:tc>
        <w:tc>
          <w:tcPr>
            <w:tcW w:w="3663" w:type="dxa"/>
          </w:tcPr>
          <w:p w14:paraId="3723C072" w14:textId="77777777" w:rsidR="003255B2" w:rsidRPr="006C626C" w:rsidRDefault="003255B2" w:rsidP="00DC445C">
            <w:pPr>
              <w:pStyle w:val="a3"/>
              <w:jc w:val="right"/>
              <w:rPr>
                <w:rFonts w:cs="FrankRuehl"/>
                <w:sz w:val="28"/>
                <w:szCs w:val="28"/>
                <w:rtl/>
              </w:rPr>
            </w:pPr>
          </w:p>
        </w:tc>
      </w:tr>
    </w:tbl>
    <w:p w14:paraId="52F7E82D" w14:textId="77777777" w:rsidR="003255B2" w:rsidRPr="006C626C" w:rsidRDefault="003255B2" w:rsidP="003255B2">
      <w:pPr>
        <w:pStyle w:val="a3"/>
        <w:rPr>
          <w:rtl/>
        </w:rPr>
      </w:pPr>
      <w:r w:rsidRPr="006C626C">
        <w:rPr>
          <w:rFonts w:hint="cs"/>
          <w:rtl/>
        </w:rPr>
        <w:t xml:space="preserve"> </w:t>
      </w:r>
    </w:p>
    <w:p w14:paraId="0B92F206" w14:textId="77777777" w:rsidR="003255B2" w:rsidRPr="006C626C" w:rsidRDefault="003255B2" w:rsidP="003255B2">
      <w:pPr>
        <w:rPr>
          <w:rtl/>
        </w:rPr>
      </w:pPr>
    </w:p>
    <w:p w14:paraId="1F5B8455" w14:textId="77777777" w:rsidR="003255B2" w:rsidRPr="006C626C" w:rsidRDefault="003255B2" w:rsidP="003255B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505"/>
        <w:gridCol w:w="5392"/>
      </w:tblGrid>
      <w:tr w:rsidR="003255B2" w:rsidRPr="006C626C" w14:paraId="498C91B2" w14:textId="77777777" w:rsidTr="003255B2">
        <w:trPr>
          <w:trHeight w:val="295"/>
          <w:jc w:val="center"/>
        </w:trPr>
        <w:tc>
          <w:tcPr>
            <w:tcW w:w="923" w:type="dxa"/>
            <w:tcBorders>
              <w:top w:val="nil"/>
              <w:left w:val="nil"/>
              <w:bottom w:val="nil"/>
              <w:right w:val="nil"/>
            </w:tcBorders>
            <w:shd w:val="clear" w:color="auto" w:fill="auto"/>
          </w:tcPr>
          <w:p w14:paraId="14F0748B" w14:textId="77777777" w:rsidR="003255B2" w:rsidRPr="006C626C" w:rsidRDefault="003255B2" w:rsidP="003255B2">
            <w:pPr>
              <w:jc w:val="both"/>
              <w:rPr>
                <w:rFonts w:ascii="David" w:hAnsi="David"/>
                <w:sz w:val="26"/>
                <w:szCs w:val="26"/>
              </w:rPr>
            </w:pPr>
            <w:r w:rsidRPr="006C626C">
              <w:rPr>
                <w:rFonts w:ascii="David" w:hAnsi="David" w:hint="cs"/>
                <w:sz w:val="26"/>
                <w:szCs w:val="26"/>
                <w:rtl/>
              </w:rPr>
              <w:t>ל</w:t>
            </w:r>
            <w:r w:rsidRPr="006C626C">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7B3ACCB" w14:textId="77777777" w:rsidR="003255B2" w:rsidRPr="006C626C" w:rsidRDefault="003255B2" w:rsidP="00DC445C">
            <w:pPr>
              <w:rPr>
                <w:rFonts w:ascii="David" w:hAnsi="David"/>
                <w:b/>
                <w:bCs/>
                <w:sz w:val="26"/>
                <w:szCs w:val="26"/>
                <w:rtl/>
              </w:rPr>
            </w:pPr>
            <w:r w:rsidRPr="006C626C">
              <w:rPr>
                <w:rFonts w:ascii="David" w:hAnsi="David"/>
                <w:b/>
                <w:bCs/>
                <w:sz w:val="26"/>
                <w:szCs w:val="26"/>
                <w:rtl/>
              </w:rPr>
              <w:t>כבוד השופט  מרדכי כדורי</w:t>
            </w:r>
          </w:p>
          <w:p w14:paraId="72F8DFB4" w14:textId="77777777" w:rsidR="003255B2" w:rsidRPr="006C626C" w:rsidRDefault="003255B2" w:rsidP="00DC445C">
            <w:pPr>
              <w:rPr>
                <w:rFonts w:ascii="David" w:hAnsi="David"/>
                <w:sz w:val="26"/>
                <w:szCs w:val="26"/>
                <w:rtl/>
              </w:rPr>
            </w:pPr>
          </w:p>
          <w:p w14:paraId="50AAF52D" w14:textId="77777777" w:rsidR="003255B2" w:rsidRPr="006C626C" w:rsidRDefault="003255B2" w:rsidP="003255B2">
            <w:pPr>
              <w:jc w:val="both"/>
              <w:rPr>
                <w:rFonts w:ascii="David" w:hAnsi="David"/>
                <w:sz w:val="26"/>
                <w:szCs w:val="26"/>
              </w:rPr>
            </w:pPr>
          </w:p>
        </w:tc>
      </w:tr>
      <w:tr w:rsidR="003255B2" w:rsidRPr="006C626C" w14:paraId="3B9F0209" w14:textId="77777777" w:rsidTr="003255B2">
        <w:trPr>
          <w:trHeight w:val="355"/>
          <w:jc w:val="center"/>
        </w:trPr>
        <w:tc>
          <w:tcPr>
            <w:tcW w:w="923" w:type="dxa"/>
            <w:tcBorders>
              <w:top w:val="nil"/>
              <w:left w:val="nil"/>
              <w:bottom w:val="nil"/>
              <w:right w:val="nil"/>
            </w:tcBorders>
            <w:shd w:val="clear" w:color="auto" w:fill="auto"/>
          </w:tcPr>
          <w:p w14:paraId="30BE250B" w14:textId="77777777" w:rsidR="003255B2" w:rsidRPr="006C626C" w:rsidRDefault="003255B2" w:rsidP="003255B2">
            <w:pPr>
              <w:jc w:val="both"/>
              <w:rPr>
                <w:rFonts w:ascii="David" w:hAnsi="David"/>
                <w:sz w:val="26"/>
                <w:szCs w:val="26"/>
              </w:rPr>
            </w:pPr>
            <w:bookmarkStart w:id="1" w:name="FirstAppellant"/>
            <w:bookmarkStart w:id="2" w:name="FirstLawyer"/>
            <w:r w:rsidRPr="006C626C">
              <w:rPr>
                <w:rFonts w:ascii="David" w:hAnsi="David"/>
                <w:sz w:val="26"/>
                <w:szCs w:val="26"/>
                <w:rtl/>
              </w:rPr>
              <w:t>בעניין:</w:t>
            </w:r>
          </w:p>
        </w:tc>
        <w:tc>
          <w:tcPr>
            <w:tcW w:w="2505" w:type="dxa"/>
            <w:tcBorders>
              <w:top w:val="nil"/>
              <w:left w:val="nil"/>
              <w:bottom w:val="nil"/>
              <w:right w:val="nil"/>
            </w:tcBorders>
            <w:shd w:val="clear" w:color="auto" w:fill="auto"/>
          </w:tcPr>
          <w:p w14:paraId="099FE680" w14:textId="77777777" w:rsidR="003255B2" w:rsidRPr="006C626C" w:rsidRDefault="003255B2" w:rsidP="003255B2">
            <w:pPr>
              <w:suppressLineNumbers/>
              <w:rPr>
                <w:rFonts w:ascii="David" w:hAnsi="David"/>
                <w:sz w:val="26"/>
                <w:szCs w:val="26"/>
              </w:rPr>
            </w:pPr>
          </w:p>
        </w:tc>
        <w:tc>
          <w:tcPr>
            <w:tcW w:w="5392" w:type="dxa"/>
            <w:tcBorders>
              <w:top w:val="nil"/>
              <w:left w:val="nil"/>
              <w:bottom w:val="nil"/>
              <w:right w:val="nil"/>
            </w:tcBorders>
            <w:shd w:val="clear" w:color="auto" w:fill="auto"/>
            <w:vAlign w:val="center"/>
          </w:tcPr>
          <w:p w14:paraId="565A6543" w14:textId="77777777" w:rsidR="003255B2" w:rsidRPr="006C626C" w:rsidRDefault="003255B2" w:rsidP="003255B2">
            <w:pPr>
              <w:suppressLineNumbers/>
              <w:rPr>
                <w:rFonts w:ascii="Arial" w:hAnsi="Arial"/>
                <w:b/>
                <w:bCs/>
                <w:sz w:val="26"/>
                <w:szCs w:val="26"/>
                <w:rtl/>
              </w:rPr>
            </w:pPr>
            <w:r w:rsidRPr="006C626C">
              <w:rPr>
                <w:rFonts w:ascii="Arial" w:hAnsi="Arial"/>
                <w:b/>
                <w:bCs/>
                <w:sz w:val="26"/>
                <w:szCs w:val="26"/>
                <w:rtl/>
              </w:rPr>
              <w:t>מדינת ישראל</w:t>
            </w:r>
          </w:p>
          <w:p w14:paraId="64EB8DFC" w14:textId="77777777" w:rsidR="003255B2" w:rsidRPr="006C626C" w:rsidRDefault="003255B2" w:rsidP="003255B2">
            <w:pPr>
              <w:suppressLineNumbers/>
              <w:rPr>
                <w:rFonts w:ascii="Arial" w:hAnsi="Arial"/>
                <w:sz w:val="26"/>
                <w:szCs w:val="26"/>
                <w:rtl/>
              </w:rPr>
            </w:pPr>
            <w:r w:rsidRPr="006C626C">
              <w:rPr>
                <w:rFonts w:ascii="Arial" w:hAnsi="Arial"/>
                <w:sz w:val="26"/>
                <w:szCs w:val="26"/>
                <w:rtl/>
              </w:rPr>
              <w:t>ע"י ב"כ עו"ד</w:t>
            </w:r>
            <w:r w:rsidRPr="006C626C">
              <w:rPr>
                <w:rFonts w:ascii="Arial" w:hAnsi="Arial" w:hint="cs"/>
                <w:sz w:val="26"/>
                <w:szCs w:val="26"/>
                <w:rtl/>
              </w:rPr>
              <w:t xml:space="preserve"> רינת בן יעקב</w:t>
            </w:r>
          </w:p>
          <w:p w14:paraId="3BB2E3CC" w14:textId="77777777" w:rsidR="003255B2" w:rsidRPr="006C626C" w:rsidRDefault="003255B2" w:rsidP="003255B2">
            <w:pPr>
              <w:suppressLineNumbers/>
              <w:rPr>
                <w:rFonts w:ascii="Arial" w:hAnsi="Arial"/>
                <w:sz w:val="26"/>
                <w:szCs w:val="26"/>
                <w:rtl/>
              </w:rPr>
            </w:pPr>
            <w:r w:rsidRPr="006C626C">
              <w:rPr>
                <w:rFonts w:ascii="Arial" w:hAnsi="Arial" w:hint="cs"/>
                <w:sz w:val="26"/>
                <w:szCs w:val="26"/>
                <w:rtl/>
              </w:rPr>
              <w:t>מפרקליטות מחוז ירושלים (פלילי)</w:t>
            </w:r>
          </w:p>
          <w:p w14:paraId="58D9EE7C" w14:textId="77777777" w:rsidR="003255B2" w:rsidRPr="006C626C" w:rsidRDefault="003255B2" w:rsidP="003255B2">
            <w:pPr>
              <w:jc w:val="right"/>
              <w:rPr>
                <w:rFonts w:ascii="David" w:hAnsi="David"/>
                <w:sz w:val="26"/>
                <w:szCs w:val="26"/>
              </w:rPr>
            </w:pPr>
            <w:r w:rsidRPr="006C626C">
              <w:rPr>
                <w:rFonts w:ascii="David" w:hAnsi="David" w:hint="cs"/>
                <w:b/>
                <w:bCs/>
                <w:sz w:val="26"/>
                <w:szCs w:val="26"/>
                <w:rtl/>
              </w:rPr>
              <w:t>המאשימה</w:t>
            </w:r>
          </w:p>
        </w:tc>
      </w:tr>
      <w:bookmarkEnd w:id="1"/>
      <w:bookmarkEnd w:id="2"/>
      <w:tr w:rsidR="003255B2" w:rsidRPr="006C626C" w14:paraId="783A39C2" w14:textId="77777777" w:rsidTr="003255B2">
        <w:trPr>
          <w:trHeight w:val="355"/>
          <w:jc w:val="center"/>
        </w:trPr>
        <w:tc>
          <w:tcPr>
            <w:tcW w:w="923" w:type="dxa"/>
            <w:tcBorders>
              <w:top w:val="nil"/>
              <w:left w:val="nil"/>
              <w:bottom w:val="nil"/>
              <w:right w:val="nil"/>
            </w:tcBorders>
            <w:shd w:val="clear" w:color="auto" w:fill="auto"/>
          </w:tcPr>
          <w:p w14:paraId="5E1DD7D4" w14:textId="77777777" w:rsidR="003255B2" w:rsidRPr="006C626C" w:rsidRDefault="003255B2" w:rsidP="003255B2">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9EDC193" w14:textId="77777777" w:rsidR="003255B2" w:rsidRPr="006C626C" w:rsidRDefault="003255B2" w:rsidP="003255B2">
            <w:pPr>
              <w:jc w:val="center"/>
              <w:rPr>
                <w:rFonts w:ascii="David" w:hAnsi="David"/>
                <w:b/>
                <w:bCs/>
                <w:sz w:val="26"/>
                <w:szCs w:val="26"/>
                <w:rtl/>
              </w:rPr>
            </w:pPr>
          </w:p>
          <w:p w14:paraId="7127EAE8" w14:textId="77777777" w:rsidR="003255B2" w:rsidRPr="006C626C" w:rsidRDefault="003255B2" w:rsidP="003255B2">
            <w:pPr>
              <w:jc w:val="center"/>
              <w:rPr>
                <w:rFonts w:ascii="David" w:hAnsi="David"/>
                <w:b/>
                <w:bCs/>
                <w:sz w:val="26"/>
                <w:szCs w:val="26"/>
                <w:rtl/>
              </w:rPr>
            </w:pPr>
            <w:r w:rsidRPr="006C626C">
              <w:rPr>
                <w:rFonts w:ascii="David" w:hAnsi="David"/>
                <w:b/>
                <w:bCs/>
                <w:sz w:val="26"/>
                <w:szCs w:val="26"/>
                <w:rtl/>
              </w:rPr>
              <w:t>נגד</w:t>
            </w:r>
          </w:p>
          <w:p w14:paraId="236BC390" w14:textId="77777777" w:rsidR="003255B2" w:rsidRPr="006C626C" w:rsidRDefault="003255B2" w:rsidP="003255B2">
            <w:pPr>
              <w:jc w:val="both"/>
              <w:rPr>
                <w:rFonts w:ascii="David" w:hAnsi="David"/>
                <w:sz w:val="26"/>
                <w:szCs w:val="26"/>
              </w:rPr>
            </w:pPr>
          </w:p>
        </w:tc>
      </w:tr>
      <w:tr w:rsidR="003255B2" w:rsidRPr="006C626C" w14:paraId="3F326085" w14:textId="77777777" w:rsidTr="003255B2">
        <w:trPr>
          <w:trHeight w:val="355"/>
          <w:jc w:val="center"/>
        </w:trPr>
        <w:tc>
          <w:tcPr>
            <w:tcW w:w="923" w:type="dxa"/>
            <w:tcBorders>
              <w:top w:val="nil"/>
              <w:left w:val="nil"/>
              <w:bottom w:val="nil"/>
              <w:right w:val="nil"/>
            </w:tcBorders>
            <w:shd w:val="clear" w:color="auto" w:fill="auto"/>
          </w:tcPr>
          <w:p w14:paraId="6CC6CE7F" w14:textId="77777777" w:rsidR="003255B2" w:rsidRPr="006C626C" w:rsidRDefault="003255B2" w:rsidP="00DC445C">
            <w:pPr>
              <w:rPr>
                <w:rFonts w:ascii="David" w:hAnsi="David"/>
                <w:sz w:val="26"/>
                <w:szCs w:val="26"/>
                <w:rtl/>
              </w:rPr>
            </w:pPr>
          </w:p>
        </w:tc>
        <w:tc>
          <w:tcPr>
            <w:tcW w:w="2505" w:type="dxa"/>
            <w:tcBorders>
              <w:top w:val="nil"/>
              <w:left w:val="nil"/>
              <w:bottom w:val="nil"/>
              <w:right w:val="nil"/>
            </w:tcBorders>
            <w:shd w:val="clear" w:color="auto" w:fill="auto"/>
          </w:tcPr>
          <w:p w14:paraId="21ECC444" w14:textId="77777777" w:rsidR="003255B2" w:rsidRPr="006C626C" w:rsidRDefault="003255B2" w:rsidP="00DC445C">
            <w:pPr>
              <w:rPr>
                <w:rFonts w:ascii="Arial" w:hAnsi="Arial"/>
                <w:b/>
                <w:bCs/>
                <w:sz w:val="26"/>
                <w:szCs w:val="26"/>
                <w:rtl/>
              </w:rPr>
            </w:pPr>
          </w:p>
        </w:tc>
        <w:tc>
          <w:tcPr>
            <w:tcW w:w="5392" w:type="dxa"/>
            <w:tcBorders>
              <w:top w:val="nil"/>
              <w:left w:val="nil"/>
              <w:bottom w:val="nil"/>
              <w:right w:val="nil"/>
            </w:tcBorders>
            <w:shd w:val="clear" w:color="auto" w:fill="auto"/>
            <w:vAlign w:val="center"/>
          </w:tcPr>
          <w:p w14:paraId="13322E5C" w14:textId="77777777" w:rsidR="003255B2" w:rsidRPr="006C626C" w:rsidRDefault="003255B2" w:rsidP="003255B2">
            <w:pPr>
              <w:suppressLineNumbers/>
              <w:rPr>
                <w:rFonts w:ascii="Arial" w:hAnsi="Arial"/>
                <w:b/>
                <w:bCs/>
                <w:sz w:val="26"/>
                <w:szCs w:val="26"/>
                <w:rtl/>
              </w:rPr>
            </w:pPr>
            <w:r w:rsidRPr="006C626C">
              <w:rPr>
                <w:rFonts w:ascii="Arial" w:hAnsi="Arial"/>
                <w:b/>
                <w:bCs/>
                <w:sz w:val="26"/>
                <w:szCs w:val="26"/>
                <w:rtl/>
              </w:rPr>
              <w:t>מג'די עבאסי (עציר)</w:t>
            </w:r>
          </w:p>
          <w:p w14:paraId="0729481B" w14:textId="77777777" w:rsidR="003255B2" w:rsidRPr="006C626C" w:rsidRDefault="003255B2" w:rsidP="003255B2">
            <w:pPr>
              <w:suppressLineNumbers/>
              <w:rPr>
                <w:rFonts w:ascii="Arial" w:hAnsi="Arial"/>
                <w:b/>
                <w:bCs/>
                <w:sz w:val="26"/>
                <w:szCs w:val="26"/>
                <w:rtl/>
              </w:rPr>
            </w:pPr>
            <w:r w:rsidRPr="006C626C">
              <w:rPr>
                <w:rFonts w:ascii="Arial" w:hAnsi="Arial"/>
                <w:sz w:val="26"/>
                <w:szCs w:val="26"/>
                <w:rtl/>
              </w:rPr>
              <w:t>ע"י ב"כ עו"ד</w:t>
            </w:r>
            <w:r w:rsidRPr="006C626C">
              <w:rPr>
                <w:rFonts w:ascii="Arial" w:hAnsi="Arial" w:hint="cs"/>
                <w:sz w:val="26"/>
                <w:szCs w:val="26"/>
                <w:rtl/>
              </w:rPr>
              <w:t xml:space="preserve"> לאה צמל</w:t>
            </w:r>
          </w:p>
          <w:p w14:paraId="55BFEEA0" w14:textId="77777777" w:rsidR="003255B2" w:rsidRPr="006C626C" w:rsidRDefault="003255B2" w:rsidP="003255B2">
            <w:pPr>
              <w:jc w:val="right"/>
              <w:rPr>
                <w:rFonts w:ascii="David" w:hAnsi="David"/>
                <w:sz w:val="26"/>
                <w:szCs w:val="26"/>
              </w:rPr>
            </w:pPr>
            <w:r w:rsidRPr="006C626C">
              <w:rPr>
                <w:rFonts w:ascii="David" w:hAnsi="David" w:hint="cs"/>
                <w:b/>
                <w:bCs/>
                <w:sz w:val="26"/>
                <w:szCs w:val="26"/>
                <w:rtl/>
              </w:rPr>
              <w:t>הנאשם</w:t>
            </w:r>
          </w:p>
        </w:tc>
      </w:tr>
    </w:tbl>
    <w:p w14:paraId="0AAD937B" w14:textId="77777777" w:rsidR="006C626C" w:rsidRPr="006C626C" w:rsidRDefault="006C626C" w:rsidP="006C626C">
      <w:pPr>
        <w:spacing w:before="120" w:after="120" w:line="240" w:lineRule="exact"/>
        <w:ind w:left="283" w:hanging="283"/>
        <w:jc w:val="both"/>
        <w:rPr>
          <w:rFonts w:ascii="FrankRuehl" w:hAnsi="FrankRuehl" w:cs="FrankRuehl"/>
          <w:rtl/>
        </w:rPr>
      </w:pPr>
    </w:p>
    <w:p w14:paraId="3FFF7BE6" w14:textId="77777777" w:rsidR="006C626C" w:rsidRPr="006C626C" w:rsidRDefault="006C626C" w:rsidP="006C626C">
      <w:pPr>
        <w:rPr>
          <w:sz w:val="26"/>
          <w:szCs w:val="26"/>
          <w:rtl/>
        </w:rPr>
      </w:pPr>
    </w:p>
    <w:p w14:paraId="4740F275" w14:textId="77777777" w:rsidR="00E25604" w:rsidRPr="00E25604" w:rsidRDefault="00E25604" w:rsidP="00E25604">
      <w:pPr>
        <w:spacing w:before="120" w:after="120" w:line="240" w:lineRule="exact"/>
        <w:ind w:left="283" w:hanging="283"/>
        <w:jc w:val="both"/>
        <w:rPr>
          <w:rFonts w:ascii="FrankRuehl" w:hAnsi="FrankRuehl" w:cs="FrankRuehl"/>
          <w:color w:val="0000FF"/>
          <w:rtl/>
        </w:rPr>
      </w:pPr>
    </w:p>
    <w:p w14:paraId="21A24C6C" w14:textId="77777777" w:rsidR="00E25604" w:rsidRPr="00E25604" w:rsidRDefault="00E25604" w:rsidP="00E25604">
      <w:pPr>
        <w:spacing w:before="120" w:after="120" w:line="240" w:lineRule="exact"/>
        <w:ind w:left="283" w:hanging="283"/>
        <w:jc w:val="both"/>
        <w:rPr>
          <w:rFonts w:ascii="FrankRuehl" w:hAnsi="FrankRuehl" w:cs="FrankRuehl"/>
          <w:rtl/>
        </w:rPr>
      </w:pPr>
      <w:bookmarkStart w:id="3" w:name="LawTable"/>
      <w:bookmarkEnd w:id="3"/>
    </w:p>
    <w:p w14:paraId="6A5A7D82" w14:textId="77777777" w:rsidR="00E25604" w:rsidRPr="00E25604" w:rsidRDefault="00E25604" w:rsidP="00E25604">
      <w:pPr>
        <w:spacing w:before="120" w:after="120" w:line="240" w:lineRule="exact"/>
        <w:ind w:left="283" w:hanging="283"/>
        <w:jc w:val="both"/>
        <w:rPr>
          <w:rFonts w:ascii="FrankRuehl" w:hAnsi="FrankRuehl" w:cs="FrankRuehl"/>
          <w:rtl/>
        </w:rPr>
      </w:pPr>
      <w:r w:rsidRPr="00E25604">
        <w:rPr>
          <w:rFonts w:ascii="FrankRuehl" w:hAnsi="FrankRuehl" w:cs="FrankRuehl"/>
          <w:rtl/>
        </w:rPr>
        <w:t xml:space="preserve">חקיקה שאוזכרה: </w:t>
      </w:r>
    </w:p>
    <w:p w14:paraId="2C8DDFDC" w14:textId="77777777" w:rsidR="00E25604" w:rsidRPr="00E25604" w:rsidRDefault="00E25604" w:rsidP="00E25604">
      <w:pPr>
        <w:spacing w:before="120" w:after="120" w:line="240" w:lineRule="exact"/>
        <w:ind w:left="283" w:hanging="283"/>
        <w:jc w:val="both"/>
        <w:rPr>
          <w:rFonts w:ascii="FrankRuehl" w:hAnsi="FrankRuehl" w:cs="FrankRuehl"/>
          <w:color w:val="0000FF"/>
          <w:rtl/>
        </w:rPr>
      </w:pPr>
      <w:hyperlink r:id="rId6" w:history="1">
        <w:r w:rsidRPr="00E25604">
          <w:rPr>
            <w:rStyle w:val="Hyperlink"/>
            <w:rFonts w:ascii="FrankRuehl" w:hAnsi="FrankRuehl" w:cs="FrankRuehl"/>
            <w:u w:val="none"/>
            <w:rtl/>
          </w:rPr>
          <w:t>חוק העונשין, תשל"ז-1977</w:t>
        </w:r>
      </w:hyperlink>
      <w:r w:rsidRPr="00E25604">
        <w:rPr>
          <w:rFonts w:ascii="FrankRuehl" w:hAnsi="FrankRuehl" w:cs="FrankRuehl"/>
          <w:color w:val="0000FF"/>
          <w:rtl/>
        </w:rPr>
        <w:t xml:space="preserve">: סע'  </w:t>
      </w:r>
      <w:hyperlink r:id="rId7" w:history="1">
        <w:r w:rsidRPr="00E25604">
          <w:rPr>
            <w:rStyle w:val="Hyperlink"/>
            <w:rFonts w:ascii="FrankRuehl" w:hAnsi="FrankRuehl" w:cs="FrankRuehl"/>
            <w:u w:val="none"/>
          </w:rPr>
          <w:t>25</w:t>
        </w:r>
      </w:hyperlink>
      <w:r w:rsidRPr="00E25604">
        <w:rPr>
          <w:rFonts w:ascii="FrankRuehl" w:hAnsi="FrankRuehl" w:cs="FrankRuehl"/>
          <w:color w:val="0000FF"/>
          <w:rtl/>
        </w:rPr>
        <w:t xml:space="preserve">, </w:t>
      </w:r>
      <w:hyperlink r:id="rId8" w:history="1">
        <w:r w:rsidRPr="00E25604">
          <w:rPr>
            <w:rStyle w:val="Hyperlink"/>
            <w:rFonts w:ascii="FrankRuehl" w:hAnsi="FrankRuehl" w:cs="FrankRuehl"/>
            <w:u w:val="none"/>
          </w:rPr>
          <w:t>144</w:t>
        </w:r>
      </w:hyperlink>
      <w:r w:rsidRPr="00E25604">
        <w:rPr>
          <w:rFonts w:ascii="FrankRuehl" w:hAnsi="FrankRuehl" w:cs="FrankRuehl"/>
          <w:color w:val="0000FF"/>
          <w:rtl/>
        </w:rPr>
        <w:t xml:space="preserve">, </w:t>
      </w:r>
      <w:hyperlink r:id="rId9" w:history="1">
        <w:r w:rsidRPr="00E25604">
          <w:rPr>
            <w:rStyle w:val="Hyperlink"/>
            <w:rFonts w:ascii="FrankRuehl" w:hAnsi="FrankRuehl" w:cs="FrankRuehl"/>
            <w:u w:val="none"/>
          </w:rPr>
          <w:t>144</w:t>
        </w:r>
      </w:hyperlink>
      <w:r w:rsidRPr="00E25604">
        <w:rPr>
          <w:rFonts w:ascii="FrankRuehl" w:hAnsi="FrankRuehl" w:cs="FrankRuehl"/>
          <w:color w:val="0000FF"/>
          <w:rtl/>
        </w:rPr>
        <w:t>(ב)</w:t>
      </w:r>
    </w:p>
    <w:p w14:paraId="59D1C985" w14:textId="77777777" w:rsidR="003255B2" w:rsidRDefault="003255B2" w:rsidP="00E25604">
      <w:pPr>
        <w:rPr>
          <w:rFonts w:hint="cs"/>
          <w:sz w:val="26"/>
          <w:szCs w:val="26"/>
          <w:rtl/>
        </w:rPr>
      </w:pPr>
      <w:bookmarkStart w:id="4" w:name="LawTable_End"/>
      <w:bookmarkEnd w:id="4"/>
    </w:p>
    <w:p w14:paraId="602CE1E9" w14:textId="77777777" w:rsidR="00E25604" w:rsidRDefault="00E25604" w:rsidP="00E25604">
      <w:pPr>
        <w:rPr>
          <w:rFonts w:hint="cs"/>
          <w:sz w:val="26"/>
          <w:szCs w:val="26"/>
          <w:rtl/>
        </w:rPr>
      </w:pPr>
    </w:p>
    <w:p w14:paraId="34E38561" w14:textId="77777777" w:rsidR="00E25604" w:rsidRDefault="00E25604" w:rsidP="00E25604">
      <w:pPr>
        <w:rPr>
          <w:rFonts w:hint="cs"/>
          <w:sz w:val="26"/>
          <w:szCs w:val="26"/>
          <w:rtl/>
        </w:rPr>
      </w:pPr>
    </w:p>
    <w:p w14:paraId="1780BCFF" w14:textId="77777777" w:rsidR="00E25604" w:rsidRPr="00E25604" w:rsidRDefault="00E25604" w:rsidP="00E2560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55B2" w14:paraId="3D55A81F" w14:textId="77777777" w:rsidTr="003255B2">
        <w:trPr>
          <w:trHeight w:val="355"/>
          <w:jc w:val="center"/>
        </w:trPr>
        <w:tc>
          <w:tcPr>
            <w:tcW w:w="8820" w:type="dxa"/>
            <w:tcBorders>
              <w:top w:val="nil"/>
              <w:left w:val="nil"/>
              <w:bottom w:val="nil"/>
              <w:right w:val="nil"/>
            </w:tcBorders>
            <w:shd w:val="clear" w:color="auto" w:fill="auto"/>
          </w:tcPr>
          <w:p w14:paraId="40DF458C" w14:textId="77777777" w:rsidR="006C626C" w:rsidRPr="006C626C" w:rsidRDefault="006C626C" w:rsidP="006C626C">
            <w:pPr>
              <w:jc w:val="center"/>
              <w:rPr>
                <w:rFonts w:ascii="David" w:hAnsi="David"/>
                <w:b/>
                <w:bCs/>
                <w:sz w:val="32"/>
                <w:szCs w:val="32"/>
                <w:u w:val="single"/>
                <w:rtl/>
              </w:rPr>
            </w:pPr>
            <w:bookmarkStart w:id="5" w:name="PsakDin" w:colFirst="0" w:colLast="0"/>
            <w:bookmarkEnd w:id="0"/>
            <w:r w:rsidRPr="006C626C">
              <w:rPr>
                <w:rFonts w:ascii="David" w:hAnsi="David"/>
                <w:b/>
                <w:bCs/>
                <w:sz w:val="32"/>
                <w:szCs w:val="32"/>
                <w:u w:val="single"/>
                <w:rtl/>
              </w:rPr>
              <w:t>גזר דין</w:t>
            </w:r>
          </w:p>
          <w:p w14:paraId="507BED91" w14:textId="77777777" w:rsidR="003255B2" w:rsidRPr="006C626C" w:rsidRDefault="003255B2" w:rsidP="006C626C">
            <w:pPr>
              <w:jc w:val="center"/>
              <w:rPr>
                <w:rFonts w:ascii="David" w:hAnsi="David"/>
                <w:bCs/>
                <w:sz w:val="32"/>
                <w:szCs w:val="32"/>
                <w:u w:val="single"/>
                <w:rtl/>
              </w:rPr>
            </w:pPr>
          </w:p>
        </w:tc>
      </w:tr>
      <w:bookmarkEnd w:id="5"/>
    </w:tbl>
    <w:p w14:paraId="1A1F7BF0" w14:textId="77777777" w:rsidR="003255B2" w:rsidRPr="009631D0" w:rsidRDefault="003255B2" w:rsidP="003255B2">
      <w:pPr>
        <w:spacing w:line="360" w:lineRule="auto"/>
        <w:jc w:val="both"/>
        <w:rPr>
          <w:rFonts w:ascii="Calibri" w:eastAsia="Calibri" w:hAnsi="Calibri"/>
          <w:rtl/>
        </w:rPr>
      </w:pPr>
    </w:p>
    <w:p w14:paraId="44E27563" w14:textId="77777777" w:rsidR="003255B2" w:rsidRPr="009631D0" w:rsidRDefault="003255B2" w:rsidP="003255B2">
      <w:pPr>
        <w:spacing w:line="360" w:lineRule="auto"/>
        <w:jc w:val="both"/>
        <w:outlineLvl w:val="0"/>
        <w:rPr>
          <w:rFonts w:ascii="Calibri" w:eastAsia="Calibri" w:hAnsi="Calibri"/>
          <w:b/>
          <w:bCs/>
          <w:u w:val="single"/>
          <w:rtl/>
        </w:rPr>
      </w:pPr>
      <w:r w:rsidRPr="009631D0">
        <w:rPr>
          <w:rFonts w:ascii="Calibri" w:eastAsia="Calibri" w:hAnsi="Calibri"/>
          <w:b/>
          <w:bCs/>
          <w:u w:val="single"/>
          <w:rtl/>
        </w:rPr>
        <w:t>הרקע:</w:t>
      </w:r>
    </w:p>
    <w:p w14:paraId="3EBE3094" w14:textId="77777777" w:rsidR="003255B2" w:rsidRPr="009631D0" w:rsidRDefault="003255B2" w:rsidP="003255B2">
      <w:pPr>
        <w:spacing w:line="360" w:lineRule="auto"/>
        <w:ind w:left="680" w:hanging="680"/>
        <w:jc w:val="both"/>
        <w:rPr>
          <w:rFonts w:ascii="David" w:eastAsia="Calibri" w:hAnsi="David"/>
          <w:rtl/>
        </w:rPr>
      </w:pPr>
      <w:r w:rsidRPr="009631D0">
        <w:rPr>
          <w:rFonts w:ascii="David" w:hAnsi="David"/>
          <w:rtl/>
        </w:rPr>
        <w:t>1.</w:t>
      </w:r>
      <w:r w:rsidRPr="009631D0">
        <w:rPr>
          <w:rFonts w:ascii="David" w:hAnsi="David"/>
          <w:rtl/>
        </w:rPr>
        <w:tab/>
      </w:r>
      <w:bookmarkStart w:id="6" w:name="ABSTRACT_START"/>
      <w:bookmarkEnd w:id="6"/>
      <w:r w:rsidRPr="009631D0">
        <w:rPr>
          <w:rFonts w:ascii="David" w:hAnsi="David"/>
          <w:rtl/>
        </w:rPr>
        <w:t xml:space="preserve">הנאשם הורשע על פי הודאתו שניתנה במסגרת הסדר טיעון, בעבירה של </w:t>
      </w:r>
      <w:r w:rsidRPr="009631D0">
        <w:rPr>
          <w:rFonts w:ascii="David" w:hAnsi="David"/>
          <w:b/>
          <w:bCs/>
          <w:rtl/>
        </w:rPr>
        <w:t>ניסיון נשיאת נשק</w:t>
      </w:r>
      <w:r w:rsidRPr="009631D0">
        <w:rPr>
          <w:rFonts w:ascii="David" w:hAnsi="David"/>
          <w:rtl/>
        </w:rPr>
        <w:t xml:space="preserve">, לפי סעיף </w:t>
      </w:r>
      <w:hyperlink r:id="rId10" w:history="1">
        <w:r w:rsidR="00E25604" w:rsidRPr="00E25604">
          <w:rPr>
            <w:rStyle w:val="Hyperlink"/>
            <w:rFonts w:ascii="David" w:hAnsi="David"/>
            <w:color w:val="0000FF"/>
            <w:rtl/>
          </w:rPr>
          <w:t>144(ב)</w:t>
        </w:r>
      </w:hyperlink>
      <w:r w:rsidRPr="009631D0">
        <w:rPr>
          <w:rFonts w:ascii="David" w:hAnsi="David"/>
          <w:rtl/>
        </w:rPr>
        <w:t xml:space="preserve"> רישא בצירוף </w:t>
      </w:r>
      <w:hyperlink r:id="rId11" w:history="1">
        <w:r w:rsidR="00E25604" w:rsidRPr="00E25604">
          <w:rPr>
            <w:rStyle w:val="Hyperlink"/>
            <w:rFonts w:ascii="David" w:hAnsi="David"/>
            <w:color w:val="0000FF"/>
            <w:rtl/>
          </w:rPr>
          <w:t>סעיף 25</w:t>
        </w:r>
      </w:hyperlink>
      <w:r w:rsidRPr="009631D0">
        <w:rPr>
          <w:rFonts w:ascii="David" w:hAnsi="David"/>
          <w:rtl/>
        </w:rPr>
        <w:t xml:space="preserve"> ב</w:t>
      </w:r>
      <w:hyperlink r:id="rId12" w:history="1">
        <w:r w:rsidR="006C626C" w:rsidRPr="006C626C">
          <w:rPr>
            <w:rFonts w:ascii="David" w:hAnsi="David"/>
            <w:color w:val="0000FF"/>
            <w:u w:val="single"/>
            <w:rtl/>
          </w:rPr>
          <w:t>חוק העונשין</w:t>
        </w:r>
      </w:hyperlink>
      <w:r w:rsidRPr="009631D0">
        <w:rPr>
          <w:rFonts w:ascii="David" w:hAnsi="David"/>
          <w:rtl/>
        </w:rPr>
        <w:t>, תשל"ז-1977.</w:t>
      </w:r>
    </w:p>
    <w:p w14:paraId="215A80E6" w14:textId="77777777" w:rsidR="003255B2" w:rsidRPr="009631D0" w:rsidRDefault="003255B2" w:rsidP="003255B2">
      <w:pPr>
        <w:spacing w:line="360" w:lineRule="auto"/>
        <w:ind w:left="680" w:hanging="680"/>
        <w:jc w:val="both"/>
        <w:rPr>
          <w:rFonts w:ascii="David" w:hAnsi="David"/>
          <w:rtl/>
        </w:rPr>
      </w:pPr>
    </w:p>
    <w:p w14:paraId="280FB6F2"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ab/>
        <w:t>הסדר הטיעון לא כלל הסכמה לעונש.</w:t>
      </w:r>
    </w:p>
    <w:p w14:paraId="7DEA2F03" w14:textId="77777777" w:rsidR="003255B2" w:rsidRPr="009631D0" w:rsidRDefault="003255B2" w:rsidP="003255B2">
      <w:pPr>
        <w:spacing w:line="360" w:lineRule="auto"/>
        <w:ind w:left="680" w:hanging="680"/>
        <w:jc w:val="both"/>
        <w:rPr>
          <w:rFonts w:ascii="David" w:hAnsi="David"/>
          <w:rtl/>
        </w:rPr>
      </w:pPr>
    </w:p>
    <w:p w14:paraId="1C1A82C6"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w:t>
      </w:r>
      <w:r w:rsidRPr="009631D0">
        <w:rPr>
          <w:rFonts w:ascii="David" w:hAnsi="David"/>
          <w:rtl/>
        </w:rPr>
        <w:tab/>
        <w:t xml:space="preserve">על פי עובדות כתב האישום המתוקן, ביום 18/8/2023 הנאשם השתתף בחתונה בעיר שכם, במהלכה נורו יריות מכלי נשק. הנאשם לקח מאחר שזהותו לא ידועה חפץ הנחזה להיות </w:t>
      </w:r>
      <w:r w:rsidRPr="009631D0">
        <w:rPr>
          <w:rFonts w:ascii="David" w:hAnsi="David"/>
          <w:rtl/>
        </w:rPr>
        <w:lastRenderedPageBreak/>
        <w:t xml:space="preserve">רובה סער מסוג </w:t>
      </w:r>
      <w:r w:rsidRPr="009631D0">
        <w:rPr>
          <w:rFonts w:ascii="David" w:hAnsi="David"/>
        </w:rPr>
        <w:t>M16</w:t>
      </w:r>
      <w:r w:rsidRPr="009631D0">
        <w:rPr>
          <w:rFonts w:ascii="David" w:hAnsi="David"/>
          <w:rtl/>
        </w:rPr>
        <w:t>, בסוברו שמדובר בנשק שיורה ושבכוחו להמית, נשא אותו למשך מספר דקות ונופף בו.</w:t>
      </w:r>
    </w:p>
    <w:p w14:paraId="4017A2FF" w14:textId="77777777" w:rsidR="003255B2" w:rsidRPr="009631D0" w:rsidRDefault="003255B2" w:rsidP="003255B2">
      <w:pPr>
        <w:spacing w:line="360" w:lineRule="auto"/>
        <w:ind w:left="680" w:hanging="680"/>
        <w:jc w:val="both"/>
        <w:rPr>
          <w:rFonts w:ascii="David" w:hAnsi="David"/>
          <w:rtl/>
        </w:rPr>
      </w:pPr>
    </w:p>
    <w:p w14:paraId="65D4EBE6" w14:textId="77777777" w:rsidR="003255B2" w:rsidRPr="009631D0" w:rsidRDefault="003255B2" w:rsidP="003255B2">
      <w:pPr>
        <w:spacing w:line="360" w:lineRule="auto"/>
        <w:jc w:val="both"/>
        <w:outlineLvl w:val="0"/>
        <w:rPr>
          <w:rFonts w:ascii="Calibri" w:eastAsia="Calibri" w:hAnsi="Calibri"/>
          <w:b/>
          <w:bCs/>
          <w:u w:val="single"/>
          <w:rtl/>
        </w:rPr>
      </w:pPr>
      <w:bookmarkStart w:id="7" w:name="ABSTRACT_END"/>
      <w:bookmarkEnd w:id="7"/>
      <w:r w:rsidRPr="009631D0">
        <w:rPr>
          <w:rFonts w:ascii="Calibri" w:eastAsia="Calibri" w:hAnsi="Calibri"/>
          <w:b/>
          <w:bCs/>
          <w:u w:val="single"/>
          <w:rtl/>
        </w:rPr>
        <w:t>ראיות לעונש:</w:t>
      </w:r>
    </w:p>
    <w:p w14:paraId="346AB989" w14:textId="77777777" w:rsidR="003255B2" w:rsidRPr="009631D0" w:rsidRDefault="003255B2" w:rsidP="003255B2">
      <w:pPr>
        <w:spacing w:line="360" w:lineRule="auto"/>
        <w:ind w:left="680" w:hanging="680"/>
        <w:jc w:val="both"/>
        <w:rPr>
          <w:rFonts w:ascii="David" w:eastAsia="Calibri" w:hAnsi="David"/>
          <w:rtl/>
        </w:rPr>
      </w:pPr>
      <w:r w:rsidRPr="009631D0">
        <w:rPr>
          <w:rFonts w:ascii="David" w:hAnsi="David"/>
          <w:rtl/>
        </w:rPr>
        <w:t>3.</w:t>
      </w:r>
      <w:r w:rsidRPr="009631D0">
        <w:rPr>
          <w:rFonts w:ascii="David" w:hAnsi="David"/>
          <w:rtl/>
        </w:rPr>
        <w:tab/>
        <w:t>המאשימה הגישה תדפיס מידע פלילי בנוגע לנאשם, וגזר דין שניתן בעניינו בבית המשפט לנוער בבית המשפט המחוזי בירושלים (כב' השופט י' נועם), ביום 10/9/2013. כעולה מהראיות הנ"ל, לנאשם הרשעה קודמת ב-16 עבירות שעבר בהיותו כבן 15, במסגרת חוליה שהקים עם אחרים. בין היתר מדובר בעבירות של ייצור ונשיאת נשק, סיכון חיי אדם בנתיב תחבורה, ניסיון הצתה וחבלה בכוונה מחמירה. בשל עבירות אלה הוטל על הנאשם עונש מאסר בפועל למשך חמש שנים.</w:t>
      </w:r>
    </w:p>
    <w:p w14:paraId="7D5C9495" w14:textId="77777777" w:rsidR="003255B2" w:rsidRPr="009631D0" w:rsidRDefault="003255B2" w:rsidP="003255B2">
      <w:pPr>
        <w:spacing w:line="360" w:lineRule="auto"/>
        <w:ind w:left="680" w:hanging="680"/>
        <w:jc w:val="both"/>
        <w:rPr>
          <w:rFonts w:ascii="David" w:hAnsi="David"/>
          <w:rtl/>
        </w:rPr>
      </w:pPr>
    </w:p>
    <w:p w14:paraId="63BD13D5"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4.</w:t>
      </w:r>
      <w:r w:rsidRPr="009631D0">
        <w:rPr>
          <w:rFonts w:ascii="David" w:hAnsi="David"/>
          <w:rtl/>
        </w:rPr>
        <w:tab/>
        <w:t>ההגנה הגישה מסמכים רפואיים הנוגעים לבנו של הנאשם, יליד 2022, ולניתוח רפואי שעבר ביום 5/2/2024, בעת שהנאשם היה עצור מאחורי סורג ובריח.</w:t>
      </w:r>
    </w:p>
    <w:p w14:paraId="67AECE62" w14:textId="77777777" w:rsidR="003255B2" w:rsidRPr="009631D0" w:rsidRDefault="003255B2" w:rsidP="003255B2">
      <w:pPr>
        <w:spacing w:line="360" w:lineRule="auto"/>
        <w:ind w:left="680" w:hanging="680"/>
        <w:jc w:val="both"/>
        <w:rPr>
          <w:rFonts w:ascii="David" w:hAnsi="David"/>
          <w:rtl/>
        </w:rPr>
      </w:pPr>
    </w:p>
    <w:p w14:paraId="3830770B" w14:textId="77777777" w:rsidR="003255B2" w:rsidRPr="009631D0" w:rsidRDefault="003255B2" w:rsidP="003255B2">
      <w:pPr>
        <w:spacing w:line="360" w:lineRule="auto"/>
        <w:jc w:val="both"/>
        <w:outlineLvl w:val="0"/>
        <w:rPr>
          <w:rFonts w:ascii="Calibri" w:eastAsia="Calibri" w:hAnsi="Calibri"/>
          <w:b/>
          <w:bCs/>
          <w:u w:val="single"/>
          <w:rtl/>
        </w:rPr>
      </w:pPr>
      <w:r w:rsidRPr="009631D0">
        <w:rPr>
          <w:rFonts w:ascii="Calibri" w:eastAsia="Calibri" w:hAnsi="Calibri"/>
          <w:b/>
          <w:bCs/>
          <w:u w:val="single"/>
          <w:rtl/>
        </w:rPr>
        <w:t>תמצית טיעוני הצדדים לעונש:</w:t>
      </w:r>
    </w:p>
    <w:p w14:paraId="3653BAFC" w14:textId="77777777" w:rsidR="003255B2" w:rsidRPr="009631D0" w:rsidRDefault="003255B2" w:rsidP="003255B2">
      <w:pPr>
        <w:spacing w:line="360" w:lineRule="auto"/>
        <w:jc w:val="both"/>
        <w:rPr>
          <w:rFonts w:ascii="Calibri" w:eastAsia="Calibri" w:hAnsi="Calibri"/>
          <w:rtl/>
        </w:rPr>
      </w:pPr>
    </w:p>
    <w:p w14:paraId="45393528" w14:textId="77777777" w:rsidR="003255B2" w:rsidRPr="009631D0" w:rsidRDefault="003255B2" w:rsidP="003255B2">
      <w:pPr>
        <w:spacing w:line="360" w:lineRule="auto"/>
        <w:jc w:val="both"/>
        <w:outlineLvl w:val="1"/>
        <w:rPr>
          <w:rFonts w:ascii="Calibri" w:hAnsi="Calibri"/>
          <w:u w:val="single"/>
          <w:rtl/>
        </w:rPr>
      </w:pPr>
      <w:r w:rsidRPr="009631D0">
        <w:rPr>
          <w:rFonts w:ascii="Calibri" w:hAnsi="Calibri"/>
          <w:u w:val="single"/>
          <w:rtl/>
        </w:rPr>
        <w:t>תמצית טיעוני המאשימה:</w:t>
      </w:r>
    </w:p>
    <w:p w14:paraId="3EB910AE"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5.</w:t>
      </w:r>
      <w:r w:rsidRPr="009631D0">
        <w:rPr>
          <w:rFonts w:ascii="David" w:hAnsi="David"/>
          <w:rtl/>
        </w:rPr>
        <w:tab/>
        <w:t>המאשימה טוענת כי מתחם העונש למעשה העבירה שהנאשם עבר נע בין 24 לבין 48 חודשי מאסר בפועל, ומבקשת להטיל עליו מאסר למשך 30 חודשים, מאסר על תנאי וקנס.</w:t>
      </w:r>
    </w:p>
    <w:p w14:paraId="5CC1B22F" w14:textId="77777777" w:rsidR="003255B2" w:rsidRPr="009631D0" w:rsidRDefault="003255B2" w:rsidP="003255B2">
      <w:pPr>
        <w:spacing w:line="360" w:lineRule="auto"/>
        <w:ind w:left="680" w:hanging="680"/>
        <w:jc w:val="both"/>
        <w:rPr>
          <w:rFonts w:ascii="David" w:hAnsi="David"/>
          <w:rtl/>
        </w:rPr>
      </w:pPr>
    </w:p>
    <w:p w14:paraId="0DDDA026"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6.</w:t>
      </w:r>
      <w:r w:rsidRPr="009631D0">
        <w:rPr>
          <w:rFonts w:ascii="David" w:hAnsi="David"/>
          <w:rtl/>
        </w:rPr>
        <w:tab/>
        <w:t>המאשימה לא התעלמה בטיעוניה מכך שנסיבות ביצוע העבירה במקרה זה, נשיאה למשך זמן קצר של חפץ במחשבה שמדובר בנשק אמיתי, שונות מהנסיבות בעבירות הנשק הבאות לפני בית המשפט חדשות לבקרים. יחד עם זאת הדגישה, כי הנאשם סבר שמדובר בנשק, נופף בו ורקד איתו כאילו מדובר במעשה חיובי. נשיאת נשק, כך טענה, מאיימת על שלום הציבור ובטחונו. סיכון זה צריך להילקח בחשבון גם אם המחזיק בנשק לא מתכוון לעבור באמצעותו עבירות נוספות. לעמדתה, יש להעביר מסר לפיו נשק צריך להיות מחוץ לתחום ולא לשמש משחק במהלך חתונה.</w:t>
      </w:r>
    </w:p>
    <w:p w14:paraId="0A559AF0" w14:textId="77777777" w:rsidR="003255B2" w:rsidRPr="009631D0" w:rsidRDefault="003255B2" w:rsidP="003255B2">
      <w:pPr>
        <w:spacing w:line="360" w:lineRule="auto"/>
        <w:ind w:left="680" w:hanging="680"/>
        <w:jc w:val="both"/>
        <w:rPr>
          <w:rFonts w:ascii="David" w:hAnsi="David"/>
          <w:rtl/>
        </w:rPr>
      </w:pPr>
    </w:p>
    <w:p w14:paraId="1125A775"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7.</w:t>
      </w:r>
      <w:r w:rsidRPr="009631D0">
        <w:rPr>
          <w:rFonts w:ascii="David" w:hAnsi="David"/>
          <w:rtl/>
        </w:rPr>
        <w:tab/>
        <w:t>לתמיכה בעמדתה אשר למתחם העונש ההולם הפנתה המאשימה לפסקי הדין הבאים:</w:t>
      </w:r>
    </w:p>
    <w:p w14:paraId="6C95E4CE" w14:textId="77777777" w:rsidR="003255B2" w:rsidRPr="009631D0" w:rsidRDefault="003255B2" w:rsidP="003255B2">
      <w:pPr>
        <w:spacing w:line="360" w:lineRule="auto"/>
        <w:ind w:left="680" w:hanging="680"/>
        <w:jc w:val="both"/>
        <w:rPr>
          <w:rFonts w:ascii="David" w:hAnsi="David"/>
          <w:rtl/>
        </w:rPr>
      </w:pPr>
    </w:p>
    <w:p w14:paraId="4D77A09B"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א.</w:t>
      </w:r>
      <w:r w:rsidRPr="009631D0">
        <w:rPr>
          <w:rFonts w:ascii="Calibri" w:hAnsi="Calibri"/>
          <w:rtl/>
        </w:rPr>
        <w:tab/>
      </w:r>
      <w:hyperlink r:id="rId13" w:history="1">
        <w:r w:rsidR="006C626C" w:rsidRPr="006C626C">
          <w:rPr>
            <w:rFonts w:ascii="David" w:hAnsi="David"/>
            <w:color w:val="0000FF"/>
            <w:u w:val="single"/>
            <w:shd w:val="clear" w:color="auto" w:fill="FFFFFF"/>
            <w:rtl/>
          </w:rPr>
          <w:t>ע"פ 5681/23</w:t>
        </w:r>
      </w:hyperlink>
      <w:r w:rsidR="006C626C">
        <w:rPr>
          <w:rFonts w:ascii="David" w:hAnsi="David"/>
          <w:color w:val="000000"/>
          <w:shd w:val="clear" w:color="auto" w:fill="FFFFFF"/>
          <w:rtl/>
        </w:rPr>
        <w:t xml:space="preserve"> </w:t>
      </w:r>
      <w:r w:rsidRPr="009631D0">
        <w:rPr>
          <w:rFonts w:ascii="David" w:hAnsi="David"/>
          <w:b/>
          <w:bCs/>
          <w:color w:val="000000"/>
          <w:shd w:val="clear" w:color="auto" w:fill="FFFFFF"/>
          <w:rtl/>
        </w:rPr>
        <w:t>חווא נ' מדינת ישראל</w:t>
      </w:r>
      <w:r w:rsidRPr="009631D0">
        <w:rPr>
          <w:rFonts w:ascii="David" w:hAnsi="David"/>
          <w:color w:val="000000"/>
          <w:shd w:val="clear" w:color="auto" w:fill="FFFFFF"/>
          <w:rtl/>
        </w:rPr>
        <w:t xml:space="preserve">, 20/12/2023: נדון ערעור שהגיש נאשם שהורשע בבית המשפט המחוזי בעבירות של החזקת ונשיאת נשק. במשך למעלה משנה וחצי המערער החזיק באקדח הזנקה שהוסב, כשהוא טעון במחסנית ובתוכה שישה כדורים. במועד מסוים הוא יצא מביתו כשברשותו האקדח הטעון במחסנית ובכדורים, כשהוא מוסתר בבגדיו, והלך לעבר רכבו שחנה בסמוך. תוך שהוא נמלט </w:t>
      </w:r>
      <w:r w:rsidRPr="009631D0">
        <w:rPr>
          <w:rFonts w:ascii="David" w:hAnsi="David"/>
          <w:color w:val="000000"/>
          <w:shd w:val="clear" w:color="auto" w:fill="FFFFFF"/>
          <w:rtl/>
        </w:rPr>
        <w:lastRenderedPageBreak/>
        <w:t xml:space="preserve">משוטרים שהורו לו לעצור, המערער הוציא את האקדח והחזיק בו. </w:t>
      </w:r>
      <w:r w:rsidRPr="009631D0">
        <w:rPr>
          <w:rFonts w:ascii="Calibri" w:hAnsi="Calibri"/>
          <w:rtl/>
        </w:rPr>
        <w:t>בית המשפט המחוזי קבע כי מתחם העונש ההולם נע בין 24 לבין 50 חודשי מאסר, וגזר עליו 35 חודשי מאסר בפועל. הערעור נדחה.</w:t>
      </w:r>
    </w:p>
    <w:p w14:paraId="01593833" w14:textId="77777777" w:rsidR="003255B2" w:rsidRPr="009631D0" w:rsidRDefault="003255B2" w:rsidP="003255B2">
      <w:pPr>
        <w:spacing w:line="360" w:lineRule="auto"/>
        <w:ind w:left="1360" w:hanging="680"/>
        <w:jc w:val="both"/>
        <w:rPr>
          <w:rFonts w:ascii="Calibri" w:hAnsi="Calibri"/>
          <w:rtl/>
        </w:rPr>
      </w:pPr>
    </w:p>
    <w:p w14:paraId="56CDA07E" w14:textId="77777777" w:rsidR="003255B2" w:rsidRPr="009631D0" w:rsidRDefault="003255B2" w:rsidP="003255B2">
      <w:pPr>
        <w:spacing w:line="360" w:lineRule="auto"/>
        <w:ind w:left="1400" w:hanging="680"/>
        <w:jc w:val="both"/>
        <w:rPr>
          <w:rFonts w:ascii="Calibri" w:hAnsi="Calibri"/>
          <w:rtl/>
        </w:rPr>
      </w:pPr>
      <w:r w:rsidRPr="009631D0">
        <w:rPr>
          <w:rFonts w:ascii="Calibri" w:hAnsi="Calibri"/>
          <w:rtl/>
        </w:rPr>
        <w:t>ב.</w:t>
      </w:r>
      <w:r w:rsidRPr="009631D0">
        <w:rPr>
          <w:rFonts w:ascii="Calibri" w:hAnsi="Calibri"/>
          <w:rtl/>
        </w:rPr>
        <w:tab/>
      </w:r>
      <w:hyperlink r:id="rId14" w:history="1">
        <w:r w:rsidR="006C626C" w:rsidRPr="006C626C">
          <w:rPr>
            <w:rFonts w:ascii="Calibri" w:hAnsi="Calibri" w:hint="eastAsia"/>
            <w:color w:val="0000FF"/>
            <w:u w:val="single"/>
            <w:rtl/>
          </w:rPr>
          <w:t>ע</w:t>
        </w:r>
        <w:r w:rsidR="006C626C" w:rsidRPr="006C626C">
          <w:rPr>
            <w:rFonts w:ascii="Calibri" w:hAnsi="Calibri"/>
            <w:color w:val="0000FF"/>
            <w:u w:val="single"/>
            <w:rtl/>
          </w:rPr>
          <w:t>"</w:t>
        </w:r>
        <w:r w:rsidR="006C626C" w:rsidRPr="006C626C">
          <w:rPr>
            <w:rFonts w:ascii="Calibri" w:hAnsi="Calibri" w:hint="eastAsia"/>
            <w:color w:val="0000FF"/>
            <w:u w:val="single"/>
            <w:rtl/>
          </w:rPr>
          <w:t>פ</w:t>
        </w:r>
        <w:r w:rsidR="006C626C" w:rsidRPr="006C626C">
          <w:rPr>
            <w:rFonts w:ascii="Calibri" w:hAnsi="Calibri"/>
            <w:color w:val="0000FF"/>
            <w:u w:val="single"/>
            <w:rtl/>
          </w:rPr>
          <w:t xml:space="preserve"> 6021/21</w:t>
        </w:r>
      </w:hyperlink>
      <w:r w:rsidRPr="009631D0">
        <w:rPr>
          <w:rFonts w:ascii="Calibri" w:hAnsi="Calibri"/>
          <w:rtl/>
        </w:rPr>
        <w:t xml:space="preserve"> </w:t>
      </w:r>
      <w:r w:rsidRPr="009631D0">
        <w:rPr>
          <w:rFonts w:ascii="Calibri" w:hAnsi="Calibri"/>
          <w:b/>
          <w:bCs/>
          <w:rtl/>
        </w:rPr>
        <w:t>עבוד נ' מדינת ישראל</w:t>
      </w:r>
      <w:r w:rsidRPr="009631D0">
        <w:rPr>
          <w:rFonts w:ascii="Calibri" w:hAnsi="Calibri"/>
          <w:rtl/>
        </w:rPr>
        <w:t xml:space="preserve">, 19/12/2021: פסק דין בו דחה בית המשפט העליון ערעור על עונש מאסר למשך 30 חודשים שהוטל על המערער, לאחר שהורשע בעבירות של נשיאה והובלת נשק והפרעה לשוטר. המערער החזיק והוביל נשק מסוג </w:t>
      </w:r>
      <w:r w:rsidRPr="009631D0">
        <w:rPr>
          <w:rFonts w:ascii="Calibri" w:hAnsi="Calibri"/>
        </w:rPr>
        <w:t>M</w:t>
      </w:r>
      <w:r w:rsidRPr="009631D0">
        <w:rPr>
          <w:rFonts w:ascii="Calibri" w:hAnsi="Calibri"/>
          <w:rtl/>
        </w:rPr>
        <w:t xml:space="preserve">16 פרק זמן לא ארוך. הוא נמלט משוטרים שהבחינו בו אוחז בנשק, כשהוא נושא ומוביל עמו את הנשק, ובהמשך השליך אותו. כשנעצר, נתפסה בכיסו מחסנית ריקה המותאמת לרובה שהחזיק. </w:t>
      </w:r>
    </w:p>
    <w:p w14:paraId="2992E2CF" w14:textId="77777777" w:rsidR="003255B2" w:rsidRPr="009631D0" w:rsidRDefault="003255B2" w:rsidP="003255B2">
      <w:pPr>
        <w:spacing w:line="360" w:lineRule="auto"/>
        <w:ind w:left="1400" w:hanging="680"/>
        <w:jc w:val="both"/>
        <w:rPr>
          <w:rFonts w:ascii="Calibri" w:hAnsi="Calibri"/>
          <w:rtl/>
        </w:rPr>
      </w:pPr>
    </w:p>
    <w:p w14:paraId="0313E6C3" w14:textId="77777777" w:rsidR="003255B2" w:rsidRPr="009631D0" w:rsidRDefault="003255B2" w:rsidP="003255B2">
      <w:pPr>
        <w:spacing w:line="360" w:lineRule="auto"/>
        <w:ind w:left="1400" w:hanging="680"/>
        <w:jc w:val="both"/>
        <w:rPr>
          <w:rFonts w:ascii="David" w:hAnsi="David"/>
          <w:color w:val="000000"/>
          <w:shd w:val="clear" w:color="auto" w:fill="FFFFFF"/>
          <w:rtl/>
        </w:rPr>
      </w:pPr>
      <w:r w:rsidRPr="009631D0">
        <w:rPr>
          <w:rFonts w:ascii="Calibri" w:hAnsi="Calibri"/>
          <w:rtl/>
        </w:rPr>
        <w:t>ג.</w:t>
      </w:r>
      <w:r w:rsidRPr="009631D0">
        <w:rPr>
          <w:rFonts w:ascii="Calibri" w:hAnsi="Calibri"/>
          <w:rtl/>
        </w:rPr>
        <w:tab/>
      </w:r>
      <w:hyperlink r:id="rId15" w:history="1">
        <w:r w:rsidR="006C626C" w:rsidRPr="006C626C">
          <w:rPr>
            <w:rFonts w:ascii="Calibri" w:hAnsi="Calibri" w:hint="eastAsia"/>
            <w:color w:val="0000FF"/>
            <w:u w:val="single"/>
            <w:rtl/>
          </w:rPr>
          <w:t>ת</w:t>
        </w:r>
        <w:r w:rsidR="006C626C" w:rsidRPr="006C626C">
          <w:rPr>
            <w:rFonts w:ascii="Calibri" w:hAnsi="Calibri"/>
            <w:color w:val="0000FF"/>
            <w:u w:val="single"/>
            <w:rtl/>
          </w:rPr>
          <w:t>"</w:t>
        </w:r>
        <w:r w:rsidR="006C626C" w:rsidRPr="006C626C">
          <w:rPr>
            <w:rFonts w:ascii="Calibri" w:hAnsi="Calibri" w:hint="eastAsia"/>
            <w:color w:val="0000FF"/>
            <w:u w:val="single"/>
            <w:rtl/>
          </w:rPr>
          <w:t>פ</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שלום</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ירושלים</w:t>
        </w:r>
        <w:r w:rsidR="006C626C" w:rsidRPr="006C626C">
          <w:rPr>
            <w:rFonts w:ascii="Calibri" w:hAnsi="Calibri"/>
            <w:color w:val="0000FF"/>
            <w:u w:val="single"/>
            <w:rtl/>
          </w:rPr>
          <w:t>) 33774-05-23</w:t>
        </w:r>
      </w:hyperlink>
      <w:r w:rsidR="006C626C">
        <w:rPr>
          <w:rFonts w:ascii="Calibri" w:hAnsi="Calibri"/>
          <w:rtl/>
        </w:rPr>
        <w:t xml:space="preserve"> </w:t>
      </w:r>
      <w:r w:rsidRPr="009631D0">
        <w:rPr>
          <w:rFonts w:ascii="Calibri" w:hAnsi="Calibri"/>
          <w:b/>
          <w:bCs/>
          <w:rtl/>
        </w:rPr>
        <w:t>מדינת ישראל נ' סלאמה</w:t>
      </w:r>
      <w:r w:rsidRPr="009631D0">
        <w:rPr>
          <w:rFonts w:ascii="Calibri" w:hAnsi="Calibri"/>
          <w:rtl/>
        </w:rPr>
        <w:t xml:space="preserve">, 1/2/2024: גזר דין שניתן נגד נאשם שהורשע בעבירה של החזקת נשק. הנאשם החזיק במשרדו אקדח טעון במחסנית, בתוכה תשעה כדורים, למשך מספר שניות. נקבע כי מתחם העונש ההולם </w:t>
      </w:r>
      <w:r w:rsidRPr="009631D0">
        <w:rPr>
          <w:rFonts w:ascii="David" w:hAnsi="David"/>
          <w:color w:val="000000"/>
          <w:shd w:val="clear" w:color="auto" w:fill="FFFFFF"/>
          <w:rtl/>
        </w:rPr>
        <w:t>נע בין 12 חודשי מאסר בפועל לבין 26 חודשי מאסר בפועל.</w:t>
      </w:r>
    </w:p>
    <w:p w14:paraId="2D8865DD" w14:textId="77777777" w:rsidR="003255B2" w:rsidRPr="009631D0" w:rsidRDefault="003255B2" w:rsidP="003255B2">
      <w:pPr>
        <w:spacing w:line="360" w:lineRule="auto"/>
        <w:ind w:left="1400" w:hanging="680"/>
        <w:jc w:val="both"/>
        <w:rPr>
          <w:rFonts w:ascii="David" w:hAnsi="David"/>
          <w:color w:val="000000"/>
          <w:shd w:val="clear" w:color="auto" w:fill="FFFFFF"/>
          <w:rtl/>
        </w:rPr>
      </w:pPr>
    </w:p>
    <w:p w14:paraId="64B88A67" w14:textId="77777777" w:rsidR="003255B2" w:rsidRPr="009631D0" w:rsidRDefault="003255B2" w:rsidP="003255B2">
      <w:pPr>
        <w:spacing w:line="360" w:lineRule="auto"/>
        <w:ind w:left="1360" w:hanging="680"/>
        <w:jc w:val="both"/>
        <w:rPr>
          <w:rFonts w:ascii="Calibri" w:hAnsi="Calibri"/>
          <w:rtl/>
        </w:rPr>
      </w:pPr>
      <w:r w:rsidRPr="009631D0">
        <w:rPr>
          <w:rFonts w:ascii="David" w:hAnsi="David"/>
          <w:color w:val="000000"/>
          <w:shd w:val="clear" w:color="auto" w:fill="FFFFFF"/>
          <w:rtl/>
        </w:rPr>
        <w:t>ד.</w:t>
      </w:r>
      <w:r w:rsidRPr="009631D0">
        <w:rPr>
          <w:rFonts w:ascii="David" w:hAnsi="David"/>
          <w:color w:val="000000"/>
          <w:shd w:val="clear" w:color="auto" w:fill="FFFFFF"/>
          <w:rtl/>
        </w:rPr>
        <w:tab/>
      </w:r>
      <w:hyperlink r:id="rId16" w:history="1">
        <w:r w:rsidR="006C626C" w:rsidRPr="006C626C">
          <w:rPr>
            <w:rFonts w:ascii="Calibri" w:hAnsi="Calibri" w:hint="eastAsia"/>
            <w:color w:val="0000FF"/>
            <w:u w:val="single"/>
            <w:rtl/>
          </w:rPr>
          <w:t>ת</w:t>
        </w:r>
        <w:r w:rsidR="006C626C" w:rsidRPr="006C626C">
          <w:rPr>
            <w:rFonts w:ascii="Calibri" w:hAnsi="Calibri"/>
            <w:color w:val="0000FF"/>
            <w:u w:val="single"/>
            <w:rtl/>
          </w:rPr>
          <w:t>"</w:t>
        </w:r>
        <w:r w:rsidR="006C626C" w:rsidRPr="006C626C">
          <w:rPr>
            <w:rFonts w:ascii="Calibri" w:hAnsi="Calibri" w:hint="eastAsia"/>
            <w:color w:val="0000FF"/>
            <w:u w:val="single"/>
            <w:rtl/>
          </w:rPr>
          <w:t>פ</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שלום</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באר</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שבע</w:t>
        </w:r>
        <w:r w:rsidR="006C626C" w:rsidRPr="006C626C">
          <w:rPr>
            <w:rFonts w:ascii="Calibri" w:hAnsi="Calibri"/>
            <w:color w:val="0000FF"/>
            <w:u w:val="single"/>
            <w:rtl/>
          </w:rPr>
          <w:t>) 35396-04-22</w:t>
        </w:r>
      </w:hyperlink>
      <w:r w:rsidR="006C626C">
        <w:rPr>
          <w:rFonts w:ascii="Calibri" w:hAnsi="Calibri"/>
          <w:rtl/>
        </w:rPr>
        <w:t xml:space="preserve"> </w:t>
      </w:r>
      <w:r w:rsidRPr="009631D0">
        <w:rPr>
          <w:rFonts w:ascii="Calibri" w:hAnsi="Calibri"/>
          <w:b/>
          <w:bCs/>
          <w:rtl/>
        </w:rPr>
        <w:t>מדינת ישראל נ' אלהוזייל</w:t>
      </w:r>
      <w:r w:rsidRPr="009631D0">
        <w:rPr>
          <w:rFonts w:ascii="Calibri" w:hAnsi="Calibri"/>
          <w:rtl/>
        </w:rPr>
        <w:t>, 29/12/2022: גזר דין שניתן בעניינו של נאשם שהורשע בעבירות של החזקת תחמושת ונשק והתנגדות למעצר. הנאשם החזיק אקדח ומחסנית תואמת הטעונה בשישה כדורים. בשעת מעצרו, הנאשם התנגד ופגע בעינו של השוטר. נקבע כי מתחם העונש ההולם נע בין 20 לבין 40 חודשי מאסר בפועל.</w:t>
      </w:r>
    </w:p>
    <w:p w14:paraId="16A28E54" w14:textId="77777777" w:rsidR="003255B2" w:rsidRPr="009631D0" w:rsidRDefault="003255B2" w:rsidP="003255B2">
      <w:pPr>
        <w:spacing w:line="360" w:lineRule="auto"/>
        <w:ind w:left="1400" w:hanging="680"/>
        <w:jc w:val="both"/>
        <w:rPr>
          <w:rFonts w:ascii="Calibri" w:hAnsi="Calibri"/>
          <w:rtl/>
        </w:rPr>
      </w:pPr>
    </w:p>
    <w:p w14:paraId="753AD81F"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8.</w:t>
      </w:r>
      <w:r w:rsidRPr="009631D0">
        <w:rPr>
          <w:rFonts w:ascii="David" w:hAnsi="David"/>
          <w:rtl/>
        </w:rPr>
        <w:tab/>
        <w:t>המאשימה זקפה לחובתו של הנאשם את עברו הפלילי. המאשימה לא התעלמה מכך שמאז הרשעתו הקודמת חלפו שנים ארוכות, ומכן שהוא עבר את העבירות בהן הורשע היותו נער צעיר לימים. יחד עם זאת טענה, כי מעשה העבירה בו הורשע חמור מאוד, והעונש שהוטל עליו בגינו, חמש שנות מאסר, לא הרתיע אותו מלעשות שימוש בנשק.</w:t>
      </w:r>
    </w:p>
    <w:p w14:paraId="6D821286" w14:textId="77777777" w:rsidR="003255B2" w:rsidRPr="009631D0" w:rsidRDefault="003255B2" w:rsidP="003255B2">
      <w:pPr>
        <w:spacing w:line="360" w:lineRule="auto"/>
        <w:ind w:left="680" w:hanging="680"/>
        <w:jc w:val="both"/>
        <w:rPr>
          <w:rFonts w:ascii="David" w:hAnsi="David"/>
          <w:rtl/>
        </w:rPr>
      </w:pPr>
    </w:p>
    <w:p w14:paraId="320D82DC"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9.</w:t>
      </w:r>
      <w:r w:rsidRPr="009631D0">
        <w:rPr>
          <w:rFonts w:ascii="David" w:hAnsi="David"/>
          <w:rtl/>
        </w:rPr>
        <w:tab/>
        <w:t xml:space="preserve">לטענת המאשימה, עבירות נשק הן מכת מדינה, ופוטנציאל הנזק שלהן עצום. השיקול המרכזי בעניינן הוא שיקול ההרתעה – של היחיד ושל הרבים. </w:t>
      </w:r>
    </w:p>
    <w:p w14:paraId="4B620637" w14:textId="77777777" w:rsidR="003255B2" w:rsidRPr="009631D0" w:rsidRDefault="003255B2" w:rsidP="003255B2">
      <w:pPr>
        <w:spacing w:line="360" w:lineRule="auto"/>
        <w:ind w:left="1400" w:hanging="680"/>
        <w:jc w:val="both"/>
        <w:rPr>
          <w:rFonts w:ascii="Calibri" w:hAnsi="Calibri"/>
          <w:rtl/>
        </w:rPr>
      </w:pPr>
    </w:p>
    <w:p w14:paraId="0A955316" w14:textId="77777777" w:rsidR="003255B2" w:rsidRPr="009631D0" w:rsidRDefault="003255B2" w:rsidP="003255B2">
      <w:pPr>
        <w:spacing w:line="360" w:lineRule="auto"/>
        <w:jc w:val="both"/>
        <w:outlineLvl w:val="1"/>
        <w:rPr>
          <w:rFonts w:ascii="Calibri" w:hAnsi="Calibri"/>
          <w:u w:val="single"/>
          <w:rtl/>
        </w:rPr>
      </w:pPr>
      <w:r w:rsidRPr="009631D0">
        <w:rPr>
          <w:rFonts w:ascii="Calibri" w:hAnsi="Calibri"/>
          <w:u w:val="single"/>
          <w:rtl/>
        </w:rPr>
        <w:t>תמצית טיעוני ההגנה:</w:t>
      </w:r>
    </w:p>
    <w:p w14:paraId="1DA12413"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10.</w:t>
      </w:r>
      <w:r w:rsidRPr="009631D0">
        <w:rPr>
          <w:rFonts w:ascii="David" w:hAnsi="David"/>
          <w:rtl/>
        </w:rPr>
        <w:tab/>
        <w:t>ההגנה טענה כי מתחם העונש ההולם במקרה זה נמוך מאוד, כי העונש המתאים לנאשם לא עולה על שישה חודשי מאסר בפועל וכי אין להטיל עליו עונש מאסר לתקופה העולה על תקופת מעצרו.</w:t>
      </w:r>
    </w:p>
    <w:p w14:paraId="49F19F67" w14:textId="77777777" w:rsidR="003255B2" w:rsidRPr="009631D0" w:rsidRDefault="003255B2" w:rsidP="003255B2">
      <w:pPr>
        <w:spacing w:line="360" w:lineRule="auto"/>
        <w:ind w:left="680" w:hanging="680"/>
        <w:jc w:val="both"/>
        <w:rPr>
          <w:rFonts w:ascii="David" w:hAnsi="David"/>
          <w:rtl/>
        </w:rPr>
      </w:pPr>
    </w:p>
    <w:p w14:paraId="557D1C97"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11.</w:t>
      </w:r>
      <w:r w:rsidRPr="009631D0">
        <w:rPr>
          <w:rFonts w:ascii="David" w:hAnsi="David"/>
          <w:rtl/>
        </w:rPr>
        <w:tab/>
        <w:t xml:space="preserve">הסנגורית הדגישה כי הנאשם לא נשא נשק אמיתי, אלא "משהו דמוי נשק", כלשונה, שאדם אחר הביא לחתונה. לעמדתה, הנאשם אחז בחפץ דמוי נשק למשך כמה דקות, כחלק ממנהג ידוע, שאין בו כל רע. הדבר דומה, כך טענה, לילדים שמתחפשים בפורים לחיילים ושוטרים. לדבריה, בחתונה נשמעו קולות ירי, שבוצע בכדורי סרק ככל הנראה, כחלק מטקסים תרבותיים חברתיים. הנאשם הוא שפרסם את תמונתו שצולמה כשהוא נושא בחתונה את החפץ דמוי הרובה, משום שלא ראה בכך כל פסול מבחינה תרבותית ומסורתית. בעוד בחברה היהודית קיימת גישה קלה לנשק, עוד בגיל בית הספר התיכון – במסגרת הגדנ"ע, בחברה הערבית מדובר באטרקציה הנהוגה במקום, ובהזדמנות להצטלם עם נשק. מכל מקום, כך טענה, לא מדובר בנשיאה אלא בהחזקה. </w:t>
      </w:r>
    </w:p>
    <w:p w14:paraId="3BBEB575" w14:textId="77777777" w:rsidR="003255B2" w:rsidRPr="009631D0" w:rsidRDefault="003255B2" w:rsidP="003255B2">
      <w:pPr>
        <w:spacing w:line="360" w:lineRule="auto"/>
        <w:ind w:left="680" w:hanging="680"/>
        <w:jc w:val="both"/>
        <w:rPr>
          <w:rFonts w:ascii="David" w:hAnsi="David"/>
          <w:rtl/>
        </w:rPr>
      </w:pPr>
    </w:p>
    <w:p w14:paraId="1E4412DC"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12.</w:t>
      </w:r>
      <w:r w:rsidRPr="009631D0">
        <w:rPr>
          <w:rFonts w:ascii="David" w:hAnsi="David"/>
          <w:rtl/>
        </w:rPr>
        <w:tab/>
        <w:t>בהתייחס לפסיקה אליה המאשימה הפנתה בטיעוניה, הסנגורית הרחיבה וטענה כי הנסיבות במקרה זה שונות: הנאשם לא הורשע בעבירה נוספת; לא נמלט משוטרים; לא ירה בנשק; אחז בו לשם שמחה ולמשך פרק זמן קצר ביותר, ולא בעקבות סכסוך או למטרת טרור.</w:t>
      </w:r>
    </w:p>
    <w:p w14:paraId="34945518" w14:textId="77777777" w:rsidR="003255B2" w:rsidRPr="009631D0" w:rsidRDefault="003255B2" w:rsidP="003255B2">
      <w:pPr>
        <w:spacing w:line="360" w:lineRule="auto"/>
        <w:ind w:left="680" w:hanging="680"/>
        <w:jc w:val="both"/>
        <w:rPr>
          <w:rFonts w:ascii="David" w:hAnsi="David"/>
          <w:rtl/>
        </w:rPr>
      </w:pPr>
    </w:p>
    <w:p w14:paraId="39914506"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13.</w:t>
      </w:r>
      <w:r w:rsidRPr="009631D0">
        <w:rPr>
          <w:rFonts w:ascii="David" w:hAnsi="David"/>
          <w:rtl/>
        </w:rPr>
        <w:tab/>
        <w:t xml:space="preserve">עברו הפלילי של הנאשם, כך טענה הסנגורית, כולל הרשעה בעקבות אירוע אליו נקלע בצעירותו. מאז הרשעתו הקודמת הוא ריצה את מלוא עונשו, התחתן וניהל אורח חיים נורמטיבי. בנוסף, לטענתה, לנאשם נסיבות רפואיות: הוא עיוור בעין אחת וסובל מבעיות גנטיות המחייבות אותו ואת אשתו לערוך בדיקות רפואיות אם ירצו להביא עוד ילדים לעולם. </w:t>
      </w:r>
    </w:p>
    <w:p w14:paraId="1511BFB7" w14:textId="77777777" w:rsidR="003255B2" w:rsidRPr="009631D0" w:rsidRDefault="003255B2" w:rsidP="003255B2">
      <w:pPr>
        <w:spacing w:line="360" w:lineRule="auto"/>
        <w:ind w:left="680" w:hanging="680"/>
        <w:jc w:val="both"/>
        <w:rPr>
          <w:rFonts w:ascii="David" w:hAnsi="David"/>
          <w:rtl/>
        </w:rPr>
      </w:pPr>
    </w:p>
    <w:p w14:paraId="64F47C5C"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14.</w:t>
      </w:r>
      <w:r w:rsidRPr="009631D0">
        <w:rPr>
          <w:rFonts w:ascii="David" w:hAnsi="David"/>
          <w:rtl/>
        </w:rPr>
        <w:tab/>
        <w:t>הנאשם בטיעוניו פירט כי יש לו ילד אחד. הנאשם מעוניין להיות איתו, להביא לעולם בנים נוספים, לחיות את חייו, לטפל בענייניו ולשוחח עם בני משפחתו. לדבריו, הוא מצטער ומתחייב שלא לעבור בעתיד עבירת נשק.</w:t>
      </w:r>
    </w:p>
    <w:p w14:paraId="1253CE0F" w14:textId="77777777" w:rsidR="003255B2" w:rsidRPr="009631D0" w:rsidRDefault="003255B2" w:rsidP="003255B2">
      <w:pPr>
        <w:spacing w:line="360" w:lineRule="auto"/>
        <w:ind w:left="680" w:hanging="680"/>
        <w:jc w:val="both"/>
        <w:rPr>
          <w:rFonts w:ascii="David" w:hAnsi="David"/>
          <w:rtl/>
        </w:rPr>
      </w:pPr>
    </w:p>
    <w:p w14:paraId="3414D9DC" w14:textId="77777777" w:rsidR="003255B2" w:rsidRPr="009631D0" w:rsidRDefault="003255B2" w:rsidP="003255B2">
      <w:pPr>
        <w:spacing w:line="360" w:lineRule="auto"/>
        <w:jc w:val="both"/>
        <w:outlineLvl w:val="0"/>
        <w:rPr>
          <w:rFonts w:ascii="Calibri" w:eastAsia="Calibri" w:hAnsi="Calibri"/>
          <w:b/>
          <w:bCs/>
          <w:u w:val="single"/>
          <w:rtl/>
        </w:rPr>
      </w:pPr>
      <w:r w:rsidRPr="009631D0">
        <w:rPr>
          <w:rFonts w:ascii="Calibri" w:eastAsia="Calibri" w:hAnsi="Calibri"/>
          <w:b/>
          <w:bCs/>
          <w:u w:val="single"/>
          <w:rtl/>
        </w:rPr>
        <w:t>דיון ומסקנות:</w:t>
      </w:r>
    </w:p>
    <w:p w14:paraId="1EF6A08B" w14:textId="77777777" w:rsidR="003255B2" w:rsidRPr="009631D0" w:rsidRDefault="003255B2" w:rsidP="003255B2">
      <w:pPr>
        <w:spacing w:line="360" w:lineRule="auto"/>
        <w:jc w:val="both"/>
        <w:rPr>
          <w:rFonts w:ascii="Calibri" w:eastAsia="Calibri" w:hAnsi="Calibri"/>
          <w:rtl/>
        </w:rPr>
      </w:pPr>
    </w:p>
    <w:p w14:paraId="7679C33E" w14:textId="77777777" w:rsidR="003255B2" w:rsidRPr="009631D0" w:rsidRDefault="003255B2" w:rsidP="003255B2">
      <w:pPr>
        <w:spacing w:line="360" w:lineRule="auto"/>
        <w:ind w:left="680" w:hanging="680"/>
        <w:jc w:val="both"/>
        <w:rPr>
          <w:rFonts w:ascii="David" w:hAnsi="David"/>
          <w:u w:val="single"/>
          <w:rtl/>
        </w:rPr>
      </w:pPr>
      <w:r w:rsidRPr="009631D0">
        <w:rPr>
          <w:rFonts w:ascii="David" w:hAnsi="David"/>
          <w:u w:val="single"/>
          <w:rtl/>
        </w:rPr>
        <w:t>מתחם העונש ההולם למעשה העבירה:</w:t>
      </w:r>
    </w:p>
    <w:p w14:paraId="38441E0E"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15.</w:t>
      </w:r>
      <w:r w:rsidRPr="009631D0">
        <w:rPr>
          <w:rFonts w:ascii="David" w:hAnsi="David"/>
          <w:rtl/>
        </w:rPr>
        <w:tab/>
        <w:t>הפסיקה חזרה ועמדה על כך שעבירות הנשק פוגעות בערכים חברתיים רמי מעלה, ובהם: שלום הציבור וביטחונו, והשמירה על סדרי חיים תקינים ושלווים שאינם מופרעים על ידי אדם האוחז נשק בידיו. מדובר בעבירות שהפכו זה מכבר למכת מדינה, ואשר על החברה להילחם בהן כחלק ממלחמתה הבלתי מתפשרת בנגע של זילות חיי אדם והקלות הבלתי נסבלת של הלחיצה על ההדק. החזקת נשק שלא כדין משמשת תשתית למגוון רחב של עבירות אלימות, וזמינותו מעודדת את השימוש בו לצורכי עבירה. יש בסיס להנחה כי מי שמחזיק ונושא כלי בו גלום פוטנציאל קטלני, ללא פיקוח מטעם רשויות המדינה ומבלי שנבחנו מיומנותו לעשות בו שימוש וכשירותו להחזיק בו, עושה זאת למטרות לא כשרות (</w:t>
      </w:r>
      <w:hyperlink r:id="rId17" w:history="1">
        <w:r w:rsidR="006C626C" w:rsidRPr="006C626C">
          <w:rPr>
            <w:rFonts w:ascii="David" w:hAnsi="David"/>
            <w:color w:val="0000FF"/>
            <w:u w:val="single"/>
            <w:rtl/>
          </w:rPr>
          <w:t>ע"פ 147/21</w:t>
        </w:r>
      </w:hyperlink>
      <w:r w:rsidRPr="009631D0">
        <w:rPr>
          <w:rFonts w:ascii="David" w:hAnsi="David"/>
          <w:rtl/>
        </w:rPr>
        <w:t xml:space="preserve"> </w:t>
      </w:r>
      <w:r w:rsidRPr="009631D0">
        <w:rPr>
          <w:rFonts w:ascii="David" w:hAnsi="David"/>
          <w:b/>
          <w:bCs/>
          <w:rtl/>
        </w:rPr>
        <w:t xml:space="preserve">מדינת ישראל נ' ביטון, </w:t>
      </w:r>
      <w:r w:rsidRPr="009631D0">
        <w:rPr>
          <w:rFonts w:ascii="David" w:hAnsi="David"/>
          <w:rtl/>
        </w:rPr>
        <w:t xml:space="preserve">14/2/2021; </w:t>
      </w:r>
      <w:hyperlink r:id="rId18" w:history="1">
        <w:r w:rsidR="006C626C" w:rsidRPr="006C626C">
          <w:rPr>
            <w:rFonts w:ascii="David" w:hAnsi="David"/>
            <w:color w:val="0000FF"/>
            <w:u w:val="single"/>
            <w:rtl/>
          </w:rPr>
          <w:t>ע"פ 4406/19</w:t>
        </w:r>
      </w:hyperlink>
      <w:r w:rsidR="006C626C">
        <w:rPr>
          <w:rFonts w:ascii="David" w:hAnsi="David"/>
          <w:rtl/>
        </w:rPr>
        <w:t xml:space="preserve"> </w:t>
      </w:r>
      <w:r w:rsidRPr="009631D0">
        <w:rPr>
          <w:rFonts w:ascii="David" w:hAnsi="David"/>
          <w:b/>
          <w:bCs/>
          <w:rtl/>
        </w:rPr>
        <w:t>מדינת ישראל נ' סובח</w:t>
      </w:r>
      <w:r w:rsidRPr="009631D0">
        <w:rPr>
          <w:rFonts w:ascii="David" w:hAnsi="David"/>
          <w:rtl/>
        </w:rPr>
        <w:t xml:space="preserve">, 5/11/2019; </w:t>
      </w:r>
      <w:hyperlink r:id="rId19" w:history="1">
        <w:r w:rsidR="006C626C" w:rsidRPr="006C626C">
          <w:rPr>
            <w:rFonts w:ascii="David" w:hAnsi="David"/>
            <w:color w:val="0000FF"/>
            <w:u w:val="single"/>
            <w:rtl/>
          </w:rPr>
          <w:t>ע"פ 761/07</w:t>
        </w:r>
      </w:hyperlink>
      <w:r w:rsidR="006C626C">
        <w:rPr>
          <w:rFonts w:ascii="David" w:hAnsi="David"/>
          <w:rtl/>
        </w:rPr>
        <w:t xml:space="preserve"> </w:t>
      </w:r>
      <w:r w:rsidRPr="009631D0">
        <w:rPr>
          <w:rFonts w:ascii="David" w:hAnsi="David"/>
          <w:b/>
          <w:bCs/>
          <w:rtl/>
        </w:rPr>
        <w:t>מדינת ישראל נ' אדרי</w:t>
      </w:r>
      <w:r w:rsidRPr="009631D0">
        <w:rPr>
          <w:rFonts w:ascii="David" w:hAnsi="David"/>
          <w:rtl/>
        </w:rPr>
        <w:t>, 22/2/2007).</w:t>
      </w:r>
    </w:p>
    <w:p w14:paraId="2841D4BB" w14:textId="77777777" w:rsidR="003255B2" w:rsidRPr="009631D0" w:rsidRDefault="003255B2" w:rsidP="003255B2">
      <w:pPr>
        <w:spacing w:line="360" w:lineRule="auto"/>
        <w:ind w:left="680" w:hanging="680"/>
        <w:jc w:val="both"/>
        <w:rPr>
          <w:rFonts w:ascii="David" w:hAnsi="David"/>
          <w:rtl/>
        </w:rPr>
      </w:pPr>
    </w:p>
    <w:p w14:paraId="008AD504"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16.</w:t>
      </w:r>
      <w:r w:rsidRPr="009631D0">
        <w:rPr>
          <w:rFonts w:ascii="David" w:hAnsi="David"/>
          <w:rtl/>
        </w:rPr>
        <w:tab/>
        <w:t>הצורך להיאבק בעבירות הנשק בדרך של החמרת הענישה עולה גם מהוראת השעה (</w:t>
      </w:r>
      <w:r w:rsidR="006C626C" w:rsidRPr="00E25604">
        <w:rPr>
          <w:rFonts w:ascii="David" w:hAnsi="David"/>
          <w:rtl/>
        </w:rPr>
        <w:t>חוק העונשין</w:t>
      </w:r>
      <w:r w:rsidRPr="009631D0">
        <w:rPr>
          <w:rFonts w:ascii="David" w:hAnsi="David"/>
          <w:rtl/>
        </w:rPr>
        <w:t xml:space="preserve"> (תיקון מס' 140 – הוראת שעה) התשפ"ב-2021) שנכנסה לתוקף ביום 8/12/2021, בה נקבע עונש מינימום של רבע מהעונש המרבי בעבירות נשק (סעיף 144(ז) בחוק העונשין).</w:t>
      </w:r>
    </w:p>
    <w:p w14:paraId="691AAE14" w14:textId="77777777" w:rsidR="003255B2" w:rsidRPr="009631D0" w:rsidRDefault="003255B2" w:rsidP="003255B2">
      <w:pPr>
        <w:spacing w:line="360" w:lineRule="auto"/>
        <w:ind w:left="680" w:hanging="680"/>
        <w:jc w:val="both"/>
        <w:rPr>
          <w:rFonts w:ascii="David" w:hAnsi="David"/>
          <w:rtl/>
        </w:rPr>
      </w:pPr>
    </w:p>
    <w:p w14:paraId="3F9514E0"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17.</w:t>
      </w:r>
      <w:r w:rsidRPr="009631D0">
        <w:rPr>
          <w:rFonts w:ascii="David" w:hAnsi="David"/>
          <w:rtl/>
        </w:rPr>
        <w:tab/>
        <w:t>ברם, אין צורך לומר כי עבירות הנשק אינן עשויות מקשה אחד. בבוא בית המשפט לקבוע את מתחם העונש ההולם בגינן, עליו לעמוד בכל מקרה ומקרה על נסיבות ביצוע העבירות, המשליכות על חומרתו של מעשה העבירה ועל אשמו של הנאשם.</w:t>
      </w:r>
    </w:p>
    <w:p w14:paraId="554EB1FC" w14:textId="77777777" w:rsidR="003255B2" w:rsidRPr="009631D0" w:rsidRDefault="003255B2" w:rsidP="003255B2">
      <w:pPr>
        <w:spacing w:line="360" w:lineRule="auto"/>
        <w:ind w:left="680" w:hanging="680"/>
        <w:jc w:val="both"/>
        <w:rPr>
          <w:rFonts w:ascii="David" w:hAnsi="David"/>
          <w:rtl/>
        </w:rPr>
      </w:pPr>
    </w:p>
    <w:p w14:paraId="470EFDDE"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18.</w:t>
      </w:r>
      <w:r w:rsidRPr="009631D0">
        <w:rPr>
          <w:rFonts w:ascii="David" w:hAnsi="David"/>
          <w:rtl/>
        </w:rPr>
        <w:tab/>
        <w:t xml:space="preserve">במקרה דנן, יש מספר שיקולים של ממש לקולה. </w:t>
      </w:r>
      <w:r w:rsidRPr="009631D0">
        <w:rPr>
          <w:rFonts w:ascii="David" w:hAnsi="David"/>
          <w:b/>
          <w:bCs/>
          <w:rtl/>
        </w:rPr>
        <w:t>ראשית</w:t>
      </w:r>
      <w:r w:rsidRPr="009631D0">
        <w:rPr>
          <w:rFonts w:ascii="David" w:hAnsi="David"/>
          <w:rtl/>
        </w:rPr>
        <w:t xml:space="preserve">, מדובר בעבירת ניסיון, שלא הושלמה. כיוון שהנאשם לא נשא בסופו של דבר נשק יורה שבכוחו להמית, לא היה במעשיו כדי ליצור סיכון ישיר או קרוב. </w:t>
      </w:r>
      <w:r w:rsidRPr="009631D0">
        <w:rPr>
          <w:rFonts w:ascii="David" w:hAnsi="David"/>
          <w:b/>
          <w:bCs/>
          <w:rtl/>
        </w:rPr>
        <w:t>שנית</w:t>
      </w:r>
      <w:r w:rsidRPr="009631D0">
        <w:rPr>
          <w:rFonts w:ascii="David" w:hAnsi="David"/>
          <w:rtl/>
        </w:rPr>
        <w:t>, עבירת הניסיון במקרה זה באה לידי ביטוי בכך שהנאשם התכוון ליטול מאחר כלי נשק ולנופף בו, אך התברר כי מדובר בחפץ דמוי נשק תקין. הנאשם לא הביא את החפץ מביתו. לא נטען שהוא ראה חשיבות לנופף דווקא בנשק תקין, יורה ושבכוחו להמית; ולא שהוא חיפש, ניסה לאתר או ביקש לוודא שמדובר בנשק ממש, אך תוכניתו כשלה וכוונתו לא יצאה אל הפועל.</w:t>
      </w:r>
    </w:p>
    <w:p w14:paraId="252E0804" w14:textId="77777777" w:rsidR="003255B2" w:rsidRPr="009631D0" w:rsidRDefault="003255B2" w:rsidP="003255B2">
      <w:pPr>
        <w:spacing w:line="360" w:lineRule="auto"/>
        <w:ind w:left="680" w:hanging="680"/>
        <w:jc w:val="both"/>
        <w:rPr>
          <w:rFonts w:ascii="David" w:hAnsi="David"/>
          <w:rtl/>
        </w:rPr>
      </w:pPr>
    </w:p>
    <w:p w14:paraId="71F6372D"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19.</w:t>
      </w:r>
      <w:r w:rsidRPr="009631D0">
        <w:rPr>
          <w:rFonts w:ascii="David" w:hAnsi="David"/>
          <w:rtl/>
        </w:rPr>
        <w:tab/>
        <w:t>עוד יש לשקול לקולה כי הנאשם נשא את החפץ במשך מספר דקות בלבד, וכי לא עולה מעובדות כתב האישום שהנאשם תכנן מראש את ביצוע העבירה.</w:t>
      </w:r>
    </w:p>
    <w:p w14:paraId="0DAF9C42" w14:textId="77777777" w:rsidR="003255B2" w:rsidRPr="009631D0" w:rsidRDefault="003255B2" w:rsidP="003255B2">
      <w:pPr>
        <w:spacing w:line="360" w:lineRule="auto"/>
        <w:ind w:left="680" w:hanging="680"/>
        <w:jc w:val="both"/>
        <w:rPr>
          <w:rFonts w:ascii="David" w:hAnsi="David"/>
          <w:rtl/>
        </w:rPr>
      </w:pPr>
    </w:p>
    <w:p w14:paraId="250A3A76"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20.</w:t>
      </w:r>
      <w:r w:rsidRPr="009631D0">
        <w:rPr>
          <w:rFonts w:ascii="David" w:hAnsi="David"/>
          <w:rtl/>
        </w:rPr>
        <w:tab/>
        <w:t>אין בידי לקבל את טענות ההגנה כי הנפת כלי נשק או ירי של כדורי סרק במהלך שמחות אינם אלא אטרקציה, נעשים כחלק ממנהגי המקום ואין בהם כל פסול מבחינה תרבותית ומסורתית. ראוי להעמיד דברים מכונם. הפגיעה העמוקה בערכים החברתיים הנגרמת כתוצאה מעבירות הנשק, כאמור, מחייבת להילחם בהן מלחמת חורמה. יש להבהיר באופן ברור, מפורש ושאינו נתון לפרשנות אחרת, כי נשק אינו אטרקציה ולא נועד לשמש כתפאורה באירועי שמחה או באירועים אחרים. ההפך הוא הנכון. הסכנה הטמונה במעשים של נשיאה או החזקה של נשק שלא כדין על ידי מי שאינו מורשה לכך, גבוהה בהרבה כאשר המעשים נעשים באירוע רב משתתפים. אם אכן קיימים מגזרים בהם דברים אלה עדיין אינם ברורים ונהוג בהם אחרת, הרי שעל הנמנים עליהם להפנים את האיסור לאלתר, ולהביא בחשבון שאם לא יעשו כן תינקט נגדם מלוא חומרת הדין.</w:t>
      </w:r>
    </w:p>
    <w:p w14:paraId="14719A56" w14:textId="77777777" w:rsidR="003255B2" w:rsidRPr="009631D0" w:rsidRDefault="003255B2" w:rsidP="003255B2">
      <w:pPr>
        <w:spacing w:line="360" w:lineRule="auto"/>
        <w:ind w:left="680" w:hanging="680"/>
        <w:jc w:val="both"/>
        <w:rPr>
          <w:rFonts w:ascii="David" w:hAnsi="David"/>
          <w:rtl/>
        </w:rPr>
      </w:pPr>
    </w:p>
    <w:p w14:paraId="653A8412"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21.</w:t>
      </w:r>
      <w:r w:rsidRPr="009631D0">
        <w:rPr>
          <w:rFonts w:ascii="David" w:hAnsi="David"/>
          <w:rtl/>
        </w:rPr>
        <w:tab/>
        <w:t xml:space="preserve">לא מצאתי לאמץ את טענת ההגנה לפיה מעשיו של הנאשם דומים למעשיהם של ילדים המתחפשים בפורים לחיילים או לשוטרים. </w:t>
      </w:r>
      <w:r w:rsidRPr="009631D0">
        <w:rPr>
          <w:rFonts w:ascii="David" w:hAnsi="David"/>
          <w:b/>
          <w:bCs/>
          <w:rtl/>
        </w:rPr>
        <w:t>ראשית</w:t>
      </w:r>
      <w:r w:rsidRPr="009631D0">
        <w:rPr>
          <w:rFonts w:ascii="David" w:hAnsi="David"/>
          <w:rtl/>
        </w:rPr>
        <w:t xml:space="preserve">, יש להניח כי אדם המחופש לחייל או לשוטר לא נושא כלי דמוי רובה סער בסוברו שמדובר בנשק יורה שבכוחו להמית. אם לא כן, הוא לא יזכה לפטור מאחריות פלילית או להקלה בעונש בשל כך שמדובר בתחפושת. </w:t>
      </w:r>
      <w:r w:rsidRPr="009631D0">
        <w:rPr>
          <w:rFonts w:ascii="David" w:hAnsi="David"/>
          <w:b/>
          <w:bCs/>
          <w:rtl/>
        </w:rPr>
        <w:t>שנית</w:t>
      </w:r>
      <w:r w:rsidRPr="009631D0">
        <w:rPr>
          <w:rFonts w:ascii="David" w:hAnsi="David"/>
          <w:rtl/>
        </w:rPr>
        <w:t>, ברובם ככולם של המקרים, "נשק" המשמש חלק מתחפושת כולל סימנים בולטים לכך שאין מדובר אלא בצעצוע.</w:t>
      </w:r>
    </w:p>
    <w:p w14:paraId="10E99489" w14:textId="77777777" w:rsidR="003255B2" w:rsidRPr="009631D0" w:rsidRDefault="003255B2" w:rsidP="003255B2">
      <w:pPr>
        <w:spacing w:line="360" w:lineRule="auto"/>
        <w:ind w:left="680" w:hanging="680"/>
        <w:jc w:val="both"/>
        <w:rPr>
          <w:rFonts w:ascii="David" w:hAnsi="David"/>
          <w:rtl/>
        </w:rPr>
      </w:pPr>
    </w:p>
    <w:p w14:paraId="6BF4181E"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22.</w:t>
      </w:r>
      <w:r w:rsidRPr="009631D0">
        <w:rPr>
          <w:rFonts w:ascii="David" w:hAnsi="David"/>
          <w:rtl/>
        </w:rPr>
        <w:tab/>
        <w:t xml:space="preserve">כעולה מהפסיקה אליה המאשימה הפנתה, וכעולה מהפסיקה שתפורט להלן, קיים מנעד ענישה רחב בעבירות הנשק: </w:t>
      </w:r>
    </w:p>
    <w:p w14:paraId="0E4E3AA0" w14:textId="77777777" w:rsidR="003255B2" w:rsidRPr="009631D0" w:rsidRDefault="003255B2" w:rsidP="003255B2">
      <w:pPr>
        <w:spacing w:line="360" w:lineRule="auto"/>
        <w:ind w:left="680" w:hanging="680"/>
        <w:jc w:val="both"/>
        <w:rPr>
          <w:rFonts w:ascii="David" w:hAnsi="David"/>
          <w:rtl/>
        </w:rPr>
      </w:pPr>
    </w:p>
    <w:p w14:paraId="6A2BCC30" w14:textId="77777777" w:rsidR="003255B2" w:rsidRPr="009631D0" w:rsidRDefault="003255B2" w:rsidP="003255B2">
      <w:pPr>
        <w:spacing w:line="360" w:lineRule="auto"/>
        <w:ind w:left="1360" w:hanging="680"/>
        <w:jc w:val="both"/>
        <w:rPr>
          <w:rFonts w:ascii="Calibri" w:eastAsia="Calibri" w:hAnsi="Calibri"/>
          <w:rtl/>
        </w:rPr>
      </w:pPr>
      <w:r w:rsidRPr="009631D0">
        <w:rPr>
          <w:rFonts w:ascii="Calibri" w:eastAsia="Calibri" w:hAnsi="Calibri"/>
          <w:rtl/>
        </w:rPr>
        <w:t>א.</w:t>
      </w:r>
      <w:r w:rsidRPr="009631D0">
        <w:rPr>
          <w:rFonts w:ascii="Calibri" w:eastAsia="Calibri" w:hAnsi="Calibri"/>
          <w:rtl/>
        </w:rPr>
        <w:tab/>
      </w:r>
      <w:hyperlink r:id="rId20" w:history="1">
        <w:r w:rsidR="006C626C" w:rsidRPr="006C626C">
          <w:rPr>
            <w:rFonts w:ascii="Calibri" w:eastAsia="Calibri" w:hAnsi="Calibri" w:hint="cs"/>
            <w:color w:val="0000FF"/>
            <w:u w:val="single"/>
            <w:rtl/>
          </w:rPr>
          <w:t>ע</w:t>
        </w:r>
        <w:r w:rsidR="006C626C" w:rsidRPr="006C626C">
          <w:rPr>
            <w:rFonts w:ascii="Calibri" w:eastAsia="Calibri" w:hAnsi="Calibri"/>
            <w:color w:val="0000FF"/>
            <w:u w:val="single"/>
            <w:rtl/>
          </w:rPr>
          <w:t>"</w:t>
        </w:r>
        <w:r w:rsidR="006C626C" w:rsidRPr="006C626C">
          <w:rPr>
            <w:rFonts w:ascii="Calibri" w:eastAsia="Calibri" w:hAnsi="Calibri" w:hint="cs"/>
            <w:color w:val="0000FF"/>
            <w:u w:val="single"/>
            <w:rtl/>
          </w:rPr>
          <w:t>פ</w:t>
        </w:r>
        <w:r w:rsidR="006C626C" w:rsidRPr="006C626C">
          <w:rPr>
            <w:rFonts w:ascii="Calibri" w:eastAsia="Calibri" w:hAnsi="Calibri"/>
            <w:color w:val="0000FF"/>
            <w:u w:val="single"/>
            <w:rtl/>
          </w:rPr>
          <w:t xml:space="preserve"> 6383/21</w:t>
        </w:r>
      </w:hyperlink>
      <w:r w:rsidRPr="009631D0">
        <w:rPr>
          <w:rFonts w:ascii="Calibri" w:eastAsia="Calibri" w:hAnsi="Calibri"/>
          <w:rtl/>
        </w:rPr>
        <w:t xml:space="preserve"> </w:t>
      </w:r>
      <w:r w:rsidRPr="009631D0">
        <w:rPr>
          <w:rFonts w:ascii="Calibri" w:eastAsia="Calibri" w:hAnsi="Calibri"/>
          <w:b/>
          <w:bCs/>
          <w:rtl/>
        </w:rPr>
        <w:t>קריף נ' מדינת ישראל</w:t>
      </w:r>
      <w:r w:rsidRPr="009631D0">
        <w:rPr>
          <w:rFonts w:ascii="Calibri" w:eastAsia="Calibri" w:hAnsi="Calibri"/>
          <w:rtl/>
        </w:rPr>
        <w:t>, 13/2/2022: נדון ערעור שהגישו שלושה נאשמים על חומרת העונש שהוטל עליהם. מערערים 1 ו-3 הורשעו בעבירות של הובלה ונשיאת נשק, ונדונו לעונש מאסר בפועל לתקופה של 25 חודשים לכל אחד מהם. מערער 2 הורשע בעבירה של עסקה אחרת בנשק, ונדון למאסר בפועל לתקופה של 36 חודשים. תקציר העובדות: מערערים 1 ו-3 קבעו פגישה עם מערער 2 על מנת לקבל ממנו נשק. מערער 2 מסר למערערים 1 ו-3 אקדח הזנקה מוסב, שיורה ובכוחו להמית אדם. מערער 3 לקח את האקדח והטמין אותו במכנסיו, ומערערים 1 ו-3 נסעו מן המקום. הערעור נדחה, תוך שנקבע:</w:t>
      </w:r>
    </w:p>
    <w:p w14:paraId="2D4532E4" w14:textId="77777777" w:rsidR="003255B2" w:rsidRPr="009631D0" w:rsidRDefault="003255B2" w:rsidP="003255B2">
      <w:pPr>
        <w:spacing w:line="360" w:lineRule="auto"/>
        <w:ind w:left="680" w:hanging="680"/>
        <w:jc w:val="both"/>
        <w:rPr>
          <w:rFonts w:ascii="David" w:eastAsia="Calibri" w:hAnsi="David"/>
          <w:rtl/>
        </w:rPr>
      </w:pPr>
    </w:p>
    <w:p w14:paraId="52BE2C6B" w14:textId="77777777" w:rsidR="003255B2" w:rsidRPr="009631D0" w:rsidRDefault="003255B2" w:rsidP="003255B2">
      <w:pPr>
        <w:spacing w:line="360" w:lineRule="auto"/>
        <w:ind w:left="1785" w:right="864"/>
        <w:jc w:val="both"/>
        <w:rPr>
          <w:rFonts w:ascii="Calibri" w:eastAsia="Calibri" w:hAnsi="Calibri"/>
          <w:b/>
          <w:bCs/>
          <w:rtl/>
        </w:rPr>
      </w:pPr>
      <w:r w:rsidRPr="009631D0">
        <w:rPr>
          <w:rFonts w:ascii="Calibri" w:eastAsia="Calibri" w:hAnsi="Calibri"/>
          <w:b/>
          <w:bCs/>
          <w:rtl/>
        </w:rPr>
        <w:t>"... ברי כי אין להטיל עונש אחד ואחיד על כל נאשם שעובר עבירת נשק מסוימת. הגישה האינדיבידואלית כלפי הענישה דורשת לבחון את מעשה העבירה הקונקרטי. כן יש לתת את הדעת על השוני בין הנאשמים – שוני שנובע מסוג העבירה, מחלקו של כל נאשם במסכת העבריינית, ומהנסיבות האישיות של כל נאשם. ואולם, כך נהג בית המשפט המחוזי במקרה זה. בגזר הדין נבחנו כל הפרמטרים לקולא ולחומרה ביחס לכל נאשם. נקודת האיזון שנבחרה אינה מצדיקה את התערבותה של ערכאת הערעור בתוצאה העונשית</w:t>
      </w:r>
      <w:r w:rsidRPr="009631D0">
        <w:rPr>
          <w:rFonts w:ascii="Calibri" w:eastAsia="Calibri" w:hAnsi="Calibri"/>
          <w:b/>
          <w:bCs/>
        </w:rPr>
        <w:t>."</w:t>
      </w:r>
    </w:p>
    <w:p w14:paraId="64BAEBAC" w14:textId="77777777" w:rsidR="003255B2" w:rsidRPr="009631D0" w:rsidRDefault="003255B2" w:rsidP="003255B2">
      <w:pPr>
        <w:spacing w:line="360" w:lineRule="auto"/>
        <w:jc w:val="both"/>
        <w:rPr>
          <w:rFonts w:ascii="Calibri" w:eastAsia="Calibri" w:hAnsi="Calibri"/>
          <w:rtl/>
        </w:rPr>
      </w:pPr>
    </w:p>
    <w:p w14:paraId="71F0076A"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ב.</w:t>
      </w:r>
      <w:r w:rsidRPr="009631D0">
        <w:rPr>
          <w:rFonts w:ascii="Calibri" w:hAnsi="Calibri"/>
          <w:rtl/>
        </w:rPr>
        <w:tab/>
      </w:r>
      <w:hyperlink r:id="rId21" w:history="1">
        <w:r w:rsidR="006C626C" w:rsidRPr="006C626C">
          <w:rPr>
            <w:rFonts w:ascii="Calibri" w:hAnsi="Calibri" w:hint="eastAsia"/>
            <w:color w:val="0000FF"/>
            <w:u w:val="single"/>
            <w:rtl/>
          </w:rPr>
          <w:t>ע</w:t>
        </w:r>
        <w:r w:rsidR="006C626C" w:rsidRPr="006C626C">
          <w:rPr>
            <w:rFonts w:ascii="Calibri" w:hAnsi="Calibri"/>
            <w:color w:val="0000FF"/>
            <w:u w:val="single"/>
            <w:rtl/>
          </w:rPr>
          <w:t>"</w:t>
        </w:r>
        <w:r w:rsidR="006C626C" w:rsidRPr="006C626C">
          <w:rPr>
            <w:rFonts w:ascii="Calibri" w:hAnsi="Calibri" w:hint="eastAsia"/>
            <w:color w:val="0000FF"/>
            <w:u w:val="single"/>
            <w:rtl/>
          </w:rPr>
          <w:t>פ</w:t>
        </w:r>
        <w:r w:rsidR="006C626C" w:rsidRPr="006C626C">
          <w:rPr>
            <w:rFonts w:ascii="Calibri" w:hAnsi="Calibri"/>
            <w:color w:val="0000FF"/>
            <w:u w:val="single"/>
            <w:rtl/>
          </w:rPr>
          <w:t xml:space="preserve"> 5602/22</w:t>
        </w:r>
      </w:hyperlink>
      <w:r w:rsidRPr="009631D0">
        <w:rPr>
          <w:rFonts w:ascii="Calibri" w:hAnsi="Calibri"/>
          <w:rtl/>
        </w:rPr>
        <w:t xml:space="preserve"> </w:t>
      </w:r>
      <w:r w:rsidRPr="009631D0">
        <w:rPr>
          <w:rFonts w:ascii="Calibri" w:hAnsi="Calibri"/>
          <w:b/>
          <w:bCs/>
          <w:rtl/>
        </w:rPr>
        <w:t xml:space="preserve">מדינת ישראל נ' פלוני, </w:t>
      </w:r>
      <w:r w:rsidRPr="009631D0">
        <w:rPr>
          <w:rFonts w:ascii="Calibri" w:hAnsi="Calibri"/>
          <w:rtl/>
        </w:rPr>
        <w:t>14/9/2022: נקבע כי מתחם העונש הרגיל שראוי לקבוע לנאשם בגיר בגין נשיאה בלתי חוקית של נשק חם במרחב הציבורי נע בין 30 חודשי מאסר בפועל לבין 42 חודשי מאסר בפועל.</w:t>
      </w:r>
    </w:p>
    <w:p w14:paraId="205956DC" w14:textId="77777777" w:rsidR="003255B2" w:rsidRPr="009631D0" w:rsidRDefault="003255B2" w:rsidP="003255B2">
      <w:pPr>
        <w:spacing w:line="360" w:lineRule="auto"/>
        <w:ind w:left="1360" w:hanging="680"/>
        <w:jc w:val="both"/>
        <w:rPr>
          <w:rFonts w:ascii="Calibri" w:hAnsi="Calibri"/>
          <w:rtl/>
        </w:rPr>
      </w:pPr>
    </w:p>
    <w:p w14:paraId="1E65F863"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ג.</w:t>
      </w:r>
      <w:r w:rsidRPr="009631D0">
        <w:rPr>
          <w:rFonts w:ascii="Calibri" w:hAnsi="Calibri"/>
          <w:rtl/>
        </w:rPr>
        <w:tab/>
      </w:r>
      <w:hyperlink r:id="rId22" w:history="1">
        <w:r w:rsidR="006C626C" w:rsidRPr="006C626C">
          <w:rPr>
            <w:rFonts w:ascii="Calibri" w:eastAsia="Calibri" w:hAnsi="Calibri" w:hint="cs"/>
            <w:color w:val="0000FF"/>
            <w:u w:val="single"/>
            <w:rtl/>
          </w:rPr>
          <w:t>ת</w:t>
        </w:r>
        <w:r w:rsidR="006C626C" w:rsidRPr="006C626C">
          <w:rPr>
            <w:rFonts w:ascii="Calibri" w:eastAsia="Calibri" w:hAnsi="Calibri"/>
            <w:color w:val="0000FF"/>
            <w:u w:val="single"/>
            <w:rtl/>
          </w:rPr>
          <w:t>"</w:t>
        </w:r>
        <w:r w:rsidR="006C626C" w:rsidRPr="006C626C">
          <w:rPr>
            <w:rFonts w:ascii="Calibri" w:eastAsia="Calibri" w:hAnsi="Calibri" w:hint="cs"/>
            <w:color w:val="0000FF"/>
            <w:u w:val="single"/>
            <w:rtl/>
          </w:rPr>
          <w:t>פ</w:t>
        </w:r>
        <w:r w:rsidR="006C626C" w:rsidRPr="006C626C">
          <w:rPr>
            <w:rFonts w:ascii="Calibri" w:eastAsia="Calibri" w:hAnsi="Calibri"/>
            <w:color w:val="0000FF"/>
            <w:u w:val="single"/>
            <w:rtl/>
          </w:rPr>
          <w:t xml:space="preserve"> (</w:t>
        </w:r>
        <w:r w:rsidR="006C626C" w:rsidRPr="006C626C">
          <w:rPr>
            <w:rFonts w:ascii="Calibri" w:eastAsia="Calibri" w:hAnsi="Calibri" w:hint="cs"/>
            <w:color w:val="0000FF"/>
            <w:u w:val="single"/>
            <w:rtl/>
          </w:rPr>
          <w:t>מחוזי</w:t>
        </w:r>
        <w:r w:rsidR="006C626C" w:rsidRPr="006C626C">
          <w:rPr>
            <w:rFonts w:ascii="Calibri" w:eastAsia="Calibri" w:hAnsi="Calibri"/>
            <w:color w:val="0000FF"/>
            <w:u w:val="single"/>
            <w:rtl/>
          </w:rPr>
          <w:t xml:space="preserve"> </w:t>
        </w:r>
        <w:r w:rsidR="006C626C" w:rsidRPr="006C626C">
          <w:rPr>
            <w:rFonts w:ascii="Calibri" w:eastAsia="Calibri" w:hAnsi="Calibri" w:hint="cs"/>
            <w:color w:val="0000FF"/>
            <w:u w:val="single"/>
            <w:rtl/>
          </w:rPr>
          <w:t>חיפה</w:t>
        </w:r>
        <w:r w:rsidR="006C626C" w:rsidRPr="006C626C">
          <w:rPr>
            <w:rFonts w:ascii="Calibri" w:eastAsia="Calibri" w:hAnsi="Calibri"/>
            <w:color w:val="0000FF"/>
            <w:u w:val="single"/>
            <w:rtl/>
          </w:rPr>
          <w:t>) 28744-03-21</w:t>
        </w:r>
      </w:hyperlink>
      <w:r w:rsidR="006C626C">
        <w:rPr>
          <w:rFonts w:ascii="Calibri" w:eastAsia="Calibri" w:hAnsi="Calibri"/>
          <w:rtl/>
        </w:rPr>
        <w:t xml:space="preserve"> </w:t>
      </w:r>
      <w:r w:rsidRPr="009631D0">
        <w:rPr>
          <w:rFonts w:ascii="Calibri" w:eastAsia="Calibri" w:hAnsi="Calibri"/>
          <w:b/>
          <w:bCs/>
          <w:rtl/>
        </w:rPr>
        <w:t xml:space="preserve">מדינת ישראל נ' חוג'יראת, </w:t>
      </w:r>
      <w:r w:rsidRPr="009631D0">
        <w:rPr>
          <w:rFonts w:ascii="Calibri" w:eastAsia="Calibri" w:hAnsi="Calibri"/>
          <w:rtl/>
        </w:rPr>
        <w:t xml:space="preserve">30/5/2022:‏‏ הנאשם הורשע בעבירות של החזקה, נשיאה והובלה של נשק והפרעה לשוטר במילוי תפקידו. הנאשם החזיק ברכבו אקדח חצי אוטומטי מסוג ברטה, כשהוא טעון במחסנית ובה חמישה כדורים, במשך למעלה מיממה. הנאשם נסע ברכב כאשר האקדח הטעון נמצא ברשותו. בהגיעו סמוך לביתו, הנאשם השאיר את הנשק הטעון מתחת למושב הנהג, כשהוא עטוף בבד חיתול, יצא מהרכב ונעל אותו. בלש שהיה במקום הורה לנאשם למסור לו את מפתחות הרכב, אך הנאשם ניסה למנוע מהשוטר לקחת את מפתח הרכב. </w:t>
      </w:r>
      <w:r w:rsidRPr="009631D0">
        <w:rPr>
          <w:rFonts w:ascii="Calibri" w:hAnsi="Calibri"/>
          <w:rtl/>
        </w:rPr>
        <w:t xml:space="preserve">נקבע כי מתחם העונש ההולם נע בין 18 חודשי מאסר בפועל לבין 36 חודשי מאסר בפועל. </w:t>
      </w:r>
    </w:p>
    <w:p w14:paraId="48F6A5DC" w14:textId="77777777" w:rsidR="003255B2" w:rsidRPr="009631D0" w:rsidRDefault="003255B2" w:rsidP="003255B2">
      <w:pPr>
        <w:spacing w:line="360" w:lineRule="auto"/>
        <w:ind w:left="1360" w:hanging="680"/>
        <w:jc w:val="both"/>
        <w:rPr>
          <w:rFonts w:ascii="Calibri" w:hAnsi="Calibri"/>
          <w:rtl/>
        </w:rPr>
      </w:pPr>
    </w:p>
    <w:p w14:paraId="3945D618" w14:textId="77777777" w:rsidR="003255B2" w:rsidRPr="009631D0" w:rsidRDefault="003255B2" w:rsidP="003255B2">
      <w:pPr>
        <w:spacing w:line="360" w:lineRule="auto"/>
        <w:ind w:left="680" w:hanging="680"/>
        <w:jc w:val="both"/>
        <w:rPr>
          <w:rFonts w:ascii="David" w:hAnsi="David"/>
          <w:rtl/>
        </w:rPr>
      </w:pPr>
    </w:p>
    <w:p w14:paraId="47332325"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23.</w:t>
      </w:r>
      <w:r w:rsidRPr="009631D0">
        <w:rPr>
          <w:rFonts w:ascii="David" w:hAnsi="David"/>
          <w:rtl/>
        </w:rPr>
        <w:tab/>
        <w:t>לאחר בחינת מעשה העבירה הקונקרטי, לאור כל המפורט לעיל בדבר הערכים החברתיים שנפגעו מביצוע העבירות, מידת הפגיעה בהם, מדיניות הענישה הנהוגה והנסיבות הקשורות בביצוע העבירות, אני סבור כי מתחם העונש ההולם למעשיו של הנאשם נע בין עשרה חודשי מאסר בפועל לבין 24 חודשי מאסר בפועל.</w:t>
      </w:r>
    </w:p>
    <w:p w14:paraId="0FD826C6" w14:textId="77777777" w:rsidR="003255B2" w:rsidRPr="009631D0" w:rsidRDefault="003255B2" w:rsidP="003255B2">
      <w:pPr>
        <w:spacing w:line="360" w:lineRule="auto"/>
        <w:ind w:left="680" w:hanging="680"/>
        <w:jc w:val="both"/>
        <w:rPr>
          <w:rFonts w:ascii="David" w:hAnsi="David"/>
          <w:rtl/>
        </w:rPr>
      </w:pPr>
    </w:p>
    <w:p w14:paraId="725435B8" w14:textId="77777777" w:rsidR="003255B2" w:rsidRPr="009631D0" w:rsidRDefault="003255B2" w:rsidP="003255B2">
      <w:pPr>
        <w:spacing w:line="360" w:lineRule="auto"/>
        <w:ind w:left="680" w:hanging="680"/>
        <w:jc w:val="both"/>
        <w:rPr>
          <w:rFonts w:ascii="David" w:hAnsi="David"/>
          <w:rtl/>
        </w:rPr>
      </w:pPr>
      <w:r w:rsidRPr="009631D0">
        <w:rPr>
          <w:rFonts w:ascii="David" w:hAnsi="David"/>
          <w:u w:val="single"/>
          <w:rtl/>
        </w:rPr>
        <w:t>העונש המתאים לנאשם</w:t>
      </w:r>
      <w:r w:rsidRPr="009631D0">
        <w:rPr>
          <w:rFonts w:ascii="David" w:hAnsi="David"/>
          <w:rtl/>
        </w:rPr>
        <w:t>:</w:t>
      </w:r>
    </w:p>
    <w:p w14:paraId="239DD21A"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24.</w:t>
      </w:r>
      <w:r w:rsidRPr="009631D0">
        <w:rPr>
          <w:rFonts w:ascii="David" w:hAnsi="David"/>
          <w:rtl/>
        </w:rPr>
        <w:tab/>
        <w:t xml:space="preserve">לצורך קביעת העונש המתאים לנאשם בתוך מתחם הענישה הנ"ל יש להביא בחשבון, לטובתו של הנאשם, את הודאתו, שניתנה בשלב מוקדם מאוד של ההליכים – עוד במסגרת הדיון המקדמי. לא רק שיש בכך להביא לידי ביטוי קבלת אחריות של הנאשם על מעשיו, אלא לבטא גם נכונות לשלם בגינם מחיר ולבסס תקווה איתנה כי הוא לא ישוב ויעבור עבירה חמורה נוספת בעתיד. עוד יש להתחשב בנזקים שייגרמו לו ולמשפחתו כתוצאה מהרשעתו ומהעונש שיוטל עליו, במיוחד על רקע מצבו הרפואי של בנו, כעולה מהמסמכים הרפואיים שהוגשו מטעם ההגנה. </w:t>
      </w:r>
    </w:p>
    <w:p w14:paraId="7891E577" w14:textId="77777777" w:rsidR="003255B2" w:rsidRPr="009631D0" w:rsidRDefault="003255B2" w:rsidP="003255B2">
      <w:pPr>
        <w:spacing w:line="360" w:lineRule="auto"/>
        <w:ind w:left="680" w:hanging="680"/>
        <w:jc w:val="both"/>
        <w:rPr>
          <w:rFonts w:ascii="David" w:hAnsi="David"/>
          <w:rtl/>
        </w:rPr>
      </w:pPr>
    </w:p>
    <w:p w14:paraId="101D0503"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25.</w:t>
      </w:r>
      <w:r w:rsidRPr="009631D0">
        <w:rPr>
          <w:rFonts w:ascii="David" w:hAnsi="David"/>
          <w:rtl/>
        </w:rPr>
        <w:tab/>
        <w:t>לחובתו של הנאשם עומד עברו הפלילי. מחד, מדובר בהרשעה אחת בגין עבירות שנעברו על ידו לפני למעלה מעשר שנים, בהיותו נער צעיר כבן 15 בלבד. מאידך, מדובר בעבירות חמורות מאוד וחלקן חמור ביותר, שנעברו במספר הזדמנויות במהלך מספר חודשים, ובהן לנאשם היה חלק מרכזי.</w:t>
      </w:r>
    </w:p>
    <w:p w14:paraId="44560474" w14:textId="77777777" w:rsidR="003255B2" w:rsidRPr="009631D0" w:rsidRDefault="003255B2" w:rsidP="003255B2">
      <w:pPr>
        <w:spacing w:line="360" w:lineRule="auto"/>
        <w:ind w:left="680" w:hanging="680"/>
        <w:jc w:val="both"/>
        <w:rPr>
          <w:rFonts w:ascii="David" w:hAnsi="David"/>
          <w:rtl/>
        </w:rPr>
      </w:pPr>
    </w:p>
    <w:p w14:paraId="32F5B11B" w14:textId="77777777" w:rsidR="003255B2" w:rsidRPr="009631D0" w:rsidRDefault="003255B2" w:rsidP="003255B2">
      <w:pPr>
        <w:spacing w:line="360" w:lineRule="auto"/>
        <w:ind w:left="680" w:hanging="680"/>
        <w:jc w:val="both"/>
        <w:rPr>
          <w:rFonts w:ascii="David" w:hAnsi="David"/>
          <w:rtl/>
        </w:rPr>
      </w:pPr>
      <w:r>
        <w:rPr>
          <w:rFonts w:ascii="David" w:hAnsi="David" w:hint="cs"/>
          <w:rtl/>
        </w:rPr>
        <w:t>2</w:t>
      </w:r>
      <w:r w:rsidRPr="009631D0">
        <w:rPr>
          <w:rFonts w:ascii="David" w:hAnsi="David"/>
          <w:rtl/>
        </w:rPr>
        <w:t>6.</w:t>
      </w:r>
      <w:r w:rsidRPr="009631D0">
        <w:rPr>
          <w:rFonts w:ascii="David" w:hAnsi="David"/>
          <w:rtl/>
        </w:rPr>
        <w:tab/>
        <w:t xml:space="preserve">בסופו של דבר מצאתי לתת משקל רב יותר לשיקולים הנ"ל לקולה, באופן שהעונש שיוטל על הנאשם יעמוד בחלקו התחתון יחסית של מתחם העונש ההולם. </w:t>
      </w:r>
    </w:p>
    <w:p w14:paraId="16981FEB" w14:textId="77777777" w:rsidR="003255B2" w:rsidRPr="009631D0" w:rsidRDefault="003255B2" w:rsidP="003255B2">
      <w:pPr>
        <w:spacing w:line="360" w:lineRule="auto"/>
        <w:ind w:left="680" w:hanging="680"/>
        <w:jc w:val="both"/>
        <w:rPr>
          <w:rFonts w:ascii="David" w:hAnsi="David"/>
          <w:rtl/>
        </w:rPr>
      </w:pPr>
    </w:p>
    <w:p w14:paraId="650D3C4E" w14:textId="77777777" w:rsidR="003255B2" w:rsidRPr="009631D0" w:rsidRDefault="003255B2" w:rsidP="003255B2">
      <w:pPr>
        <w:spacing w:line="360" w:lineRule="auto"/>
        <w:ind w:left="680" w:hanging="680"/>
        <w:jc w:val="both"/>
        <w:rPr>
          <w:rFonts w:ascii="David" w:hAnsi="David"/>
          <w:b/>
          <w:bCs/>
          <w:u w:val="single"/>
          <w:rtl/>
        </w:rPr>
      </w:pPr>
      <w:r w:rsidRPr="009631D0">
        <w:rPr>
          <w:rFonts w:ascii="David" w:hAnsi="David"/>
          <w:b/>
          <w:bCs/>
          <w:u w:val="single"/>
          <w:rtl/>
        </w:rPr>
        <w:t>התוצאה:</w:t>
      </w:r>
    </w:p>
    <w:p w14:paraId="47CF768B"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27.</w:t>
      </w:r>
      <w:r w:rsidRPr="009631D0">
        <w:rPr>
          <w:rFonts w:ascii="David" w:hAnsi="David"/>
          <w:rtl/>
        </w:rPr>
        <w:tab/>
        <w:t>לאור כל האמור לעיל אני דן את הנאשם לעונשים הבאים:</w:t>
      </w:r>
    </w:p>
    <w:p w14:paraId="7D039626" w14:textId="77777777" w:rsidR="003255B2" w:rsidRPr="009631D0" w:rsidRDefault="003255B2" w:rsidP="003255B2">
      <w:pPr>
        <w:spacing w:line="360" w:lineRule="auto"/>
        <w:ind w:left="680" w:hanging="680"/>
        <w:jc w:val="both"/>
        <w:rPr>
          <w:rFonts w:ascii="David" w:hAnsi="David"/>
          <w:rtl/>
        </w:rPr>
      </w:pPr>
    </w:p>
    <w:p w14:paraId="0DA41FFA"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א.</w:t>
      </w:r>
      <w:r w:rsidRPr="009631D0">
        <w:rPr>
          <w:rFonts w:ascii="Calibri" w:hAnsi="Calibri"/>
          <w:rtl/>
        </w:rPr>
        <w:tab/>
        <w:t>מאסר בפועל למשך 12 חודשים, שיימנו החל ממועד מעצרו ביום 23/10/2023.</w:t>
      </w:r>
    </w:p>
    <w:p w14:paraId="6C6B6A26" w14:textId="77777777" w:rsidR="003255B2" w:rsidRPr="009631D0" w:rsidRDefault="003255B2" w:rsidP="003255B2">
      <w:pPr>
        <w:spacing w:line="360" w:lineRule="auto"/>
        <w:ind w:left="1360" w:hanging="680"/>
        <w:jc w:val="both"/>
        <w:rPr>
          <w:rFonts w:ascii="Calibri" w:hAnsi="Calibri"/>
          <w:rtl/>
        </w:rPr>
      </w:pPr>
    </w:p>
    <w:p w14:paraId="6FD413B6"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ב.</w:t>
      </w:r>
      <w:r w:rsidRPr="009631D0">
        <w:rPr>
          <w:rFonts w:ascii="Calibri" w:hAnsi="Calibri"/>
          <w:rtl/>
        </w:rPr>
        <w:tab/>
        <w:t xml:space="preserve">מאסר למשך עשרה חודשים, וזאת על תנאי למשך שלוש שנים מיום שחרורו ממאסר, אם יעבור עבירה בנשק, לפי </w:t>
      </w:r>
      <w:hyperlink r:id="rId23" w:history="1">
        <w:r w:rsidR="00E25604" w:rsidRPr="00E25604">
          <w:rPr>
            <w:rStyle w:val="Hyperlink"/>
            <w:rFonts w:ascii="Calibri" w:hAnsi="Calibri"/>
            <w:color w:val="0000FF"/>
            <w:rtl/>
          </w:rPr>
          <w:t>סעיף 144</w:t>
        </w:r>
      </w:hyperlink>
      <w:r w:rsidRPr="009631D0">
        <w:rPr>
          <w:rFonts w:ascii="Calibri" w:hAnsi="Calibri"/>
          <w:rtl/>
        </w:rPr>
        <w:t xml:space="preserve"> ב</w:t>
      </w:r>
      <w:hyperlink r:id="rId24" w:history="1">
        <w:r w:rsidR="006C626C" w:rsidRPr="006C626C">
          <w:rPr>
            <w:rFonts w:ascii="Calibri" w:hAnsi="Calibri" w:hint="eastAsia"/>
            <w:color w:val="0000FF"/>
            <w:u w:val="single"/>
            <w:rtl/>
          </w:rPr>
          <w:t>חוק</w:t>
        </w:r>
        <w:r w:rsidR="006C626C" w:rsidRPr="006C626C">
          <w:rPr>
            <w:rFonts w:ascii="Calibri" w:hAnsi="Calibri"/>
            <w:color w:val="0000FF"/>
            <w:u w:val="single"/>
            <w:rtl/>
          </w:rPr>
          <w:t xml:space="preserve"> </w:t>
        </w:r>
        <w:r w:rsidR="006C626C" w:rsidRPr="006C626C">
          <w:rPr>
            <w:rFonts w:ascii="Calibri" w:hAnsi="Calibri" w:hint="eastAsia"/>
            <w:color w:val="0000FF"/>
            <w:u w:val="single"/>
            <w:rtl/>
          </w:rPr>
          <w:t>העונשין</w:t>
        </w:r>
      </w:hyperlink>
      <w:r w:rsidRPr="009631D0">
        <w:rPr>
          <w:rFonts w:ascii="Calibri" w:hAnsi="Calibri"/>
          <w:rtl/>
        </w:rPr>
        <w:t>.</w:t>
      </w:r>
    </w:p>
    <w:p w14:paraId="36051A24" w14:textId="77777777" w:rsidR="003255B2" w:rsidRPr="009631D0" w:rsidRDefault="003255B2" w:rsidP="003255B2">
      <w:pPr>
        <w:spacing w:line="360" w:lineRule="auto"/>
        <w:ind w:left="1360" w:hanging="680"/>
        <w:jc w:val="both"/>
        <w:rPr>
          <w:rFonts w:ascii="Calibri" w:hAnsi="Calibri"/>
          <w:rtl/>
        </w:rPr>
      </w:pPr>
    </w:p>
    <w:p w14:paraId="7CC895A4" w14:textId="77777777" w:rsidR="003255B2" w:rsidRPr="009631D0" w:rsidRDefault="003255B2" w:rsidP="003255B2">
      <w:pPr>
        <w:spacing w:line="360" w:lineRule="auto"/>
        <w:ind w:left="1360" w:hanging="680"/>
        <w:jc w:val="both"/>
        <w:rPr>
          <w:rFonts w:ascii="Calibri" w:hAnsi="Calibri"/>
          <w:rtl/>
        </w:rPr>
      </w:pPr>
      <w:r w:rsidRPr="009631D0">
        <w:rPr>
          <w:rFonts w:ascii="Calibri" w:hAnsi="Calibri"/>
          <w:rtl/>
        </w:rPr>
        <w:t>ג.</w:t>
      </w:r>
      <w:r w:rsidRPr="009631D0">
        <w:rPr>
          <w:rFonts w:ascii="Calibri" w:hAnsi="Calibri"/>
          <w:rtl/>
        </w:rPr>
        <w:tab/>
        <w:t>קנס בסך 4,000 ₪, או חודש מאסר תמורתו. הקנס ישולם עד ליום 4/7/2024.</w:t>
      </w:r>
    </w:p>
    <w:p w14:paraId="3621A81E" w14:textId="77777777" w:rsidR="003255B2" w:rsidRPr="009631D0" w:rsidRDefault="003255B2" w:rsidP="003255B2">
      <w:pPr>
        <w:spacing w:line="360" w:lineRule="auto"/>
        <w:ind w:left="1360" w:hanging="680"/>
        <w:jc w:val="both"/>
        <w:rPr>
          <w:rFonts w:ascii="Calibri" w:hAnsi="Calibri"/>
          <w:rtl/>
        </w:rPr>
      </w:pPr>
    </w:p>
    <w:p w14:paraId="443B6456" w14:textId="77777777" w:rsidR="003255B2" w:rsidRPr="009631D0" w:rsidRDefault="003255B2" w:rsidP="003255B2">
      <w:pPr>
        <w:spacing w:line="360" w:lineRule="auto"/>
        <w:ind w:left="1360" w:hanging="680"/>
        <w:jc w:val="both"/>
        <w:rPr>
          <w:rFonts w:ascii="Calibri" w:hAnsi="Calibri"/>
          <w:rtl/>
        </w:rPr>
      </w:pPr>
    </w:p>
    <w:p w14:paraId="3584FE20" w14:textId="77777777" w:rsidR="003255B2" w:rsidRPr="009631D0" w:rsidRDefault="003255B2" w:rsidP="003255B2">
      <w:pPr>
        <w:spacing w:line="360" w:lineRule="auto"/>
        <w:ind w:left="680" w:hanging="680"/>
        <w:jc w:val="both"/>
        <w:rPr>
          <w:rFonts w:ascii="David" w:hAnsi="David"/>
          <w:rtl/>
        </w:rPr>
      </w:pPr>
      <w:r w:rsidRPr="009631D0">
        <w:rPr>
          <w:rFonts w:ascii="David" w:hAnsi="David"/>
          <w:rtl/>
        </w:rPr>
        <w:t>זכות ערעור לבית המשפט העליון בתוך 45 יום מהיום.</w:t>
      </w:r>
    </w:p>
    <w:p w14:paraId="4A15E505" w14:textId="77777777" w:rsidR="003255B2" w:rsidRPr="006C626C" w:rsidRDefault="006C626C" w:rsidP="003255B2">
      <w:pPr>
        <w:spacing w:line="360" w:lineRule="auto"/>
        <w:ind w:left="1360" w:hanging="680"/>
        <w:jc w:val="both"/>
        <w:rPr>
          <w:rFonts w:ascii="Calibri" w:hAnsi="Calibri"/>
          <w:color w:val="FFFFFF"/>
          <w:sz w:val="2"/>
          <w:szCs w:val="2"/>
          <w:rtl/>
        </w:rPr>
      </w:pPr>
      <w:r w:rsidRPr="006C626C">
        <w:rPr>
          <w:rFonts w:ascii="Calibri" w:hAnsi="Calibri"/>
          <w:color w:val="FFFFFF"/>
          <w:sz w:val="2"/>
          <w:szCs w:val="2"/>
          <w:rtl/>
        </w:rPr>
        <w:t>5129371</w:t>
      </w:r>
    </w:p>
    <w:p w14:paraId="44FFD106" w14:textId="77777777" w:rsidR="003255B2" w:rsidRPr="006C626C" w:rsidRDefault="006C626C" w:rsidP="003255B2">
      <w:pPr>
        <w:rPr>
          <w:rFonts w:ascii="Arial" w:hAnsi="Arial"/>
          <w:b/>
          <w:bCs/>
          <w:color w:val="FFFFFF"/>
          <w:sz w:val="2"/>
          <w:szCs w:val="2"/>
          <w:rtl/>
        </w:rPr>
      </w:pPr>
      <w:r w:rsidRPr="006C626C">
        <w:rPr>
          <w:rFonts w:ascii="Arial" w:hAnsi="Arial"/>
          <w:b/>
          <w:bCs/>
          <w:color w:val="FFFFFF"/>
          <w:sz w:val="2"/>
          <w:szCs w:val="2"/>
          <w:rtl/>
        </w:rPr>
        <w:t>54678313</w:t>
      </w:r>
    </w:p>
    <w:p w14:paraId="2502B5B6" w14:textId="77777777" w:rsidR="003255B2" w:rsidRPr="000F2247" w:rsidRDefault="003255B2" w:rsidP="003255B2">
      <w:pPr>
        <w:rPr>
          <w:rFonts w:ascii="Arial" w:hAnsi="Arial"/>
          <w:b/>
          <w:bCs/>
          <w:sz w:val="26"/>
          <w:szCs w:val="26"/>
          <w:rtl/>
        </w:rPr>
      </w:pPr>
    </w:p>
    <w:p w14:paraId="7401DB7C" w14:textId="77777777" w:rsidR="003255B2" w:rsidRPr="000F2247" w:rsidRDefault="006C626C" w:rsidP="003255B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אייר תשפ"ד, 04 יוני 2024, במעמד הצדדים. </w:t>
      </w:r>
      <w:bookmarkEnd w:id="8"/>
      <w:r w:rsidR="003255B2">
        <w:rPr>
          <w:rFonts w:ascii="Arial" w:hAnsi="Arial"/>
          <w:b/>
          <w:bCs/>
          <w:sz w:val="26"/>
          <w:szCs w:val="26"/>
          <w:rtl/>
        </w:rPr>
        <w:tab/>
      </w:r>
      <w:r w:rsidR="003255B2">
        <w:rPr>
          <w:rFonts w:ascii="Arial" w:hAnsi="Arial"/>
          <w:b/>
          <w:bCs/>
          <w:sz w:val="26"/>
          <w:szCs w:val="26"/>
          <w:rtl/>
        </w:rPr>
        <w:tab/>
      </w:r>
      <w:r w:rsidR="003255B2">
        <w:rPr>
          <w:rFonts w:ascii="Arial" w:hAnsi="Arial"/>
          <w:b/>
          <w:bCs/>
          <w:sz w:val="26"/>
          <w:szCs w:val="26"/>
          <w:rtl/>
        </w:rPr>
        <w:tab/>
      </w:r>
      <w:r w:rsidR="003255B2">
        <w:rPr>
          <w:rFonts w:ascii="Arial" w:hAnsi="Arial"/>
          <w:b/>
          <w:bCs/>
          <w:sz w:val="26"/>
          <w:szCs w:val="26"/>
          <w:rtl/>
        </w:rPr>
        <w:tab/>
      </w:r>
      <w:r w:rsidR="003255B2">
        <w:rPr>
          <w:rFonts w:ascii="Arial" w:hAnsi="Arial"/>
          <w:b/>
          <w:bCs/>
          <w:sz w:val="26"/>
          <w:szCs w:val="26"/>
          <w:rtl/>
        </w:rPr>
        <w:tab/>
      </w:r>
      <w:r w:rsidR="003255B2">
        <w:rPr>
          <w:rFonts w:ascii="Arial" w:hAnsi="Arial"/>
          <w:b/>
          <w:bCs/>
          <w:sz w:val="26"/>
          <w:szCs w:val="26"/>
          <w:rtl/>
        </w:rPr>
        <w:tab/>
      </w:r>
      <w:r w:rsidR="003255B2">
        <w:rPr>
          <w:rFonts w:ascii="Arial" w:hAnsi="Arial"/>
          <w:b/>
          <w:bCs/>
          <w:sz w:val="26"/>
          <w:szCs w:val="26"/>
          <w:rtl/>
        </w:rPr>
        <w:tab/>
      </w:r>
      <w:r w:rsidR="003255B2">
        <w:rPr>
          <w:rFonts w:ascii="Arial" w:hAnsi="Arial" w:hint="cs"/>
          <w:b/>
          <w:bCs/>
          <w:sz w:val="26"/>
          <w:szCs w:val="26"/>
          <w:rtl/>
        </w:rPr>
        <w:t xml:space="preserve">         </w:t>
      </w:r>
    </w:p>
    <w:p w14:paraId="064E121F" w14:textId="77777777" w:rsidR="003255B2" w:rsidRPr="000F2247" w:rsidRDefault="003255B2" w:rsidP="006C626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C19DC4A" w14:textId="77777777" w:rsidR="006C626C" w:rsidRDefault="00E25604" w:rsidP="006C626C">
      <w:r w:rsidRPr="00E25604">
        <w:rPr>
          <w:rFonts w:ascii="Arial" w:hAnsi="Arial"/>
          <w:b/>
          <w:bCs/>
          <w:color w:val="FFFFFF"/>
          <w:sz w:val="2"/>
          <w:szCs w:val="2"/>
          <w:rtl/>
        </w:rPr>
        <w:t>5129371</w:t>
      </w:r>
    </w:p>
    <w:p w14:paraId="07250975" w14:textId="77777777" w:rsidR="006C626C" w:rsidRDefault="006C626C" w:rsidP="006C626C">
      <w:pPr>
        <w:rPr>
          <w:rtl/>
        </w:rPr>
      </w:pPr>
    </w:p>
    <w:p w14:paraId="32E889AC" w14:textId="77777777" w:rsidR="006C626C" w:rsidRDefault="006C626C" w:rsidP="006C626C">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DF65FDB" w14:textId="77777777" w:rsidR="00E25604" w:rsidRPr="00E25604" w:rsidRDefault="00E25604" w:rsidP="00E25604">
      <w:pPr>
        <w:keepNext/>
        <w:rPr>
          <w:rFonts w:ascii="David" w:hAnsi="David"/>
          <w:color w:val="000000"/>
          <w:sz w:val="22"/>
          <w:szCs w:val="22"/>
          <w:rtl/>
        </w:rPr>
      </w:pPr>
    </w:p>
    <w:p w14:paraId="0FC81C45" w14:textId="77777777" w:rsidR="00E25604" w:rsidRPr="00E25604" w:rsidRDefault="00E25604" w:rsidP="00E25604">
      <w:pPr>
        <w:keepNext/>
        <w:rPr>
          <w:rFonts w:ascii="David" w:hAnsi="David"/>
          <w:color w:val="000000"/>
          <w:sz w:val="22"/>
          <w:szCs w:val="22"/>
          <w:rtl/>
        </w:rPr>
      </w:pPr>
      <w:r w:rsidRPr="00E25604">
        <w:rPr>
          <w:rFonts w:ascii="David" w:hAnsi="David"/>
          <w:color w:val="000000"/>
          <w:sz w:val="22"/>
          <w:szCs w:val="22"/>
          <w:rtl/>
        </w:rPr>
        <w:t>מרדכי כדורי 54678313-/</w:t>
      </w:r>
    </w:p>
    <w:p w14:paraId="0AF13007" w14:textId="77777777" w:rsidR="006C626C" w:rsidRPr="006C626C" w:rsidRDefault="00E25604" w:rsidP="00E25604">
      <w:pPr>
        <w:rPr>
          <w:color w:val="0000FF"/>
          <w:u w:val="single"/>
        </w:rPr>
      </w:pPr>
      <w:r w:rsidRPr="00E25604">
        <w:rPr>
          <w:color w:val="000000"/>
          <w:u w:val="single"/>
          <w:rtl/>
        </w:rPr>
        <w:t>נוסח מסמך זה כפוף לשינויי ניסוח ועריכה</w:t>
      </w:r>
    </w:p>
    <w:sectPr w:rsidR="006C626C" w:rsidRPr="006C626C" w:rsidSect="00E25604">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26845" w14:textId="77777777" w:rsidR="009A3ED7" w:rsidRDefault="009A3ED7" w:rsidP="006E7980">
      <w:r>
        <w:separator/>
      </w:r>
    </w:p>
  </w:endnote>
  <w:endnote w:type="continuationSeparator" w:id="0">
    <w:p w14:paraId="602518F3" w14:textId="77777777" w:rsidR="009A3ED7" w:rsidRDefault="009A3ED7" w:rsidP="006E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93003" w14:textId="77777777" w:rsidR="00E25604" w:rsidRDefault="00E25604" w:rsidP="00E2560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A3C0F9" w14:textId="77777777" w:rsidR="00DC445C" w:rsidRPr="00E25604" w:rsidRDefault="00E25604" w:rsidP="00E25604">
    <w:pPr>
      <w:pStyle w:val="a5"/>
      <w:pBdr>
        <w:top w:val="single" w:sz="4" w:space="1" w:color="auto"/>
        <w:between w:val="single" w:sz="4" w:space="0" w:color="auto"/>
      </w:pBdr>
      <w:spacing w:after="60"/>
      <w:jc w:val="center"/>
      <w:rPr>
        <w:rFonts w:ascii="FrankRuehl" w:hAnsi="FrankRuehl" w:cs="FrankRuehl"/>
        <w:color w:val="000000"/>
      </w:rPr>
    </w:pPr>
    <w:r w:rsidRPr="00E256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BEFD6" w14:textId="77777777" w:rsidR="00E25604" w:rsidRDefault="00E25604" w:rsidP="00E2560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2FD6">
      <w:rPr>
        <w:rFonts w:ascii="FrankRuehl" w:hAnsi="FrankRuehl" w:cs="FrankRuehl"/>
        <w:noProof/>
        <w:rtl/>
      </w:rPr>
      <w:t>1</w:t>
    </w:r>
    <w:r>
      <w:rPr>
        <w:rFonts w:ascii="FrankRuehl" w:hAnsi="FrankRuehl" w:cs="FrankRuehl"/>
        <w:rtl/>
      </w:rPr>
      <w:fldChar w:fldCharType="end"/>
    </w:r>
  </w:p>
  <w:p w14:paraId="023CC747" w14:textId="77777777" w:rsidR="00DC445C" w:rsidRPr="00E25604" w:rsidRDefault="00E25604" w:rsidP="00E25604">
    <w:pPr>
      <w:pStyle w:val="a5"/>
      <w:pBdr>
        <w:top w:val="single" w:sz="4" w:space="1" w:color="auto"/>
        <w:between w:val="single" w:sz="4" w:space="0" w:color="auto"/>
      </w:pBdr>
      <w:spacing w:after="60"/>
      <w:jc w:val="center"/>
      <w:rPr>
        <w:rFonts w:ascii="FrankRuehl" w:hAnsi="FrankRuehl" w:cs="FrankRuehl"/>
        <w:color w:val="000000"/>
      </w:rPr>
    </w:pPr>
    <w:r w:rsidRPr="00E25604">
      <w:rPr>
        <w:rFonts w:ascii="FrankRuehl" w:hAnsi="FrankRuehl" w:cs="FrankRuehl"/>
        <w:color w:val="000000"/>
      </w:rPr>
      <w:pict w14:anchorId="65A4C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40285" w14:textId="77777777" w:rsidR="009A3ED7" w:rsidRDefault="009A3ED7" w:rsidP="006E7980">
      <w:r>
        <w:separator/>
      </w:r>
    </w:p>
  </w:footnote>
  <w:footnote w:type="continuationSeparator" w:id="0">
    <w:p w14:paraId="7A6A9226" w14:textId="77777777" w:rsidR="009A3ED7" w:rsidRDefault="009A3ED7" w:rsidP="006E7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EEF41" w14:textId="77777777" w:rsidR="006C626C" w:rsidRPr="00E25604" w:rsidRDefault="00E25604" w:rsidP="00E256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11033-11-23</w:t>
    </w:r>
    <w:r>
      <w:rPr>
        <w:rFonts w:ascii="David" w:hAnsi="David"/>
        <w:color w:val="000000"/>
        <w:sz w:val="22"/>
        <w:szCs w:val="22"/>
        <w:rtl/>
      </w:rPr>
      <w:tab/>
      <w:t xml:space="preserve"> מדינת ישראל נ' מג'די עבאסי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9DD13" w14:textId="77777777" w:rsidR="006C626C" w:rsidRPr="00E25604" w:rsidRDefault="00E25604" w:rsidP="00E2560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11033-11-23</w:t>
    </w:r>
    <w:r>
      <w:rPr>
        <w:rFonts w:ascii="David" w:hAnsi="David"/>
        <w:color w:val="000000"/>
        <w:sz w:val="22"/>
        <w:szCs w:val="22"/>
        <w:rtl/>
      </w:rPr>
      <w:tab/>
      <w:t xml:space="preserve"> מדינת ישראל נ' מג'די עבאסי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55B2"/>
    <w:rsid w:val="000F2FD6"/>
    <w:rsid w:val="001B5A3B"/>
    <w:rsid w:val="003255B2"/>
    <w:rsid w:val="00691AC6"/>
    <w:rsid w:val="006C626C"/>
    <w:rsid w:val="006E7980"/>
    <w:rsid w:val="00762F2E"/>
    <w:rsid w:val="009A3ED7"/>
    <w:rsid w:val="00DC445C"/>
    <w:rsid w:val="00E256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9B3587"/>
  <w15:chartTrackingRefBased/>
  <w15:docId w15:val="{67720BF5-4CD8-4E94-8E58-D38D88E6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55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255B2"/>
    <w:pPr>
      <w:tabs>
        <w:tab w:val="center" w:pos="4153"/>
        <w:tab w:val="right" w:pos="8306"/>
      </w:tabs>
    </w:pPr>
  </w:style>
  <w:style w:type="character" w:customStyle="1" w:styleId="a4">
    <w:name w:val="כותרת עליונה תו"/>
    <w:link w:val="a3"/>
    <w:rsid w:val="003255B2"/>
    <w:rPr>
      <w:rFonts w:ascii="Times New Roman" w:eastAsia="Times New Roman" w:hAnsi="Times New Roman" w:cs="David"/>
      <w:sz w:val="24"/>
      <w:szCs w:val="24"/>
    </w:rPr>
  </w:style>
  <w:style w:type="paragraph" w:styleId="a5">
    <w:name w:val="footer"/>
    <w:basedOn w:val="a"/>
    <w:link w:val="a6"/>
    <w:rsid w:val="003255B2"/>
    <w:pPr>
      <w:tabs>
        <w:tab w:val="center" w:pos="4153"/>
        <w:tab w:val="right" w:pos="8306"/>
      </w:tabs>
    </w:pPr>
  </w:style>
  <w:style w:type="character" w:customStyle="1" w:styleId="a6">
    <w:name w:val="כותרת תחתונה תו"/>
    <w:link w:val="a5"/>
    <w:rsid w:val="003255B2"/>
    <w:rPr>
      <w:rFonts w:ascii="Times New Roman" w:eastAsia="Times New Roman" w:hAnsi="Times New Roman" w:cs="David"/>
      <w:sz w:val="24"/>
      <w:szCs w:val="24"/>
    </w:rPr>
  </w:style>
  <w:style w:type="table" w:styleId="a7">
    <w:name w:val="Table Grid"/>
    <w:basedOn w:val="a1"/>
    <w:rsid w:val="003255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255B2"/>
  </w:style>
  <w:style w:type="character" w:styleId="Hyperlink">
    <w:name w:val="Hyperlink"/>
    <w:rsid w:val="006C626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9867910" TargetMode="External"/><Relationship Id="rId18" Type="http://schemas.openxmlformats.org/officeDocument/2006/relationships/hyperlink" Target="http://www.nevo.co.il/case/25824863"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8883087" TargetMode="External"/><Relationship Id="rId7" Type="http://schemas.openxmlformats.org/officeDocument/2006/relationships/hyperlink" Target="http://www.nevo.co.il/law/70301/25"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309272"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8543730" TargetMode="External"/><Relationship Id="rId20" Type="http://schemas.openxmlformats.org/officeDocument/2006/relationships/hyperlink" Target="http://www.nevo.co.il/case/27925239"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case/29654251" TargetMode="External"/><Relationship Id="rId23" Type="http://schemas.openxmlformats.org/officeDocument/2006/relationships/hyperlink" Target="http://www.nevo.co.il/law/70301/144" TargetMode="External"/><Relationship Id="rId28" Type="http://schemas.openxmlformats.org/officeDocument/2006/relationships/footer" Target="footer1.xml"/><Relationship Id="rId10" Type="http://schemas.openxmlformats.org/officeDocument/2006/relationships/hyperlink" Target="http://www.nevo.co.il/law/70301/144.b" TargetMode="External"/><Relationship Id="rId19" Type="http://schemas.openxmlformats.org/officeDocument/2006/relationships/hyperlink" Target="http://www.nevo.co.il/case/5724364"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7911655" TargetMode="External"/><Relationship Id="rId22" Type="http://schemas.openxmlformats.org/officeDocument/2006/relationships/hyperlink" Target="http://www.nevo.co.il/case/2747046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2212</Words>
  <Characters>11063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13249</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6357092</vt:i4>
      </vt:variant>
      <vt:variant>
        <vt:i4>51</vt:i4>
      </vt:variant>
      <vt:variant>
        <vt:i4>0</vt:i4>
      </vt:variant>
      <vt:variant>
        <vt:i4>5</vt:i4>
      </vt:variant>
      <vt:variant>
        <vt:lpwstr>http://www.nevo.co.il/law/70301/144</vt:lpwstr>
      </vt:variant>
      <vt:variant>
        <vt:lpwstr/>
      </vt:variant>
      <vt:variant>
        <vt:i4>3145840</vt:i4>
      </vt:variant>
      <vt:variant>
        <vt:i4>48</vt:i4>
      </vt:variant>
      <vt:variant>
        <vt:i4>0</vt:i4>
      </vt:variant>
      <vt:variant>
        <vt:i4>5</vt:i4>
      </vt:variant>
      <vt:variant>
        <vt:lpwstr>http://www.nevo.co.il/case/27470464</vt:lpwstr>
      </vt:variant>
      <vt:variant>
        <vt:lpwstr/>
      </vt:variant>
      <vt:variant>
        <vt:i4>3211380</vt:i4>
      </vt:variant>
      <vt:variant>
        <vt:i4>45</vt:i4>
      </vt:variant>
      <vt:variant>
        <vt:i4>0</vt:i4>
      </vt:variant>
      <vt:variant>
        <vt:i4>5</vt:i4>
      </vt:variant>
      <vt:variant>
        <vt:lpwstr>http://www.nevo.co.il/case/28883087</vt:lpwstr>
      </vt:variant>
      <vt:variant>
        <vt:lpwstr/>
      </vt:variant>
      <vt:variant>
        <vt:i4>3997811</vt:i4>
      </vt:variant>
      <vt:variant>
        <vt:i4>42</vt:i4>
      </vt:variant>
      <vt:variant>
        <vt:i4>0</vt:i4>
      </vt:variant>
      <vt:variant>
        <vt:i4>5</vt:i4>
      </vt:variant>
      <vt:variant>
        <vt:lpwstr>http://www.nevo.co.il/case/27925239</vt:lpwstr>
      </vt:variant>
      <vt:variant>
        <vt:lpwstr/>
      </vt:variant>
      <vt:variant>
        <vt:i4>3145841</vt:i4>
      </vt:variant>
      <vt:variant>
        <vt:i4>39</vt:i4>
      </vt:variant>
      <vt:variant>
        <vt:i4>0</vt:i4>
      </vt:variant>
      <vt:variant>
        <vt:i4>5</vt:i4>
      </vt:variant>
      <vt:variant>
        <vt:lpwstr>http://www.nevo.co.il/case/5724364</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4128881</vt:i4>
      </vt:variant>
      <vt:variant>
        <vt:i4>33</vt:i4>
      </vt:variant>
      <vt:variant>
        <vt:i4>0</vt:i4>
      </vt:variant>
      <vt:variant>
        <vt:i4>5</vt:i4>
      </vt:variant>
      <vt:variant>
        <vt:lpwstr>http://www.nevo.co.il/case/27309272</vt:lpwstr>
      </vt:variant>
      <vt:variant>
        <vt:lpwstr/>
      </vt:variant>
      <vt:variant>
        <vt:i4>3604607</vt:i4>
      </vt:variant>
      <vt:variant>
        <vt:i4>30</vt:i4>
      </vt:variant>
      <vt:variant>
        <vt:i4>0</vt:i4>
      </vt:variant>
      <vt:variant>
        <vt:i4>5</vt:i4>
      </vt:variant>
      <vt:variant>
        <vt:lpwstr>http://www.nevo.co.il/case/28543730</vt:lpwstr>
      </vt:variant>
      <vt:variant>
        <vt:lpwstr/>
      </vt:variant>
      <vt:variant>
        <vt:i4>3473530</vt:i4>
      </vt:variant>
      <vt:variant>
        <vt:i4>27</vt:i4>
      </vt:variant>
      <vt:variant>
        <vt:i4>0</vt:i4>
      </vt:variant>
      <vt:variant>
        <vt:i4>5</vt:i4>
      </vt:variant>
      <vt:variant>
        <vt:lpwstr>http://www.nevo.co.il/case/29654251</vt:lpwstr>
      </vt:variant>
      <vt:variant>
        <vt:lpwstr/>
      </vt:variant>
      <vt:variant>
        <vt:i4>4128884</vt:i4>
      </vt:variant>
      <vt:variant>
        <vt:i4>24</vt:i4>
      </vt:variant>
      <vt:variant>
        <vt:i4>0</vt:i4>
      </vt:variant>
      <vt:variant>
        <vt:i4>5</vt:i4>
      </vt:variant>
      <vt:variant>
        <vt:lpwstr>http://www.nevo.co.il/case/27911655</vt:lpwstr>
      </vt:variant>
      <vt:variant>
        <vt:lpwstr/>
      </vt:variant>
      <vt:variant>
        <vt:i4>3932274</vt:i4>
      </vt:variant>
      <vt:variant>
        <vt:i4>21</vt:i4>
      </vt:variant>
      <vt:variant>
        <vt:i4>0</vt:i4>
      </vt:variant>
      <vt:variant>
        <vt:i4>5</vt:i4>
      </vt:variant>
      <vt:variant>
        <vt:lpwstr>http://www.nevo.co.il/case/29867910</vt:lpwstr>
      </vt:variant>
      <vt:variant>
        <vt:lpwstr/>
      </vt:variant>
      <vt:variant>
        <vt:i4>7995492</vt:i4>
      </vt:variant>
      <vt:variant>
        <vt:i4>18</vt:i4>
      </vt:variant>
      <vt:variant>
        <vt:i4>0</vt:i4>
      </vt:variant>
      <vt:variant>
        <vt:i4>5</vt:i4>
      </vt:variant>
      <vt:variant>
        <vt:lpwstr>http://www.nevo.co.il/law/70301</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2025-01-19T17:07:00Z</dcterms:created>
  <dcterms:modified xsi:type="dcterms:W3CDTF">2025-01-19T17:07:00Z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11033</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מג'די עבאסי</vt:lpwstr>
  </property>
  <property fmtid="{D5CDD505-2E9C-101B-9397-08002B2CF9AE}" pid="10" name="LAWYER">
    <vt:lpwstr>רינת בן יעקב;לאה צמל</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20240604</vt:lpwstr>
  </property>
  <property fmtid="{D5CDD505-2E9C-101B-9397-08002B2CF9AE}" pid="14" name="TYPE_N_DATE">
    <vt:lpwstr>39020240604</vt:lpwstr>
  </property>
  <property fmtid="{D5CDD505-2E9C-101B-9397-08002B2CF9AE}" pid="15" name="CASESLISTTMP1">
    <vt:lpwstr>29867910;27911655;29654251;28543730;27309272;25824863;5724364;27925239;28883087;27470464</vt:lpwstr>
  </property>
  <property fmtid="{D5CDD505-2E9C-101B-9397-08002B2CF9AE}" pid="16" name="WORDNUMPAGES">
    <vt:lpwstr>8</vt:lpwstr>
  </property>
  <property fmtid="{D5CDD505-2E9C-101B-9397-08002B2CF9AE}" pid="17" name="TYPE_ABS_DATE">
    <vt:lpwstr>390020240604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70301/144.b;025;144</vt:lpwstr>
  </property>
</Properties>
</file>