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8557F3" w:rsidRPr="005B77DA" w14:paraId="0F7A8EC5" w14:textId="77777777" w:rsidTr="00457CBC">
        <w:trPr>
          <w:trHeight w:hRule="exact" w:val="418"/>
          <w:jc w:val="center"/>
        </w:trPr>
        <w:tc>
          <w:tcPr>
            <w:tcW w:w="8721" w:type="dxa"/>
            <w:gridSpan w:val="2"/>
          </w:tcPr>
          <w:p w14:paraId="1C4EA0C6" w14:textId="77777777" w:rsidR="008557F3" w:rsidRPr="005B77DA" w:rsidRDefault="008557F3" w:rsidP="000C1BA0">
            <w:pPr>
              <w:pStyle w:val="a3"/>
              <w:jc w:val="center"/>
              <w:rPr>
                <w:rFonts w:ascii="Tahoma" w:hAnsi="Tahoma" w:cs="Tahoma"/>
                <w:color w:val="000080"/>
                <w:rtl/>
              </w:rPr>
            </w:pPr>
            <w:bookmarkStart w:id="0" w:name="LastJudge"/>
            <w:r w:rsidRPr="005B77DA">
              <w:rPr>
                <w:rFonts w:ascii="Tahoma" w:hAnsi="Tahoma" w:cs="Tahoma"/>
                <w:b/>
                <w:bCs/>
                <w:color w:val="000080"/>
                <w:rtl/>
              </w:rPr>
              <w:t>בית המשפט המחוזי בירושלים</w:t>
            </w:r>
          </w:p>
        </w:tc>
      </w:tr>
      <w:tr w:rsidR="008557F3" w:rsidRPr="005B77DA" w14:paraId="3C6B60FD" w14:textId="77777777" w:rsidTr="00457CBC">
        <w:trPr>
          <w:trHeight w:val="337"/>
          <w:jc w:val="center"/>
        </w:trPr>
        <w:tc>
          <w:tcPr>
            <w:tcW w:w="5058" w:type="dxa"/>
          </w:tcPr>
          <w:p w14:paraId="6BC3CFF0" w14:textId="77777777" w:rsidR="008557F3" w:rsidRPr="005B77DA" w:rsidRDefault="008557F3" w:rsidP="000C1BA0">
            <w:pPr>
              <w:rPr>
                <w:rFonts w:cs="FrankRuehl"/>
                <w:sz w:val="28"/>
                <w:szCs w:val="28"/>
                <w:rtl/>
              </w:rPr>
            </w:pPr>
            <w:r w:rsidRPr="005B77DA">
              <w:rPr>
                <w:rFonts w:cs="FrankRuehl"/>
                <w:sz w:val="28"/>
                <w:szCs w:val="28"/>
                <w:rtl/>
              </w:rPr>
              <w:t>ת"פ</w:t>
            </w:r>
            <w:r w:rsidRPr="005B77DA">
              <w:rPr>
                <w:rFonts w:cs="FrankRuehl" w:hint="cs"/>
                <w:sz w:val="28"/>
                <w:szCs w:val="28"/>
                <w:rtl/>
              </w:rPr>
              <w:t xml:space="preserve"> </w:t>
            </w:r>
            <w:r w:rsidRPr="005B77DA">
              <w:rPr>
                <w:rFonts w:cs="FrankRuehl"/>
                <w:sz w:val="28"/>
                <w:szCs w:val="28"/>
                <w:rtl/>
              </w:rPr>
              <w:t>1580-11-23</w:t>
            </w:r>
            <w:r w:rsidRPr="005B77DA">
              <w:rPr>
                <w:rFonts w:cs="FrankRuehl" w:hint="cs"/>
                <w:sz w:val="28"/>
                <w:szCs w:val="28"/>
                <w:rtl/>
              </w:rPr>
              <w:t xml:space="preserve"> </w:t>
            </w:r>
            <w:r w:rsidRPr="005B77DA">
              <w:rPr>
                <w:rFonts w:cs="FrankRuehl"/>
                <w:sz w:val="28"/>
                <w:szCs w:val="28"/>
                <w:rtl/>
              </w:rPr>
              <w:t>מדינת ישראל נ' דאהר(עציר)</w:t>
            </w:r>
          </w:p>
          <w:p w14:paraId="520D291E" w14:textId="77777777" w:rsidR="008557F3" w:rsidRPr="005B77DA" w:rsidRDefault="008557F3" w:rsidP="000C1BA0">
            <w:pPr>
              <w:pStyle w:val="a3"/>
              <w:rPr>
                <w:rFonts w:cs="FrankRuehl"/>
                <w:sz w:val="28"/>
                <w:szCs w:val="28"/>
                <w:rtl/>
              </w:rPr>
            </w:pPr>
          </w:p>
        </w:tc>
        <w:tc>
          <w:tcPr>
            <w:tcW w:w="3663" w:type="dxa"/>
          </w:tcPr>
          <w:p w14:paraId="5DEF3259" w14:textId="77777777" w:rsidR="008557F3" w:rsidRPr="005B77DA" w:rsidRDefault="008557F3" w:rsidP="000C1BA0">
            <w:pPr>
              <w:pStyle w:val="a3"/>
              <w:jc w:val="right"/>
              <w:rPr>
                <w:rFonts w:cs="FrankRuehl"/>
                <w:sz w:val="28"/>
                <w:szCs w:val="28"/>
                <w:rtl/>
              </w:rPr>
            </w:pPr>
          </w:p>
        </w:tc>
      </w:tr>
    </w:tbl>
    <w:p w14:paraId="7E74AFE2" w14:textId="77777777" w:rsidR="008557F3" w:rsidRPr="005B77DA" w:rsidRDefault="008557F3" w:rsidP="00457CBC">
      <w:pPr>
        <w:pStyle w:val="a3"/>
        <w:rPr>
          <w:rtl/>
        </w:rPr>
      </w:pPr>
      <w:r w:rsidRPr="005B77DA">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8557F3" w:rsidRPr="005B77DA" w14:paraId="74D4A469" w14:textId="77777777" w:rsidTr="008557F3">
        <w:trPr>
          <w:trHeight w:val="295"/>
          <w:jc w:val="center"/>
        </w:trPr>
        <w:tc>
          <w:tcPr>
            <w:tcW w:w="923" w:type="dxa"/>
            <w:tcBorders>
              <w:top w:val="nil"/>
              <w:left w:val="nil"/>
              <w:bottom w:val="nil"/>
              <w:right w:val="nil"/>
            </w:tcBorders>
            <w:shd w:val="clear" w:color="auto" w:fill="auto"/>
          </w:tcPr>
          <w:p w14:paraId="5D8C7978" w14:textId="77777777" w:rsidR="008557F3" w:rsidRPr="005B77DA" w:rsidRDefault="008557F3" w:rsidP="008557F3">
            <w:pPr>
              <w:jc w:val="both"/>
              <w:rPr>
                <w:rFonts w:ascii="David" w:hAnsi="David"/>
                <w:sz w:val="26"/>
                <w:szCs w:val="26"/>
              </w:rPr>
            </w:pPr>
            <w:r w:rsidRPr="005B77DA">
              <w:rPr>
                <w:rFonts w:ascii="David" w:hAnsi="David" w:hint="cs"/>
                <w:sz w:val="26"/>
                <w:szCs w:val="26"/>
                <w:rtl/>
              </w:rPr>
              <w:t>ל</w:t>
            </w:r>
            <w:r w:rsidRPr="005B77DA">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711CE0E9" w14:textId="77777777" w:rsidR="008557F3" w:rsidRPr="005B77DA" w:rsidRDefault="008557F3" w:rsidP="000C1BA0">
            <w:pPr>
              <w:rPr>
                <w:rFonts w:ascii="David" w:hAnsi="David"/>
                <w:b/>
                <w:bCs/>
                <w:sz w:val="26"/>
                <w:szCs w:val="26"/>
                <w:rtl/>
              </w:rPr>
            </w:pPr>
            <w:r w:rsidRPr="005B77DA">
              <w:rPr>
                <w:rFonts w:ascii="David" w:hAnsi="David"/>
                <w:b/>
                <w:bCs/>
                <w:sz w:val="26"/>
                <w:szCs w:val="26"/>
                <w:rtl/>
              </w:rPr>
              <w:t>כבוד השופט  אוהד גורדון</w:t>
            </w:r>
          </w:p>
          <w:p w14:paraId="7BED2F32" w14:textId="77777777" w:rsidR="008557F3" w:rsidRPr="005B77DA" w:rsidRDefault="008557F3" w:rsidP="000C1BA0">
            <w:pPr>
              <w:rPr>
                <w:rFonts w:ascii="David" w:hAnsi="David"/>
                <w:sz w:val="26"/>
                <w:szCs w:val="26"/>
                <w:rtl/>
              </w:rPr>
            </w:pPr>
          </w:p>
          <w:p w14:paraId="55388860" w14:textId="77777777" w:rsidR="008557F3" w:rsidRPr="005B77DA" w:rsidRDefault="008557F3" w:rsidP="008557F3">
            <w:pPr>
              <w:jc w:val="both"/>
              <w:rPr>
                <w:rFonts w:ascii="David" w:hAnsi="David"/>
                <w:sz w:val="26"/>
                <w:szCs w:val="26"/>
              </w:rPr>
            </w:pPr>
          </w:p>
        </w:tc>
      </w:tr>
      <w:tr w:rsidR="008557F3" w:rsidRPr="005B77DA" w14:paraId="1D43FB9E" w14:textId="77777777" w:rsidTr="008557F3">
        <w:trPr>
          <w:trHeight w:val="355"/>
          <w:jc w:val="center"/>
        </w:trPr>
        <w:tc>
          <w:tcPr>
            <w:tcW w:w="923" w:type="dxa"/>
            <w:tcBorders>
              <w:top w:val="nil"/>
              <w:left w:val="nil"/>
              <w:bottom w:val="nil"/>
              <w:right w:val="nil"/>
            </w:tcBorders>
            <w:shd w:val="clear" w:color="auto" w:fill="auto"/>
          </w:tcPr>
          <w:p w14:paraId="1CB452AC" w14:textId="77777777" w:rsidR="008557F3" w:rsidRPr="005B77DA" w:rsidRDefault="008557F3" w:rsidP="008557F3">
            <w:pPr>
              <w:jc w:val="both"/>
              <w:rPr>
                <w:rFonts w:ascii="David" w:hAnsi="David"/>
                <w:sz w:val="26"/>
                <w:szCs w:val="26"/>
              </w:rPr>
            </w:pPr>
            <w:bookmarkStart w:id="1" w:name="FirstAppellant"/>
            <w:r w:rsidRPr="005B77DA">
              <w:rPr>
                <w:rFonts w:ascii="David" w:hAnsi="David"/>
                <w:sz w:val="26"/>
                <w:szCs w:val="26"/>
                <w:rtl/>
              </w:rPr>
              <w:t>בעניין:</w:t>
            </w:r>
          </w:p>
        </w:tc>
        <w:tc>
          <w:tcPr>
            <w:tcW w:w="3219" w:type="dxa"/>
            <w:tcBorders>
              <w:top w:val="nil"/>
              <w:left w:val="nil"/>
              <w:bottom w:val="nil"/>
              <w:right w:val="nil"/>
            </w:tcBorders>
            <w:shd w:val="clear" w:color="auto" w:fill="auto"/>
          </w:tcPr>
          <w:p w14:paraId="4CD45425" w14:textId="77777777" w:rsidR="008557F3" w:rsidRPr="005B77DA" w:rsidRDefault="008557F3" w:rsidP="008557F3">
            <w:pPr>
              <w:suppressLineNumbers/>
            </w:pPr>
            <w:r w:rsidRPr="005B77DA">
              <w:rPr>
                <w:rFonts w:ascii="Arial" w:hAnsi="Arial" w:hint="cs"/>
                <w:b/>
                <w:bCs/>
                <w:sz w:val="26"/>
                <w:szCs w:val="26"/>
                <w:rtl/>
              </w:rPr>
              <w:t>ה</w:t>
            </w:r>
            <w:r w:rsidRPr="005B77DA">
              <w:rPr>
                <w:rFonts w:ascii="Arial" w:hAnsi="Arial"/>
                <w:b/>
                <w:bCs/>
                <w:sz w:val="26"/>
                <w:szCs w:val="26"/>
                <w:rtl/>
              </w:rPr>
              <w:t>מאשימה</w:t>
            </w:r>
          </w:p>
          <w:p w14:paraId="08ACEA1C" w14:textId="77777777" w:rsidR="008557F3" w:rsidRPr="005B77DA" w:rsidRDefault="008557F3" w:rsidP="000C1BA0">
            <w:pPr>
              <w:rPr>
                <w:rFonts w:ascii="David" w:hAnsi="David"/>
                <w:sz w:val="26"/>
                <w:szCs w:val="26"/>
              </w:rPr>
            </w:pPr>
          </w:p>
        </w:tc>
        <w:tc>
          <w:tcPr>
            <w:tcW w:w="4678" w:type="dxa"/>
            <w:tcBorders>
              <w:top w:val="nil"/>
              <w:left w:val="nil"/>
              <w:bottom w:val="nil"/>
              <w:right w:val="nil"/>
            </w:tcBorders>
            <w:shd w:val="clear" w:color="auto" w:fill="auto"/>
            <w:vAlign w:val="center"/>
          </w:tcPr>
          <w:p w14:paraId="6C9DDF67" w14:textId="77777777" w:rsidR="008557F3" w:rsidRPr="005B77DA" w:rsidRDefault="008557F3" w:rsidP="008557F3">
            <w:pPr>
              <w:suppressLineNumbers/>
              <w:rPr>
                <w:rFonts w:ascii="Arial" w:hAnsi="Arial"/>
                <w:b/>
                <w:bCs/>
                <w:sz w:val="26"/>
                <w:szCs w:val="26"/>
                <w:rtl/>
              </w:rPr>
            </w:pPr>
            <w:r w:rsidRPr="005B77DA">
              <w:rPr>
                <w:rFonts w:ascii="Arial" w:hAnsi="Arial"/>
                <w:b/>
                <w:bCs/>
                <w:sz w:val="26"/>
                <w:szCs w:val="26"/>
                <w:rtl/>
              </w:rPr>
              <w:t>מדינת ישראל</w:t>
            </w:r>
            <w:r w:rsidRPr="005B77DA">
              <w:rPr>
                <w:rFonts w:ascii="Arial" w:hAnsi="Arial" w:hint="cs"/>
                <w:b/>
                <w:bCs/>
                <w:sz w:val="26"/>
                <w:szCs w:val="26"/>
                <w:rtl/>
              </w:rPr>
              <w:t xml:space="preserve"> </w:t>
            </w:r>
          </w:p>
          <w:p w14:paraId="7F906B33" w14:textId="77777777" w:rsidR="008557F3" w:rsidRPr="005B77DA" w:rsidRDefault="008557F3" w:rsidP="008557F3">
            <w:pPr>
              <w:suppressLineNumbers/>
            </w:pPr>
            <w:r w:rsidRPr="005B77DA">
              <w:rPr>
                <w:rFonts w:ascii="Arial" w:hAnsi="Arial"/>
                <w:b/>
                <w:bCs/>
                <w:sz w:val="26"/>
                <w:szCs w:val="26"/>
                <w:rtl/>
              </w:rPr>
              <w:t xml:space="preserve">ע"י </w:t>
            </w:r>
            <w:r w:rsidRPr="005B77DA">
              <w:rPr>
                <w:rFonts w:ascii="Arial" w:hAnsi="Arial" w:hint="cs"/>
                <w:b/>
                <w:bCs/>
                <w:sz w:val="26"/>
                <w:szCs w:val="26"/>
                <w:rtl/>
              </w:rPr>
              <w:t xml:space="preserve">פרקליטות מחוז ירושלים </w:t>
            </w:r>
            <w:r w:rsidRPr="005B77DA">
              <w:rPr>
                <w:rFonts w:ascii="Arial" w:hAnsi="Arial"/>
                <w:b/>
                <w:bCs/>
                <w:sz w:val="26"/>
                <w:szCs w:val="26"/>
                <w:rtl/>
              </w:rPr>
              <w:t>–</w:t>
            </w:r>
            <w:r w:rsidRPr="005B77DA">
              <w:rPr>
                <w:rFonts w:ascii="Arial" w:hAnsi="Arial" w:hint="cs"/>
                <w:b/>
                <w:bCs/>
                <w:sz w:val="26"/>
                <w:szCs w:val="26"/>
                <w:rtl/>
              </w:rPr>
              <w:t xml:space="preserve"> עו"ד ש' עציון ועו"ד ב' אדרת </w:t>
            </w:r>
          </w:p>
          <w:p w14:paraId="626D7C3C" w14:textId="77777777" w:rsidR="008557F3" w:rsidRPr="005B77DA" w:rsidRDefault="008557F3" w:rsidP="000C1BA0">
            <w:pPr>
              <w:rPr>
                <w:rFonts w:ascii="David" w:hAnsi="David"/>
                <w:sz w:val="26"/>
                <w:szCs w:val="26"/>
              </w:rPr>
            </w:pPr>
          </w:p>
        </w:tc>
      </w:tr>
      <w:bookmarkEnd w:id="1"/>
      <w:tr w:rsidR="008557F3" w:rsidRPr="005B77DA" w14:paraId="6BFF08F7" w14:textId="77777777" w:rsidTr="008557F3">
        <w:trPr>
          <w:trHeight w:val="355"/>
          <w:jc w:val="center"/>
        </w:trPr>
        <w:tc>
          <w:tcPr>
            <w:tcW w:w="923" w:type="dxa"/>
            <w:tcBorders>
              <w:top w:val="nil"/>
              <w:left w:val="nil"/>
              <w:bottom w:val="nil"/>
              <w:right w:val="nil"/>
            </w:tcBorders>
            <w:shd w:val="clear" w:color="auto" w:fill="auto"/>
          </w:tcPr>
          <w:p w14:paraId="54188C80" w14:textId="77777777" w:rsidR="008557F3" w:rsidRPr="005B77DA" w:rsidRDefault="008557F3" w:rsidP="008557F3">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4CD2FBDE" w14:textId="77777777" w:rsidR="008557F3" w:rsidRPr="005B77DA" w:rsidRDefault="008557F3" w:rsidP="008557F3">
            <w:pPr>
              <w:jc w:val="center"/>
              <w:rPr>
                <w:rFonts w:ascii="David" w:hAnsi="David"/>
                <w:b/>
                <w:bCs/>
                <w:sz w:val="26"/>
                <w:szCs w:val="26"/>
                <w:rtl/>
              </w:rPr>
            </w:pPr>
          </w:p>
          <w:p w14:paraId="551546AB" w14:textId="77777777" w:rsidR="008557F3" w:rsidRPr="005B77DA" w:rsidRDefault="008557F3" w:rsidP="008557F3">
            <w:pPr>
              <w:jc w:val="center"/>
              <w:rPr>
                <w:rFonts w:ascii="David" w:hAnsi="David"/>
                <w:b/>
                <w:bCs/>
                <w:sz w:val="26"/>
                <w:szCs w:val="26"/>
                <w:rtl/>
              </w:rPr>
            </w:pPr>
            <w:r w:rsidRPr="005B77DA">
              <w:rPr>
                <w:rFonts w:ascii="David" w:hAnsi="David"/>
                <w:b/>
                <w:bCs/>
                <w:sz w:val="26"/>
                <w:szCs w:val="26"/>
                <w:rtl/>
              </w:rPr>
              <w:t>נגד</w:t>
            </w:r>
          </w:p>
          <w:p w14:paraId="2C44F1DA" w14:textId="77777777" w:rsidR="008557F3" w:rsidRPr="005B77DA" w:rsidRDefault="008557F3" w:rsidP="008557F3">
            <w:pPr>
              <w:jc w:val="both"/>
              <w:rPr>
                <w:rFonts w:ascii="David" w:hAnsi="David"/>
                <w:sz w:val="26"/>
                <w:szCs w:val="26"/>
              </w:rPr>
            </w:pPr>
          </w:p>
        </w:tc>
      </w:tr>
      <w:tr w:rsidR="008557F3" w:rsidRPr="005B77DA" w14:paraId="5AE4FFAC" w14:textId="77777777" w:rsidTr="008557F3">
        <w:trPr>
          <w:trHeight w:val="355"/>
          <w:jc w:val="center"/>
        </w:trPr>
        <w:tc>
          <w:tcPr>
            <w:tcW w:w="923" w:type="dxa"/>
            <w:tcBorders>
              <w:top w:val="nil"/>
              <w:left w:val="nil"/>
              <w:bottom w:val="nil"/>
              <w:right w:val="nil"/>
            </w:tcBorders>
            <w:shd w:val="clear" w:color="auto" w:fill="auto"/>
          </w:tcPr>
          <w:p w14:paraId="3207E497" w14:textId="77777777" w:rsidR="008557F3" w:rsidRPr="005B77DA" w:rsidRDefault="008557F3" w:rsidP="000C1BA0">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73D94E3E" w14:textId="77777777" w:rsidR="008557F3" w:rsidRPr="005B77DA" w:rsidRDefault="008557F3" w:rsidP="000C1BA0">
            <w:pPr>
              <w:rPr>
                <w:rFonts w:ascii="Arial" w:hAnsi="Arial"/>
                <w:b/>
                <w:bCs/>
                <w:sz w:val="26"/>
                <w:szCs w:val="26"/>
                <w:rtl/>
              </w:rPr>
            </w:pPr>
            <w:r w:rsidRPr="005B77DA">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729B951C" w14:textId="77777777" w:rsidR="008557F3" w:rsidRPr="005B77DA" w:rsidRDefault="008557F3" w:rsidP="008557F3">
            <w:pPr>
              <w:suppressLineNumbers/>
              <w:rPr>
                <w:rFonts w:ascii="Arial" w:hAnsi="Arial"/>
                <w:b/>
                <w:bCs/>
                <w:sz w:val="26"/>
                <w:szCs w:val="26"/>
                <w:rtl/>
              </w:rPr>
            </w:pPr>
            <w:r w:rsidRPr="005B77DA">
              <w:rPr>
                <w:rFonts w:ascii="Arial" w:hAnsi="Arial"/>
                <w:b/>
                <w:bCs/>
                <w:sz w:val="26"/>
                <w:szCs w:val="26"/>
                <w:rtl/>
              </w:rPr>
              <w:t>סאמר דאהר (עציר)</w:t>
            </w:r>
            <w:r w:rsidRPr="005B77DA">
              <w:rPr>
                <w:rFonts w:ascii="Arial" w:hAnsi="Arial" w:hint="cs"/>
                <w:b/>
                <w:bCs/>
                <w:sz w:val="26"/>
                <w:szCs w:val="26"/>
                <w:rtl/>
              </w:rPr>
              <w:t xml:space="preserve"> </w:t>
            </w:r>
          </w:p>
          <w:p w14:paraId="55B44549" w14:textId="77777777" w:rsidR="008557F3" w:rsidRPr="005B77DA" w:rsidRDefault="008557F3" w:rsidP="008557F3">
            <w:pPr>
              <w:suppressLineNumbers/>
            </w:pPr>
            <w:r w:rsidRPr="005B77DA">
              <w:rPr>
                <w:rFonts w:ascii="Arial" w:hAnsi="Arial"/>
                <w:b/>
                <w:bCs/>
                <w:sz w:val="26"/>
                <w:szCs w:val="26"/>
                <w:rtl/>
              </w:rPr>
              <w:t>ע"י ב"כ עו</w:t>
            </w:r>
            <w:r w:rsidRPr="005B77DA">
              <w:rPr>
                <w:rFonts w:ascii="Arial" w:hAnsi="Arial" w:hint="cs"/>
                <w:b/>
                <w:bCs/>
                <w:sz w:val="26"/>
                <w:szCs w:val="26"/>
                <w:rtl/>
              </w:rPr>
              <w:t>"ד ע' מוחמדיה</w:t>
            </w:r>
          </w:p>
          <w:p w14:paraId="7FD2F3EE" w14:textId="77777777" w:rsidR="008557F3" w:rsidRPr="005B77DA" w:rsidRDefault="008557F3" w:rsidP="000C1BA0">
            <w:pPr>
              <w:rPr>
                <w:rFonts w:ascii="David" w:hAnsi="David"/>
                <w:sz w:val="26"/>
                <w:szCs w:val="26"/>
              </w:rPr>
            </w:pPr>
          </w:p>
        </w:tc>
      </w:tr>
      <w:bookmarkEnd w:id="2"/>
    </w:tbl>
    <w:p w14:paraId="1E316066" w14:textId="77777777" w:rsidR="005B77DA" w:rsidRPr="005B77DA" w:rsidRDefault="005B77DA" w:rsidP="005B77DA">
      <w:pPr>
        <w:rPr>
          <w:sz w:val="26"/>
          <w:szCs w:val="26"/>
          <w:rtl/>
        </w:rPr>
      </w:pPr>
    </w:p>
    <w:p w14:paraId="674BE6A5" w14:textId="77777777" w:rsidR="00457CBC" w:rsidRPr="00457CBC" w:rsidRDefault="00457CBC" w:rsidP="00457CBC">
      <w:pPr>
        <w:spacing w:before="120" w:after="120" w:line="240" w:lineRule="exact"/>
        <w:ind w:left="283" w:hanging="283"/>
        <w:jc w:val="both"/>
        <w:rPr>
          <w:rFonts w:ascii="FrankRuehl" w:hAnsi="FrankRuehl" w:cs="FrankRuehl"/>
          <w:rtl/>
        </w:rPr>
      </w:pPr>
      <w:bookmarkStart w:id="3" w:name="LawTable"/>
      <w:bookmarkEnd w:id="3"/>
    </w:p>
    <w:p w14:paraId="65DC2D9E" w14:textId="77777777" w:rsidR="00457CBC" w:rsidRPr="00457CBC" w:rsidRDefault="00457CBC" w:rsidP="00457CBC">
      <w:pPr>
        <w:spacing w:before="120" w:after="120" w:line="240" w:lineRule="exact"/>
        <w:ind w:left="283" w:hanging="283"/>
        <w:jc w:val="both"/>
        <w:rPr>
          <w:rFonts w:ascii="FrankRuehl" w:hAnsi="FrankRuehl" w:cs="FrankRuehl"/>
          <w:rtl/>
        </w:rPr>
      </w:pPr>
      <w:r w:rsidRPr="00457CBC">
        <w:rPr>
          <w:rFonts w:ascii="FrankRuehl" w:hAnsi="FrankRuehl" w:cs="FrankRuehl"/>
          <w:rtl/>
        </w:rPr>
        <w:t xml:space="preserve">חקיקה שאוזכרה: </w:t>
      </w:r>
    </w:p>
    <w:p w14:paraId="4ACEF2E5" w14:textId="77777777" w:rsidR="00457CBC" w:rsidRPr="00457CBC" w:rsidRDefault="00457CBC" w:rsidP="00457CBC">
      <w:pPr>
        <w:spacing w:before="120" w:after="120" w:line="240" w:lineRule="exact"/>
        <w:ind w:left="283" w:hanging="283"/>
        <w:jc w:val="both"/>
        <w:rPr>
          <w:rFonts w:ascii="FrankRuehl" w:hAnsi="FrankRuehl" w:cs="FrankRuehl"/>
          <w:color w:val="0000FF"/>
          <w:rtl/>
        </w:rPr>
      </w:pPr>
      <w:hyperlink r:id="rId7" w:history="1">
        <w:r w:rsidRPr="00457CBC">
          <w:rPr>
            <w:rStyle w:val="Hyperlink"/>
            <w:rFonts w:ascii="FrankRuehl" w:hAnsi="FrankRuehl" w:cs="FrankRuehl"/>
            <w:u w:val="none"/>
            <w:rtl/>
          </w:rPr>
          <w:t>חוק העונשין, תשל"ז-1977</w:t>
        </w:r>
      </w:hyperlink>
      <w:r w:rsidRPr="00457CBC">
        <w:rPr>
          <w:rFonts w:ascii="FrankRuehl" w:hAnsi="FrankRuehl" w:cs="FrankRuehl"/>
          <w:color w:val="0000FF"/>
          <w:rtl/>
        </w:rPr>
        <w:t xml:space="preserve">: סע'  </w:t>
      </w:r>
      <w:hyperlink r:id="rId8" w:history="1">
        <w:r w:rsidRPr="00457CBC">
          <w:rPr>
            <w:rStyle w:val="Hyperlink"/>
            <w:rFonts w:ascii="FrankRuehl" w:hAnsi="FrankRuehl" w:cs="FrankRuehl"/>
            <w:u w:val="none"/>
          </w:rPr>
          <w:t>40</w:t>
        </w:r>
        <w:r w:rsidRPr="00457CBC">
          <w:rPr>
            <w:rStyle w:val="Hyperlink"/>
            <w:rFonts w:ascii="FrankRuehl" w:hAnsi="FrankRuehl" w:cs="FrankRuehl"/>
            <w:u w:val="none"/>
            <w:rtl/>
          </w:rPr>
          <w:t>י</w:t>
        </w:r>
      </w:hyperlink>
      <w:r w:rsidRPr="00457CBC">
        <w:rPr>
          <w:rFonts w:ascii="FrankRuehl" w:hAnsi="FrankRuehl" w:cs="FrankRuehl"/>
          <w:color w:val="0000FF"/>
          <w:rtl/>
        </w:rPr>
        <w:t xml:space="preserve">(ב)(1), </w:t>
      </w:r>
      <w:hyperlink r:id="rId9" w:history="1">
        <w:r w:rsidRPr="00457CBC">
          <w:rPr>
            <w:rStyle w:val="Hyperlink"/>
            <w:rFonts w:ascii="FrankRuehl" w:hAnsi="FrankRuehl" w:cs="FrankRuehl"/>
            <w:u w:val="none"/>
          </w:rPr>
          <w:t>40</w:t>
        </w:r>
        <w:r w:rsidRPr="00457CBC">
          <w:rPr>
            <w:rStyle w:val="Hyperlink"/>
            <w:rFonts w:ascii="FrankRuehl" w:hAnsi="FrankRuehl" w:cs="FrankRuehl"/>
            <w:u w:val="none"/>
            <w:rtl/>
          </w:rPr>
          <w:t>י</w:t>
        </w:r>
      </w:hyperlink>
      <w:r w:rsidRPr="00457CBC">
        <w:rPr>
          <w:rFonts w:ascii="FrankRuehl" w:hAnsi="FrankRuehl" w:cs="FrankRuehl"/>
          <w:color w:val="0000FF"/>
          <w:rtl/>
        </w:rPr>
        <w:t xml:space="preserve">(ד), </w:t>
      </w:r>
      <w:hyperlink r:id="rId10" w:history="1">
        <w:r w:rsidRPr="00457CBC">
          <w:rPr>
            <w:rStyle w:val="Hyperlink"/>
            <w:rFonts w:ascii="FrankRuehl" w:hAnsi="FrankRuehl" w:cs="FrankRuehl"/>
            <w:u w:val="none"/>
          </w:rPr>
          <w:t>144</w:t>
        </w:r>
      </w:hyperlink>
      <w:r w:rsidRPr="00457CBC">
        <w:rPr>
          <w:rFonts w:ascii="FrankRuehl" w:hAnsi="FrankRuehl" w:cs="FrankRuehl"/>
          <w:color w:val="0000FF"/>
          <w:rtl/>
        </w:rPr>
        <w:t xml:space="preserve">, </w:t>
      </w:r>
      <w:hyperlink r:id="rId11" w:history="1">
        <w:r w:rsidRPr="00457CBC">
          <w:rPr>
            <w:rStyle w:val="Hyperlink"/>
            <w:rFonts w:ascii="FrankRuehl" w:hAnsi="FrankRuehl" w:cs="FrankRuehl"/>
            <w:u w:val="none"/>
          </w:rPr>
          <w:t>144</w:t>
        </w:r>
      </w:hyperlink>
      <w:r w:rsidRPr="00457CBC">
        <w:rPr>
          <w:rFonts w:ascii="FrankRuehl" w:hAnsi="FrankRuehl" w:cs="FrankRuehl"/>
          <w:color w:val="0000FF"/>
          <w:rtl/>
        </w:rPr>
        <w:t xml:space="preserve">(א), </w:t>
      </w:r>
      <w:hyperlink r:id="rId12" w:history="1">
        <w:r w:rsidRPr="00457CBC">
          <w:rPr>
            <w:rStyle w:val="Hyperlink"/>
            <w:rFonts w:ascii="FrankRuehl" w:hAnsi="FrankRuehl" w:cs="FrankRuehl"/>
            <w:u w:val="none"/>
          </w:rPr>
          <w:t>340</w:t>
        </w:r>
        <w:r w:rsidRPr="00457CBC">
          <w:rPr>
            <w:rStyle w:val="Hyperlink"/>
            <w:rFonts w:ascii="FrankRuehl" w:hAnsi="FrankRuehl" w:cs="FrankRuehl"/>
            <w:u w:val="none"/>
            <w:rtl/>
          </w:rPr>
          <w:t>א</w:t>
        </w:r>
      </w:hyperlink>
      <w:r w:rsidRPr="00457CBC">
        <w:rPr>
          <w:rFonts w:ascii="FrankRuehl" w:hAnsi="FrankRuehl" w:cs="FrankRuehl"/>
          <w:color w:val="0000FF"/>
          <w:rtl/>
        </w:rPr>
        <w:t xml:space="preserve">, </w:t>
      </w:r>
      <w:hyperlink r:id="rId13" w:history="1">
        <w:r w:rsidRPr="00457CBC">
          <w:rPr>
            <w:rStyle w:val="Hyperlink"/>
            <w:rFonts w:ascii="FrankRuehl" w:hAnsi="FrankRuehl" w:cs="FrankRuehl"/>
            <w:u w:val="none"/>
          </w:rPr>
          <w:t>340</w:t>
        </w:r>
        <w:r w:rsidRPr="00457CBC">
          <w:rPr>
            <w:rStyle w:val="Hyperlink"/>
            <w:rFonts w:ascii="FrankRuehl" w:hAnsi="FrankRuehl" w:cs="FrankRuehl"/>
            <w:u w:val="none"/>
            <w:rtl/>
          </w:rPr>
          <w:t>א</w:t>
        </w:r>
      </w:hyperlink>
      <w:r w:rsidRPr="00457CBC">
        <w:rPr>
          <w:rFonts w:ascii="FrankRuehl" w:hAnsi="FrankRuehl" w:cs="FrankRuehl"/>
          <w:color w:val="0000FF"/>
          <w:rtl/>
        </w:rPr>
        <w:t xml:space="preserve">(א), </w:t>
      </w:r>
      <w:hyperlink r:id="rId14" w:history="1">
        <w:r w:rsidRPr="00457CBC">
          <w:rPr>
            <w:rStyle w:val="Hyperlink"/>
            <w:rFonts w:ascii="FrankRuehl" w:hAnsi="FrankRuehl" w:cs="FrankRuehl"/>
            <w:u w:val="none"/>
          </w:rPr>
          <w:t>340</w:t>
        </w:r>
        <w:r w:rsidRPr="00457CBC">
          <w:rPr>
            <w:rStyle w:val="Hyperlink"/>
            <w:rFonts w:ascii="FrankRuehl" w:hAnsi="FrankRuehl" w:cs="FrankRuehl"/>
            <w:u w:val="none"/>
            <w:rtl/>
          </w:rPr>
          <w:t>א</w:t>
        </w:r>
      </w:hyperlink>
      <w:r w:rsidRPr="00457CBC">
        <w:rPr>
          <w:rFonts w:ascii="FrankRuehl" w:hAnsi="FrankRuehl" w:cs="FrankRuehl"/>
          <w:color w:val="0000FF"/>
          <w:rtl/>
        </w:rPr>
        <w:t>(ב)(1)</w:t>
      </w:r>
    </w:p>
    <w:p w14:paraId="004915A2" w14:textId="77777777" w:rsidR="008557F3" w:rsidRDefault="008557F3" w:rsidP="00457CBC">
      <w:pPr>
        <w:rPr>
          <w:rFonts w:hint="cs"/>
          <w:sz w:val="26"/>
          <w:szCs w:val="26"/>
          <w:rtl/>
        </w:rPr>
      </w:pPr>
      <w:bookmarkStart w:id="4" w:name="LawTable_End"/>
      <w:bookmarkEnd w:id="4"/>
    </w:p>
    <w:p w14:paraId="0ECFA48C" w14:textId="77777777" w:rsidR="00457CBC" w:rsidRDefault="00457CBC" w:rsidP="00457CBC">
      <w:pPr>
        <w:rPr>
          <w:rFonts w:hint="cs"/>
          <w:sz w:val="26"/>
          <w:szCs w:val="26"/>
          <w:rtl/>
        </w:rPr>
      </w:pPr>
    </w:p>
    <w:p w14:paraId="4EE84748" w14:textId="77777777" w:rsidR="00457CBC" w:rsidRPr="00457CBC" w:rsidRDefault="00457CBC" w:rsidP="00457CBC">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557F3" w:rsidRPr="009527E9" w14:paraId="7C56ED29" w14:textId="77777777" w:rsidTr="008557F3">
        <w:trPr>
          <w:trHeight w:val="355"/>
          <w:jc w:val="center"/>
        </w:trPr>
        <w:tc>
          <w:tcPr>
            <w:tcW w:w="8820" w:type="dxa"/>
            <w:tcBorders>
              <w:top w:val="nil"/>
              <w:left w:val="nil"/>
              <w:bottom w:val="nil"/>
              <w:right w:val="nil"/>
            </w:tcBorders>
            <w:shd w:val="clear" w:color="auto" w:fill="auto"/>
          </w:tcPr>
          <w:p w14:paraId="400374BF" w14:textId="77777777" w:rsidR="005B77DA" w:rsidRPr="005B77DA" w:rsidRDefault="005B77DA" w:rsidP="005B77DA">
            <w:pPr>
              <w:jc w:val="center"/>
              <w:rPr>
                <w:rFonts w:ascii="David" w:hAnsi="David"/>
                <w:b/>
                <w:bCs/>
                <w:sz w:val="32"/>
                <w:szCs w:val="32"/>
                <w:u w:val="single"/>
                <w:rtl/>
              </w:rPr>
            </w:pPr>
            <w:bookmarkStart w:id="5" w:name="PsakDin" w:colFirst="0" w:colLast="0"/>
            <w:bookmarkEnd w:id="0"/>
            <w:r w:rsidRPr="005B77DA">
              <w:rPr>
                <w:rFonts w:ascii="David" w:hAnsi="David"/>
                <w:b/>
                <w:bCs/>
                <w:sz w:val="32"/>
                <w:szCs w:val="32"/>
                <w:u w:val="single"/>
                <w:rtl/>
              </w:rPr>
              <w:t>גזר דין</w:t>
            </w:r>
          </w:p>
          <w:p w14:paraId="5FA29C66" w14:textId="77777777" w:rsidR="008557F3" w:rsidRPr="005B77DA" w:rsidRDefault="008557F3" w:rsidP="005B77DA">
            <w:pPr>
              <w:jc w:val="center"/>
              <w:rPr>
                <w:rFonts w:ascii="David" w:hAnsi="David"/>
                <w:bCs/>
                <w:sz w:val="32"/>
                <w:szCs w:val="32"/>
                <w:u w:val="single"/>
                <w:rtl/>
              </w:rPr>
            </w:pPr>
          </w:p>
        </w:tc>
      </w:tr>
      <w:bookmarkEnd w:id="5"/>
    </w:tbl>
    <w:p w14:paraId="2DD5449E" w14:textId="77777777" w:rsidR="008557F3" w:rsidRPr="009527E9" w:rsidRDefault="008557F3" w:rsidP="008557F3">
      <w:pPr>
        <w:rPr>
          <w:rFonts w:ascii="Arial" w:hAnsi="Arial"/>
          <w:b/>
          <w:bCs/>
          <w:sz w:val="26"/>
          <w:szCs w:val="26"/>
          <w:rtl/>
        </w:rPr>
      </w:pPr>
    </w:p>
    <w:p w14:paraId="69B62BA6" w14:textId="77777777" w:rsidR="008557F3" w:rsidRPr="009527E9" w:rsidRDefault="008557F3" w:rsidP="008557F3">
      <w:pPr>
        <w:spacing w:line="360" w:lineRule="auto"/>
        <w:jc w:val="both"/>
        <w:rPr>
          <w:rFonts w:ascii="David" w:hAnsi="David"/>
          <w:b/>
          <w:bCs/>
        </w:rPr>
      </w:pPr>
      <w:r w:rsidRPr="009527E9">
        <w:rPr>
          <w:rFonts w:ascii="David" w:hAnsi="David" w:hint="cs"/>
          <w:b/>
          <w:bCs/>
          <w:rtl/>
        </w:rPr>
        <w:t>רקע</w:t>
      </w:r>
    </w:p>
    <w:p w14:paraId="0CB57FBC" w14:textId="77777777" w:rsidR="008557F3" w:rsidRPr="009527E9" w:rsidRDefault="008557F3" w:rsidP="008557F3">
      <w:pPr>
        <w:pStyle w:val="ListParagraph"/>
        <w:numPr>
          <w:ilvl w:val="0"/>
          <w:numId w:val="1"/>
        </w:numPr>
        <w:spacing w:line="360" w:lineRule="auto"/>
        <w:jc w:val="both"/>
        <w:rPr>
          <w:rFonts w:ascii="David" w:hAnsi="David" w:cs="David"/>
          <w:sz w:val="24"/>
          <w:szCs w:val="24"/>
        </w:rPr>
      </w:pPr>
      <w:bookmarkStart w:id="6" w:name="ABSTRACT_START"/>
      <w:bookmarkEnd w:id="6"/>
      <w:r w:rsidRPr="009527E9">
        <w:rPr>
          <w:rFonts w:ascii="David" w:hAnsi="David" w:cs="David" w:hint="cs"/>
          <w:sz w:val="24"/>
          <w:szCs w:val="24"/>
          <w:rtl/>
        </w:rPr>
        <w:t>הליך זה החל בנובמבר 2024. בישיבה שנערכה</w:t>
      </w:r>
      <w:r>
        <w:rPr>
          <w:rFonts w:ascii="David" w:hAnsi="David" w:cs="David" w:hint="cs"/>
          <w:sz w:val="24"/>
          <w:szCs w:val="24"/>
          <w:rtl/>
        </w:rPr>
        <w:t xml:space="preserve"> ביום 7.7.24 החלה הבאת הראיות, ב</w:t>
      </w:r>
      <w:r w:rsidRPr="009527E9">
        <w:rPr>
          <w:rFonts w:ascii="David" w:hAnsi="David" w:cs="David" w:hint="cs"/>
          <w:sz w:val="24"/>
          <w:szCs w:val="24"/>
          <w:rtl/>
        </w:rPr>
        <w:t>שמיעת</w:t>
      </w:r>
      <w:r>
        <w:rPr>
          <w:rFonts w:ascii="David" w:hAnsi="David" w:cs="David" w:hint="cs"/>
          <w:sz w:val="24"/>
          <w:szCs w:val="24"/>
          <w:rtl/>
        </w:rPr>
        <w:t xml:space="preserve"> עדויותיהם</w:t>
      </w:r>
      <w:r w:rsidRPr="009527E9">
        <w:rPr>
          <w:rFonts w:ascii="David" w:hAnsi="David" w:cs="David" w:hint="cs"/>
          <w:sz w:val="24"/>
          <w:szCs w:val="24"/>
          <w:rtl/>
        </w:rPr>
        <w:t xml:space="preserve"> של שני אנשי משטרה. לאחר הפסקה, הגיעו הצדדים להסכמות. כתב האישום תוקן והנאשם הודה בעובדותיו והורשע בתשע עבירות של החזקת נשק, לפי </w:t>
      </w:r>
      <w:hyperlink r:id="rId15" w:history="1">
        <w:r w:rsidR="00457CBC" w:rsidRPr="00457CBC">
          <w:rPr>
            <w:rStyle w:val="Hyperlink"/>
            <w:rFonts w:ascii="David" w:hAnsi="David" w:cs="David" w:hint="eastAsia"/>
            <w:color w:val="0000FF"/>
            <w:sz w:val="24"/>
            <w:szCs w:val="24"/>
            <w:rtl/>
          </w:rPr>
          <w:t>סעיף</w:t>
        </w:r>
        <w:r w:rsidR="00457CBC" w:rsidRPr="00457CBC">
          <w:rPr>
            <w:rStyle w:val="Hyperlink"/>
            <w:rFonts w:ascii="David" w:hAnsi="David" w:cs="David"/>
            <w:color w:val="0000FF"/>
            <w:sz w:val="24"/>
            <w:szCs w:val="24"/>
            <w:rtl/>
          </w:rPr>
          <w:t xml:space="preserve"> 144(א)</w:t>
        </w:r>
      </w:hyperlink>
      <w:r w:rsidRPr="009527E9">
        <w:rPr>
          <w:rFonts w:ascii="David" w:hAnsi="David" w:cs="David" w:hint="cs"/>
          <w:sz w:val="24"/>
          <w:szCs w:val="24"/>
          <w:rtl/>
        </w:rPr>
        <w:t xml:space="preserve"> ל</w:t>
      </w:r>
      <w:hyperlink r:id="rId16" w:history="1">
        <w:r w:rsidR="005B77DA" w:rsidRPr="005B77DA">
          <w:rPr>
            <w:rFonts w:ascii="David" w:hAnsi="David" w:cs="David"/>
            <w:color w:val="0000FF"/>
            <w:sz w:val="24"/>
            <w:szCs w:val="24"/>
            <w:u w:val="single"/>
            <w:rtl/>
          </w:rPr>
          <w:t>חוק העונשין</w:t>
        </w:r>
      </w:hyperlink>
      <w:r w:rsidRPr="009527E9">
        <w:rPr>
          <w:rFonts w:ascii="David" w:hAnsi="David" w:cs="David" w:hint="cs"/>
          <w:sz w:val="24"/>
          <w:szCs w:val="24"/>
          <w:rtl/>
        </w:rPr>
        <w:t xml:space="preserve">, התשל"ז-1977 (להלן: "חוק העונשין"), ובשש עבירות של ירי מנשק חם לפי </w:t>
      </w:r>
      <w:hyperlink r:id="rId17" w:history="1">
        <w:r w:rsidR="00457CBC" w:rsidRPr="00457CBC">
          <w:rPr>
            <w:rStyle w:val="Hyperlink"/>
            <w:rFonts w:ascii="David" w:hAnsi="David" w:cs="David" w:hint="eastAsia"/>
            <w:color w:val="0000FF"/>
            <w:sz w:val="24"/>
            <w:szCs w:val="24"/>
            <w:rtl/>
          </w:rPr>
          <w:t>סעיף</w:t>
        </w:r>
        <w:r w:rsidR="00457CBC" w:rsidRPr="00457CBC">
          <w:rPr>
            <w:rStyle w:val="Hyperlink"/>
            <w:rFonts w:ascii="David" w:hAnsi="David" w:cs="David"/>
            <w:color w:val="0000FF"/>
            <w:sz w:val="24"/>
            <w:szCs w:val="24"/>
            <w:rtl/>
          </w:rPr>
          <w:t xml:space="preserve"> 340א(ב)(1)</w:t>
        </w:r>
      </w:hyperlink>
      <w:r w:rsidRPr="009527E9">
        <w:rPr>
          <w:rFonts w:ascii="David" w:hAnsi="David" w:cs="David" w:hint="cs"/>
          <w:sz w:val="24"/>
          <w:szCs w:val="24"/>
          <w:rtl/>
        </w:rPr>
        <w:t xml:space="preserve"> לחוק העונשין. ההסדר לא כלל הסכמות לעונש.</w:t>
      </w:r>
    </w:p>
    <w:p w14:paraId="29F20F83" w14:textId="77777777" w:rsidR="008557F3" w:rsidRPr="009527E9" w:rsidRDefault="008557F3" w:rsidP="008557F3">
      <w:pPr>
        <w:pStyle w:val="ListParagraph"/>
        <w:spacing w:line="360" w:lineRule="auto"/>
        <w:ind w:left="360"/>
        <w:jc w:val="both"/>
        <w:rPr>
          <w:rFonts w:ascii="David" w:hAnsi="David" w:cs="David"/>
          <w:sz w:val="24"/>
          <w:szCs w:val="24"/>
          <w:rtl/>
        </w:rPr>
      </w:pPr>
      <w:bookmarkStart w:id="7" w:name="ABSTRACT_END"/>
      <w:bookmarkEnd w:id="7"/>
    </w:p>
    <w:p w14:paraId="4649E19E" w14:textId="77777777" w:rsidR="008557F3" w:rsidRPr="009527E9" w:rsidRDefault="008557F3" w:rsidP="008557F3">
      <w:pPr>
        <w:pStyle w:val="ListParagraph"/>
        <w:numPr>
          <w:ilvl w:val="0"/>
          <w:numId w:val="1"/>
        </w:numPr>
        <w:spacing w:line="360" w:lineRule="auto"/>
        <w:jc w:val="both"/>
        <w:rPr>
          <w:rFonts w:ascii="David" w:hAnsi="David" w:cs="David"/>
          <w:sz w:val="24"/>
          <w:szCs w:val="24"/>
        </w:rPr>
      </w:pPr>
      <w:r w:rsidRPr="009527E9">
        <w:rPr>
          <w:rFonts w:ascii="David" w:hAnsi="David" w:cs="David" w:hint="cs"/>
          <w:sz w:val="24"/>
          <w:szCs w:val="24"/>
          <w:rtl/>
        </w:rPr>
        <w:t xml:space="preserve">לפי העובדות בהן הודה, כשנה עובר להגשת כתב האישום ועד למעצרו של הנאשם, החזיק הנאשם בתשע הזדמנויות </w:t>
      </w:r>
      <w:r>
        <w:rPr>
          <w:rFonts w:ascii="David" w:hAnsi="David" w:cs="David" w:hint="cs"/>
          <w:sz w:val="24"/>
          <w:szCs w:val="24"/>
          <w:rtl/>
        </w:rPr>
        <w:t>ב</w:t>
      </w:r>
      <w:r w:rsidRPr="009527E9">
        <w:rPr>
          <w:rFonts w:ascii="David" w:hAnsi="David" w:cs="David" w:hint="cs"/>
          <w:sz w:val="24"/>
          <w:szCs w:val="24"/>
          <w:rtl/>
        </w:rPr>
        <w:t>כלי נשק מסוגים שונים</w:t>
      </w:r>
      <w:r>
        <w:rPr>
          <w:rFonts w:ascii="David" w:hAnsi="David" w:cs="David" w:hint="cs"/>
          <w:sz w:val="24"/>
          <w:szCs w:val="24"/>
          <w:rtl/>
        </w:rPr>
        <w:t>.</w:t>
      </w:r>
      <w:r w:rsidRPr="009527E9">
        <w:rPr>
          <w:rFonts w:ascii="David" w:hAnsi="David" w:cs="David" w:hint="cs"/>
          <w:sz w:val="24"/>
          <w:szCs w:val="24"/>
          <w:rtl/>
        </w:rPr>
        <w:t xml:space="preserve"> בחלק מהמקרים ביצע שימוש </w:t>
      </w:r>
      <w:r>
        <w:rPr>
          <w:rFonts w:ascii="David" w:hAnsi="David" w:cs="David" w:hint="cs"/>
          <w:sz w:val="24"/>
          <w:szCs w:val="24"/>
          <w:rtl/>
        </w:rPr>
        <w:t xml:space="preserve">בכלי הנשק </w:t>
      </w:r>
      <w:r w:rsidRPr="009527E9">
        <w:rPr>
          <w:rFonts w:ascii="David" w:hAnsi="David" w:cs="David" w:hint="cs"/>
          <w:sz w:val="24"/>
          <w:szCs w:val="24"/>
          <w:rtl/>
        </w:rPr>
        <w:t xml:space="preserve">וירה בהם. </w:t>
      </w:r>
    </w:p>
    <w:p w14:paraId="1B6139C0" w14:textId="77777777" w:rsidR="008557F3" w:rsidRPr="009527E9" w:rsidRDefault="008557F3" w:rsidP="008557F3">
      <w:pPr>
        <w:pStyle w:val="ListParagraph"/>
        <w:spacing w:line="360" w:lineRule="auto"/>
        <w:ind w:left="360"/>
        <w:jc w:val="both"/>
        <w:rPr>
          <w:rFonts w:ascii="David" w:hAnsi="David" w:cs="David"/>
          <w:sz w:val="24"/>
          <w:szCs w:val="24"/>
          <w:rtl/>
        </w:rPr>
      </w:pPr>
      <w:r w:rsidRPr="009527E9">
        <w:rPr>
          <w:rFonts w:ascii="David" w:hAnsi="David" w:cs="David" w:hint="cs"/>
          <w:sz w:val="24"/>
          <w:szCs w:val="24"/>
          <w:rtl/>
        </w:rPr>
        <w:t xml:space="preserve">בכלל זה, במועד שאינו ידוע במדויק </w:t>
      </w:r>
      <w:r>
        <w:rPr>
          <w:rFonts w:ascii="David" w:hAnsi="David" w:cs="David" w:hint="cs"/>
          <w:sz w:val="24"/>
          <w:szCs w:val="24"/>
          <w:rtl/>
        </w:rPr>
        <w:t>ה</w:t>
      </w:r>
      <w:r w:rsidRPr="009527E9">
        <w:rPr>
          <w:rFonts w:ascii="David" w:hAnsi="David" w:cs="David" w:hint="cs"/>
          <w:sz w:val="24"/>
          <w:szCs w:val="24"/>
          <w:rtl/>
        </w:rPr>
        <w:t xml:space="preserve">סמוך ליום 8.10.23 בשעת לילה, החזיק הנאשם בתת מקלע מסוג </w:t>
      </w:r>
      <w:r w:rsidRPr="009527E9">
        <w:rPr>
          <w:rFonts w:ascii="David" w:hAnsi="David" w:cs="David" w:hint="cs"/>
          <w:sz w:val="24"/>
          <w:szCs w:val="24"/>
        </w:rPr>
        <w:t>M16</w:t>
      </w:r>
      <w:r>
        <w:rPr>
          <w:rFonts w:ascii="David" w:hAnsi="David" w:cs="David" w:hint="cs"/>
          <w:sz w:val="24"/>
          <w:szCs w:val="24"/>
          <w:rtl/>
        </w:rPr>
        <w:t xml:space="preserve">. את הנשק </w:t>
      </w:r>
      <w:r w:rsidRPr="009527E9">
        <w:rPr>
          <w:rFonts w:ascii="David" w:hAnsi="David" w:cs="David" w:hint="cs"/>
          <w:sz w:val="24"/>
          <w:szCs w:val="24"/>
          <w:rtl/>
        </w:rPr>
        <w:t>קיבל מאחר סמוך לחתונה בקרבת העיר רמאללה, במהלכה ביצע הנאשם ירי של כ</w:t>
      </w:r>
      <w:r>
        <w:rPr>
          <w:rFonts w:ascii="David" w:hAnsi="David" w:cs="David" w:hint="cs"/>
          <w:sz w:val="24"/>
          <w:szCs w:val="24"/>
          <w:rtl/>
        </w:rPr>
        <w:t xml:space="preserve">עשרה </w:t>
      </w:r>
      <w:r w:rsidRPr="009527E9">
        <w:rPr>
          <w:rFonts w:ascii="David" w:hAnsi="David" w:cs="David" w:hint="cs"/>
          <w:sz w:val="24"/>
          <w:szCs w:val="24"/>
          <w:rtl/>
        </w:rPr>
        <w:t xml:space="preserve">כדורים בנשק. </w:t>
      </w:r>
    </w:p>
    <w:p w14:paraId="7BF13BEF" w14:textId="77777777" w:rsidR="008557F3" w:rsidRPr="009527E9" w:rsidRDefault="008557F3" w:rsidP="008557F3">
      <w:pPr>
        <w:pStyle w:val="ListParagraph"/>
        <w:spacing w:line="360" w:lineRule="auto"/>
        <w:ind w:left="360"/>
        <w:jc w:val="both"/>
        <w:rPr>
          <w:rFonts w:ascii="David" w:hAnsi="David" w:cs="David"/>
          <w:sz w:val="24"/>
          <w:szCs w:val="24"/>
          <w:rtl/>
        </w:rPr>
      </w:pPr>
      <w:r w:rsidRPr="009527E9">
        <w:rPr>
          <w:rFonts w:ascii="David" w:hAnsi="David" w:cs="David" w:hint="cs"/>
          <w:sz w:val="24"/>
          <w:szCs w:val="24"/>
          <w:rtl/>
        </w:rPr>
        <w:lastRenderedPageBreak/>
        <w:t xml:space="preserve">בנוסף, במועד שאינו ידוע במדויק עובר ליום 21.7.23 החזיק הנאשם והוביל תת מקלע מסוג </w:t>
      </w:r>
      <w:r w:rsidRPr="009527E9">
        <w:rPr>
          <w:rFonts w:ascii="David" w:hAnsi="David" w:cs="David"/>
          <w:sz w:val="24"/>
          <w:szCs w:val="24"/>
        </w:rPr>
        <w:t>M16</w:t>
      </w:r>
      <w:r w:rsidRPr="009527E9">
        <w:rPr>
          <w:rFonts w:ascii="David" w:hAnsi="David" w:cs="David" w:hint="cs"/>
          <w:sz w:val="24"/>
          <w:szCs w:val="24"/>
          <w:rtl/>
        </w:rPr>
        <w:t xml:space="preserve"> עליו הורכבה כוונת טלסקופית, וביצע ירי של מספר כדורים מגג בניין במהלך חתונה. </w:t>
      </w:r>
    </w:p>
    <w:p w14:paraId="70954113" w14:textId="77777777" w:rsidR="008557F3" w:rsidRPr="009527E9" w:rsidRDefault="008557F3" w:rsidP="008557F3">
      <w:pPr>
        <w:pStyle w:val="ListParagraph"/>
        <w:spacing w:line="360" w:lineRule="auto"/>
        <w:ind w:left="360"/>
        <w:jc w:val="both"/>
        <w:rPr>
          <w:rFonts w:ascii="David" w:hAnsi="David" w:cs="David"/>
          <w:sz w:val="24"/>
          <w:szCs w:val="24"/>
          <w:rtl/>
        </w:rPr>
      </w:pPr>
      <w:r w:rsidRPr="009527E9">
        <w:rPr>
          <w:rFonts w:ascii="David" w:hAnsi="David" w:cs="David" w:hint="cs"/>
          <w:sz w:val="24"/>
          <w:szCs w:val="24"/>
          <w:rtl/>
        </w:rPr>
        <w:t xml:space="preserve">בנוסף, במועד שאינו ידוע במדויק עובר ליום 20.7.23, בשעות הערב, החזיק הנאשם באקדח וביצע בו ירי של ארבעה כדורים במסיבת חינה של קרוב משפחתו. </w:t>
      </w:r>
    </w:p>
    <w:p w14:paraId="28EE5C7B" w14:textId="77777777" w:rsidR="008557F3" w:rsidRPr="009527E9" w:rsidRDefault="008557F3" w:rsidP="008557F3">
      <w:pPr>
        <w:pStyle w:val="ListParagraph"/>
        <w:spacing w:line="360" w:lineRule="auto"/>
        <w:ind w:left="360"/>
        <w:jc w:val="both"/>
        <w:rPr>
          <w:rFonts w:ascii="David" w:hAnsi="David" w:cs="David"/>
          <w:sz w:val="24"/>
          <w:szCs w:val="24"/>
          <w:rtl/>
        </w:rPr>
      </w:pPr>
      <w:r w:rsidRPr="009527E9">
        <w:rPr>
          <w:rFonts w:ascii="David" w:hAnsi="David" w:cs="David" w:hint="cs"/>
          <w:sz w:val="24"/>
          <w:szCs w:val="24"/>
          <w:rtl/>
        </w:rPr>
        <w:t>בנוסף, במועד שאינו ידוע במדויק עובר ליום 20.7.23, בשעת בוקר, החזיק הנאשם באקדח וביצע בו ירי של כדור אחד, סמוך לבית מגורים.</w:t>
      </w:r>
    </w:p>
    <w:p w14:paraId="5B5EA7C9" w14:textId="77777777" w:rsidR="008557F3" w:rsidRPr="009527E9" w:rsidRDefault="008557F3" w:rsidP="008557F3">
      <w:pPr>
        <w:pStyle w:val="ListParagraph"/>
        <w:spacing w:line="360" w:lineRule="auto"/>
        <w:ind w:left="360"/>
        <w:jc w:val="both"/>
        <w:rPr>
          <w:rFonts w:ascii="David" w:hAnsi="David" w:cs="David"/>
          <w:sz w:val="24"/>
          <w:szCs w:val="24"/>
          <w:rtl/>
        </w:rPr>
      </w:pPr>
      <w:r w:rsidRPr="009527E9">
        <w:rPr>
          <w:rFonts w:ascii="David" w:hAnsi="David" w:cs="David" w:hint="cs"/>
          <w:sz w:val="24"/>
          <w:szCs w:val="24"/>
          <w:rtl/>
        </w:rPr>
        <w:t xml:space="preserve">בנוסף, במועד שאינו ידוע במדויק עובר ליום 28.6.23 החזיק הנאשם באקדח וביצע בו ירי של כדור אחד בחצר בית. </w:t>
      </w:r>
    </w:p>
    <w:p w14:paraId="5957A056" w14:textId="77777777" w:rsidR="008557F3" w:rsidRPr="009527E9" w:rsidRDefault="008557F3" w:rsidP="008557F3">
      <w:pPr>
        <w:pStyle w:val="ListParagraph"/>
        <w:spacing w:line="360" w:lineRule="auto"/>
        <w:ind w:left="360"/>
        <w:jc w:val="both"/>
        <w:rPr>
          <w:rFonts w:ascii="David" w:hAnsi="David" w:cs="David"/>
          <w:sz w:val="24"/>
          <w:szCs w:val="24"/>
          <w:rtl/>
        </w:rPr>
      </w:pPr>
      <w:r w:rsidRPr="009527E9">
        <w:rPr>
          <w:rFonts w:ascii="David" w:hAnsi="David" w:cs="David" w:hint="cs"/>
          <w:sz w:val="24"/>
          <w:szCs w:val="24"/>
          <w:rtl/>
        </w:rPr>
        <w:t xml:space="preserve">בנוסף, במועד שאינו ידוע במדויק עובר ליום 17.6.23 החזיק הנאשם באקדח, מחסנית וכדורים תואמים. </w:t>
      </w:r>
    </w:p>
    <w:p w14:paraId="11AEE6AD" w14:textId="77777777" w:rsidR="008557F3" w:rsidRPr="009527E9" w:rsidRDefault="008557F3" w:rsidP="008557F3">
      <w:pPr>
        <w:pStyle w:val="ListParagraph"/>
        <w:spacing w:line="360" w:lineRule="auto"/>
        <w:ind w:left="360"/>
        <w:jc w:val="both"/>
        <w:rPr>
          <w:rFonts w:ascii="David" w:hAnsi="David" w:cs="David"/>
          <w:sz w:val="24"/>
          <w:szCs w:val="24"/>
          <w:rtl/>
        </w:rPr>
      </w:pPr>
      <w:r w:rsidRPr="009527E9">
        <w:rPr>
          <w:rFonts w:ascii="David" w:hAnsi="David" w:cs="David" w:hint="cs"/>
          <w:sz w:val="24"/>
          <w:szCs w:val="24"/>
          <w:rtl/>
        </w:rPr>
        <w:t xml:space="preserve">בנוסף, במועד שאינו ידוע במדויק עובר ליום 13.5.23, החזיק הנאשם באקדח וביצע ירי של מספר כדורים. </w:t>
      </w:r>
    </w:p>
    <w:p w14:paraId="7DD42FBE" w14:textId="77777777" w:rsidR="008557F3" w:rsidRPr="009527E9" w:rsidRDefault="008557F3" w:rsidP="008557F3">
      <w:pPr>
        <w:pStyle w:val="ListParagraph"/>
        <w:spacing w:line="360" w:lineRule="auto"/>
        <w:ind w:left="360"/>
        <w:jc w:val="both"/>
        <w:rPr>
          <w:rFonts w:ascii="David" w:hAnsi="David" w:cs="David"/>
          <w:sz w:val="24"/>
          <w:szCs w:val="24"/>
          <w:rtl/>
        </w:rPr>
      </w:pPr>
      <w:r w:rsidRPr="009527E9">
        <w:rPr>
          <w:rFonts w:ascii="David" w:hAnsi="David" w:cs="David" w:hint="cs"/>
          <w:sz w:val="24"/>
          <w:szCs w:val="24"/>
          <w:rtl/>
        </w:rPr>
        <w:t xml:space="preserve">בנוסף, במועד שאינו ידוע במדויק עובר ליום 11.5.23, החזיק הנאשם באקדח בעודו יושב ברכב ודרך את האקדח. </w:t>
      </w:r>
    </w:p>
    <w:p w14:paraId="5038955E" w14:textId="77777777" w:rsidR="008557F3" w:rsidRPr="009527E9" w:rsidRDefault="008557F3" w:rsidP="008557F3">
      <w:pPr>
        <w:pStyle w:val="ListParagraph"/>
        <w:spacing w:line="360" w:lineRule="auto"/>
        <w:ind w:left="360"/>
        <w:jc w:val="both"/>
        <w:rPr>
          <w:rFonts w:ascii="David" w:hAnsi="David" w:cs="David"/>
          <w:sz w:val="24"/>
          <w:szCs w:val="24"/>
          <w:rtl/>
        </w:rPr>
      </w:pPr>
      <w:r>
        <w:rPr>
          <w:rFonts w:ascii="David" w:hAnsi="David" w:cs="David" w:hint="cs"/>
          <w:sz w:val="24"/>
          <w:szCs w:val="24"/>
          <w:rtl/>
        </w:rPr>
        <w:t>זאת ועוד</w:t>
      </w:r>
      <w:r w:rsidRPr="009527E9">
        <w:rPr>
          <w:rFonts w:ascii="David" w:hAnsi="David" w:cs="David" w:hint="cs"/>
          <w:sz w:val="24"/>
          <w:szCs w:val="24"/>
          <w:rtl/>
        </w:rPr>
        <w:t xml:space="preserve">, במועד שאינו ידוע במדויק עובר ליום 13.4.23, החזיק הנאשם בתת מקלע מסוג </w:t>
      </w:r>
      <w:r w:rsidRPr="009527E9">
        <w:rPr>
          <w:rFonts w:ascii="David" w:hAnsi="David" w:cs="David" w:hint="cs"/>
          <w:sz w:val="24"/>
          <w:szCs w:val="24"/>
        </w:rPr>
        <w:t>M4</w:t>
      </w:r>
      <w:r w:rsidRPr="009527E9">
        <w:rPr>
          <w:rFonts w:ascii="David" w:hAnsi="David" w:cs="David" w:hint="cs"/>
          <w:sz w:val="24"/>
          <w:szCs w:val="24"/>
          <w:rtl/>
        </w:rPr>
        <w:t xml:space="preserve">. </w:t>
      </w:r>
    </w:p>
    <w:p w14:paraId="25C70F0B" w14:textId="77777777" w:rsidR="008557F3" w:rsidRPr="009527E9" w:rsidRDefault="008557F3" w:rsidP="008557F3">
      <w:pPr>
        <w:spacing w:line="360" w:lineRule="auto"/>
        <w:jc w:val="both"/>
        <w:rPr>
          <w:rFonts w:ascii="David" w:hAnsi="David"/>
          <w:b/>
          <w:bCs/>
          <w:rtl/>
        </w:rPr>
      </w:pPr>
    </w:p>
    <w:p w14:paraId="6098CEF1" w14:textId="77777777" w:rsidR="008557F3" w:rsidRPr="009527E9" w:rsidRDefault="008557F3" w:rsidP="008557F3">
      <w:pPr>
        <w:spacing w:before="120" w:after="120" w:line="360" w:lineRule="auto"/>
        <w:jc w:val="both"/>
        <w:rPr>
          <w:rFonts w:ascii="David" w:hAnsi="David"/>
          <w:b/>
          <w:bCs/>
          <w:rtl/>
        </w:rPr>
      </w:pPr>
      <w:r w:rsidRPr="009527E9">
        <w:rPr>
          <w:rFonts w:ascii="David" w:hAnsi="David" w:hint="cs"/>
          <w:b/>
          <w:bCs/>
          <w:rtl/>
        </w:rPr>
        <w:t>תסקיר שירות המבחן מיום 25.8.24</w:t>
      </w:r>
    </w:p>
    <w:p w14:paraId="6147EB5C" w14:textId="77777777" w:rsidR="008557F3" w:rsidRPr="009527E9" w:rsidRDefault="008557F3" w:rsidP="008557F3">
      <w:pPr>
        <w:pStyle w:val="ListParagraph"/>
        <w:numPr>
          <w:ilvl w:val="0"/>
          <w:numId w:val="1"/>
        </w:numPr>
        <w:spacing w:before="120" w:after="120" w:line="360" w:lineRule="auto"/>
        <w:contextualSpacing w:val="0"/>
        <w:jc w:val="both"/>
        <w:rPr>
          <w:rFonts w:ascii="David" w:hAnsi="David" w:cs="David"/>
          <w:sz w:val="24"/>
          <w:szCs w:val="24"/>
        </w:rPr>
      </w:pPr>
      <w:r w:rsidRPr="009527E9">
        <w:rPr>
          <w:rFonts w:ascii="David" w:hAnsi="David" w:cs="David" w:hint="cs"/>
          <w:sz w:val="24"/>
          <w:szCs w:val="24"/>
          <w:rtl/>
        </w:rPr>
        <w:t>בתסקיר הובאו נתוני הנאשם שהוא בן 22, רווק ללא ילדים, ומתגורר בירושלים בבית הוריו. הוריו נשואים ומשפחת המוצא מונה שלושה בנים, ששניים מהם היו מעורבים בפלילים. טרם מעצרו עבד הנאשם בניקיון ובאחזקה.</w:t>
      </w:r>
    </w:p>
    <w:p w14:paraId="1F1D1346" w14:textId="77777777" w:rsidR="008557F3" w:rsidRPr="009527E9" w:rsidRDefault="008557F3" w:rsidP="008557F3">
      <w:pPr>
        <w:pStyle w:val="ListParagraph"/>
        <w:spacing w:before="120" w:after="120" w:line="360" w:lineRule="auto"/>
        <w:ind w:left="360"/>
        <w:contextualSpacing w:val="0"/>
        <w:jc w:val="both"/>
        <w:rPr>
          <w:rFonts w:ascii="David" w:hAnsi="David" w:cs="David"/>
          <w:sz w:val="24"/>
          <w:szCs w:val="24"/>
          <w:rtl/>
        </w:rPr>
      </w:pPr>
      <w:r w:rsidRPr="009527E9">
        <w:rPr>
          <w:rFonts w:ascii="David" w:hAnsi="David" w:cs="David" w:hint="cs"/>
          <w:sz w:val="24"/>
          <w:szCs w:val="24"/>
          <w:rtl/>
        </w:rPr>
        <w:t xml:space="preserve">עוד נמסר, כי הנאשם נעדר הרשעות קודמות, שוהה במעצר לראשונה בחייו, לא נפתחו לו תיקים פליליים נוספים תוך כדי הליך זה והוא השתלב בקבוצות טיפול במסגרת המעצר. </w:t>
      </w:r>
    </w:p>
    <w:p w14:paraId="397918A8" w14:textId="77777777" w:rsidR="008557F3" w:rsidRPr="009527E9" w:rsidRDefault="008557F3" w:rsidP="008557F3">
      <w:pPr>
        <w:pStyle w:val="ListParagraph"/>
        <w:spacing w:before="120" w:after="120" w:line="360" w:lineRule="auto"/>
        <w:ind w:left="360"/>
        <w:contextualSpacing w:val="0"/>
        <w:jc w:val="both"/>
        <w:rPr>
          <w:rFonts w:ascii="David" w:hAnsi="David" w:cs="David"/>
          <w:sz w:val="24"/>
          <w:szCs w:val="24"/>
          <w:rtl/>
        </w:rPr>
      </w:pPr>
      <w:r w:rsidRPr="009527E9">
        <w:rPr>
          <w:rFonts w:ascii="David" w:hAnsi="David" w:cs="David" w:hint="cs"/>
          <w:sz w:val="24"/>
          <w:szCs w:val="24"/>
          <w:rtl/>
        </w:rPr>
        <w:t>בהתייחס לעבירות מושא הליך זה, ציין הנאשם בפני שירות המבחן כי שהה בחתונות ולא ידע שאסור להשתמש בנשק. עוד טען שבן דודו מסר לו נשק וכי דובר בחלק מחגיגות החתונה ו</w:t>
      </w:r>
      <w:r>
        <w:rPr>
          <w:rFonts w:ascii="David" w:hAnsi="David" w:cs="David" w:hint="cs"/>
          <w:sz w:val="24"/>
          <w:szCs w:val="24"/>
          <w:rtl/>
        </w:rPr>
        <w:t xml:space="preserve">כי </w:t>
      </w:r>
      <w:r w:rsidRPr="009527E9">
        <w:rPr>
          <w:rFonts w:ascii="David" w:hAnsi="David" w:cs="David" w:hint="cs"/>
          <w:sz w:val="24"/>
          <w:szCs w:val="24"/>
          <w:rtl/>
        </w:rPr>
        <w:t xml:space="preserve">"כך נהוג בתרבותו". </w:t>
      </w:r>
    </w:p>
    <w:p w14:paraId="75B3AFA8" w14:textId="77777777" w:rsidR="008557F3" w:rsidRPr="009527E9" w:rsidRDefault="008557F3" w:rsidP="008557F3">
      <w:pPr>
        <w:pStyle w:val="ListParagraph"/>
        <w:spacing w:before="120" w:after="120" w:line="360" w:lineRule="auto"/>
        <w:ind w:left="360"/>
        <w:contextualSpacing w:val="0"/>
        <w:jc w:val="both"/>
        <w:rPr>
          <w:rFonts w:ascii="David" w:hAnsi="David" w:cs="David"/>
          <w:sz w:val="24"/>
          <w:szCs w:val="24"/>
          <w:rtl/>
        </w:rPr>
      </w:pPr>
      <w:r w:rsidRPr="009527E9">
        <w:rPr>
          <w:rFonts w:ascii="David" w:hAnsi="David" w:cs="David" w:hint="cs"/>
          <w:sz w:val="24"/>
          <w:szCs w:val="24"/>
          <w:rtl/>
        </w:rPr>
        <w:t xml:space="preserve">שירות המבחן התרשם, כי הנאשם מצמצם באופן משמעותי מחומרת העבירה ומהתנהלותו הלקויה, ואינו מבין את חומרת העבירה והשלכותיה. הוערכה רמת סיכון גבוהה להישנות התנהגות עוברת חוק. שירות המבחן נמנע מהמלצה טיפולית. </w:t>
      </w:r>
    </w:p>
    <w:p w14:paraId="0966BCF1" w14:textId="77777777" w:rsidR="008557F3" w:rsidRPr="009527E9" w:rsidRDefault="008557F3" w:rsidP="008557F3">
      <w:pPr>
        <w:pStyle w:val="ListParagraph"/>
        <w:spacing w:before="120" w:after="120" w:line="360" w:lineRule="auto"/>
        <w:ind w:left="360"/>
        <w:contextualSpacing w:val="0"/>
        <w:jc w:val="both"/>
        <w:rPr>
          <w:rFonts w:ascii="David" w:hAnsi="David" w:cs="David"/>
          <w:sz w:val="24"/>
          <w:szCs w:val="24"/>
          <w:rtl/>
        </w:rPr>
      </w:pPr>
    </w:p>
    <w:p w14:paraId="456B153C" w14:textId="77777777" w:rsidR="008557F3" w:rsidRPr="009527E9" w:rsidRDefault="008557F3" w:rsidP="008557F3">
      <w:pPr>
        <w:spacing w:before="120" w:after="120" w:line="360" w:lineRule="auto"/>
        <w:jc w:val="both"/>
        <w:rPr>
          <w:rFonts w:ascii="David" w:hAnsi="David"/>
          <w:b/>
          <w:bCs/>
          <w:rtl/>
        </w:rPr>
      </w:pPr>
      <w:r w:rsidRPr="009527E9">
        <w:rPr>
          <w:rFonts w:ascii="David" w:hAnsi="David" w:hint="cs"/>
          <w:b/>
          <w:bCs/>
          <w:rtl/>
        </w:rPr>
        <w:t>הטיעון לעונש</w:t>
      </w:r>
    </w:p>
    <w:p w14:paraId="381A74AA" w14:textId="77777777" w:rsidR="008557F3" w:rsidRPr="00B61FEC" w:rsidRDefault="008557F3" w:rsidP="008557F3">
      <w:pPr>
        <w:pStyle w:val="ListParagraph"/>
        <w:numPr>
          <w:ilvl w:val="0"/>
          <w:numId w:val="1"/>
        </w:numPr>
        <w:spacing w:before="120" w:after="120" w:line="360" w:lineRule="auto"/>
        <w:contextualSpacing w:val="0"/>
        <w:jc w:val="both"/>
        <w:rPr>
          <w:rFonts w:ascii="David" w:hAnsi="David" w:cs="David"/>
          <w:sz w:val="24"/>
          <w:szCs w:val="24"/>
        </w:rPr>
      </w:pPr>
      <w:r w:rsidRPr="009527E9">
        <w:rPr>
          <w:rFonts w:ascii="David" w:hAnsi="David" w:cs="David" w:hint="cs"/>
          <w:sz w:val="24"/>
          <w:szCs w:val="24"/>
          <w:rtl/>
        </w:rPr>
        <w:t xml:space="preserve">המאשימה עמדה בטיעוניה על חומרת מעשי הנאשם והערכים המוגנים שנפגעו מהם. נטען כי זמינות נשק בלתי חוקי מניעה פשיעה וטרור, והודגשו מספרי כלי הנשק וסוגיהם בטענה כי הם </w:t>
      </w:r>
      <w:r w:rsidRPr="009527E9">
        <w:rPr>
          <w:rFonts w:ascii="David" w:hAnsi="David" w:cs="David" w:hint="cs"/>
          <w:sz w:val="24"/>
          <w:szCs w:val="24"/>
          <w:rtl/>
        </w:rPr>
        <w:lastRenderedPageBreak/>
        <w:t xml:space="preserve">מעידים על נגישות הנאשם לנשקים. כן הודגש </w:t>
      </w:r>
      <w:r w:rsidRPr="00B61FEC">
        <w:rPr>
          <w:rFonts w:ascii="David" w:hAnsi="David" w:cs="David" w:hint="cs"/>
          <w:sz w:val="24"/>
          <w:szCs w:val="24"/>
          <w:rtl/>
        </w:rPr>
        <w:t xml:space="preserve">ביצועו של ירי בקרבת בני אדם, וכי טענת ההגנה כי כלל האירועים היו בחתונות ובשטחים לא מפחיתה מהסיכון והחומרה. </w:t>
      </w:r>
    </w:p>
    <w:p w14:paraId="69FA7DBD" w14:textId="77777777" w:rsidR="008557F3" w:rsidRPr="00B61FEC" w:rsidRDefault="008557F3" w:rsidP="008557F3">
      <w:pPr>
        <w:pStyle w:val="ListParagraph"/>
        <w:spacing w:before="120" w:after="120" w:line="360" w:lineRule="auto"/>
        <w:ind w:left="360"/>
        <w:contextualSpacing w:val="0"/>
        <w:jc w:val="both"/>
        <w:rPr>
          <w:rFonts w:ascii="David" w:hAnsi="David" w:cs="David"/>
          <w:sz w:val="24"/>
          <w:szCs w:val="24"/>
          <w:rtl/>
        </w:rPr>
      </w:pPr>
      <w:r w:rsidRPr="00B61FEC">
        <w:rPr>
          <w:rFonts w:ascii="David" w:hAnsi="David" w:cs="David" w:hint="cs"/>
          <w:sz w:val="24"/>
          <w:szCs w:val="24"/>
          <w:rtl/>
        </w:rPr>
        <w:t>המאשימה הציגה פסיקה וטענה, כי תיקון 140 ל</w:t>
      </w:r>
      <w:hyperlink r:id="rId18" w:history="1">
        <w:r w:rsidR="005B77DA" w:rsidRPr="005B77DA">
          <w:rPr>
            <w:rFonts w:ascii="David" w:hAnsi="David" w:cs="David"/>
            <w:color w:val="0000FF"/>
            <w:sz w:val="24"/>
            <w:szCs w:val="24"/>
            <w:u w:val="single"/>
            <w:rtl/>
          </w:rPr>
          <w:t>חוק העונשין</w:t>
        </w:r>
      </w:hyperlink>
      <w:r w:rsidRPr="00B61FEC">
        <w:rPr>
          <w:rFonts w:ascii="David" w:hAnsi="David" w:cs="David" w:hint="cs"/>
          <w:sz w:val="24"/>
          <w:szCs w:val="24"/>
          <w:rtl/>
        </w:rPr>
        <w:t xml:space="preserve"> חל על העבירות וקובע עונש מינימום של 21 חודשים לעבירה יחידה של החזקת נשק, כשבענייננו מדובר בתשע עבירות. עוד מסרה כי טיעונה לעונש נשען על מתחמים שנקבעו בהנחיית פרקליט המדינה. הטיעון הדגיש את ריבוי העבירות ואת וסוגיהן השונים. נטען למתחם עונש הולם שבין 7-12 שנות מאסר, וענישה נלווית. עוד נטען, כי תסקיר שירות המבחן מצביע על צמצום בנטילת האחריות הגם שהנאשם מסר כי השתלב בטיפול, וכי הדבר מראה שהטיפול אינו אפקטיבי. המאשימה גרסה כי המעצר לא הרתיע את הנאשם, וציינה את הערכת הסיכון הגבוהה של שירות המבחן. המאשימה טענה שיש לגזור לנאשם שמונה שנות מאסר, מאסר על תנאי וקנס.</w:t>
      </w:r>
    </w:p>
    <w:p w14:paraId="49B6AFA6" w14:textId="77777777" w:rsidR="008557F3" w:rsidRPr="00B61FEC" w:rsidRDefault="008557F3" w:rsidP="008557F3">
      <w:pPr>
        <w:pStyle w:val="ListParagraph"/>
        <w:numPr>
          <w:ilvl w:val="0"/>
          <w:numId w:val="1"/>
        </w:numPr>
        <w:spacing w:before="120" w:after="120" w:line="360" w:lineRule="auto"/>
        <w:contextualSpacing w:val="0"/>
        <w:jc w:val="both"/>
        <w:rPr>
          <w:rFonts w:ascii="David" w:hAnsi="David" w:cs="David"/>
          <w:sz w:val="24"/>
          <w:szCs w:val="24"/>
        </w:rPr>
      </w:pPr>
      <w:r w:rsidRPr="00B61FEC">
        <w:rPr>
          <w:rFonts w:ascii="David" w:hAnsi="David" w:cs="David" w:hint="cs"/>
          <w:sz w:val="24"/>
          <w:szCs w:val="24"/>
          <w:rtl/>
        </w:rPr>
        <w:t xml:space="preserve">ההגנה טענה כי עמדת המאשימה לעונש היא מופרזת. נטען כי הסדר הטיעון נשען על פגמים בחומר הראיות, שכללו חיפוש לא חוקי בטלפון של הנאשם, חקירתו תוך הפרת זכויות ושימוש בתרגילי חקירה לא חוקיים כולל הבטחה לנאשם שישוחרר אם יודה במיוחס לו, וכי יש לתת לאלמנטים אלה משקל גם לעונש. עוד נטען כי עבירת ההחזקה מצויה בסמכות בית משפט השלום, כי דובר בהחזקה רגעית של נשק שנמסר לנאשם לצורך צילום ובחלק מהמקרים גם לירי, וכי כל האירועים היו בנסיבות חברתיות, במהלך חתונות שהתרחשו בשטחים - והדבר נתמך בצילומים המראים שהנאשם לבש בגדים חגיגיים. נטען שיש להתחשב בכך, משום שבשטחים אין אכיפה בנוגע לירי בחתונות, היות שירי כזה הוא "כנראה חלק מהתרבות" במקום, ומשום שהנשק נמסר לנאשם בידי תושבי שטחים, לרבות בן דודו שהוא קצין ברשות הפלסטינית. נטען שהנאשם פעל משום שרצה להצטלם עם נשק עבור הרשתות החברתיות ולא משחפץ בנשק. </w:t>
      </w:r>
    </w:p>
    <w:p w14:paraId="007D540B" w14:textId="77777777" w:rsidR="008557F3" w:rsidRPr="00B61FEC" w:rsidRDefault="008557F3" w:rsidP="008557F3">
      <w:pPr>
        <w:pStyle w:val="ListParagraph"/>
        <w:spacing w:before="120" w:after="120" w:line="360" w:lineRule="auto"/>
        <w:ind w:left="360"/>
        <w:contextualSpacing w:val="0"/>
        <w:jc w:val="both"/>
        <w:rPr>
          <w:rFonts w:ascii="David" w:hAnsi="David" w:cs="David"/>
          <w:sz w:val="24"/>
          <w:szCs w:val="24"/>
        </w:rPr>
      </w:pPr>
      <w:r w:rsidRPr="00B61FEC">
        <w:rPr>
          <w:rFonts w:ascii="David" w:hAnsi="David" w:cs="David" w:hint="cs"/>
          <w:sz w:val="24"/>
          <w:szCs w:val="24"/>
          <w:rtl/>
        </w:rPr>
        <w:t xml:space="preserve">ההגנה הדגישה גם את הודאת הנאשם וגילו הצעיר הן בעת ביצוע המעשים והן כיום. עוד טענה כי המקרה מצוי ברף הנמוך של עבירות הנשק, וכי ספק אם הנאשם היה "מודע עד תום" בשל גילו והנסיבות. עוד נטען כי אין להיסמך על תסקיר שירות המבחן משום שהוא אינו יסודי ומשהנאשם אינו ורבלי מה שהשפיע על ההערכה המוצגת בתסקיר. נטען שהנאשם משתתף כיום בקבוצות טיפוליות ונעדר עבירות משמעת, והוצגו נסיבות חייו לרבות נשירה מבית הספר בגיל צעיר. נטען כי תיקון כתב האישום הינו משמעותי, וכי יש להקפיד על ענישה אינדיבידואלית. ההגנה הפנתה לפסיקה, לרבות של בית דין צבאי, וטענה שיש להתייחס לאירועים כמקשה אחת בהתחשב במועדי העבירות הקרובים, ולהסתפק בתקופת מאסר שתחפוף את תקופת מעצרו של הנאשם. </w:t>
      </w:r>
    </w:p>
    <w:p w14:paraId="630DCA37" w14:textId="77777777" w:rsidR="008557F3" w:rsidRPr="00B61FEC" w:rsidRDefault="008557F3" w:rsidP="008557F3">
      <w:pPr>
        <w:pStyle w:val="ListParagraph"/>
        <w:numPr>
          <w:ilvl w:val="0"/>
          <w:numId w:val="1"/>
        </w:numPr>
        <w:spacing w:before="120" w:after="120" w:line="360" w:lineRule="auto"/>
        <w:contextualSpacing w:val="0"/>
        <w:jc w:val="both"/>
        <w:rPr>
          <w:rFonts w:ascii="David" w:hAnsi="David" w:cs="David"/>
          <w:sz w:val="24"/>
          <w:szCs w:val="24"/>
        </w:rPr>
      </w:pPr>
      <w:r w:rsidRPr="00B61FEC">
        <w:rPr>
          <w:rFonts w:ascii="David" w:hAnsi="David" w:cs="David" w:hint="cs"/>
          <w:sz w:val="24"/>
          <w:szCs w:val="24"/>
          <w:rtl/>
        </w:rPr>
        <w:t xml:space="preserve">הנאשם נשא דברים בהם מסר שהוא מתחרט על מעשיו. </w:t>
      </w:r>
    </w:p>
    <w:p w14:paraId="23137DDE" w14:textId="77777777" w:rsidR="008557F3" w:rsidRDefault="008557F3" w:rsidP="008557F3">
      <w:pPr>
        <w:spacing w:before="120" w:after="120" w:line="360" w:lineRule="auto"/>
        <w:jc w:val="both"/>
        <w:rPr>
          <w:rFonts w:ascii="David" w:hAnsi="David"/>
          <w:b/>
          <w:bCs/>
          <w:rtl/>
        </w:rPr>
      </w:pPr>
    </w:p>
    <w:p w14:paraId="3DD08371" w14:textId="77777777" w:rsidR="008557F3" w:rsidRPr="009527E9" w:rsidRDefault="008557F3" w:rsidP="008557F3">
      <w:pPr>
        <w:spacing w:before="120" w:after="120" w:line="360" w:lineRule="auto"/>
        <w:jc w:val="both"/>
        <w:rPr>
          <w:rFonts w:ascii="David" w:hAnsi="David"/>
          <w:b/>
          <w:bCs/>
          <w:rtl/>
        </w:rPr>
      </w:pPr>
      <w:r w:rsidRPr="009527E9">
        <w:rPr>
          <w:rFonts w:ascii="David" w:hAnsi="David" w:hint="cs"/>
          <w:b/>
          <w:bCs/>
          <w:rtl/>
        </w:rPr>
        <w:t xml:space="preserve">דיון </w:t>
      </w:r>
    </w:p>
    <w:p w14:paraId="034F5F12" w14:textId="77777777" w:rsidR="008557F3" w:rsidRPr="009527E9" w:rsidRDefault="008557F3" w:rsidP="008557F3">
      <w:pPr>
        <w:spacing w:before="120" w:after="120" w:line="360" w:lineRule="auto"/>
        <w:jc w:val="both"/>
        <w:rPr>
          <w:rFonts w:ascii="David" w:hAnsi="David"/>
          <w:b/>
          <w:bCs/>
          <w:rtl/>
        </w:rPr>
      </w:pPr>
      <w:r w:rsidRPr="009527E9">
        <w:rPr>
          <w:rFonts w:ascii="David" w:hAnsi="David" w:hint="cs"/>
          <w:b/>
          <w:bCs/>
          <w:rtl/>
        </w:rPr>
        <w:t xml:space="preserve">מתחם העונש ההולם </w:t>
      </w:r>
    </w:p>
    <w:p w14:paraId="16FEE0ED" w14:textId="77777777" w:rsidR="008557F3" w:rsidRDefault="008557F3" w:rsidP="008557F3">
      <w:pPr>
        <w:pStyle w:val="ListParagraph"/>
        <w:numPr>
          <w:ilvl w:val="0"/>
          <w:numId w:val="1"/>
        </w:numPr>
        <w:spacing w:before="120" w:after="120" w:line="360" w:lineRule="auto"/>
        <w:contextualSpacing w:val="0"/>
        <w:jc w:val="both"/>
        <w:rPr>
          <w:rFonts w:ascii="David" w:hAnsi="David" w:cs="David"/>
          <w:sz w:val="24"/>
          <w:szCs w:val="24"/>
        </w:rPr>
      </w:pPr>
      <w:r w:rsidRPr="009527E9">
        <w:rPr>
          <w:rFonts w:ascii="David" w:hAnsi="David" w:cs="David" w:hint="cs"/>
          <w:sz w:val="24"/>
          <w:szCs w:val="24"/>
          <w:rtl/>
        </w:rPr>
        <w:t xml:space="preserve">העבירות השונות בביצוען הורשע הנאשם, הגם שנסיבותיהן אינן זהות, נושאות אופי דומה באופן המקים "קשר הדוק" ביניהן ומצדיק לסווגן כ"אירוע" אחד, לצרכי קביעת מתחם העונש ההולם. </w:t>
      </w:r>
      <w:r>
        <w:rPr>
          <w:rFonts w:ascii="David" w:hAnsi="David" w:cs="David" w:hint="cs"/>
          <w:sz w:val="24"/>
          <w:szCs w:val="24"/>
          <w:rtl/>
        </w:rPr>
        <w:t>הצדדים לא חלקו על כך, ועמדותיהם הולמות את הדין בנושא מש</w:t>
      </w:r>
      <w:r w:rsidRPr="009527E9">
        <w:rPr>
          <w:rFonts w:ascii="David" w:hAnsi="David" w:cs="David" w:hint="cs"/>
          <w:sz w:val="24"/>
          <w:szCs w:val="24"/>
          <w:rtl/>
        </w:rPr>
        <w:t xml:space="preserve">דובר בהחזקה חוזרת בכלי נשק מסוגים שונים, כשברוב המקרים גם בוצע בהם ירי, וזאת במועדים סמוכים שנפרשו על פני כחצי שנה. </w:t>
      </w:r>
    </w:p>
    <w:p w14:paraId="4B079E18" w14:textId="77777777" w:rsidR="008557F3" w:rsidRDefault="008557F3" w:rsidP="008557F3">
      <w:pPr>
        <w:pStyle w:val="ListParagraph"/>
        <w:spacing w:before="120" w:after="120" w:line="360" w:lineRule="auto"/>
        <w:ind w:left="360"/>
        <w:contextualSpacing w:val="0"/>
        <w:jc w:val="both"/>
        <w:rPr>
          <w:rFonts w:ascii="David" w:hAnsi="David" w:cs="David"/>
          <w:sz w:val="24"/>
          <w:szCs w:val="24"/>
          <w:rtl/>
        </w:rPr>
      </w:pPr>
      <w:r w:rsidRPr="009527E9">
        <w:rPr>
          <w:rFonts w:ascii="David" w:hAnsi="David" w:cs="David" w:hint="cs"/>
          <w:sz w:val="24"/>
          <w:szCs w:val="24"/>
          <w:rtl/>
        </w:rPr>
        <w:t xml:space="preserve">לקריטריונים לסיווג מספר עבירות כ"אירוע" אחד לצורך האמור ראו </w:t>
      </w:r>
      <w:hyperlink r:id="rId19" w:history="1">
        <w:r w:rsidR="005B77DA" w:rsidRPr="005B77DA">
          <w:rPr>
            <w:rFonts w:ascii="David" w:hAnsi="David" w:cs="David"/>
            <w:color w:val="0000FF"/>
            <w:sz w:val="24"/>
            <w:szCs w:val="24"/>
            <w:u w:val="single"/>
            <w:rtl/>
          </w:rPr>
          <w:t>ע"פ 4910/13</w:t>
        </w:r>
      </w:hyperlink>
      <w:r w:rsidR="005B77DA">
        <w:rPr>
          <w:rFonts w:ascii="David" w:hAnsi="David" w:cs="David"/>
          <w:sz w:val="24"/>
          <w:szCs w:val="24"/>
        </w:rPr>
        <w:t xml:space="preserve"> </w:t>
      </w:r>
      <w:r w:rsidRPr="009527E9">
        <w:rPr>
          <w:rFonts w:ascii="David" w:hAnsi="David" w:cs="David"/>
          <w:b/>
          <w:bCs/>
          <w:sz w:val="24"/>
          <w:szCs w:val="24"/>
          <w:rtl/>
        </w:rPr>
        <w:t>ג'אבר נ' מדינת ישראל</w:t>
      </w:r>
      <w:r w:rsidR="005B77DA">
        <w:rPr>
          <w:rFonts w:ascii="David" w:hAnsi="David" w:cs="David"/>
          <w:sz w:val="24"/>
          <w:szCs w:val="24"/>
          <w:rtl/>
        </w:rPr>
        <w:t xml:space="preserve"> </w:t>
      </w:r>
      <w:r w:rsidRPr="009527E9">
        <w:rPr>
          <w:rFonts w:ascii="David" w:hAnsi="David" w:cs="David"/>
          <w:sz w:val="24"/>
          <w:szCs w:val="24"/>
        </w:rPr>
        <w:t>(29.10.14)</w:t>
      </w:r>
      <w:r w:rsidRPr="009527E9">
        <w:rPr>
          <w:rFonts w:ascii="David" w:hAnsi="David" w:cs="David" w:hint="cs"/>
          <w:sz w:val="24"/>
          <w:szCs w:val="24"/>
          <w:rtl/>
        </w:rPr>
        <w:t xml:space="preserve">,  </w:t>
      </w:r>
      <w:hyperlink r:id="rId20" w:history="1">
        <w:r w:rsidR="005B77DA" w:rsidRPr="005B77DA">
          <w:rPr>
            <w:rFonts w:ascii="David" w:hAnsi="David" w:cs="David"/>
            <w:color w:val="0000FF"/>
            <w:sz w:val="24"/>
            <w:szCs w:val="24"/>
            <w:u w:val="single"/>
            <w:rtl/>
          </w:rPr>
          <w:t>ע"פ 8175/22</w:t>
        </w:r>
      </w:hyperlink>
      <w:r w:rsidRPr="009527E9">
        <w:rPr>
          <w:rFonts w:ascii="David" w:hAnsi="David" w:cs="David" w:hint="cs"/>
          <w:sz w:val="24"/>
          <w:szCs w:val="24"/>
          <w:rtl/>
        </w:rPr>
        <w:t xml:space="preserve"> </w:t>
      </w:r>
      <w:r w:rsidRPr="009527E9">
        <w:rPr>
          <w:rFonts w:ascii="David" w:hAnsi="David" w:cs="David" w:hint="cs"/>
          <w:b/>
          <w:bCs/>
          <w:sz w:val="24"/>
          <w:szCs w:val="24"/>
          <w:rtl/>
        </w:rPr>
        <w:t>דאעגלה נ' מדינת ישראל</w:t>
      </w:r>
      <w:r w:rsidRPr="009527E9">
        <w:rPr>
          <w:rFonts w:ascii="David" w:hAnsi="David" w:cs="David" w:hint="cs"/>
          <w:sz w:val="24"/>
          <w:szCs w:val="24"/>
          <w:rtl/>
        </w:rPr>
        <w:t xml:space="preserve"> פסקה 7 (27.8.24), </w:t>
      </w:r>
      <w:hyperlink r:id="rId21" w:history="1">
        <w:r w:rsidR="005B77DA" w:rsidRPr="005B77DA">
          <w:rPr>
            <w:rFonts w:ascii="David" w:hAnsi="David" w:cs="David"/>
            <w:color w:val="0000FF"/>
            <w:sz w:val="24"/>
            <w:szCs w:val="24"/>
            <w:u w:val="single"/>
            <w:rtl/>
          </w:rPr>
          <w:t>ע"פ 5405/21</w:t>
        </w:r>
      </w:hyperlink>
      <w:r w:rsidRPr="009527E9">
        <w:rPr>
          <w:rFonts w:ascii="David" w:hAnsi="David" w:cs="David" w:hint="cs"/>
          <w:sz w:val="24"/>
          <w:szCs w:val="24"/>
          <w:rtl/>
        </w:rPr>
        <w:t xml:space="preserve"> </w:t>
      </w:r>
      <w:r w:rsidRPr="009527E9">
        <w:rPr>
          <w:rFonts w:ascii="David" w:hAnsi="David" w:cs="David" w:hint="cs"/>
          <w:b/>
          <w:bCs/>
          <w:sz w:val="24"/>
          <w:szCs w:val="24"/>
          <w:rtl/>
        </w:rPr>
        <w:t>כהן נ' מדינת ישראל</w:t>
      </w:r>
      <w:r w:rsidRPr="009527E9">
        <w:rPr>
          <w:rFonts w:ascii="David" w:hAnsi="David" w:cs="David" w:hint="cs"/>
          <w:sz w:val="24"/>
          <w:szCs w:val="24"/>
          <w:rtl/>
        </w:rPr>
        <w:t xml:space="preserve"> פסקה 35 (24.8.22). </w:t>
      </w:r>
    </w:p>
    <w:p w14:paraId="7E48DFD3" w14:textId="77777777" w:rsidR="008557F3" w:rsidRPr="009527E9" w:rsidRDefault="008557F3" w:rsidP="008557F3">
      <w:pPr>
        <w:pStyle w:val="ListParagraph"/>
        <w:spacing w:before="120" w:after="120" w:line="360" w:lineRule="auto"/>
        <w:ind w:left="360"/>
        <w:contextualSpacing w:val="0"/>
        <w:jc w:val="both"/>
        <w:rPr>
          <w:rFonts w:ascii="David" w:hAnsi="David" w:cs="David"/>
          <w:sz w:val="24"/>
          <w:szCs w:val="24"/>
        </w:rPr>
      </w:pPr>
      <w:r w:rsidRPr="009527E9">
        <w:rPr>
          <w:rFonts w:ascii="David" w:hAnsi="David" w:cs="David" w:hint="cs"/>
          <w:sz w:val="24"/>
          <w:szCs w:val="24"/>
          <w:rtl/>
        </w:rPr>
        <w:t>מובן כי אין בכך לגרוע מריבוי העבירות ומחומרתן, ואלה יישקלו במסגרת קביעת המתחם.</w:t>
      </w:r>
    </w:p>
    <w:p w14:paraId="4CBF8B13" w14:textId="77777777" w:rsidR="008557F3" w:rsidRPr="009527E9" w:rsidRDefault="008557F3" w:rsidP="008557F3">
      <w:pPr>
        <w:pStyle w:val="ListParagraph"/>
        <w:numPr>
          <w:ilvl w:val="0"/>
          <w:numId w:val="1"/>
        </w:numPr>
        <w:spacing w:before="120" w:after="120" w:line="360" w:lineRule="auto"/>
        <w:contextualSpacing w:val="0"/>
        <w:jc w:val="both"/>
        <w:rPr>
          <w:rFonts w:ascii="David" w:hAnsi="David" w:cs="David"/>
          <w:sz w:val="24"/>
          <w:szCs w:val="24"/>
        </w:rPr>
      </w:pPr>
      <w:r w:rsidRPr="009527E9">
        <w:rPr>
          <w:rFonts w:ascii="David" w:hAnsi="David" w:cs="David" w:hint="cs"/>
          <w:sz w:val="24"/>
          <w:szCs w:val="24"/>
          <w:rtl/>
        </w:rPr>
        <w:t>הנאשם חטא בריבוי עבירות של החזקת כלי נשק מסוגים שונים, ושל ביצוע ירי מנשק חם. חומרתם של מעשים מעין אלה, הערכים המוגנים הנפגעים בביצועם, והגישה העונשית ההולמת אותם נדונו לא אחת בפסיקה. גובשה מגמת החמרה שמצאה ביטוי הן בפסקי דין והן בקביעת עונשי מינימום בתיקון 140 ל</w:t>
      </w:r>
      <w:hyperlink r:id="rId22" w:history="1">
        <w:r w:rsidR="005B77DA" w:rsidRPr="005B77DA">
          <w:rPr>
            <w:rFonts w:ascii="David" w:hAnsi="David" w:cs="David"/>
            <w:color w:val="0000FF"/>
            <w:sz w:val="24"/>
            <w:szCs w:val="24"/>
            <w:u w:val="single"/>
            <w:rtl/>
          </w:rPr>
          <w:t>חוק העונשין</w:t>
        </w:r>
      </w:hyperlink>
      <w:r w:rsidRPr="009527E9">
        <w:rPr>
          <w:rFonts w:ascii="David" w:hAnsi="David" w:cs="David" w:hint="cs"/>
          <w:sz w:val="24"/>
          <w:szCs w:val="24"/>
          <w:rtl/>
        </w:rPr>
        <w:t xml:space="preserve"> והן בפסקי דין. כך למשל:</w:t>
      </w:r>
    </w:p>
    <w:p w14:paraId="6B47479E" w14:textId="77777777" w:rsidR="008557F3" w:rsidRPr="009527E9" w:rsidRDefault="008557F3" w:rsidP="008557F3">
      <w:pPr>
        <w:pStyle w:val="ListParagraph"/>
        <w:spacing w:before="120" w:after="120" w:line="240" w:lineRule="auto"/>
        <w:ind w:left="510" w:right="510"/>
        <w:contextualSpacing w:val="0"/>
        <w:jc w:val="both"/>
        <w:rPr>
          <w:rFonts w:ascii="FrankRuehl" w:hAnsi="FrankRuehl" w:cs="FrankRuehl"/>
          <w:sz w:val="24"/>
          <w:szCs w:val="24"/>
          <w:rtl/>
        </w:rPr>
      </w:pPr>
      <w:r w:rsidRPr="009527E9">
        <w:rPr>
          <w:rFonts w:ascii="David" w:hAnsi="David" w:cs="David"/>
          <w:sz w:val="24"/>
          <w:szCs w:val="24"/>
          <w:rtl/>
        </w:rPr>
        <w:t>"</w:t>
      </w:r>
      <w:r w:rsidRPr="009527E9">
        <w:rPr>
          <w:rFonts w:ascii="FrankRuehl" w:hAnsi="FrankRuehl" w:cs="FrankRuehl"/>
          <w:sz w:val="24"/>
          <w:szCs w:val="24"/>
          <w:rtl/>
        </w:rPr>
        <w:t>בית משפט זה עמד פעם אחר פעם על החומרה הרבה הגלומה בעבירות נשק, אשר הפכו זה מכבר ל</w:t>
      </w:r>
      <w:r w:rsidRPr="009527E9">
        <w:rPr>
          <w:rFonts w:ascii="FrankRuehl" w:hAnsi="FrankRuehl" w:cs="FrankRuehl" w:hint="cs"/>
          <w:sz w:val="24"/>
          <w:szCs w:val="24"/>
          <w:rtl/>
        </w:rPr>
        <w:t>'</w:t>
      </w:r>
      <w:r w:rsidRPr="009527E9">
        <w:rPr>
          <w:rFonts w:ascii="FrankRuehl" w:hAnsi="FrankRuehl" w:cs="FrankRuehl"/>
          <w:sz w:val="24"/>
          <w:szCs w:val="24"/>
          <w:rtl/>
        </w:rPr>
        <w:t>מכת מדינה</w:t>
      </w:r>
      <w:r w:rsidRPr="009527E9">
        <w:rPr>
          <w:rFonts w:ascii="FrankRuehl" w:hAnsi="FrankRuehl" w:cs="FrankRuehl" w:hint="cs"/>
          <w:sz w:val="24"/>
          <w:szCs w:val="24"/>
          <w:rtl/>
        </w:rPr>
        <w:t>'</w:t>
      </w:r>
      <w:r w:rsidRPr="009527E9">
        <w:rPr>
          <w:rFonts w:ascii="FrankRuehl" w:hAnsi="FrankRuehl" w:cs="FrankRuehl"/>
          <w:sz w:val="24"/>
          <w:szCs w:val="24"/>
          <w:rtl/>
        </w:rPr>
        <w:t xml:space="preserve"> בחברה הישראלית בכלל, ובמגזר הערבי בפרט. עבירות אלה טומנות בחובן פוטנציאל פגיעה בחיי אדם ובשלמות הגוף, ומעמידות בסכנה ממשית את ביטחון הציבור ואת הסדר הציבורי בכללותו. כן הדגיש בית משפט זה כי חומרתן הרבה של עבירות הנשק אינה מסתכמת בנזק שנגרם בפועל במקרה הקונקרטי, אלא בפוטנציאל הנזק שנובע מאותן עבירות... דברים אלה תקפים ביתר שאת ביחס לעבירות של ירי מנשק חם באזור מגורים – אשר כרוכות בסכנה של ממש לחיי אדם ועשויות להביא לפגיעה בחפים מפשע...</w:t>
      </w:r>
    </w:p>
    <w:p w14:paraId="289371EF" w14:textId="77777777" w:rsidR="008557F3" w:rsidRPr="009527E9" w:rsidRDefault="008557F3" w:rsidP="008557F3">
      <w:pPr>
        <w:pStyle w:val="ListParagraph"/>
        <w:spacing w:before="120" w:after="120" w:line="240" w:lineRule="auto"/>
        <w:ind w:left="510" w:right="510"/>
        <w:contextualSpacing w:val="0"/>
        <w:jc w:val="both"/>
        <w:rPr>
          <w:rFonts w:ascii="David" w:hAnsi="David" w:cs="David"/>
          <w:sz w:val="24"/>
          <w:szCs w:val="24"/>
          <w:rtl/>
        </w:rPr>
      </w:pPr>
      <w:r w:rsidRPr="009527E9">
        <w:rPr>
          <w:rFonts w:ascii="FrankRuehl" w:hAnsi="FrankRuehl" w:cs="FrankRuehl"/>
          <w:sz w:val="24"/>
          <w:szCs w:val="24"/>
          <w:rtl/>
        </w:rPr>
        <w:t>כחלק מהמאבק הנחוש למיגור עבירות הנשק, ניכרת בפסיקה בשנים האחרונות מגמה עקבית להחמרת הענישה בגין עבירות אלה, באופן שיהלום את מידת פגיעתן בערכים המוגנים וימנע את התפשטותן. בית משפט זה עמד לא אחת על הצורך בהטלת עונשי מאסר משמעותיים בגין עבירות אלה, וזאת הן כדי לתת ביטוי עונשי הולם לחומרה היתרה הטמונה בעבירות אלה והן כדי להביא להרתעת היחיד והרבים מפני ביצוען</w:t>
      </w:r>
      <w:r w:rsidRPr="009527E9">
        <w:rPr>
          <w:rFonts w:ascii="David" w:hAnsi="David" w:cs="David"/>
          <w:sz w:val="24"/>
          <w:szCs w:val="24"/>
          <w:rtl/>
        </w:rPr>
        <w:t>"</w:t>
      </w:r>
      <w:r w:rsidRPr="009527E9">
        <w:rPr>
          <w:rFonts w:ascii="David" w:hAnsi="David" w:cs="David" w:hint="cs"/>
          <w:sz w:val="24"/>
          <w:szCs w:val="24"/>
          <w:rtl/>
        </w:rPr>
        <w:t xml:space="preserve"> (</w:t>
      </w:r>
      <w:hyperlink r:id="rId23" w:history="1">
        <w:r w:rsidR="005B77DA" w:rsidRPr="005B77DA">
          <w:rPr>
            <w:rFonts w:ascii="David" w:hAnsi="David" w:cs="David"/>
            <w:color w:val="0000FF"/>
            <w:sz w:val="24"/>
            <w:szCs w:val="24"/>
            <w:u w:val="single"/>
            <w:rtl/>
          </w:rPr>
          <w:t>ע"פ 5684/22</w:t>
        </w:r>
      </w:hyperlink>
      <w:r w:rsidRPr="009527E9">
        <w:rPr>
          <w:rFonts w:ascii="David" w:hAnsi="David" w:cs="David"/>
          <w:sz w:val="24"/>
          <w:szCs w:val="24"/>
          <w:rtl/>
        </w:rPr>
        <w:t xml:space="preserve"> </w:t>
      </w:r>
      <w:r w:rsidRPr="009527E9">
        <w:rPr>
          <w:rFonts w:ascii="David" w:hAnsi="David" w:cs="David"/>
          <w:b/>
          <w:bCs/>
          <w:sz w:val="24"/>
          <w:szCs w:val="24"/>
          <w:rtl/>
        </w:rPr>
        <w:t>פלוני נ' מדינת ישראל</w:t>
      </w:r>
      <w:r w:rsidRPr="009527E9">
        <w:rPr>
          <w:rFonts w:ascii="David" w:hAnsi="David" w:cs="David"/>
          <w:sz w:val="24"/>
          <w:szCs w:val="24"/>
          <w:rtl/>
        </w:rPr>
        <w:t xml:space="preserve"> (20.4.2023)‏‏</w:t>
      </w:r>
      <w:r w:rsidRPr="009527E9">
        <w:rPr>
          <w:rFonts w:ascii="David" w:hAnsi="David" w:cs="David" w:hint="cs"/>
          <w:sz w:val="24"/>
          <w:szCs w:val="24"/>
          <w:rtl/>
        </w:rPr>
        <w:t xml:space="preserve">. </w:t>
      </w:r>
    </w:p>
    <w:p w14:paraId="3B86A947" w14:textId="77777777" w:rsidR="008557F3" w:rsidRPr="009527E9" w:rsidRDefault="008557F3" w:rsidP="008557F3">
      <w:pPr>
        <w:pStyle w:val="ListParagraph"/>
        <w:spacing w:before="120" w:after="120" w:line="240" w:lineRule="auto"/>
        <w:ind w:left="510" w:right="510"/>
        <w:contextualSpacing w:val="0"/>
        <w:jc w:val="both"/>
        <w:rPr>
          <w:rFonts w:ascii="FrankRuehl" w:hAnsi="FrankRuehl" w:cs="FrankRuehl"/>
          <w:sz w:val="24"/>
          <w:szCs w:val="24"/>
        </w:rPr>
      </w:pPr>
      <w:r w:rsidRPr="009527E9">
        <w:rPr>
          <w:rFonts w:ascii="FrankRuehl" w:hAnsi="FrankRuehl" w:cs="FrankRuehl"/>
          <w:sz w:val="24"/>
          <w:szCs w:val="24"/>
          <w:rtl/>
        </w:rPr>
        <w:t>החזקת נשק שלא כדין מאיימת על שלום הציבור ובטחונו</w:t>
      </w:r>
      <w:r w:rsidRPr="009527E9">
        <w:rPr>
          <w:rFonts w:ascii="FrankRuehl" w:hAnsi="FrankRuehl" w:cs="FrankRuehl" w:hint="cs"/>
          <w:sz w:val="24"/>
          <w:szCs w:val="24"/>
          <w:rtl/>
        </w:rPr>
        <w:t xml:space="preserve">... </w:t>
      </w:r>
      <w:r w:rsidRPr="009527E9">
        <w:rPr>
          <w:rFonts w:ascii="FrankRuehl" w:hAnsi="FrankRuehl" w:cs="FrankRuehl"/>
          <w:sz w:val="24"/>
          <w:szCs w:val="24"/>
          <w:rtl/>
        </w:rPr>
        <w:t>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w:t>
      </w:r>
      <w:r w:rsidRPr="009527E9">
        <w:rPr>
          <w:rFonts w:ascii="FrankRuehl" w:hAnsi="FrankRuehl" w:cs="FrankRuehl" w:hint="cs"/>
          <w:sz w:val="24"/>
          <w:szCs w:val="24"/>
          <w:rtl/>
        </w:rPr>
        <w:t>...</w:t>
      </w:r>
      <w:r w:rsidRPr="009527E9">
        <w:rPr>
          <w:rFonts w:ascii="FrankRuehl" w:hAnsi="FrankRuehl" w:cs="FrankRuehl"/>
          <w:sz w:val="24"/>
          <w:szCs w:val="24"/>
          <w:rtl/>
        </w:rPr>
        <w:t xml:space="preserve">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w:t>
      </w:r>
      <w:r w:rsidRPr="009527E9">
        <w:rPr>
          <w:rFonts w:ascii="FrankRuehl" w:hAnsi="FrankRuehl" w:cs="FrankRuehl" w:hint="cs"/>
          <w:sz w:val="24"/>
          <w:szCs w:val="24"/>
          <w:rtl/>
        </w:rPr>
        <w:t>...</w:t>
      </w:r>
      <w:r w:rsidRPr="009527E9">
        <w:rPr>
          <w:rFonts w:ascii="FrankRuehl" w:hAnsi="FrankRuehl" w:cs="FrankRuehl"/>
          <w:sz w:val="24"/>
          <w:szCs w:val="24"/>
          <w:rtl/>
        </w:rPr>
        <w:t xml:space="preserve"> ענייננו ב</w:t>
      </w:r>
      <w:r w:rsidRPr="009527E9">
        <w:rPr>
          <w:rFonts w:ascii="FrankRuehl" w:hAnsi="FrankRuehl" w:cs="FrankRuehl" w:hint="cs"/>
          <w:sz w:val="24"/>
          <w:szCs w:val="24"/>
          <w:rtl/>
        </w:rPr>
        <w:t>'</w:t>
      </w:r>
      <w:r w:rsidRPr="009527E9">
        <w:rPr>
          <w:rFonts w:ascii="FrankRuehl" w:hAnsi="FrankRuehl" w:cs="FrankRuehl"/>
          <w:sz w:val="24"/>
          <w:szCs w:val="24"/>
          <w:rtl/>
        </w:rPr>
        <w:t>מכת מדינה</w:t>
      </w:r>
      <w:r w:rsidRPr="009527E9">
        <w:rPr>
          <w:rFonts w:ascii="FrankRuehl" w:hAnsi="FrankRuehl" w:cs="FrankRuehl" w:hint="cs"/>
          <w:sz w:val="24"/>
          <w:szCs w:val="24"/>
          <w:rtl/>
        </w:rPr>
        <w:t>'</w:t>
      </w:r>
      <w:r w:rsidRPr="009527E9">
        <w:rPr>
          <w:rFonts w:ascii="FrankRuehl" w:hAnsi="FrankRuehl" w:cs="FrankRuehl"/>
          <w:sz w:val="24"/>
          <w:szCs w:val="24"/>
          <w:rtl/>
        </w:rPr>
        <w:t xml:space="preserve"> שהצורך להילחם בה על מנת להגן על הציבור, מצריך מענה הולם והטלת עונשי מאסר משמעותיים</w:t>
      </w:r>
      <w:r w:rsidRPr="009527E9">
        <w:rPr>
          <w:rFonts w:ascii="FrankRuehl" w:hAnsi="FrankRuehl" w:cs="FrankRuehl" w:hint="cs"/>
          <w:sz w:val="24"/>
          <w:szCs w:val="24"/>
          <w:rtl/>
        </w:rPr>
        <w:t>...</w:t>
      </w:r>
      <w:r w:rsidRPr="009527E9">
        <w:rPr>
          <w:rFonts w:ascii="FrankRuehl" w:hAnsi="FrankRuehl" w:cs="FrankRuehl"/>
          <w:sz w:val="24"/>
          <w:szCs w:val="24"/>
          <w:rtl/>
        </w:rPr>
        <w:t xml:space="preserve"> ידע כל מי שמחזיק בנשק בלתי חוקי כי צפוי הוא להיענש בחומרה, בבחינת </w:t>
      </w:r>
      <w:r w:rsidRPr="009527E9">
        <w:rPr>
          <w:rFonts w:ascii="FrankRuehl" w:hAnsi="FrankRuehl" w:cs="FrankRuehl" w:hint="cs"/>
          <w:sz w:val="24"/>
          <w:szCs w:val="24"/>
          <w:rtl/>
        </w:rPr>
        <w:t>'</w:t>
      </w:r>
      <w:r w:rsidRPr="009527E9">
        <w:rPr>
          <w:rFonts w:ascii="FrankRuehl" w:hAnsi="FrankRuehl" w:cs="FrankRuehl"/>
          <w:sz w:val="24"/>
          <w:szCs w:val="24"/>
          <w:rtl/>
        </w:rPr>
        <w:t>אם מחזיקים – למאסר נשלחים</w:t>
      </w:r>
      <w:r w:rsidRPr="009527E9">
        <w:rPr>
          <w:rFonts w:ascii="FrankRuehl" w:hAnsi="FrankRuehl" w:cs="FrankRuehl" w:hint="cs"/>
          <w:sz w:val="24"/>
          <w:szCs w:val="24"/>
          <w:rtl/>
        </w:rPr>
        <w:t>'</w:t>
      </w:r>
      <w:r w:rsidRPr="009527E9">
        <w:rPr>
          <w:rFonts w:ascii="FrankRuehl" w:hAnsi="FrankRuehl" w:cs="FrankRuehl"/>
          <w:sz w:val="24"/>
          <w:szCs w:val="24"/>
          <w:rtl/>
        </w:rPr>
        <w:t>.</w:t>
      </w:r>
    </w:p>
    <w:p w14:paraId="3818DF43" w14:textId="77777777" w:rsidR="008557F3" w:rsidRDefault="005B77DA" w:rsidP="008557F3">
      <w:pPr>
        <w:pStyle w:val="ListParagraph"/>
        <w:spacing w:before="120" w:after="120" w:line="240" w:lineRule="auto"/>
        <w:ind w:left="510" w:right="510"/>
        <w:contextualSpacing w:val="0"/>
        <w:jc w:val="both"/>
        <w:rPr>
          <w:rFonts w:ascii="FrankRuehl" w:hAnsi="FrankRuehl" w:cs="FrankRuehl"/>
          <w:sz w:val="24"/>
          <w:szCs w:val="24"/>
          <w:rtl/>
        </w:rPr>
      </w:pPr>
      <w:r>
        <w:rPr>
          <w:rFonts w:ascii="FrankRuehl" w:hAnsi="FrankRuehl" w:cs="FrankRuehl"/>
          <w:sz w:val="24"/>
          <w:szCs w:val="24"/>
          <w:rtl/>
        </w:rPr>
        <w:t xml:space="preserve"> </w:t>
      </w:r>
      <w:r w:rsidR="008557F3" w:rsidRPr="009527E9">
        <w:rPr>
          <w:rFonts w:ascii="FrankRuehl" w:hAnsi="FrankRuehl" w:cs="FrankRuehl"/>
          <w:sz w:val="24"/>
          <w:szCs w:val="24"/>
          <w:rtl/>
        </w:rPr>
        <w:t>לא למותר להזכיר כי המחוקק מצא לעגן בהוראת שעה עונשי מינימום לעבירות נשק, כך שהעונש שיושת על מבצעיהן יתחיל מרבע העונש המרבי שנקבע לעבירה, אלא אם החליט</w:t>
      </w:r>
      <w:r>
        <w:rPr>
          <w:rFonts w:ascii="FrankRuehl" w:hAnsi="FrankRuehl" w:cs="FrankRuehl"/>
          <w:sz w:val="24"/>
          <w:szCs w:val="24"/>
          <w:rtl/>
        </w:rPr>
        <w:t xml:space="preserve"> </w:t>
      </w:r>
      <w:r w:rsidR="008557F3" w:rsidRPr="009527E9">
        <w:rPr>
          <w:rFonts w:ascii="FrankRuehl" w:hAnsi="FrankRuehl" w:cs="FrankRuehl"/>
          <w:sz w:val="24"/>
          <w:szCs w:val="24"/>
          <w:rtl/>
        </w:rPr>
        <w:t>בית המשפט מטעמים מיוחדים להקל בעונש</w:t>
      </w:r>
      <w:r>
        <w:rPr>
          <w:rFonts w:ascii="FrankRuehl" w:hAnsi="FrankRuehl" w:cs="FrankRuehl"/>
          <w:sz w:val="24"/>
          <w:szCs w:val="24"/>
          <w:rtl/>
        </w:rPr>
        <w:t xml:space="preserve"> </w:t>
      </w:r>
      <w:r w:rsidR="008557F3" w:rsidRPr="009527E9">
        <w:rPr>
          <w:rFonts w:ascii="FrankRuehl" w:hAnsi="FrankRuehl" w:cs="FrankRuehl" w:hint="cs"/>
          <w:sz w:val="24"/>
          <w:szCs w:val="24"/>
          <w:rtl/>
        </w:rPr>
        <w:t xml:space="preserve"> (סעיף 144(ז) ל</w:t>
      </w:r>
      <w:hyperlink r:id="rId24" w:history="1">
        <w:r w:rsidRPr="005B77DA">
          <w:rPr>
            <w:rFonts w:ascii="FrankRuehl" w:hAnsi="FrankRuehl" w:cs="FrankRuehl"/>
            <w:color w:val="0000FF"/>
            <w:sz w:val="24"/>
            <w:szCs w:val="24"/>
            <w:u w:val="single"/>
            <w:rtl/>
          </w:rPr>
          <w:t>חוק העונשין</w:t>
        </w:r>
      </w:hyperlink>
      <w:r w:rsidR="008557F3" w:rsidRPr="009527E9">
        <w:rPr>
          <w:rFonts w:ascii="FrankRuehl" w:hAnsi="FrankRuehl" w:cs="FrankRuehl" w:hint="cs"/>
          <w:sz w:val="24"/>
          <w:szCs w:val="24"/>
          <w:rtl/>
        </w:rPr>
        <w:t xml:space="preserve">, </w:t>
      </w:r>
      <w:r w:rsidR="008557F3" w:rsidRPr="009527E9">
        <w:rPr>
          <w:rFonts w:ascii="FrankRuehl" w:hAnsi="FrankRuehl" w:cs="FrankRuehl"/>
          <w:sz w:val="24"/>
          <w:szCs w:val="24"/>
          <w:rtl/>
        </w:rPr>
        <w:t>וראו</w:t>
      </w:r>
      <w:r>
        <w:rPr>
          <w:rFonts w:ascii="FrankRuehl" w:hAnsi="FrankRuehl" w:cs="FrankRuehl"/>
          <w:sz w:val="24"/>
          <w:szCs w:val="24"/>
          <w:rtl/>
        </w:rPr>
        <w:t xml:space="preserve"> </w:t>
      </w:r>
      <w:r w:rsidR="008557F3" w:rsidRPr="009527E9">
        <w:rPr>
          <w:rFonts w:ascii="FrankRuehl" w:hAnsi="FrankRuehl" w:cs="FrankRuehl"/>
          <w:sz w:val="24"/>
          <w:szCs w:val="24"/>
          <w:rtl/>
        </w:rPr>
        <w:t>חוק העונשין (תיקון מס' 140 - הוראת שעה), התשפ"ב-2021, ס"ח 472</w:t>
      </w:r>
      <w:r w:rsidR="008557F3" w:rsidRPr="009527E9">
        <w:rPr>
          <w:rFonts w:ascii="FrankRuehl" w:hAnsi="FrankRuehl" w:cs="FrankRuehl" w:hint="cs"/>
          <w:sz w:val="24"/>
          <w:szCs w:val="24"/>
          <w:rtl/>
        </w:rPr>
        <w:t xml:space="preserve">..." </w:t>
      </w:r>
      <w:r w:rsidR="008557F3" w:rsidRPr="009527E9">
        <w:rPr>
          <w:rFonts w:ascii="David" w:hAnsi="David" w:cs="David"/>
          <w:sz w:val="24"/>
          <w:szCs w:val="24"/>
          <w:rtl/>
        </w:rPr>
        <w:t>(</w:t>
      </w:r>
      <w:hyperlink r:id="rId25" w:history="1">
        <w:r w:rsidRPr="005B77DA">
          <w:rPr>
            <w:rFonts w:ascii="David" w:hAnsi="David" w:cs="David"/>
            <w:color w:val="0000FF"/>
            <w:sz w:val="24"/>
            <w:szCs w:val="24"/>
            <w:u w:val="single"/>
            <w:rtl/>
          </w:rPr>
          <w:t>ע"פ 2482/22</w:t>
        </w:r>
      </w:hyperlink>
      <w:r w:rsidR="008557F3" w:rsidRPr="009527E9">
        <w:rPr>
          <w:rFonts w:ascii="David" w:hAnsi="David" w:cs="David"/>
          <w:sz w:val="24"/>
          <w:szCs w:val="24"/>
          <w:rtl/>
        </w:rPr>
        <w:t xml:space="preserve"> </w:t>
      </w:r>
      <w:r w:rsidR="008557F3" w:rsidRPr="009527E9">
        <w:rPr>
          <w:rFonts w:ascii="David" w:hAnsi="David" w:cs="David"/>
          <w:b/>
          <w:bCs/>
          <w:sz w:val="24"/>
          <w:szCs w:val="24"/>
          <w:rtl/>
        </w:rPr>
        <w:t xml:space="preserve">מדינת ישראל נ' קדורה </w:t>
      </w:r>
      <w:r w:rsidR="008557F3" w:rsidRPr="009527E9">
        <w:rPr>
          <w:rFonts w:ascii="David" w:hAnsi="David" w:cs="David"/>
          <w:sz w:val="24"/>
          <w:szCs w:val="24"/>
          <w:rtl/>
        </w:rPr>
        <w:t xml:space="preserve">(14.4.22)). </w:t>
      </w:r>
      <w:r w:rsidR="008557F3" w:rsidRPr="009527E9">
        <w:rPr>
          <w:rFonts w:ascii="FrankRuehl" w:hAnsi="FrankRuehl" w:cs="FrankRuehl"/>
          <w:sz w:val="24"/>
          <w:szCs w:val="24"/>
          <w:rtl/>
        </w:rPr>
        <w:t xml:space="preserve"> </w:t>
      </w:r>
    </w:p>
    <w:p w14:paraId="2D39D858" w14:textId="77777777" w:rsidR="008557F3" w:rsidRPr="008A464E" w:rsidRDefault="008557F3" w:rsidP="008557F3">
      <w:pPr>
        <w:pStyle w:val="ListParagraph"/>
        <w:spacing w:before="120" w:after="120" w:line="240" w:lineRule="auto"/>
        <w:ind w:left="510" w:right="510"/>
        <w:contextualSpacing w:val="0"/>
        <w:jc w:val="both"/>
        <w:rPr>
          <w:rFonts w:ascii="David" w:hAnsi="David" w:cs="David"/>
          <w:sz w:val="24"/>
          <w:szCs w:val="24"/>
          <w:rtl/>
        </w:rPr>
      </w:pPr>
      <w:r>
        <w:rPr>
          <w:rFonts w:ascii="FrankRuehl" w:hAnsi="FrankRuehl" w:cs="FrankRuehl"/>
          <w:color w:val="000000"/>
        </w:rPr>
        <w:t>"</w:t>
      </w:r>
      <w:r>
        <w:rPr>
          <w:rFonts w:ascii="FrankRuehl" w:hAnsi="FrankRuehl" w:cs="FrankRuehl"/>
          <w:color w:val="000000"/>
          <w:rtl/>
        </w:rPr>
        <w:t>עבירות נשק לסוגיהן היו זה מכבר למכת מדינה. האיסורים על עבירות כאמור באים להגן על ערכים חברתיים שכוללים שמירה על חיי אדם ועל שלמות גופו, וכן שמירה על סדרי חיים תקינים ושלווים שאינם מופרעים על ידי איש האוחז באקדח, ברובה, או בתת-מקלע... ואין זה מקרי שעצם הרכישה או ההחזקה של כלי נשק בלא רשות על פי דין להחזקתו גוררת אחריה עונש מרבי של שבע שנות מאסר, כאמור</w:t>
      </w:r>
      <w:r w:rsidR="005B77DA">
        <w:rPr>
          <w:rFonts w:ascii="FrankRuehl" w:hAnsi="FrankRuehl" w:cs="FrankRuehl"/>
          <w:color w:val="000000"/>
          <w:rtl/>
        </w:rPr>
        <w:t xml:space="preserve"> </w:t>
      </w:r>
      <w:r>
        <w:rPr>
          <w:rFonts w:ascii="FrankRuehl" w:hAnsi="FrankRuehl" w:cs="FrankRuehl"/>
          <w:color w:val="000000"/>
          <w:rtl/>
        </w:rPr>
        <w:t>בס</w:t>
      </w:r>
      <w:r w:rsidRPr="008A464E">
        <w:rPr>
          <w:rFonts w:ascii="FrankRuehl" w:hAnsi="FrankRuehl" w:cs="FrankRuehl"/>
          <w:rtl/>
        </w:rPr>
        <w:t>עיף 144(א)</w:t>
      </w:r>
      <w:r w:rsidR="005B77DA">
        <w:rPr>
          <w:rFonts w:ascii="FrankRuehl" w:hAnsi="FrankRuehl" w:cs="FrankRuehl"/>
        </w:rPr>
        <w:t xml:space="preserve"> </w:t>
      </w:r>
      <w:r w:rsidRPr="008A464E">
        <w:rPr>
          <w:rFonts w:ascii="FrankRuehl" w:hAnsi="FrankRuehl" w:cs="FrankRuehl"/>
          <w:rtl/>
        </w:rPr>
        <w:t>ל</w:t>
      </w:r>
      <w:hyperlink r:id="rId26" w:history="1">
        <w:r w:rsidR="005B77DA" w:rsidRPr="005B77DA">
          <w:rPr>
            <w:rFonts w:ascii="FrankRuehl" w:hAnsi="FrankRuehl" w:cs="FrankRuehl"/>
            <w:color w:val="0000FF"/>
            <w:u w:val="single"/>
            <w:rtl/>
          </w:rPr>
          <w:t>חוק העונשין</w:t>
        </w:r>
      </w:hyperlink>
      <w:r w:rsidRPr="008A464E">
        <w:rPr>
          <w:rFonts w:ascii="FrankRuehl" w:hAnsi="FrankRuehl" w:cs="FrankRuehl"/>
        </w:rPr>
        <w:t>.</w:t>
      </w:r>
      <w:r w:rsidR="005B77DA">
        <w:rPr>
          <w:rFonts w:ascii="FrankRuehl" w:hAnsi="FrankRuehl" w:cs="FrankRuehl"/>
        </w:rPr>
        <w:t xml:space="preserve"> </w:t>
      </w:r>
      <w:r w:rsidRPr="008A464E">
        <w:rPr>
          <w:rFonts w:ascii="FrankRuehl" w:hAnsi="FrankRuehl" w:cs="FrankRuehl"/>
          <w:rtl/>
        </w:rPr>
        <w:t>עונש זה ועונשים אחרים, שחלקם חמורים אף יותר, אשר מוטלים על עברייני נשק, מהווים חלק ממלחמתה הבלתי מתפשרת של החברה בנגע ששמו זילות חיי אדם והקלות הבלתי נסבלת של הלחיצה על ההדק... הטלת עונשים חמורים ומרתיעים על עברייני נשק היא עיקר תרומתם של בתי המשפט למיגור התופעה ולהרחקת העבריין עם האקדח משגרת חייהם של אזרחי מדינה שומרי חו</w:t>
      </w:r>
      <w:r w:rsidRPr="008A464E">
        <w:rPr>
          <w:rFonts w:ascii="FrankRuehl" w:hAnsi="FrankRuehl" w:cs="FrankRuehl" w:hint="cs"/>
          <w:rtl/>
        </w:rPr>
        <w:t xml:space="preserve">ק" </w:t>
      </w:r>
      <w:r w:rsidRPr="008A464E">
        <w:rPr>
          <w:rFonts w:ascii="David" w:hAnsi="David" w:cs="David" w:hint="cs"/>
          <w:sz w:val="24"/>
          <w:szCs w:val="24"/>
          <w:rtl/>
        </w:rPr>
        <w:t>(</w:t>
      </w:r>
      <w:hyperlink r:id="rId27" w:history="1">
        <w:r w:rsidRPr="008A464E">
          <w:rPr>
            <w:rFonts w:ascii="David" w:hAnsi="David" w:cs="David"/>
            <w:sz w:val="24"/>
            <w:szCs w:val="24"/>
            <w:rtl/>
          </w:rPr>
          <w:t>ע"פ 147/21</w:t>
        </w:r>
        <w:r w:rsidR="005B77DA">
          <w:rPr>
            <w:rFonts w:ascii="David" w:hAnsi="David" w:cs="David"/>
            <w:sz w:val="24"/>
            <w:szCs w:val="24"/>
            <w:rtl/>
          </w:rPr>
          <w:t xml:space="preserve"> </w:t>
        </w:r>
        <w:r w:rsidRPr="008A464E">
          <w:rPr>
            <w:rFonts w:ascii="David" w:hAnsi="David" w:cs="David"/>
            <w:b/>
            <w:bCs/>
            <w:sz w:val="24"/>
            <w:szCs w:val="24"/>
            <w:rtl/>
          </w:rPr>
          <w:t>מדינת ישראל נ' ביטון</w:t>
        </w:r>
        <w:r w:rsidR="005B77DA">
          <w:rPr>
            <w:rFonts w:ascii="David" w:hAnsi="David" w:cs="David"/>
            <w:sz w:val="24"/>
            <w:szCs w:val="24"/>
            <w:rtl/>
          </w:rPr>
          <w:t xml:space="preserve"> </w:t>
        </w:r>
        <w:r w:rsidRPr="008A464E">
          <w:rPr>
            <w:rFonts w:ascii="David" w:hAnsi="David" w:cs="David"/>
            <w:sz w:val="24"/>
            <w:szCs w:val="24"/>
          </w:rPr>
          <w:t>(14.2.2021)</w:t>
        </w:r>
        <w:r w:rsidRPr="008A464E">
          <w:rPr>
            <w:rFonts w:ascii="David" w:hAnsi="David" w:cs="David"/>
            <w:sz w:val="24"/>
            <w:szCs w:val="24"/>
            <w:rtl/>
          </w:rPr>
          <w:t>‏</w:t>
        </w:r>
      </w:hyperlink>
      <w:r w:rsidRPr="008A464E">
        <w:rPr>
          <w:rFonts w:ascii="David" w:hAnsi="David" w:cs="David"/>
          <w:sz w:val="24"/>
          <w:szCs w:val="24"/>
          <w:rtl/>
        </w:rPr>
        <w:t>‏</w:t>
      </w:r>
      <w:r w:rsidRPr="008A464E">
        <w:rPr>
          <w:rFonts w:ascii="David" w:hAnsi="David" w:cs="David"/>
          <w:sz w:val="24"/>
          <w:szCs w:val="24"/>
        </w:rPr>
        <w:t>(</w:t>
      </w:r>
      <w:r w:rsidRPr="008A464E">
        <w:rPr>
          <w:rFonts w:ascii="David" w:hAnsi="David" w:cs="David" w:hint="cs"/>
          <w:sz w:val="24"/>
          <w:szCs w:val="24"/>
          <w:rtl/>
        </w:rPr>
        <w:t>.</w:t>
      </w:r>
    </w:p>
    <w:p w14:paraId="1F2D7AFE" w14:textId="77777777" w:rsidR="008557F3" w:rsidRPr="009527E9" w:rsidRDefault="008557F3" w:rsidP="008557F3">
      <w:pPr>
        <w:pStyle w:val="ListParagraph"/>
        <w:numPr>
          <w:ilvl w:val="0"/>
          <w:numId w:val="1"/>
        </w:numPr>
        <w:spacing w:before="240" w:after="120" w:line="360" w:lineRule="auto"/>
        <w:ind w:left="357" w:hanging="357"/>
        <w:contextualSpacing w:val="0"/>
        <w:jc w:val="both"/>
        <w:rPr>
          <w:rFonts w:ascii="David" w:hAnsi="David" w:cs="David"/>
          <w:sz w:val="24"/>
          <w:szCs w:val="24"/>
        </w:rPr>
      </w:pPr>
      <w:r w:rsidRPr="009527E9">
        <w:rPr>
          <w:rFonts w:ascii="David" w:hAnsi="David" w:cs="David" w:hint="cs"/>
          <w:sz w:val="24"/>
          <w:szCs w:val="24"/>
          <w:rtl/>
        </w:rPr>
        <w:t xml:space="preserve">חומרת מעשיו של הנאשם ופגיעתם בערכים המוגנים מודגשות נוכח חזרתו על ביצוע העבירות במקרים רבים וסמוכים: תשעה מקרים בתוך תקופה בת כחצי שנה בלבד. כך גם נוכח החזקת כלי נשק מסוגים שונים </w:t>
      </w:r>
      <w:r w:rsidRPr="009527E9">
        <w:rPr>
          <w:rFonts w:ascii="David" w:hAnsi="David" w:cs="David"/>
          <w:sz w:val="24"/>
          <w:szCs w:val="24"/>
          <w:rtl/>
        </w:rPr>
        <w:t>–</w:t>
      </w:r>
      <w:r w:rsidRPr="009527E9">
        <w:rPr>
          <w:rFonts w:ascii="David" w:hAnsi="David" w:cs="David" w:hint="cs"/>
          <w:sz w:val="24"/>
          <w:szCs w:val="24"/>
          <w:rtl/>
        </w:rPr>
        <w:t xml:space="preserve"> המלמדת על גישה שיש לנאשם לנשק בלתי חוקי. בשלושה מן המקרים דובר ברובים אוטומטיים, שפוטנציאל הפגיעה שלהם גדול במיוחד. </w:t>
      </w:r>
    </w:p>
    <w:p w14:paraId="2ED41FA4" w14:textId="77777777" w:rsidR="008557F3" w:rsidRPr="009527E9" w:rsidRDefault="008557F3" w:rsidP="008557F3">
      <w:pPr>
        <w:pStyle w:val="ListParagraph"/>
        <w:numPr>
          <w:ilvl w:val="0"/>
          <w:numId w:val="1"/>
        </w:numPr>
        <w:spacing w:before="120" w:after="120" w:line="360" w:lineRule="auto"/>
        <w:contextualSpacing w:val="0"/>
        <w:jc w:val="both"/>
        <w:rPr>
          <w:rFonts w:ascii="David" w:hAnsi="David" w:cs="David"/>
          <w:sz w:val="24"/>
          <w:szCs w:val="24"/>
        </w:rPr>
      </w:pPr>
      <w:r w:rsidRPr="009527E9">
        <w:rPr>
          <w:rFonts w:ascii="David" w:hAnsi="David" w:cs="David" w:hint="cs"/>
          <w:sz w:val="24"/>
          <w:szCs w:val="24"/>
          <w:rtl/>
        </w:rPr>
        <w:t xml:space="preserve">בשישה מן המקרים הוסיף הנאשם וביצע בפועל ירי של כדור או מספר כדורים, בשמחות ובסמוך למקומות מגורים. בכך יצר סיכון חוזר לפגיעה בגוף ואף בנפש. יש לשקול גם כי הורשע בחלופה מחמירה של עבירת הירי מנשק חם: זו של </w:t>
      </w:r>
      <w:hyperlink r:id="rId28" w:history="1">
        <w:r w:rsidR="00457CBC" w:rsidRPr="00457CBC">
          <w:rPr>
            <w:rStyle w:val="Hyperlink"/>
            <w:rFonts w:ascii="David" w:hAnsi="David" w:cs="David" w:hint="eastAsia"/>
            <w:color w:val="0000FF"/>
            <w:sz w:val="24"/>
            <w:szCs w:val="24"/>
            <w:rtl/>
          </w:rPr>
          <w:t>סעיף</w:t>
        </w:r>
        <w:r w:rsidR="00457CBC" w:rsidRPr="00457CBC">
          <w:rPr>
            <w:rStyle w:val="Hyperlink"/>
            <w:rFonts w:ascii="David" w:hAnsi="David" w:cs="David"/>
            <w:color w:val="0000FF"/>
            <w:sz w:val="24"/>
            <w:szCs w:val="24"/>
            <w:rtl/>
          </w:rPr>
          <w:t xml:space="preserve"> 340א(ב)(1)</w:t>
        </w:r>
      </w:hyperlink>
      <w:r w:rsidRPr="009527E9">
        <w:rPr>
          <w:rFonts w:ascii="David" w:hAnsi="David" w:cs="David" w:hint="cs"/>
          <w:sz w:val="24"/>
          <w:szCs w:val="24"/>
          <w:rtl/>
        </w:rPr>
        <w:t xml:space="preserve"> ל</w:t>
      </w:r>
      <w:hyperlink r:id="rId29" w:history="1">
        <w:r w:rsidR="005B77DA" w:rsidRPr="005B77DA">
          <w:rPr>
            <w:rFonts w:ascii="David" w:hAnsi="David" w:cs="David"/>
            <w:color w:val="0000FF"/>
            <w:sz w:val="24"/>
            <w:szCs w:val="24"/>
            <w:u w:val="single"/>
            <w:rtl/>
          </w:rPr>
          <w:t>חוק העונשין</w:t>
        </w:r>
      </w:hyperlink>
      <w:r w:rsidRPr="009527E9">
        <w:rPr>
          <w:rFonts w:ascii="David" w:hAnsi="David" w:cs="David" w:hint="cs"/>
          <w:sz w:val="24"/>
          <w:szCs w:val="24"/>
          <w:rtl/>
        </w:rPr>
        <w:t xml:space="preserve"> העוסקת במי שירה מנשק חם באזור מגורים או במקום אחר שיש בירי בו כדי לסכן חיי אדם. עונשה המרבי של חלופה זו הוא חמש שנות מאסר, להבדיל מן החלופה המקלה יותר לפי </w:t>
      </w:r>
      <w:hyperlink r:id="rId30" w:history="1">
        <w:r w:rsidR="00457CBC" w:rsidRPr="00457CBC">
          <w:rPr>
            <w:rStyle w:val="Hyperlink"/>
            <w:rFonts w:ascii="David" w:hAnsi="David" w:cs="David" w:hint="eastAsia"/>
            <w:color w:val="0000FF"/>
            <w:sz w:val="24"/>
            <w:szCs w:val="24"/>
            <w:rtl/>
          </w:rPr>
          <w:t>סעיף</w:t>
        </w:r>
        <w:r w:rsidR="00457CBC" w:rsidRPr="00457CBC">
          <w:rPr>
            <w:rStyle w:val="Hyperlink"/>
            <w:rFonts w:ascii="David" w:hAnsi="David" w:cs="David"/>
            <w:color w:val="0000FF"/>
            <w:sz w:val="24"/>
            <w:szCs w:val="24"/>
            <w:rtl/>
          </w:rPr>
          <w:t xml:space="preserve"> 340א(א)</w:t>
        </w:r>
      </w:hyperlink>
      <w:r w:rsidRPr="009527E9">
        <w:rPr>
          <w:rFonts w:ascii="David" w:hAnsi="David" w:cs="David" w:hint="cs"/>
          <w:sz w:val="24"/>
          <w:szCs w:val="24"/>
          <w:rtl/>
        </w:rPr>
        <w:t xml:space="preserve"> שעונשה המרבי הוא שנתיים במאסר. </w:t>
      </w:r>
    </w:p>
    <w:p w14:paraId="1ACEA75A" w14:textId="77777777" w:rsidR="008557F3" w:rsidRPr="009527E9" w:rsidRDefault="008557F3" w:rsidP="008557F3">
      <w:pPr>
        <w:pStyle w:val="ListParagraph"/>
        <w:numPr>
          <w:ilvl w:val="0"/>
          <w:numId w:val="1"/>
        </w:numPr>
        <w:spacing w:before="120" w:after="120" w:line="360" w:lineRule="auto"/>
        <w:contextualSpacing w:val="0"/>
        <w:jc w:val="both"/>
        <w:rPr>
          <w:rFonts w:ascii="David" w:hAnsi="David" w:cs="David"/>
          <w:sz w:val="24"/>
          <w:szCs w:val="24"/>
        </w:rPr>
      </w:pPr>
      <w:r w:rsidRPr="009527E9">
        <w:rPr>
          <w:rFonts w:ascii="David" w:hAnsi="David" w:cs="David" w:hint="cs"/>
          <w:sz w:val="24"/>
          <w:szCs w:val="24"/>
          <w:rtl/>
        </w:rPr>
        <w:t>מנגד, יש לשקול לכף זכות כי המעשים לא גרמו לנזק בפועל. עוד אשקול את התיקון שבוצע בכתב האישום המקורי, ש</w:t>
      </w:r>
      <w:r>
        <w:rPr>
          <w:rFonts w:ascii="David" w:hAnsi="David" w:cs="David" w:hint="cs"/>
          <w:sz w:val="24"/>
          <w:szCs w:val="24"/>
          <w:rtl/>
        </w:rPr>
        <w:t xml:space="preserve">מלכתחילה </w:t>
      </w:r>
      <w:r w:rsidRPr="009527E9">
        <w:rPr>
          <w:rFonts w:ascii="David" w:hAnsi="David" w:cs="David" w:hint="cs"/>
          <w:sz w:val="24"/>
          <w:szCs w:val="24"/>
          <w:rtl/>
        </w:rPr>
        <w:t xml:space="preserve">ייחס לנאשם עבירות של נשיאת נשק שעונשיהן חמורים מעבירת ההחזקה. </w:t>
      </w:r>
    </w:p>
    <w:p w14:paraId="04F6FA32" w14:textId="77777777" w:rsidR="008557F3" w:rsidRDefault="008557F3" w:rsidP="008557F3">
      <w:pPr>
        <w:pStyle w:val="ListParagraph"/>
        <w:numPr>
          <w:ilvl w:val="0"/>
          <w:numId w:val="1"/>
        </w:numPr>
        <w:spacing w:before="120" w:after="120" w:line="360" w:lineRule="auto"/>
        <w:contextualSpacing w:val="0"/>
        <w:jc w:val="both"/>
        <w:rPr>
          <w:rFonts w:ascii="David" w:hAnsi="David" w:cs="David"/>
          <w:sz w:val="24"/>
          <w:szCs w:val="24"/>
        </w:rPr>
      </w:pPr>
      <w:r>
        <w:rPr>
          <w:rFonts w:ascii="David" w:hAnsi="David" w:cs="David" w:hint="cs"/>
          <w:sz w:val="24"/>
          <w:szCs w:val="24"/>
          <w:rtl/>
        </w:rPr>
        <w:t xml:space="preserve">לצד אלה, אני מקבל את טענת ההגנה כי יש להישמר מיצירת קטגוריות קשיחות של ענישה </w:t>
      </w:r>
      <w:r>
        <w:rPr>
          <w:rFonts w:ascii="David" w:hAnsi="David" w:cs="David"/>
          <w:sz w:val="24"/>
          <w:szCs w:val="24"/>
          <w:rtl/>
        </w:rPr>
        <w:t>–</w:t>
      </w:r>
      <w:r>
        <w:rPr>
          <w:rFonts w:ascii="David" w:hAnsi="David" w:cs="David" w:hint="cs"/>
          <w:sz w:val="24"/>
          <w:szCs w:val="24"/>
          <w:rtl/>
        </w:rPr>
        <w:t xml:space="preserve"> כך בכל עבירה, וגם בעבירות הנשק למרות חומרתן ומגמת ההחמרה בענישה בגינן. הענישה היא לעולם פרטנית ונגזרת מנתוני המעשה והעושה. </w:t>
      </w:r>
    </w:p>
    <w:p w14:paraId="11E9031E" w14:textId="77777777" w:rsidR="008557F3" w:rsidRDefault="008557F3" w:rsidP="008557F3">
      <w:pPr>
        <w:pStyle w:val="ListParagraph"/>
        <w:spacing w:before="120" w:after="120" w:line="360" w:lineRule="auto"/>
        <w:ind w:left="360"/>
        <w:contextualSpacing w:val="0"/>
        <w:jc w:val="both"/>
        <w:rPr>
          <w:rFonts w:ascii="David" w:hAnsi="David" w:cs="David"/>
          <w:sz w:val="24"/>
          <w:szCs w:val="24"/>
          <w:rtl/>
        </w:rPr>
      </w:pPr>
      <w:r>
        <w:rPr>
          <w:rFonts w:ascii="David" w:hAnsi="David" w:cs="David" w:hint="cs"/>
          <w:sz w:val="24"/>
          <w:szCs w:val="24"/>
          <w:rtl/>
        </w:rPr>
        <w:t xml:space="preserve">בהקשר זה אתחשב בטענת ההגנה בדבר ביצוע העבירות בשטחים, וקבלת כלי הנשק מאחרים. טענה נוספת, לפיה כלל העבירות (ולא רק חלקן) בוצעו בשמחות משפחתיות תוך החזקה רגעית בכלי הנשק, לא יכולה להתקבל במלואה. זאת משהיא סותרת את עובדות כתב האישום המתוקן </w:t>
      </w:r>
      <w:r>
        <w:rPr>
          <w:rFonts w:ascii="David" w:hAnsi="David" w:cs="David"/>
          <w:sz w:val="24"/>
          <w:szCs w:val="24"/>
          <w:rtl/>
        </w:rPr>
        <w:t>–</w:t>
      </w:r>
      <w:r>
        <w:rPr>
          <w:rFonts w:ascii="David" w:hAnsi="David" w:cs="David" w:hint="cs"/>
          <w:sz w:val="24"/>
          <w:szCs w:val="24"/>
          <w:rtl/>
        </w:rPr>
        <w:t xml:space="preserve"> בו הקפידו הצדדים לציין כי מעשים מסוימים בוצעו בשמחות משפחתיות, בעוד שלגבי מעשים נוספים ציינו נסיבות אחרות, כגון החזקת נשק וירי בו סמוך לבתי מגורים בשעת בוקר, ירי בחצר בית, והחזקת נשק בתוך רכב (ראו </w:t>
      </w:r>
      <w:hyperlink r:id="rId31" w:history="1">
        <w:r w:rsidR="00457CBC" w:rsidRPr="00457CBC">
          <w:rPr>
            <w:rStyle w:val="Hyperlink"/>
            <w:rFonts w:ascii="David" w:hAnsi="David" w:cs="David" w:hint="eastAsia"/>
            <w:color w:val="0000FF"/>
            <w:sz w:val="24"/>
            <w:szCs w:val="24"/>
            <w:rtl/>
          </w:rPr>
          <w:t>סעיף</w:t>
        </w:r>
        <w:r w:rsidR="00457CBC" w:rsidRPr="00457CBC">
          <w:rPr>
            <w:rStyle w:val="Hyperlink"/>
            <w:rFonts w:ascii="David" w:hAnsi="David" w:cs="David"/>
            <w:color w:val="0000FF"/>
            <w:sz w:val="24"/>
            <w:szCs w:val="24"/>
            <w:rtl/>
          </w:rPr>
          <w:t xml:space="preserve"> 40י(ד)</w:t>
        </w:r>
      </w:hyperlink>
      <w:r>
        <w:rPr>
          <w:rFonts w:ascii="David" w:hAnsi="David" w:cs="David" w:hint="cs"/>
          <w:sz w:val="24"/>
          <w:szCs w:val="24"/>
          <w:rtl/>
        </w:rPr>
        <w:t xml:space="preserve"> ו-</w:t>
      </w:r>
      <w:hyperlink r:id="rId32" w:history="1">
        <w:r w:rsidR="00457CBC" w:rsidRPr="00457CBC">
          <w:rPr>
            <w:rStyle w:val="Hyperlink"/>
            <w:rFonts w:ascii="David" w:hAnsi="David" w:cs="David"/>
            <w:color w:val="0000FF"/>
            <w:sz w:val="24"/>
            <w:szCs w:val="24"/>
            <w:rtl/>
          </w:rPr>
          <w:t>40י(ב)(1)</w:t>
        </w:r>
      </w:hyperlink>
      <w:r>
        <w:rPr>
          <w:rFonts w:ascii="David" w:hAnsi="David" w:cs="David" w:hint="cs"/>
          <w:sz w:val="24"/>
          <w:szCs w:val="24"/>
          <w:rtl/>
        </w:rPr>
        <w:t xml:space="preserve"> ל</w:t>
      </w:r>
      <w:hyperlink r:id="rId33" w:history="1">
        <w:r w:rsidR="005B77DA" w:rsidRPr="005B77DA">
          <w:rPr>
            <w:rFonts w:ascii="David" w:hAnsi="David" w:cs="David"/>
            <w:color w:val="0000FF"/>
            <w:sz w:val="24"/>
            <w:szCs w:val="24"/>
            <w:u w:val="single"/>
            <w:rtl/>
          </w:rPr>
          <w:t>חוק העונשין</w:t>
        </w:r>
      </w:hyperlink>
      <w:r>
        <w:rPr>
          <w:rFonts w:ascii="David" w:hAnsi="David" w:cs="David" w:hint="cs"/>
          <w:sz w:val="24"/>
          <w:szCs w:val="24"/>
          <w:rtl/>
        </w:rPr>
        <w:t xml:space="preserve">).  </w:t>
      </w:r>
    </w:p>
    <w:p w14:paraId="33295D28" w14:textId="77777777" w:rsidR="008557F3" w:rsidRDefault="008557F3" w:rsidP="008557F3">
      <w:pPr>
        <w:pStyle w:val="ListParagraph"/>
        <w:spacing w:before="120" w:after="120" w:line="360" w:lineRule="auto"/>
        <w:ind w:left="360"/>
        <w:contextualSpacing w:val="0"/>
        <w:jc w:val="both"/>
        <w:rPr>
          <w:rFonts w:ascii="David" w:hAnsi="David" w:cs="David"/>
          <w:sz w:val="24"/>
          <w:szCs w:val="24"/>
          <w:rtl/>
        </w:rPr>
      </w:pPr>
      <w:r>
        <w:rPr>
          <w:rFonts w:ascii="David" w:hAnsi="David" w:cs="David" w:hint="cs"/>
          <w:sz w:val="24"/>
          <w:szCs w:val="24"/>
          <w:rtl/>
        </w:rPr>
        <w:t xml:space="preserve">לבסוף, משהדבר נתמך בבסיס הראייתי להגשתו כפי שתואר בידי הצדדים (וכלל בין היתר איתור תמונות בטלפון הנייד), אני מקבל את הטענה כי הנאשם ביצע חלק מהמעשים משחפץ להצטלם עם כלי נשק. עם זאת לא אוכל לקבוע שמדובר במניע הבלעדי לביצוע המעשים </w:t>
      </w:r>
      <w:r>
        <w:rPr>
          <w:rFonts w:ascii="David" w:hAnsi="David" w:cs="David"/>
          <w:sz w:val="24"/>
          <w:szCs w:val="24"/>
          <w:rtl/>
        </w:rPr>
        <w:t>–</w:t>
      </w:r>
      <w:r>
        <w:rPr>
          <w:rFonts w:ascii="David" w:hAnsi="David" w:cs="David" w:hint="cs"/>
          <w:sz w:val="24"/>
          <w:szCs w:val="24"/>
          <w:rtl/>
        </w:rPr>
        <w:t xml:space="preserve"> וזאת נוכח ריבוי המקרים בהם ביצע אקטים של ירי, ונסיבות נוספות כגון דריכת נשק או החזקה לא רק בנשק אלא גם במחסנית וכדורים תואמים. </w:t>
      </w:r>
    </w:p>
    <w:p w14:paraId="54E79767" w14:textId="77777777" w:rsidR="008557F3" w:rsidRDefault="008557F3" w:rsidP="008557F3">
      <w:pPr>
        <w:pStyle w:val="ListParagraph"/>
        <w:numPr>
          <w:ilvl w:val="0"/>
          <w:numId w:val="1"/>
        </w:numPr>
        <w:spacing w:before="120" w:after="120" w:line="360" w:lineRule="auto"/>
        <w:contextualSpacing w:val="0"/>
        <w:jc w:val="both"/>
        <w:rPr>
          <w:rFonts w:ascii="David" w:hAnsi="David" w:cs="David"/>
          <w:sz w:val="24"/>
          <w:szCs w:val="24"/>
        </w:rPr>
      </w:pPr>
      <w:r>
        <w:rPr>
          <w:rFonts w:ascii="David" w:hAnsi="David" w:cs="David" w:hint="cs"/>
          <w:sz w:val="24"/>
          <w:szCs w:val="24"/>
          <w:rtl/>
        </w:rPr>
        <w:t xml:space="preserve">עוד באפיון העבירות בהן חטא הנאשם חשוב לציין, כי </w:t>
      </w:r>
      <w:r w:rsidRPr="009527E9">
        <w:rPr>
          <w:rFonts w:ascii="David" w:hAnsi="David" w:cs="David" w:hint="cs"/>
          <w:sz w:val="24"/>
          <w:szCs w:val="24"/>
          <w:rtl/>
        </w:rPr>
        <w:t xml:space="preserve">לא נטען או בוסס שהחזקת כלי הנשק והירי בהם בוצעו בהקשר של עבירות נוספות, מהתחום הביטחוני או הפלילי, או בהקשר של סיטואציה טעונה המקימה חשש </w:t>
      </w:r>
      <w:r>
        <w:rPr>
          <w:rFonts w:ascii="David" w:hAnsi="David" w:cs="David" w:hint="cs"/>
          <w:sz w:val="24"/>
          <w:szCs w:val="24"/>
          <w:rtl/>
        </w:rPr>
        <w:t xml:space="preserve">ישיר </w:t>
      </w:r>
      <w:r w:rsidRPr="009527E9">
        <w:rPr>
          <w:rFonts w:ascii="David" w:hAnsi="David" w:cs="David" w:hint="cs"/>
          <w:sz w:val="24"/>
          <w:szCs w:val="24"/>
          <w:rtl/>
        </w:rPr>
        <w:t xml:space="preserve">לשימוש בנשק כלפי אחר, כגון סכסוך או ויכוח. לגבי חלק מהעבירות, כאמור, הוסכם כי דובר בעיסוק בנשק ובירי במסגרת שמחות משפחתיות. </w:t>
      </w:r>
    </w:p>
    <w:p w14:paraId="53A83C62" w14:textId="77777777" w:rsidR="008557F3" w:rsidRPr="009527E9" w:rsidRDefault="008557F3" w:rsidP="008557F3">
      <w:pPr>
        <w:pStyle w:val="ListParagraph"/>
        <w:spacing w:before="120" w:after="120" w:line="360" w:lineRule="auto"/>
        <w:ind w:left="360"/>
        <w:contextualSpacing w:val="0"/>
        <w:jc w:val="both"/>
        <w:rPr>
          <w:rFonts w:ascii="David" w:hAnsi="David" w:cs="David"/>
          <w:sz w:val="24"/>
          <w:szCs w:val="24"/>
        </w:rPr>
      </w:pPr>
      <w:r w:rsidRPr="009527E9">
        <w:rPr>
          <w:rFonts w:ascii="David" w:hAnsi="David" w:cs="David" w:hint="cs"/>
          <w:sz w:val="24"/>
          <w:szCs w:val="24"/>
          <w:rtl/>
        </w:rPr>
        <w:t xml:space="preserve">יש בכך היבט </w:t>
      </w:r>
      <w:r>
        <w:rPr>
          <w:rFonts w:ascii="David" w:hAnsi="David" w:cs="David" w:hint="cs"/>
          <w:sz w:val="24"/>
          <w:szCs w:val="24"/>
          <w:rtl/>
        </w:rPr>
        <w:t xml:space="preserve">ממשי </w:t>
      </w:r>
      <w:r w:rsidRPr="009527E9">
        <w:rPr>
          <w:rFonts w:ascii="David" w:hAnsi="David" w:cs="David" w:hint="cs"/>
          <w:sz w:val="24"/>
          <w:szCs w:val="24"/>
          <w:rtl/>
        </w:rPr>
        <w:t>לקולה, מש</w:t>
      </w:r>
      <w:r>
        <w:rPr>
          <w:rFonts w:ascii="David" w:hAnsi="David" w:cs="David" w:hint="cs"/>
          <w:sz w:val="24"/>
          <w:szCs w:val="24"/>
          <w:rtl/>
        </w:rPr>
        <w:t xml:space="preserve">להבדיל ממקרים אחרים של החזקת נשק או ירי בו שבאו בפני בתי המשפט (חלקם הוצגו בפסיקה שהגישה המאשימה), מעשי הנאשם לא </w:t>
      </w:r>
      <w:r w:rsidRPr="009527E9">
        <w:rPr>
          <w:rFonts w:ascii="David" w:hAnsi="David" w:cs="David" w:hint="cs"/>
          <w:sz w:val="24"/>
          <w:szCs w:val="24"/>
          <w:rtl/>
        </w:rPr>
        <w:t xml:space="preserve">בוצעו על רקע </w:t>
      </w:r>
      <w:r>
        <w:rPr>
          <w:rFonts w:ascii="David" w:hAnsi="David" w:cs="David" w:hint="cs"/>
          <w:sz w:val="24"/>
          <w:szCs w:val="24"/>
          <w:rtl/>
        </w:rPr>
        <w:t xml:space="preserve">או בהקשר של </w:t>
      </w:r>
      <w:r w:rsidRPr="009527E9">
        <w:rPr>
          <w:rFonts w:ascii="David" w:hAnsi="David" w:cs="David" w:hint="cs"/>
          <w:sz w:val="24"/>
          <w:szCs w:val="24"/>
          <w:rtl/>
        </w:rPr>
        <w:t>עבריינות נוספת</w:t>
      </w:r>
      <w:r>
        <w:rPr>
          <w:rFonts w:ascii="David" w:hAnsi="David" w:cs="David" w:hint="cs"/>
          <w:sz w:val="24"/>
          <w:szCs w:val="24"/>
          <w:rtl/>
        </w:rPr>
        <w:t xml:space="preserve"> או של מתיחות אלימה או מאיימת, ולא נלוותה להן </w:t>
      </w:r>
      <w:r w:rsidRPr="009527E9">
        <w:rPr>
          <w:rFonts w:ascii="David" w:hAnsi="David" w:cs="David" w:hint="cs"/>
          <w:sz w:val="24"/>
          <w:szCs w:val="24"/>
          <w:rtl/>
        </w:rPr>
        <w:t xml:space="preserve">מטרה של פגיעה בזולת. </w:t>
      </w:r>
    </w:p>
    <w:p w14:paraId="78216001" w14:textId="77777777" w:rsidR="008557F3" w:rsidRPr="009527E9" w:rsidRDefault="008557F3" w:rsidP="008557F3">
      <w:pPr>
        <w:pStyle w:val="ListParagraph"/>
        <w:numPr>
          <w:ilvl w:val="0"/>
          <w:numId w:val="1"/>
        </w:numPr>
        <w:spacing w:before="120" w:after="120" w:line="360" w:lineRule="auto"/>
        <w:contextualSpacing w:val="0"/>
        <w:jc w:val="both"/>
        <w:rPr>
          <w:rFonts w:ascii="David" w:hAnsi="David" w:cs="David"/>
          <w:sz w:val="24"/>
          <w:szCs w:val="24"/>
        </w:rPr>
      </w:pPr>
      <w:r w:rsidRPr="009527E9">
        <w:rPr>
          <w:rFonts w:ascii="David" w:hAnsi="David" w:cs="David" w:hint="cs"/>
          <w:sz w:val="24"/>
          <w:szCs w:val="24"/>
          <w:rtl/>
        </w:rPr>
        <w:t>עם זאת אציין, שאיני רואה ב</w:t>
      </w:r>
      <w:r>
        <w:rPr>
          <w:rFonts w:ascii="David" w:hAnsi="David" w:cs="David" w:hint="cs"/>
          <w:sz w:val="24"/>
          <w:szCs w:val="24"/>
          <w:rtl/>
        </w:rPr>
        <w:t xml:space="preserve">אלמנט האחרון </w:t>
      </w:r>
      <w:r w:rsidRPr="009527E9">
        <w:rPr>
          <w:rFonts w:ascii="David" w:hAnsi="David" w:cs="David" w:hint="cs"/>
          <w:sz w:val="24"/>
          <w:szCs w:val="24"/>
          <w:rtl/>
        </w:rPr>
        <w:t>נסיבה לקולה ב</w:t>
      </w:r>
      <w:r>
        <w:rPr>
          <w:rFonts w:ascii="David" w:hAnsi="David" w:cs="David" w:hint="cs"/>
          <w:sz w:val="24"/>
          <w:szCs w:val="24"/>
          <w:rtl/>
        </w:rPr>
        <w:t xml:space="preserve">אחד המובנים שנטענו </w:t>
      </w:r>
      <w:r w:rsidRPr="009527E9">
        <w:rPr>
          <w:rFonts w:ascii="David" w:hAnsi="David" w:cs="David" w:hint="cs"/>
          <w:sz w:val="24"/>
          <w:szCs w:val="24"/>
          <w:rtl/>
        </w:rPr>
        <w:t xml:space="preserve">בידי הנאשם </w:t>
      </w:r>
      <w:r w:rsidRPr="009527E9">
        <w:rPr>
          <w:rFonts w:ascii="David" w:hAnsi="David" w:cs="David"/>
          <w:sz w:val="24"/>
          <w:szCs w:val="24"/>
          <w:rtl/>
        </w:rPr>
        <w:t>–</w:t>
      </w:r>
      <w:r w:rsidRPr="009527E9">
        <w:rPr>
          <w:rFonts w:ascii="David" w:hAnsi="David" w:cs="David" w:hint="cs"/>
          <w:sz w:val="24"/>
          <w:szCs w:val="24"/>
          <w:rtl/>
        </w:rPr>
        <w:t xml:space="preserve"> היינו, כאשרור של השימוש בנשק בלתי חוקי כ"מנהג חברתי". "מנהג" זה אינו אלא התנהלות פסולה ומסוכנת מאוד, שיש לדחות את הניסיון לשוות לה היבט נורמטיבי וראוי להוקיעה ולפעול למיגורה</w:t>
      </w:r>
      <w:r>
        <w:rPr>
          <w:rFonts w:ascii="David" w:hAnsi="David" w:cs="David" w:hint="cs"/>
          <w:sz w:val="24"/>
          <w:szCs w:val="24"/>
          <w:rtl/>
        </w:rPr>
        <w:t>. הנאשם, שהוא תושב ירושלים, גם לא יכול להיבנות מהטיעון כי פעל בהתאם למנהג שכנטען רווח בשטחי יו"ש.</w:t>
      </w:r>
    </w:p>
    <w:p w14:paraId="336CEF7D" w14:textId="77777777" w:rsidR="008557F3" w:rsidRPr="009527E9" w:rsidRDefault="008557F3" w:rsidP="008557F3">
      <w:pPr>
        <w:pStyle w:val="ListParagraph"/>
        <w:numPr>
          <w:ilvl w:val="0"/>
          <w:numId w:val="1"/>
        </w:numPr>
        <w:spacing w:before="120" w:after="120" w:line="360" w:lineRule="auto"/>
        <w:contextualSpacing w:val="0"/>
        <w:jc w:val="both"/>
        <w:rPr>
          <w:rFonts w:ascii="David" w:hAnsi="David" w:cs="David"/>
          <w:sz w:val="24"/>
          <w:szCs w:val="24"/>
        </w:rPr>
      </w:pPr>
      <w:r w:rsidRPr="009527E9">
        <w:rPr>
          <w:rFonts w:ascii="David" w:hAnsi="David" w:cs="David" w:hint="cs"/>
          <w:sz w:val="24"/>
          <w:szCs w:val="24"/>
          <w:rtl/>
        </w:rPr>
        <w:t xml:space="preserve">מבט אל הענישה הנוהגת מעלה יישום של ההנחיה העונשית עליה עמדתי לעיל, בדרך של גזירת עונשי מאסר לתקופות של ממש על מי שחטאו במעשים דומים. </w:t>
      </w:r>
    </w:p>
    <w:p w14:paraId="752C6241" w14:textId="77777777" w:rsidR="008557F3" w:rsidRPr="009527E9" w:rsidRDefault="008557F3" w:rsidP="008557F3">
      <w:pPr>
        <w:pStyle w:val="ListParagraph"/>
        <w:numPr>
          <w:ilvl w:val="0"/>
          <w:numId w:val="1"/>
        </w:numPr>
        <w:spacing w:before="120" w:after="120" w:line="360" w:lineRule="auto"/>
        <w:contextualSpacing w:val="0"/>
        <w:jc w:val="both"/>
        <w:rPr>
          <w:rFonts w:ascii="David" w:hAnsi="David" w:cs="David"/>
          <w:sz w:val="24"/>
          <w:szCs w:val="24"/>
        </w:rPr>
      </w:pPr>
      <w:r w:rsidRPr="009527E9">
        <w:rPr>
          <w:rFonts w:ascii="David" w:hAnsi="David" w:cs="David" w:hint="cs"/>
          <w:sz w:val="24"/>
          <w:szCs w:val="24"/>
          <w:rtl/>
        </w:rPr>
        <w:t xml:space="preserve">למשל, בעניין </w:t>
      </w:r>
      <w:r w:rsidRPr="009527E9">
        <w:rPr>
          <w:rFonts w:ascii="David" w:hAnsi="David" w:cs="David" w:hint="cs"/>
          <w:b/>
          <w:bCs/>
          <w:sz w:val="24"/>
          <w:szCs w:val="24"/>
          <w:rtl/>
        </w:rPr>
        <w:t xml:space="preserve">קדורה </w:t>
      </w:r>
      <w:r w:rsidRPr="009527E9">
        <w:rPr>
          <w:rFonts w:ascii="David" w:hAnsi="David" w:cs="David" w:hint="cs"/>
          <w:sz w:val="24"/>
          <w:szCs w:val="24"/>
          <w:rtl/>
        </w:rPr>
        <w:t xml:space="preserve">הנזכר לעיל נדון צעיר כבן 19 ללא הרשעות קודמות, שלבקשת בן דודו החזיק למשך מספר ימים אקדח, מחסנית, כדורים ורימון הלם. הוא הורשע לפי הודאתו בעבירה של החזקת נשק בצוותא, ובערכאה הדיונית נגזרו עליו 10 חודשי מאסר, מאסר מותנה וקנס. בית המשפט העליון קיבל ערעור מדינה על עונש זה, והעמיד את תקופת המאסר על 18 חודשים. </w:t>
      </w:r>
    </w:p>
    <w:p w14:paraId="42C23B45" w14:textId="77777777" w:rsidR="008557F3" w:rsidRPr="009527E9" w:rsidRDefault="008557F3" w:rsidP="008557F3">
      <w:pPr>
        <w:pStyle w:val="ListParagraph"/>
        <w:numPr>
          <w:ilvl w:val="0"/>
          <w:numId w:val="1"/>
        </w:numPr>
        <w:spacing w:before="120" w:after="120" w:line="360" w:lineRule="auto"/>
        <w:contextualSpacing w:val="0"/>
        <w:jc w:val="both"/>
        <w:rPr>
          <w:rFonts w:ascii="David" w:hAnsi="David" w:cs="David"/>
          <w:sz w:val="24"/>
          <w:szCs w:val="24"/>
          <w:rtl/>
        </w:rPr>
      </w:pPr>
      <w:r w:rsidRPr="009527E9">
        <w:rPr>
          <w:rFonts w:ascii="David" w:hAnsi="David" w:cs="David"/>
          <w:sz w:val="24"/>
          <w:szCs w:val="24"/>
          <w:rtl/>
        </w:rPr>
        <w:t>ב</w:t>
      </w:r>
      <w:hyperlink r:id="rId34" w:history="1">
        <w:r w:rsidRPr="009527E9">
          <w:rPr>
            <w:rStyle w:val="Hyperlink"/>
            <w:rFonts w:ascii="David" w:hAnsi="David" w:cs="David"/>
            <w:sz w:val="24"/>
            <w:szCs w:val="24"/>
            <w:rtl/>
          </w:rPr>
          <w:t>ע"פ 6702/22</w:t>
        </w:r>
        <w:r w:rsidR="005B77DA">
          <w:rPr>
            <w:rStyle w:val="Hyperlink"/>
            <w:rFonts w:ascii="David" w:hAnsi="David" w:cs="David"/>
            <w:sz w:val="24"/>
            <w:szCs w:val="24"/>
            <w:rtl/>
          </w:rPr>
          <w:t xml:space="preserve"> </w:t>
        </w:r>
        <w:r w:rsidRPr="009527E9">
          <w:rPr>
            <w:rStyle w:val="Hyperlink"/>
            <w:rFonts w:ascii="David" w:hAnsi="David" w:cs="David"/>
            <w:b/>
            <w:bCs/>
            <w:sz w:val="24"/>
            <w:szCs w:val="24"/>
            <w:rtl/>
          </w:rPr>
          <w:t>מדינת ישראל נ' הייב</w:t>
        </w:r>
        <w:r w:rsidR="005B77DA">
          <w:rPr>
            <w:rStyle w:val="Hyperlink"/>
            <w:rFonts w:ascii="David" w:hAnsi="David" w:cs="David"/>
            <w:sz w:val="24"/>
            <w:szCs w:val="24"/>
            <w:rtl/>
          </w:rPr>
          <w:t xml:space="preserve"> </w:t>
        </w:r>
        <w:r w:rsidRPr="009527E9">
          <w:rPr>
            <w:rStyle w:val="Hyperlink"/>
            <w:rFonts w:ascii="David" w:hAnsi="David" w:cs="David"/>
            <w:sz w:val="24"/>
            <w:szCs w:val="24"/>
            <w:rtl/>
          </w:rPr>
          <w:t>(4.4.23)‏</w:t>
        </w:r>
      </w:hyperlink>
      <w:r w:rsidRPr="009527E9">
        <w:rPr>
          <w:rFonts w:ascii="David" w:hAnsi="David" w:cs="David"/>
          <w:sz w:val="24"/>
          <w:szCs w:val="24"/>
          <w:rtl/>
        </w:rPr>
        <w:t xml:space="preserve">‏ </w:t>
      </w:r>
      <w:r w:rsidRPr="009527E9">
        <w:rPr>
          <w:rFonts w:ascii="David" w:hAnsi="David" w:cs="David" w:hint="cs"/>
          <w:sz w:val="24"/>
          <w:szCs w:val="24"/>
          <w:rtl/>
        </w:rPr>
        <w:t>נדון בעל עבר פלילי, ש</w:t>
      </w:r>
      <w:r w:rsidRPr="009527E9">
        <w:rPr>
          <w:rFonts w:ascii="David" w:hAnsi="David" w:cs="David"/>
          <w:sz w:val="24"/>
          <w:szCs w:val="24"/>
          <w:rtl/>
        </w:rPr>
        <w:t xml:space="preserve">הורשע לפי הודאתו בעבירות של החזקת נשק לפי </w:t>
      </w:r>
      <w:hyperlink r:id="rId35" w:history="1">
        <w:r w:rsidR="00457CBC" w:rsidRPr="00457CBC">
          <w:rPr>
            <w:rStyle w:val="Hyperlink"/>
            <w:rFonts w:ascii="David" w:hAnsi="David" w:cs="David"/>
            <w:color w:val="0000FF"/>
            <w:sz w:val="24"/>
            <w:szCs w:val="24"/>
            <w:rtl/>
          </w:rPr>
          <w:t>סעיף 144(א)</w:t>
        </w:r>
      </w:hyperlink>
      <w:r w:rsidRPr="009527E9">
        <w:rPr>
          <w:rFonts w:ascii="David" w:hAnsi="David" w:cs="David"/>
          <w:sz w:val="24"/>
          <w:szCs w:val="24"/>
          <w:rtl/>
        </w:rPr>
        <w:t xml:space="preserve"> ל</w:t>
      </w:r>
      <w:hyperlink r:id="rId36" w:history="1">
        <w:r w:rsidR="005B77DA" w:rsidRPr="005B77DA">
          <w:rPr>
            <w:rFonts w:ascii="David" w:hAnsi="David" w:cs="David"/>
            <w:color w:val="0000FF"/>
            <w:sz w:val="24"/>
            <w:szCs w:val="24"/>
            <w:u w:val="single"/>
            <w:rtl/>
          </w:rPr>
          <w:t>חוק העונשין</w:t>
        </w:r>
      </w:hyperlink>
      <w:r w:rsidRPr="009527E9">
        <w:rPr>
          <w:rFonts w:ascii="David" w:hAnsi="David" w:cs="David"/>
          <w:sz w:val="24"/>
          <w:szCs w:val="24"/>
          <w:rtl/>
        </w:rPr>
        <w:t xml:space="preserve"> וירי מנשק חם לפי </w:t>
      </w:r>
      <w:hyperlink r:id="rId37" w:history="1">
        <w:r w:rsidR="00457CBC" w:rsidRPr="00457CBC">
          <w:rPr>
            <w:rStyle w:val="Hyperlink"/>
            <w:rFonts w:ascii="David" w:hAnsi="David" w:cs="David"/>
            <w:color w:val="0000FF"/>
            <w:sz w:val="24"/>
            <w:szCs w:val="24"/>
            <w:rtl/>
          </w:rPr>
          <w:t>סעיף 340א(ב)(1)</w:t>
        </w:r>
      </w:hyperlink>
      <w:r w:rsidRPr="009527E9">
        <w:rPr>
          <w:rFonts w:ascii="David" w:hAnsi="David" w:cs="David"/>
          <w:sz w:val="24"/>
          <w:szCs w:val="24"/>
          <w:rtl/>
        </w:rPr>
        <w:t xml:space="preserve"> לחוק העונשין. </w:t>
      </w:r>
      <w:r w:rsidRPr="009527E9">
        <w:rPr>
          <w:rFonts w:ascii="David" w:hAnsi="David" w:cs="David" w:hint="cs"/>
          <w:sz w:val="24"/>
          <w:szCs w:val="24"/>
          <w:rtl/>
        </w:rPr>
        <w:t xml:space="preserve">הוא החזיק במחסן </w:t>
      </w:r>
      <w:r w:rsidRPr="009527E9">
        <w:rPr>
          <w:rFonts w:ascii="David" w:hAnsi="David" w:cs="David"/>
          <w:sz w:val="24"/>
          <w:szCs w:val="24"/>
          <w:rtl/>
        </w:rPr>
        <w:t>מקלע מסוג מא"ג ותחמושת מתאימה</w:t>
      </w:r>
      <w:r w:rsidRPr="009527E9">
        <w:rPr>
          <w:rFonts w:ascii="David" w:hAnsi="David" w:cs="David" w:hint="cs"/>
          <w:sz w:val="24"/>
          <w:szCs w:val="24"/>
          <w:rtl/>
        </w:rPr>
        <w:t>, וביצע ירי של קליעים רבים מעל בתי כפר</w:t>
      </w:r>
      <w:r w:rsidRPr="009527E9">
        <w:rPr>
          <w:rFonts w:ascii="David" w:hAnsi="David" w:cs="David"/>
          <w:sz w:val="24"/>
          <w:szCs w:val="24"/>
          <w:rtl/>
        </w:rPr>
        <w:t xml:space="preserve"> מאוכלסים. בית המשפט העליון </w:t>
      </w:r>
      <w:r w:rsidRPr="009527E9">
        <w:rPr>
          <w:rFonts w:ascii="David" w:hAnsi="David" w:cs="David" w:hint="cs"/>
          <w:sz w:val="24"/>
          <w:szCs w:val="24"/>
          <w:rtl/>
        </w:rPr>
        <w:t xml:space="preserve">קיבל ערעור מדינה על עונש שכלל 42 חודשי מאסר, והעמידו על 50 חודשים. נגזרו גם </w:t>
      </w:r>
      <w:r w:rsidRPr="009527E9">
        <w:rPr>
          <w:rFonts w:ascii="David" w:hAnsi="David" w:cs="David"/>
          <w:sz w:val="24"/>
          <w:szCs w:val="24"/>
          <w:rtl/>
        </w:rPr>
        <w:t xml:space="preserve">עונשי מאסר על תנאי. </w:t>
      </w:r>
    </w:p>
    <w:p w14:paraId="30689006" w14:textId="77777777" w:rsidR="008557F3" w:rsidRPr="009527E9" w:rsidRDefault="005B77DA" w:rsidP="008557F3">
      <w:pPr>
        <w:pStyle w:val="ListParagraph"/>
        <w:numPr>
          <w:ilvl w:val="0"/>
          <w:numId w:val="1"/>
        </w:numPr>
        <w:spacing w:before="120" w:after="120" w:line="360" w:lineRule="auto"/>
        <w:contextualSpacing w:val="0"/>
        <w:jc w:val="both"/>
        <w:rPr>
          <w:rStyle w:val="Hyperlink"/>
          <w:rFonts w:ascii="David" w:hAnsi="David" w:cs="David"/>
          <w:sz w:val="24"/>
          <w:szCs w:val="24"/>
        </w:rPr>
      </w:pPr>
      <w:hyperlink r:id="rId38" w:history="1">
        <w:r w:rsidRPr="005B77DA">
          <w:rPr>
            <w:rFonts w:ascii="David" w:hAnsi="David" w:cs="David"/>
            <w:color w:val="0000FF"/>
            <w:sz w:val="24"/>
            <w:szCs w:val="24"/>
            <w:u w:val="single"/>
            <w:rtl/>
          </w:rPr>
          <w:t>ע"פ 5602/22</w:t>
        </w:r>
      </w:hyperlink>
      <w:r>
        <w:rPr>
          <w:rStyle w:val="Hyperlink"/>
          <w:rFonts w:ascii="David" w:hAnsi="David" w:cs="David"/>
          <w:sz w:val="24"/>
          <w:szCs w:val="24"/>
          <w:rtl/>
        </w:rPr>
        <w:t xml:space="preserve"> </w:t>
      </w:r>
      <w:r w:rsidR="008557F3" w:rsidRPr="009527E9">
        <w:rPr>
          <w:rStyle w:val="Hyperlink"/>
          <w:rFonts w:ascii="David" w:hAnsi="David" w:cs="David"/>
          <w:b/>
          <w:bCs/>
          <w:sz w:val="24"/>
          <w:szCs w:val="24"/>
          <w:rtl/>
        </w:rPr>
        <w:t>מדינת ישראל נ' פלוני</w:t>
      </w:r>
      <w:r>
        <w:rPr>
          <w:rStyle w:val="Hyperlink"/>
          <w:rFonts w:ascii="David" w:hAnsi="David" w:cs="David"/>
          <w:sz w:val="24"/>
          <w:szCs w:val="24"/>
          <w:rtl/>
        </w:rPr>
        <w:t xml:space="preserve"> </w:t>
      </w:r>
      <w:r w:rsidR="008557F3" w:rsidRPr="009527E9">
        <w:rPr>
          <w:rStyle w:val="Hyperlink"/>
          <w:rFonts w:ascii="David" w:hAnsi="David" w:cs="David"/>
          <w:sz w:val="24"/>
          <w:szCs w:val="24"/>
          <w:rtl/>
        </w:rPr>
        <w:t xml:space="preserve">(14.9.22) </w:t>
      </w:r>
      <w:r w:rsidR="008557F3" w:rsidRPr="009527E9">
        <w:rPr>
          <w:rStyle w:val="Hyperlink"/>
          <w:rFonts w:ascii="David" w:hAnsi="David" w:cs="David" w:hint="cs"/>
          <w:sz w:val="24"/>
          <w:szCs w:val="24"/>
          <w:rtl/>
        </w:rPr>
        <w:t>עסק בשוהה בלתי חוקי שנתפס בישראל כשהוא נושא אקדח עם מחסנית וכדורים, לאחר שניסה להימלט משוטרים ונאבק בהם. הוא הורשע ב</w:t>
      </w:r>
      <w:r w:rsidR="008557F3" w:rsidRPr="009527E9">
        <w:rPr>
          <w:rStyle w:val="Hyperlink"/>
          <w:rFonts w:ascii="David" w:hAnsi="David" w:cs="David"/>
          <w:sz w:val="24"/>
          <w:szCs w:val="24"/>
          <w:rtl/>
        </w:rPr>
        <w:t xml:space="preserve">נשיאת נשק, הפרעה לשוטר ושהייה </w:t>
      </w:r>
      <w:r w:rsidR="008557F3" w:rsidRPr="009527E9">
        <w:rPr>
          <w:rStyle w:val="Hyperlink"/>
          <w:rFonts w:ascii="David" w:hAnsi="David" w:cs="David" w:hint="cs"/>
          <w:sz w:val="24"/>
          <w:szCs w:val="24"/>
          <w:rtl/>
        </w:rPr>
        <w:t>בלתי חוקית</w:t>
      </w:r>
      <w:r w:rsidR="008557F3" w:rsidRPr="009527E9">
        <w:rPr>
          <w:rStyle w:val="Hyperlink"/>
          <w:rFonts w:ascii="David" w:hAnsi="David" w:cs="David"/>
          <w:sz w:val="24"/>
          <w:szCs w:val="24"/>
          <w:rtl/>
        </w:rPr>
        <w:t xml:space="preserve">. </w:t>
      </w:r>
      <w:r w:rsidR="008557F3" w:rsidRPr="009527E9">
        <w:rPr>
          <w:rStyle w:val="Hyperlink"/>
          <w:rFonts w:ascii="David" w:hAnsi="David" w:cs="David" w:hint="cs"/>
          <w:sz w:val="24"/>
          <w:szCs w:val="24"/>
          <w:rtl/>
        </w:rPr>
        <w:t xml:space="preserve">בית המשפט העליון קיבל ערעור על עונש של 18 חודשי מאסר שנגזר בערכאה הדיונית, והעמיד את העונש על 28 חודשים. </w:t>
      </w:r>
    </w:p>
    <w:p w14:paraId="3669F45F" w14:textId="77777777" w:rsidR="008557F3" w:rsidRPr="009527E9" w:rsidRDefault="005B77DA" w:rsidP="008557F3">
      <w:pPr>
        <w:pStyle w:val="ListParagraph"/>
        <w:numPr>
          <w:ilvl w:val="0"/>
          <w:numId w:val="1"/>
        </w:numPr>
        <w:spacing w:before="120" w:after="120" w:line="360" w:lineRule="auto"/>
        <w:contextualSpacing w:val="0"/>
        <w:jc w:val="both"/>
        <w:rPr>
          <w:rStyle w:val="Hyperlink"/>
          <w:rFonts w:ascii="David" w:hAnsi="David" w:cs="David"/>
          <w:sz w:val="24"/>
          <w:szCs w:val="24"/>
        </w:rPr>
      </w:pPr>
      <w:hyperlink r:id="rId39" w:history="1">
        <w:r w:rsidRPr="005B77DA">
          <w:rPr>
            <w:rFonts w:ascii="David" w:hAnsi="David" w:cs="David"/>
            <w:color w:val="0000FF"/>
            <w:sz w:val="24"/>
            <w:szCs w:val="24"/>
            <w:u w:val="single"/>
            <w:rtl/>
          </w:rPr>
          <w:t>ע"פ 6068/21</w:t>
        </w:r>
      </w:hyperlink>
      <w:r>
        <w:rPr>
          <w:rStyle w:val="Hyperlink"/>
          <w:rFonts w:ascii="David" w:hAnsi="David" w:cs="David"/>
          <w:sz w:val="24"/>
          <w:szCs w:val="24"/>
          <w:rtl/>
        </w:rPr>
        <w:t xml:space="preserve"> </w:t>
      </w:r>
      <w:r w:rsidR="008557F3" w:rsidRPr="009527E9">
        <w:rPr>
          <w:rStyle w:val="Hyperlink"/>
          <w:rFonts w:ascii="David" w:hAnsi="David" w:cs="David"/>
          <w:b/>
          <w:bCs/>
          <w:sz w:val="24"/>
          <w:szCs w:val="24"/>
          <w:rtl/>
        </w:rPr>
        <w:t>מדינת ישראל נ' פקיה</w:t>
      </w:r>
      <w:r>
        <w:rPr>
          <w:rStyle w:val="Hyperlink"/>
          <w:rFonts w:ascii="David" w:hAnsi="David" w:cs="David"/>
          <w:sz w:val="24"/>
          <w:szCs w:val="24"/>
          <w:rtl/>
        </w:rPr>
        <w:t xml:space="preserve"> </w:t>
      </w:r>
      <w:r w:rsidR="008557F3" w:rsidRPr="009527E9">
        <w:rPr>
          <w:rStyle w:val="Hyperlink"/>
          <w:rFonts w:ascii="David" w:hAnsi="David" w:cs="David"/>
          <w:sz w:val="24"/>
          <w:szCs w:val="24"/>
          <w:rtl/>
        </w:rPr>
        <w:t xml:space="preserve">(19.12.21) </w:t>
      </w:r>
      <w:r w:rsidR="008557F3" w:rsidRPr="009527E9">
        <w:rPr>
          <w:rStyle w:val="Hyperlink"/>
          <w:rFonts w:ascii="David" w:hAnsi="David" w:cs="David" w:hint="cs"/>
          <w:sz w:val="24"/>
          <w:szCs w:val="24"/>
          <w:rtl/>
        </w:rPr>
        <w:t xml:space="preserve">עסק באדם שהגיע סמוך לחתונה שהתקיימה במחנה הפליטים שועפאט, שוחח עם אחרים שהחזיקו בנשקים, הוציא נשק, טען אותו וירה באוויר מספר כדורים. הוא הורשע לפי הודאתו </w:t>
      </w:r>
      <w:r w:rsidR="008557F3" w:rsidRPr="009527E9">
        <w:rPr>
          <w:rStyle w:val="Hyperlink"/>
          <w:rFonts w:ascii="David" w:hAnsi="David" w:cs="David"/>
          <w:sz w:val="24"/>
          <w:szCs w:val="24"/>
          <w:rtl/>
        </w:rPr>
        <w:t>בעבירות של נשיאת נשק ו</w:t>
      </w:r>
      <w:r w:rsidR="008557F3" w:rsidRPr="009527E9">
        <w:rPr>
          <w:rStyle w:val="Hyperlink"/>
          <w:rFonts w:ascii="David" w:hAnsi="David" w:cs="David" w:hint="cs"/>
          <w:sz w:val="24"/>
          <w:szCs w:val="24"/>
          <w:rtl/>
        </w:rPr>
        <w:t xml:space="preserve">של </w:t>
      </w:r>
      <w:r w:rsidR="008557F3" w:rsidRPr="009527E9">
        <w:rPr>
          <w:rStyle w:val="Hyperlink"/>
          <w:rFonts w:ascii="David" w:hAnsi="David" w:cs="David"/>
          <w:sz w:val="24"/>
          <w:szCs w:val="24"/>
          <w:rtl/>
        </w:rPr>
        <w:t>ירי מנשק חם במקום מגורים.</w:t>
      </w:r>
      <w:r w:rsidR="008557F3" w:rsidRPr="009527E9">
        <w:rPr>
          <w:rStyle w:val="Hyperlink"/>
          <w:rFonts w:ascii="David" w:hAnsi="David" w:cs="David" w:hint="cs"/>
          <w:sz w:val="24"/>
          <w:szCs w:val="24"/>
          <w:rtl/>
        </w:rPr>
        <w:t xml:space="preserve"> הערכאה הדיונית גזרה עליו </w:t>
      </w:r>
      <w:r w:rsidR="008557F3" w:rsidRPr="009527E9">
        <w:rPr>
          <w:rStyle w:val="Hyperlink"/>
          <w:rFonts w:ascii="David" w:hAnsi="David" w:cs="David"/>
          <w:sz w:val="24"/>
          <w:szCs w:val="24"/>
          <w:rtl/>
        </w:rPr>
        <w:t>14 חודשי מאסר</w:t>
      </w:r>
      <w:r w:rsidR="008557F3" w:rsidRPr="009527E9">
        <w:rPr>
          <w:rStyle w:val="Hyperlink"/>
          <w:rFonts w:ascii="David" w:hAnsi="David" w:cs="David" w:hint="cs"/>
          <w:sz w:val="24"/>
          <w:szCs w:val="24"/>
          <w:rtl/>
        </w:rPr>
        <w:t xml:space="preserve"> ועונשים נלווים. </w:t>
      </w:r>
      <w:r w:rsidR="008557F3" w:rsidRPr="009527E9">
        <w:rPr>
          <w:rStyle w:val="Hyperlink"/>
          <w:rFonts w:ascii="David" w:hAnsi="David" w:cs="David"/>
          <w:sz w:val="24"/>
          <w:szCs w:val="24"/>
          <w:rtl/>
        </w:rPr>
        <w:t xml:space="preserve">בית המשפט העליון החמיר </w:t>
      </w:r>
      <w:r w:rsidR="008557F3" w:rsidRPr="009527E9">
        <w:rPr>
          <w:rStyle w:val="Hyperlink"/>
          <w:rFonts w:ascii="David" w:hAnsi="David" w:cs="David" w:hint="cs"/>
          <w:sz w:val="24"/>
          <w:szCs w:val="24"/>
          <w:rtl/>
        </w:rPr>
        <w:t xml:space="preserve">בעונש, בציון עבר פלילי מכביד והעובדה שלא פעל להסגרת הנשק למשטרה, לעונש של 25 חודשי מאסר.  </w:t>
      </w:r>
    </w:p>
    <w:p w14:paraId="19D0B136" w14:textId="77777777" w:rsidR="008557F3" w:rsidRPr="009527E9" w:rsidRDefault="008557F3" w:rsidP="008557F3">
      <w:pPr>
        <w:pStyle w:val="ListParagraph"/>
        <w:numPr>
          <w:ilvl w:val="0"/>
          <w:numId w:val="1"/>
        </w:numPr>
        <w:spacing w:before="120" w:after="120" w:line="360" w:lineRule="auto"/>
        <w:contextualSpacing w:val="0"/>
        <w:jc w:val="both"/>
        <w:rPr>
          <w:rFonts w:ascii="David" w:hAnsi="David" w:cs="David"/>
          <w:sz w:val="24"/>
          <w:szCs w:val="24"/>
        </w:rPr>
      </w:pPr>
      <w:r w:rsidRPr="009527E9">
        <w:rPr>
          <w:rFonts w:ascii="David" w:hAnsi="David" w:cs="David" w:hint="cs"/>
          <w:sz w:val="24"/>
          <w:szCs w:val="24"/>
          <w:rtl/>
        </w:rPr>
        <w:t xml:space="preserve"> ב</w:t>
      </w:r>
      <w:hyperlink r:id="rId40" w:history="1">
        <w:r w:rsidR="005B77DA" w:rsidRPr="005B77DA">
          <w:rPr>
            <w:rFonts w:ascii="David" w:hAnsi="David" w:cs="David"/>
            <w:color w:val="0000FF"/>
            <w:sz w:val="24"/>
            <w:szCs w:val="24"/>
            <w:u w:val="single"/>
            <w:rtl/>
          </w:rPr>
          <w:t>ת"פ (מחוזי חי') 41754-05-22</w:t>
        </w:r>
      </w:hyperlink>
      <w:r w:rsidRPr="009527E9">
        <w:rPr>
          <w:rFonts w:ascii="David" w:hAnsi="David" w:cs="David" w:hint="cs"/>
          <w:sz w:val="24"/>
          <w:szCs w:val="24"/>
          <w:rtl/>
        </w:rPr>
        <w:t xml:space="preserve"> </w:t>
      </w:r>
      <w:r w:rsidRPr="009527E9">
        <w:rPr>
          <w:rFonts w:ascii="David" w:hAnsi="David" w:cs="David" w:hint="cs"/>
          <w:b/>
          <w:bCs/>
          <w:sz w:val="24"/>
          <w:szCs w:val="24"/>
          <w:rtl/>
        </w:rPr>
        <w:t xml:space="preserve">מדינת ישראל נ' אגבריה </w:t>
      </w:r>
      <w:r w:rsidRPr="009527E9">
        <w:rPr>
          <w:rFonts w:ascii="David" w:hAnsi="David" w:cs="David" w:hint="cs"/>
          <w:sz w:val="24"/>
          <w:szCs w:val="24"/>
          <w:rtl/>
        </w:rPr>
        <w:t xml:space="preserve">(10.5.23) נדון מי שהורשע בשני אישומים. אחד מהם עסק בהחזקת רובה </w:t>
      </w:r>
      <w:r w:rsidRPr="009527E9">
        <w:rPr>
          <w:rFonts w:ascii="David" w:hAnsi="David" w:cs="David"/>
          <w:sz w:val="24"/>
          <w:szCs w:val="24"/>
        </w:rPr>
        <w:t>M16</w:t>
      </w:r>
      <w:r w:rsidRPr="009527E9">
        <w:rPr>
          <w:rFonts w:ascii="David" w:hAnsi="David" w:cs="David" w:hint="cs"/>
          <w:sz w:val="24"/>
          <w:szCs w:val="24"/>
          <w:rtl/>
        </w:rPr>
        <w:t xml:space="preserve"> אותו ביקש הנאשם מאחר, וירי בו של כ-17 כדורים בשטח פתוח מחוץ לביתו. בגין אישום זה נקבע מתחם עונש הולם שבין 26 ל-48 חודשי מאסר. אישום נוסף עסק בהשתתפות בהתפרעות ויידוי אבנים לעבר שוטרים. דובר בבחור צעיר ללא הרשעות, אך נוכח הערכת סיכון נמנע שירות המבחן מהמלצה בעניינו. עונשו הכולל הועמד על 32 חודשי מאסר, עונשים מותנים וקנס.</w:t>
      </w:r>
    </w:p>
    <w:p w14:paraId="762B3024" w14:textId="77777777" w:rsidR="008557F3" w:rsidRPr="009527E9" w:rsidRDefault="008557F3" w:rsidP="008557F3">
      <w:pPr>
        <w:pStyle w:val="ListParagraph"/>
        <w:spacing w:before="120" w:after="120" w:line="360" w:lineRule="auto"/>
        <w:ind w:left="360"/>
        <w:contextualSpacing w:val="0"/>
        <w:jc w:val="both"/>
        <w:rPr>
          <w:rFonts w:ascii="David" w:hAnsi="David" w:cs="David"/>
          <w:sz w:val="24"/>
          <w:szCs w:val="24"/>
          <w:rtl/>
        </w:rPr>
      </w:pPr>
      <w:r w:rsidRPr="009527E9">
        <w:rPr>
          <w:rFonts w:ascii="David" w:hAnsi="David" w:cs="David"/>
          <w:sz w:val="24"/>
          <w:szCs w:val="24"/>
          <w:rtl/>
        </w:rPr>
        <w:t xml:space="preserve">ראו בנוסף </w:t>
      </w:r>
      <w:hyperlink r:id="rId41" w:history="1">
        <w:r w:rsidRPr="009527E9">
          <w:rPr>
            <w:rStyle w:val="Hyperlink"/>
            <w:rFonts w:ascii="David" w:hAnsi="David" w:cs="David"/>
            <w:sz w:val="24"/>
            <w:szCs w:val="24"/>
            <w:rtl/>
          </w:rPr>
          <w:t>ע"פ 2602/23</w:t>
        </w:r>
        <w:r w:rsidRPr="009527E9">
          <w:rPr>
            <w:rStyle w:val="Hyperlink"/>
            <w:rFonts w:ascii="David" w:hAnsi="David" w:cs="David"/>
            <w:b/>
            <w:bCs/>
            <w:sz w:val="24"/>
            <w:szCs w:val="24"/>
            <w:rtl/>
          </w:rPr>
          <w:t xml:space="preserve"> אבו ואדי נ' מדינת ישראל</w:t>
        </w:r>
        <w:r w:rsidR="005B77DA">
          <w:rPr>
            <w:rStyle w:val="Hyperlink"/>
            <w:rFonts w:ascii="David" w:hAnsi="David" w:cs="David"/>
            <w:sz w:val="24"/>
            <w:szCs w:val="24"/>
            <w:rtl/>
          </w:rPr>
          <w:t xml:space="preserve"> </w:t>
        </w:r>
        <w:r w:rsidRPr="009527E9">
          <w:rPr>
            <w:rStyle w:val="Hyperlink"/>
            <w:rFonts w:ascii="David" w:hAnsi="David" w:cs="David"/>
            <w:sz w:val="24"/>
            <w:szCs w:val="24"/>
            <w:rtl/>
          </w:rPr>
          <w:t>(7.11.2023)‏</w:t>
        </w:r>
      </w:hyperlink>
      <w:r w:rsidRPr="009527E9">
        <w:rPr>
          <w:rFonts w:ascii="David" w:hAnsi="David" w:cs="David"/>
          <w:sz w:val="24"/>
          <w:szCs w:val="24"/>
          <w:rtl/>
        </w:rPr>
        <w:t xml:space="preserve">‏, </w:t>
      </w:r>
      <w:hyperlink r:id="rId42" w:history="1">
        <w:r w:rsidRPr="009527E9">
          <w:rPr>
            <w:rStyle w:val="Hyperlink"/>
            <w:rFonts w:ascii="David" w:hAnsi="David" w:cs="David"/>
            <w:sz w:val="24"/>
            <w:szCs w:val="24"/>
            <w:rtl/>
          </w:rPr>
          <w:t>ת"פ (מחוזי חי') 18557-10-21</w:t>
        </w:r>
        <w:r w:rsidR="005B77DA">
          <w:rPr>
            <w:rStyle w:val="Hyperlink"/>
            <w:rFonts w:ascii="David" w:hAnsi="David" w:cs="David"/>
            <w:sz w:val="24"/>
            <w:szCs w:val="24"/>
            <w:rtl/>
          </w:rPr>
          <w:t xml:space="preserve"> </w:t>
        </w:r>
        <w:r w:rsidRPr="009527E9">
          <w:rPr>
            <w:rStyle w:val="Hyperlink"/>
            <w:rFonts w:ascii="David" w:hAnsi="David" w:cs="David"/>
            <w:b/>
            <w:bCs/>
            <w:sz w:val="24"/>
            <w:szCs w:val="24"/>
            <w:rtl/>
          </w:rPr>
          <w:t>מדינת ישראל נ' נעים</w:t>
        </w:r>
        <w:r w:rsidR="005B77DA">
          <w:rPr>
            <w:rStyle w:val="Hyperlink"/>
            <w:rFonts w:ascii="David" w:hAnsi="David" w:cs="David"/>
            <w:sz w:val="24"/>
            <w:szCs w:val="24"/>
            <w:rtl/>
          </w:rPr>
          <w:t xml:space="preserve"> </w:t>
        </w:r>
        <w:r w:rsidRPr="009527E9">
          <w:rPr>
            <w:rStyle w:val="Hyperlink"/>
            <w:rFonts w:ascii="David" w:hAnsi="David" w:cs="David"/>
            <w:sz w:val="24"/>
            <w:szCs w:val="24"/>
            <w:rtl/>
          </w:rPr>
          <w:t>(27.10.22)‏</w:t>
        </w:r>
      </w:hyperlink>
      <w:r w:rsidRPr="009527E9">
        <w:rPr>
          <w:rFonts w:ascii="David" w:hAnsi="David" w:cs="David"/>
          <w:sz w:val="24"/>
          <w:szCs w:val="24"/>
          <w:rtl/>
        </w:rPr>
        <w:t xml:space="preserve">‏, </w:t>
      </w:r>
      <w:hyperlink r:id="rId43" w:history="1">
        <w:r w:rsidRPr="009527E9">
          <w:rPr>
            <w:rStyle w:val="Hyperlink"/>
            <w:rFonts w:ascii="David" w:hAnsi="David" w:cs="David"/>
            <w:sz w:val="24"/>
            <w:szCs w:val="24"/>
            <w:rtl/>
          </w:rPr>
          <w:t>ת"פ (מחוזי ת"א) 67454-11-20</w:t>
        </w:r>
        <w:r w:rsidR="005B77DA">
          <w:rPr>
            <w:rStyle w:val="Hyperlink"/>
            <w:rFonts w:ascii="David" w:hAnsi="David" w:cs="David"/>
            <w:sz w:val="24"/>
            <w:szCs w:val="24"/>
            <w:rtl/>
          </w:rPr>
          <w:t xml:space="preserve"> </w:t>
        </w:r>
        <w:r w:rsidRPr="009527E9">
          <w:rPr>
            <w:rStyle w:val="Hyperlink"/>
            <w:rFonts w:ascii="David" w:hAnsi="David" w:cs="David"/>
            <w:b/>
            <w:bCs/>
            <w:sz w:val="24"/>
            <w:szCs w:val="24"/>
            <w:rtl/>
          </w:rPr>
          <w:t>מדינת ישראל נ' סמוני</w:t>
        </w:r>
        <w:r w:rsidR="005B77DA">
          <w:rPr>
            <w:rStyle w:val="Hyperlink"/>
            <w:rFonts w:ascii="David" w:hAnsi="David" w:cs="David"/>
            <w:sz w:val="24"/>
            <w:szCs w:val="24"/>
            <w:rtl/>
          </w:rPr>
          <w:t xml:space="preserve"> </w:t>
        </w:r>
        <w:r w:rsidRPr="009527E9">
          <w:rPr>
            <w:rStyle w:val="Hyperlink"/>
            <w:rFonts w:ascii="David" w:hAnsi="David" w:cs="David"/>
            <w:sz w:val="24"/>
            <w:szCs w:val="24"/>
            <w:rtl/>
          </w:rPr>
          <w:t>(12.8.21)‏</w:t>
        </w:r>
      </w:hyperlink>
      <w:r w:rsidRPr="009527E9">
        <w:rPr>
          <w:rFonts w:ascii="David" w:hAnsi="David" w:cs="David"/>
          <w:sz w:val="24"/>
          <w:szCs w:val="24"/>
          <w:rtl/>
        </w:rPr>
        <w:t>‏</w:t>
      </w:r>
      <w:r>
        <w:rPr>
          <w:rFonts w:ascii="David" w:hAnsi="David" w:cs="David" w:hint="cs"/>
          <w:sz w:val="24"/>
          <w:szCs w:val="24"/>
          <w:rtl/>
        </w:rPr>
        <w:t xml:space="preserve">, ת"פ (מחוזי י-ם) 6514-03-23 </w:t>
      </w:r>
      <w:r>
        <w:rPr>
          <w:rFonts w:ascii="David" w:hAnsi="David" w:cs="David" w:hint="cs"/>
          <w:b/>
          <w:bCs/>
          <w:sz w:val="24"/>
          <w:szCs w:val="24"/>
          <w:rtl/>
        </w:rPr>
        <w:t xml:space="preserve">מדינת ישראל נ' אבו הניה </w:t>
      </w:r>
      <w:r>
        <w:rPr>
          <w:rFonts w:ascii="David" w:hAnsi="David" w:cs="David" w:hint="cs"/>
          <w:sz w:val="24"/>
          <w:szCs w:val="24"/>
          <w:rtl/>
        </w:rPr>
        <w:t xml:space="preserve">(23.8.23), עפ"ג (י-ם) 9683-09-22 </w:t>
      </w:r>
      <w:r>
        <w:rPr>
          <w:rFonts w:ascii="David" w:hAnsi="David" w:cs="David" w:hint="cs"/>
          <w:b/>
          <w:bCs/>
          <w:sz w:val="24"/>
          <w:szCs w:val="24"/>
          <w:rtl/>
        </w:rPr>
        <w:t xml:space="preserve">אדיב נ' מדינת ישראל </w:t>
      </w:r>
      <w:r>
        <w:rPr>
          <w:rFonts w:ascii="David" w:hAnsi="David" w:cs="David" w:hint="cs"/>
          <w:sz w:val="24"/>
          <w:szCs w:val="24"/>
          <w:rtl/>
        </w:rPr>
        <w:t>(21.11.22)</w:t>
      </w:r>
      <w:r w:rsidRPr="009527E9">
        <w:rPr>
          <w:rFonts w:ascii="David" w:hAnsi="David" w:cs="David"/>
          <w:sz w:val="24"/>
          <w:szCs w:val="24"/>
          <w:rtl/>
        </w:rPr>
        <w:t xml:space="preserve">.  </w:t>
      </w:r>
    </w:p>
    <w:p w14:paraId="71E2D8E0" w14:textId="77777777" w:rsidR="008557F3" w:rsidRDefault="008557F3" w:rsidP="008557F3">
      <w:pPr>
        <w:pStyle w:val="ListParagraph"/>
        <w:numPr>
          <w:ilvl w:val="0"/>
          <w:numId w:val="1"/>
        </w:numPr>
        <w:spacing w:before="120" w:after="120" w:line="360" w:lineRule="auto"/>
        <w:contextualSpacing w:val="0"/>
        <w:jc w:val="both"/>
        <w:rPr>
          <w:rFonts w:ascii="David" w:hAnsi="David" w:cs="David"/>
          <w:sz w:val="24"/>
          <w:szCs w:val="24"/>
        </w:rPr>
      </w:pPr>
      <w:r w:rsidRPr="009527E9">
        <w:rPr>
          <w:rFonts w:ascii="David" w:hAnsi="David" w:cs="David" w:hint="cs"/>
          <w:sz w:val="24"/>
          <w:szCs w:val="24"/>
          <w:rtl/>
        </w:rPr>
        <w:t xml:space="preserve">בשקלי כל אלה, אני קובע כי מתחם העונש ההולם לעבירות שביצע הנאשם, בנסיבות </w:t>
      </w:r>
      <w:r>
        <w:rPr>
          <w:rFonts w:ascii="David" w:hAnsi="David" w:cs="David" w:hint="cs"/>
          <w:sz w:val="24"/>
          <w:szCs w:val="24"/>
          <w:rtl/>
        </w:rPr>
        <w:t xml:space="preserve">הפרטניות של </w:t>
      </w:r>
      <w:r w:rsidRPr="009527E9">
        <w:rPr>
          <w:rFonts w:ascii="David" w:hAnsi="David" w:cs="David" w:hint="cs"/>
          <w:sz w:val="24"/>
          <w:szCs w:val="24"/>
          <w:rtl/>
        </w:rPr>
        <w:t>ביצוען</w:t>
      </w:r>
      <w:r>
        <w:rPr>
          <w:rFonts w:ascii="David" w:hAnsi="David" w:cs="David" w:hint="cs"/>
          <w:sz w:val="24"/>
          <w:szCs w:val="24"/>
          <w:rtl/>
        </w:rPr>
        <w:t xml:space="preserve"> כמתואר לעיל</w:t>
      </w:r>
      <w:r w:rsidRPr="009527E9">
        <w:rPr>
          <w:rFonts w:ascii="David" w:hAnsi="David" w:cs="David" w:hint="cs"/>
          <w:sz w:val="24"/>
          <w:szCs w:val="24"/>
          <w:rtl/>
        </w:rPr>
        <w:t xml:space="preserve">, כולל מאסר בפועל לתקופה הנעה בין </w:t>
      </w:r>
      <w:r>
        <w:rPr>
          <w:rFonts w:ascii="David" w:hAnsi="David" w:cs="David" w:hint="cs"/>
          <w:sz w:val="24"/>
          <w:szCs w:val="24"/>
          <w:rtl/>
        </w:rPr>
        <w:t>22</w:t>
      </w:r>
      <w:r w:rsidRPr="009527E9">
        <w:rPr>
          <w:rFonts w:ascii="David" w:hAnsi="David" w:cs="David" w:hint="cs"/>
          <w:sz w:val="24"/>
          <w:szCs w:val="24"/>
          <w:rtl/>
        </w:rPr>
        <w:t xml:space="preserve"> ל-50 חודשים. זאת, לצד מאסר מותנה שנועד להתמודד עם הסיכון להישנות העבירות. </w:t>
      </w:r>
    </w:p>
    <w:p w14:paraId="26A6F6B2" w14:textId="77777777" w:rsidR="008557F3" w:rsidRDefault="008557F3" w:rsidP="008557F3">
      <w:pPr>
        <w:pStyle w:val="ListParagraph"/>
        <w:spacing w:before="120" w:after="120" w:line="360" w:lineRule="auto"/>
        <w:ind w:left="360"/>
        <w:contextualSpacing w:val="0"/>
        <w:jc w:val="both"/>
        <w:rPr>
          <w:rFonts w:ascii="David" w:hAnsi="David" w:cs="David"/>
          <w:b/>
          <w:bCs/>
          <w:sz w:val="24"/>
          <w:szCs w:val="24"/>
          <w:rtl/>
        </w:rPr>
      </w:pPr>
      <w:r w:rsidRPr="009527E9">
        <w:rPr>
          <w:rFonts w:ascii="David" w:hAnsi="David" w:cs="David" w:hint="cs"/>
          <w:sz w:val="24"/>
          <w:szCs w:val="24"/>
          <w:rtl/>
        </w:rPr>
        <w:t xml:space="preserve">משלא דובר בעבירות שנעשו למטרות רווח או שהופקה מהן תועלת כספית, ובשים לב לנסיבותיו של הנאשם ולמאסר שיידרש לרצות, לא מצאתי לשלב רכיב של קנס במתחם העונש ההולם. </w:t>
      </w:r>
    </w:p>
    <w:p w14:paraId="6E52E51A" w14:textId="77777777" w:rsidR="008557F3" w:rsidRPr="009527E9" w:rsidRDefault="008557F3" w:rsidP="008557F3">
      <w:pPr>
        <w:pStyle w:val="ListParagraph"/>
        <w:spacing w:before="120" w:after="120" w:line="360" w:lineRule="auto"/>
        <w:ind w:left="360"/>
        <w:contextualSpacing w:val="0"/>
        <w:jc w:val="both"/>
        <w:rPr>
          <w:rFonts w:ascii="David" w:hAnsi="David" w:cs="David"/>
          <w:b/>
          <w:bCs/>
          <w:sz w:val="24"/>
          <w:szCs w:val="24"/>
        </w:rPr>
      </w:pPr>
    </w:p>
    <w:p w14:paraId="7D2BF97F" w14:textId="77777777" w:rsidR="008557F3" w:rsidRPr="009527E9" w:rsidRDefault="008557F3" w:rsidP="008557F3">
      <w:pPr>
        <w:spacing w:before="120" w:after="120" w:line="360" w:lineRule="auto"/>
        <w:jc w:val="both"/>
        <w:rPr>
          <w:rFonts w:ascii="David" w:hAnsi="David"/>
          <w:b/>
          <w:bCs/>
          <w:rtl/>
        </w:rPr>
      </w:pPr>
      <w:r w:rsidRPr="009527E9">
        <w:rPr>
          <w:rFonts w:ascii="David" w:hAnsi="David" w:hint="cs"/>
          <w:b/>
          <w:bCs/>
          <w:rtl/>
        </w:rPr>
        <w:t>קביעת העונש בתוך המתחם</w:t>
      </w:r>
    </w:p>
    <w:p w14:paraId="1B0F8270" w14:textId="77777777" w:rsidR="008557F3" w:rsidRPr="009527E9" w:rsidRDefault="008557F3" w:rsidP="008557F3">
      <w:pPr>
        <w:pStyle w:val="ListParagraph"/>
        <w:numPr>
          <w:ilvl w:val="0"/>
          <w:numId w:val="1"/>
        </w:numPr>
        <w:spacing w:before="120" w:after="120" w:line="360" w:lineRule="auto"/>
        <w:contextualSpacing w:val="0"/>
        <w:jc w:val="both"/>
        <w:rPr>
          <w:rFonts w:ascii="David" w:hAnsi="David" w:cs="David"/>
          <w:sz w:val="24"/>
          <w:szCs w:val="24"/>
        </w:rPr>
      </w:pPr>
      <w:r w:rsidRPr="009527E9">
        <w:rPr>
          <w:rFonts w:ascii="David" w:hAnsi="David" w:cs="David" w:hint="cs"/>
          <w:sz w:val="24"/>
          <w:szCs w:val="24"/>
          <w:rtl/>
        </w:rPr>
        <w:t xml:space="preserve">הנאשם הוא בחור צעיר, שלראשונה בחייו חטא בפלילים ואין בעברו הרשעות קודמות. יש לשקול זאת לזכותו, וכך גם את המעצר הממושך שריצה ואת ההשלכות עליו ועל סביבתו כתוצאה מן המאסר שיידרש לרצות. </w:t>
      </w:r>
    </w:p>
    <w:p w14:paraId="3D0BBB8F" w14:textId="77777777" w:rsidR="008557F3" w:rsidRPr="009527E9" w:rsidRDefault="008557F3" w:rsidP="008557F3">
      <w:pPr>
        <w:pStyle w:val="ListParagraph"/>
        <w:spacing w:before="120" w:after="120" w:line="360" w:lineRule="auto"/>
        <w:ind w:left="360"/>
        <w:contextualSpacing w:val="0"/>
        <w:jc w:val="both"/>
        <w:rPr>
          <w:rFonts w:ascii="David" w:hAnsi="David" w:cs="David"/>
          <w:sz w:val="24"/>
          <w:szCs w:val="24"/>
        </w:rPr>
      </w:pPr>
      <w:r w:rsidRPr="009527E9">
        <w:rPr>
          <w:rFonts w:ascii="David" w:hAnsi="David" w:cs="David" w:hint="cs"/>
          <w:sz w:val="24"/>
          <w:szCs w:val="24"/>
          <w:rtl/>
        </w:rPr>
        <w:t xml:space="preserve">לצד אלה תישקל </w:t>
      </w:r>
      <w:r>
        <w:rPr>
          <w:rFonts w:ascii="David" w:hAnsi="David" w:cs="David" w:hint="cs"/>
          <w:sz w:val="24"/>
          <w:szCs w:val="24"/>
          <w:rtl/>
        </w:rPr>
        <w:t xml:space="preserve">החרטה שהביע הנאשם באולם בית המשפט, וכן נכונותו </w:t>
      </w:r>
      <w:r w:rsidRPr="009527E9">
        <w:rPr>
          <w:rFonts w:ascii="David" w:hAnsi="David" w:cs="David" w:hint="cs"/>
          <w:sz w:val="24"/>
          <w:szCs w:val="24"/>
          <w:rtl/>
        </w:rPr>
        <w:t>לטיפול כפי שהוצגה בפני שירות המבחן ומצאה ביטוי בהשתתפותו בקבוצות טיפוליות במהלך מעצרו.</w:t>
      </w:r>
    </w:p>
    <w:p w14:paraId="0627319F" w14:textId="77777777" w:rsidR="008557F3" w:rsidRDefault="008557F3" w:rsidP="008557F3">
      <w:pPr>
        <w:pStyle w:val="ListParagraph"/>
        <w:numPr>
          <w:ilvl w:val="0"/>
          <w:numId w:val="1"/>
        </w:numPr>
        <w:spacing w:before="120" w:after="120" w:line="360" w:lineRule="auto"/>
        <w:contextualSpacing w:val="0"/>
        <w:jc w:val="both"/>
        <w:rPr>
          <w:rFonts w:ascii="David" w:hAnsi="David" w:cs="David"/>
          <w:sz w:val="24"/>
          <w:szCs w:val="24"/>
        </w:rPr>
      </w:pPr>
      <w:r w:rsidRPr="0066708D">
        <w:rPr>
          <w:rFonts w:ascii="David" w:hAnsi="David" w:cs="David" w:hint="cs"/>
          <w:sz w:val="24"/>
          <w:szCs w:val="24"/>
          <w:rtl/>
        </w:rPr>
        <w:t xml:space="preserve">שיקול נוסף הפועל לכף זכות עוסק בשיתוף הפעולה של הנאשם. כך, ראשית, בהודייתו בכתב האישום המתוקן, אשר ייעלה את ההליך וחסכה מזמנם של העדים, הצדדים ובית המשפט. הגם שהגיעה לאחר שמיעת שני עדים, נוכח התיקון בכתב האישום מצאתי כי הנאשם זכאי להקלה בעונש. </w:t>
      </w:r>
    </w:p>
    <w:p w14:paraId="28A75DFB" w14:textId="77777777" w:rsidR="008557F3" w:rsidRPr="0066708D" w:rsidRDefault="008557F3" w:rsidP="008557F3">
      <w:pPr>
        <w:pStyle w:val="ListParagraph"/>
        <w:numPr>
          <w:ilvl w:val="0"/>
          <w:numId w:val="1"/>
        </w:numPr>
        <w:spacing w:before="120" w:after="120" w:line="360" w:lineRule="auto"/>
        <w:contextualSpacing w:val="0"/>
        <w:jc w:val="both"/>
        <w:rPr>
          <w:rFonts w:ascii="David" w:hAnsi="David" w:cs="David"/>
          <w:sz w:val="24"/>
          <w:szCs w:val="24"/>
        </w:rPr>
      </w:pPr>
      <w:r w:rsidRPr="0066708D">
        <w:rPr>
          <w:rFonts w:ascii="David" w:hAnsi="David" w:cs="David" w:hint="cs"/>
          <w:sz w:val="24"/>
          <w:szCs w:val="24"/>
          <w:rtl/>
        </w:rPr>
        <w:t>נוסף על כך, בנסיבות הליך זה יש להקנות להודיית הנאשם במסגרת הסדר הטיעון משנה-משקל לקולה. זאת, נוכח הצהרות המאשימה על קשיים בניהול ההליך, ובכלל זה על פגמים שנפלו בחיפוש במכשיר הטלפון של הנאשם. חיפוש, שתוצאותיו היוו את אחד הבסיסים המרכזיים לכתב האישום שהוגש כנגד הנאשם, ושלדברי המאשימה "</w:t>
      </w:r>
      <w:r w:rsidRPr="0066708D">
        <w:rPr>
          <w:rFonts w:ascii="FrankRuehl" w:hAnsi="FrankRuehl" w:cs="FrankRuehl"/>
          <w:sz w:val="24"/>
          <w:szCs w:val="24"/>
          <w:rtl/>
        </w:rPr>
        <w:t>בוצע בתחילה בשטח ללא הסכמה מדעת</w:t>
      </w:r>
      <w:r w:rsidRPr="0066708D">
        <w:rPr>
          <w:rFonts w:ascii="David" w:hAnsi="David" w:cs="David" w:hint="cs"/>
          <w:sz w:val="24"/>
          <w:szCs w:val="24"/>
          <w:rtl/>
        </w:rPr>
        <w:t xml:space="preserve">..." תוך שהמאשימה הייתה ערה לסיכון לפסילת תוצריו הגם שסברה שאין לפסלן (עמ' 11 לפרוטוקול </w:t>
      </w:r>
      <w:r w:rsidRPr="0066708D">
        <w:rPr>
          <w:rFonts w:ascii="David" w:hAnsi="David" w:cs="David"/>
          <w:sz w:val="24"/>
          <w:szCs w:val="24"/>
          <w:rtl/>
        </w:rPr>
        <w:t>–</w:t>
      </w:r>
      <w:r w:rsidRPr="0066708D">
        <w:rPr>
          <w:rFonts w:ascii="David" w:hAnsi="David" w:cs="David" w:hint="cs"/>
          <w:sz w:val="24"/>
          <w:szCs w:val="24"/>
          <w:rtl/>
        </w:rPr>
        <w:t xml:space="preserve"> וראו הנמקת ההסדר על ידה, בעמ' 64). אשר לטענות ההגנה בדבר פגיעה בזכויות הנאשם במהלך חקירותיו אציין, כי במסגרת האמורה כאן יגולמו גם אלמנטים שעלו במסגרת חקירות העדים בדגש על החוקר סעיד סעיד, אך מבלי להתעלם מכך ששמיעת הראיות לא הושלמה והטענות בנושא לא בוררו עד תום. </w:t>
      </w:r>
    </w:p>
    <w:p w14:paraId="37CD2905" w14:textId="77777777" w:rsidR="008557F3" w:rsidRPr="009527E9" w:rsidRDefault="008557F3" w:rsidP="008557F3">
      <w:pPr>
        <w:pStyle w:val="ListParagraph"/>
        <w:spacing w:before="120" w:after="120" w:line="360" w:lineRule="auto"/>
        <w:ind w:left="360"/>
        <w:contextualSpacing w:val="0"/>
        <w:jc w:val="both"/>
        <w:rPr>
          <w:rFonts w:ascii="David" w:hAnsi="David" w:cs="David"/>
          <w:sz w:val="24"/>
          <w:szCs w:val="24"/>
        </w:rPr>
      </w:pPr>
      <w:r w:rsidRPr="009527E9">
        <w:rPr>
          <w:rFonts w:ascii="David" w:hAnsi="David" w:cs="David" w:hint="cs"/>
          <w:sz w:val="24"/>
          <w:szCs w:val="24"/>
          <w:rtl/>
        </w:rPr>
        <w:t xml:space="preserve">הגם שאני ער לכך שהנאשם קיבל הקלות מסוימות בניסוחו של כתב האישום במסגרת ההסדר, סבורני כי נכונותו ליטול אחריות בנסיבות האמורות ראויה להתחשבות. כך גם שיתוף הפעולה שלו במסגרת החקירה </w:t>
      </w:r>
      <w:r w:rsidRPr="009527E9">
        <w:rPr>
          <w:rFonts w:ascii="David" w:hAnsi="David" w:cs="David"/>
          <w:sz w:val="24"/>
          <w:szCs w:val="24"/>
          <w:rtl/>
        </w:rPr>
        <w:t>–</w:t>
      </w:r>
      <w:r w:rsidRPr="009527E9">
        <w:rPr>
          <w:rFonts w:ascii="David" w:hAnsi="David" w:cs="David" w:hint="cs"/>
          <w:sz w:val="24"/>
          <w:szCs w:val="24"/>
          <w:rtl/>
        </w:rPr>
        <w:t xml:space="preserve"> משנמסר כי נדבך מרכזי נוסף לכתב האישום היו הודאות שמסר לאחר החיפוש האמור בטלפון. </w:t>
      </w:r>
    </w:p>
    <w:p w14:paraId="54AB7F8E" w14:textId="77777777" w:rsidR="008557F3" w:rsidRDefault="008557F3" w:rsidP="008557F3">
      <w:pPr>
        <w:pStyle w:val="ListParagraph"/>
        <w:numPr>
          <w:ilvl w:val="0"/>
          <w:numId w:val="1"/>
        </w:numPr>
        <w:spacing w:before="120" w:after="120" w:line="360" w:lineRule="auto"/>
        <w:contextualSpacing w:val="0"/>
        <w:jc w:val="both"/>
        <w:rPr>
          <w:rFonts w:ascii="David" w:hAnsi="David" w:cs="David"/>
          <w:sz w:val="24"/>
          <w:szCs w:val="24"/>
        </w:rPr>
      </w:pPr>
      <w:r w:rsidRPr="009527E9">
        <w:rPr>
          <w:rFonts w:ascii="David" w:hAnsi="David" w:cs="David" w:hint="cs"/>
          <w:sz w:val="24"/>
          <w:szCs w:val="24"/>
          <w:rtl/>
        </w:rPr>
        <w:t xml:space="preserve">מנגד, קיימות נסיבות לחומרה. לפי התסקיר, הנאשם צמצם מחומרת העבירה ומהתנהלותו הלקויה, ומדבריו עלה שהוא אינו מפנים את חומרת העבירה והשלכותיה, וטוען לאותו "נוהג חברתי" פגום של עיסוק בנשק בלתי חוקי. על רקע זה הוצגה גם הערכת סיכון גבוהה, הנתמכת אף בריבוי העבירות שביצע הנאשם בפרק זמן קצר. </w:t>
      </w:r>
    </w:p>
    <w:p w14:paraId="52494326" w14:textId="77777777" w:rsidR="008557F3" w:rsidRPr="009527E9" w:rsidRDefault="008557F3" w:rsidP="008557F3">
      <w:pPr>
        <w:pStyle w:val="ListParagraph"/>
        <w:spacing w:before="120" w:after="120" w:line="360" w:lineRule="auto"/>
        <w:ind w:left="360"/>
        <w:contextualSpacing w:val="0"/>
        <w:jc w:val="both"/>
        <w:rPr>
          <w:rFonts w:ascii="David" w:hAnsi="David" w:cs="David"/>
          <w:sz w:val="24"/>
          <w:szCs w:val="24"/>
        </w:rPr>
      </w:pPr>
      <w:r w:rsidRPr="009527E9">
        <w:rPr>
          <w:rFonts w:ascii="David" w:hAnsi="David" w:cs="David" w:hint="cs"/>
          <w:sz w:val="24"/>
          <w:szCs w:val="24"/>
          <w:rtl/>
        </w:rPr>
        <w:t>יש בכך להדגיש את היבטי ההוקעה וההרתעה האישית בגזירת הדין. זאת, הן בהיבט העונש המוחשי והן בעיצובו של העונש המותנה.</w:t>
      </w:r>
    </w:p>
    <w:p w14:paraId="5FA1FD77" w14:textId="77777777" w:rsidR="008557F3" w:rsidRPr="009527E9" w:rsidRDefault="008557F3" w:rsidP="008557F3">
      <w:pPr>
        <w:pStyle w:val="ListParagraph"/>
        <w:numPr>
          <w:ilvl w:val="0"/>
          <w:numId w:val="1"/>
        </w:numPr>
        <w:spacing w:before="120" w:after="120" w:line="360" w:lineRule="auto"/>
        <w:contextualSpacing w:val="0"/>
        <w:jc w:val="both"/>
        <w:rPr>
          <w:rFonts w:ascii="David" w:hAnsi="David" w:cs="David"/>
          <w:sz w:val="24"/>
          <w:szCs w:val="24"/>
        </w:rPr>
      </w:pPr>
      <w:r w:rsidRPr="009527E9">
        <w:rPr>
          <w:rFonts w:ascii="David" w:hAnsi="David" w:cs="David" w:hint="cs"/>
          <w:sz w:val="24"/>
          <w:szCs w:val="24"/>
          <w:rtl/>
        </w:rPr>
        <w:t xml:space="preserve">לצד אלה, כמובא לעיל בגזירת העונש בגין עבירות נשק יש לתת משקל הולם להיבטי ההרתעה הכללית. זאת, על מנת להילחם בנגע של עיסוק בנשק לא חוקי ואף ירי בו בקרבה למקומות מגורים או </w:t>
      </w:r>
      <w:r>
        <w:rPr>
          <w:rFonts w:ascii="David" w:hAnsi="David" w:cs="David" w:hint="cs"/>
          <w:sz w:val="24"/>
          <w:szCs w:val="24"/>
          <w:rtl/>
        </w:rPr>
        <w:t xml:space="preserve">במסגרת חגיגות, </w:t>
      </w:r>
      <w:r w:rsidRPr="009527E9">
        <w:rPr>
          <w:rFonts w:ascii="David" w:hAnsi="David" w:cs="David" w:hint="cs"/>
          <w:sz w:val="24"/>
          <w:szCs w:val="24"/>
          <w:rtl/>
        </w:rPr>
        <w:t xml:space="preserve">ולהרתיע אחרים מפני מעשים דומים. </w:t>
      </w:r>
    </w:p>
    <w:p w14:paraId="6485B750" w14:textId="77777777" w:rsidR="008557F3" w:rsidRPr="009527E9" w:rsidRDefault="008557F3" w:rsidP="008557F3">
      <w:pPr>
        <w:pStyle w:val="ListParagraph"/>
        <w:spacing w:before="120" w:after="120"/>
        <w:contextualSpacing w:val="0"/>
        <w:rPr>
          <w:rFonts w:ascii="David" w:hAnsi="David" w:cs="David"/>
          <w:sz w:val="24"/>
          <w:szCs w:val="24"/>
          <w:rtl/>
        </w:rPr>
      </w:pPr>
    </w:p>
    <w:p w14:paraId="78D66647" w14:textId="77777777" w:rsidR="008557F3" w:rsidRPr="009527E9" w:rsidRDefault="008557F3" w:rsidP="008557F3">
      <w:pPr>
        <w:pStyle w:val="ListParagraph"/>
        <w:numPr>
          <w:ilvl w:val="0"/>
          <w:numId w:val="1"/>
        </w:numPr>
        <w:spacing w:before="120" w:after="120" w:line="360" w:lineRule="auto"/>
        <w:contextualSpacing w:val="0"/>
        <w:jc w:val="both"/>
        <w:rPr>
          <w:rFonts w:ascii="David" w:hAnsi="David" w:cs="David"/>
          <w:sz w:val="24"/>
          <w:szCs w:val="24"/>
        </w:rPr>
      </w:pPr>
      <w:r w:rsidRPr="009527E9">
        <w:rPr>
          <w:rFonts w:ascii="David" w:hAnsi="David" w:cs="David" w:hint="cs"/>
          <w:sz w:val="24"/>
          <w:szCs w:val="24"/>
          <w:rtl/>
        </w:rPr>
        <w:t xml:space="preserve">במכלול השיקולים נגזרים על הנאשם העונשים הבאים: </w:t>
      </w:r>
    </w:p>
    <w:p w14:paraId="541EB96A" w14:textId="77777777" w:rsidR="008557F3" w:rsidRPr="009527E9" w:rsidRDefault="008557F3" w:rsidP="008557F3">
      <w:pPr>
        <w:pStyle w:val="ListParagraph"/>
        <w:numPr>
          <w:ilvl w:val="0"/>
          <w:numId w:val="2"/>
        </w:numPr>
        <w:spacing w:before="120" w:after="120" w:line="360" w:lineRule="auto"/>
        <w:contextualSpacing w:val="0"/>
        <w:jc w:val="both"/>
        <w:rPr>
          <w:rFonts w:ascii="David" w:hAnsi="David" w:cs="David"/>
          <w:sz w:val="24"/>
          <w:szCs w:val="24"/>
        </w:rPr>
      </w:pPr>
      <w:r>
        <w:rPr>
          <w:rFonts w:ascii="David" w:hAnsi="David" w:cs="David" w:hint="cs"/>
          <w:sz w:val="24"/>
          <w:szCs w:val="24"/>
          <w:rtl/>
        </w:rPr>
        <w:t xml:space="preserve">26 </w:t>
      </w:r>
      <w:r w:rsidRPr="009527E9">
        <w:rPr>
          <w:rFonts w:ascii="David" w:hAnsi="David" w:cs="David" w:hint="cs"/>
          <w:sz w:val="24"/>
          <w:szCs w:val="24"/>
          <w:rtl/>
        </w:rPr>
        <w:t xml:space="preserve">חודשי מאסר בפועל, שיימנו מיום מעצרו בהליך זה. </w:t>
      </w:r>
    </w:p>
    <w:p w14:paraId="39BBE8A8" w14:textId="77777777" w:rsidR="008557F3" w:rsidRPr="009527E9" w:rsidRDefault="008557F3" w:rsidP="008557F3">
      <w:pPr>
        <w:pStyle w:val="ListParagraph"/>
        <w:numPr>
          <w:ilvl w:val="0"/>
          <w:numId w:val="2"/>
        </w:numPr>
        <w:spacing w:before="120" w:after="120" w:line="360" w:lineRule="auto"/>
        <w:contextualSpacing w:val="0"/>
        <w:jc w:val="both"/>
        <w:rPr>
          <w:rFonts w:ascii="David" w:hAnsi="David" w:cs="David"/>
          <w:sz w:val="24"/>
          <w:szCs w:val="24"/>
        </w:rPr>
      </w:pPr>
      <w:r w:rsidRPr="009527E9">
        <w:rPr>
          <w:rFonts w:ascii="David" w:hAnsi="David" w:cs="David" w:hint="cs"/>
          <w:sz w:val="24"/>
          <w:szCs w:val="24"/>
          <w:rtl/>
        </w:rPr>
        <w:t xml:space="preserve">24 חודשי מאסר, אותם ירצה הנאשם אם יעבור בתוך שלוש שנים מיום שחרורו ממאסר עבירה לפי </w:t>
      </w:r>
      <w:hyperlink r:id="rId44" w:history="1">
        <w:r w:rsidR="00457CBC" w:rsidRPr="00457CBC">
          <w:rPr>
            <w:rStyle w:val="Hyperlink"/>
            <w:rFonts w:ascii="David" w:hAnsi="David" w:cs="David" w:hint="eastAsia"/>
            <w:color w:val="0000FF"/>
            <w:sz w:val="24"/>
            <w:szCs w:val="24"/>
            <w:rtl/>
          </w:rPr>
          <w:t>סעיפים</w:t>
        </w:r>
        <w:r w:rsidR="00457CBC" w:rsidRPr="00457CBC">
          <w:rPr>
            <w:rStyle w:val="Hyperlink"/>
            <w:rFonts w:ascii="David" w:hAnsi="David" w:cs="David"/>
            <w:color w:val="0000FF"/>
            <w:sz w:val="24"/>
            <w:szCs w:val="24"/>
            <w:rtl/>
          </w:rPr>
          <w:t xml:space="preserve"> 144</w:t>
        </w:r>
      </w:hyperlink>
      <w:r w:rsidRPr="009527E9">
        <w:rPr>
          <w:rFonts w:ascii="David" w:hAnsi="David" w:cs="David" w:hint="cs"/>
          <w:sz w:val="24"/>
          <w:szCs w:val="24"/>
          <w:rtl/>
        </w:rPr>
        <w:t xml:space="preserve"> או </w:t>
      </w:r>
      <w:hyperlink r:id="rId45" w:history="1">
        <w:r w:rsidR="00457CBC" w:rsidRPr="00457CBC">
          <w:rPr>
            <w:rStyle w:val="Hyperlink"/>
            <w:rFonts w:ascii="David" w:hAnsi="David" w:cs="David"/>
            <w:color w:val="0000FF"/>
            <w:sz w:val="24"/>
            <w:szCs w:val="24"/>
            <w:rtl/>
          </w:rPr>
          <w:t>340א</w:t>
        </w:r>
      </w:hyperlink>
      <w:r w:rsidRPr="009527E9">
        <w:rPr>
          <w:rFonts w:ascii="David" w:hAnsi="David" w:cs="David" w:hint="cs"/>
          <w:sz w:val="24"/>
          <w:szCs w:val="24"/>
          <w:rtl/>
        </w:rPr>
        <w:t xml:space="preserve"> ל</w:t>
      </w:r>
      <w:hyperlink r:id="rId46" w:history="1">
        <w:r w:rsidR="005B77DA" w:rsidRPr="005B77DA">
          <w:rPr>
            <w:rFonts w:ascii="David" w:hAnsi="David" w:cs="David"/>
            <w:color w:val="0000FF"/>
            <w:sz w:val="24"/>
            <w:szCs w:val="24"/>
            <w:u w:val="single"/>
            <w:rtl/>
          </w:rPr>
          <w:t>חוק העונשין</w:t>
        </w:r>
      </w:hyperlink>
      <w:r w:rsidRPr="009527E9">
        <w:rPr>
          <w:rFonts w:ascii="David" w:hAnsi="David" w:cs="David" w:hint="cs"/>
          <w:sz w:val="24"/>
          <w:szCs w:val="24"/>
          <w:rtl/>
        </w:rPr>
        <w:t xml:space="preserve">. </w:t>
      </w:r>
    </w:p>
    <w:p w14:paraId="78D94401" w14:textId="77777777" w:rsidR="008557F3" w:rsidRPr="009527E9" w:rsidRDefault="005B77DA" w:rsidP="008557F3">
      <w:pPr>
        <w:spacing w:before="120" w:after="120" w:line="360" w:lineRule="auto"/>
        <w:jc w:val="both"/>
        <w:rPr>
          <w:rFonts w:ascii="David" w:hAnsi="David"/>
          <w:rtl/>
        </w:rPr>
      </w:pPr>
      <w:r w:rsidRPr="005B77DA">
        <w:rPr>
          <w:rFonts w:ascii="David" w:hAnsi="David"/>
          <w:color w:val="FFFFFF"/>
          <w:sz w:val="2"/>
          <w:szCs w:val="2"/>
          <w:rtl/>
        </w:rPr>
        <w:t>5129371</w:t>
      </w:r>
      <w:r w:rsidR="008557F3" w:rsidRPr="009527E9">
        <w:rPr>
          <w:rFonts w:ascii="David" w:hAnsi="David" w:hint="cs"/>
          <w:rtl/>
        </w:rPr>
        <w:t>זכות ערעור לבית המשפט העליון בתוך 45 ימים.</w:t>
      </w:r>
    </w:p>
    <w:p w14:paraId="4212C570" w14:textId="77777777" w:rsidR="008557F3" w:rsidRPr="005B77DA" w:rsidRDefault="005B77DA" w:rsidP="008557F3">
      <w:pPr>
        <w:rPr>
          <w:rFonts w:ascii="Arial" w:hAnsi="Arial"/>
          <w:b/>
          <w:bCs/>
          <w:color w:val="FFFFFF"/>
          <w:sz w:val="2"/>
          <w:szCs w:val="2"/>
          <w:rtl/>
        </w:rPr>
      </w:pPr>
      <w:r w:rsidRPr="005B77DA">
        <w:rPr>
          <w:rFonts w:ascii="Arial" w:hAnsi="Arial"/>
          <w:b/>
          <w:bCs/>
          <w:color w:val="FFFFFF"/>
          <w:sz w:val="2"/>
          <w:szCs w:val="2"/>
          <w:rtl/>
        </w:rPr>
        <w:t>54678313</w:t>
      </w:r>
    </w:p>
    <w:p w14:paraId="652D22E4" w14:textId="77777777" w:rsidR="008557F3" w:rsidRPr="009527E9" w:rsidRDefault="008557F3" w:rsidP="008557F3">
      <w:pPr>
        <w:rPr>
          <w:rFonts w:ascii="Arial" w:hAnsi="Arial"/>
          <w:b/>
          <w:bCs/>
          <w:sz w:val="26"/>
          <w:szCs w:val="26"/>
          <w:rtl/>
        </w:rPr>
      </w:pPr>
    </w:p>
    <w:p w14:paraId="0FA0706E" w14:textId="77777777" w:rsidR="008557F3" w:rsidRPr="009527E9" w:rsidRDefault="005B77DA" w:rsidP="008557F3">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ח' תשרי תשפ"ה, 10 אוקטובר 2024, במעמד הצדדים. </w:t>
      </w:r>
      <w:bookmarkEnd w:id="8"/>
      <w:r w:rsidR="008557F3" w:rsidRPr="009527E9">
        <w:rPr>
          <w:rFonts w:ascii="Arial" w:hAnsi="Arial"/>
          <w:b/>
          <w:bCs/>
          <w:sz w:val="26"/>
          <w:szCs w:val="26"/>
          <w:rtl/>
        </w:rPr>
        <w:tab/>
      </w:r>
      <w:r w:rsidR="008557F3" w:rsidRPr="009527E9">
        <w:rPr>
          <w:rFonts w:ascii="Arial" w:hAnsi="Arial"/>
          <w:b/>
          <w:bCs/>
          <w:sz w:val="26"/>
          <w:szCs w:val="26"/>
          <w:rtl/>
        </w:rPr>
        <w:tab/>
      </w:r>
      <w:r w:rsidR="008557F3" w:rsidRPr="009527E9">
        <w:rPr>
          <w:rFonts w:ascii="Arial" w:hAnsi="Arial"/>
          <w:b/>
          <w:bCs/>
          <w:sz w:val="26"/>
          <w:szCs w:val="26"/>
          <w:rtl/>
        </w:rPr>
        <w:tab/>
      </w:r>
      <w:r w:rsidR="008557F3" w:rsidRPr="009527E9">
        <w:rPr>
          <w:rFonts w:ascii="Arial" w:hAnsi="Arial"/>
          <w:b/>
          <w:bCs/>
          <w:sz w:val="26"/>
          <w:szCs w:val="26"/>
          <w:rtl/>
        </w:rPr>
        <w:tab/>
      </w:r>
      <w:r w:rsidR="008557F3" w:rsidRPr="009527E9">
        <w:rPr>
          <w:rFonts w:ascii="Arial" w:hAnsi="Arial"/>
          <w:b/>
          <w:bCs/>
          <w:sz w:val="26"/>
          <w:szCs w:val="26"/>
          <w:rtl/>
        </w:rPr>
        <w:tab/>
      </w:r>
      <w:r w:rsidR="008557F3" w:rsidRPr="009527E9">
        <w:rPr>
          <w:rFonts w:ascii="Arial" w:hAnsi="Arial"/>
          <w:b/>
          <w:bCs/>
          <w:sz w:val="26"/>
          <w:szCs w:val="26"/>
          <w:rtl/>
        </w:rPr>
        <w:tab/>
      </w:r>
      <w:r w:rsidR="008557F3" w:rsidRPr="009527E9">
        <w:rPr>
          <w:rFonts w:ascii="Arial" w:hAnsi="Arial"/>
          <w:b/>
          <w:bCs/>
          <w:sz w:val="26"/>
          <w:szCs w:val="26"/>
          <w:rtl/>
        </w:rPr>
        <w:tab/>
      </w:r>
      <w:r w:rsidR="008557F3" w:rsidRPr="009527E9">
        <w:rPr>
          <w:rFonts w:ascii="Arial" w:hAnsi="Arial" w:hint="cs"/>
          <w:b/>
          <w:bCs/>
          <w:sz w:val="26"/>
          <w:szCs w:val="26"/>
          <w:rtl/>
        </w:rPr>
        <w:t xml:space="preserve">         </w:t>
      </w:r>
    </w:p>
    <w:p w14:paraId="1905D925" w14:textId="77777777" w:rsidR="008557F3" w:rsidRPr="009527E9" w:rsidRDefault="008557F3" w:rsidP="005B77DA">
      <w:pPr>
        <w:jc w:val="center"/>
      </w:pPr>
      <w:r w:rsidRPr="009527E9">
        <w:rPr>
          <w:rFonts w:ascii="Arial" w:hAnsi="Arial"/>
          <w:b/>
          <w:bCs/>
          <w:sz w:val="26"/>
          <w:szCs w:val="26"/>
          <w:rtl/>
        </w:rPr>
        <w:t xml:space="preserve">   </w:t>
      </w:r>
      <w:r w:rsidRPr="009527E9">
        <w:rPr>
          <w:rFonts w:ascii="Arial" w:hAnsi="Arial"/>
          <w:b/>
          <w:bCs/>
          <w:sz w:val="26"/>
          <w:szCs w:val="26"/>
          <w:rtl/>
        </w:rPr>
        <w:tab/>
      </w:r>
      <w:r w:rsidRPr="009527E9">
        <w:rPr>
          <w:rFonts w:ascii="Arial" w:hAnsi="Arial"/>
          <w:b/>
          <w:bCs/>
          <w:sz w:val="26"/>
          <w:szCs w:val="26"/>
          <w:rtl/>
        </w:rPr>
        <w:tab/>
      </w:r>
      <w:r w:rsidRPr="009527E9">
        <w:rPr>
          <w:rFonts w:ascii="Arial" w:hAnsi="Arial"/>
          <w:b/>
          <w:bCs/>
          <w:sz w:val="26"/>
          <w:szCs w:val="26"/>
          <w:rtl/>
        </w:rPr>
        <w:tab/>
      </w:r>
      <w:r w:rsidRPr="009527E9">
        <w:rPr>
          <w:rFonts w:ascii="Arial" w:hAnsi="Arial"/>
          <w:b/>
          <w:bCs/>
          <w:sz w:val="26"/>
          <w:szCs w:val="26"/>
          <w:rtl/>
        </w:rPr>
        <w:tab/>
      </w:r>
      <w:r w:rsidRPr="009527E9">
        <w:rPr>
          <w:rFonts w:ascii="Arial" w:hAnsi="Arial"/>
          <w:b/>
          <w:bCs/>
          <w:sz w:val="26"/>
          <w:szCs w:val="26"/>
          <w:rtl/>
        </w:rPr>
        <w:tab/>
      </w:r>
    </w:p>
    <w:p w14:paraId="1068283A" w14:textId="77777777" w:rsidR="008557F3" w:rsidRPr="00457CBC" w:rsidRDefault="00457CBC" w:rsidP="008557F3">
      <w:pPr>
        <w:jc w:val="center"/>
        <w:rPr>
          <w:rFonts w:ascii="Arial" w:hAnsi="Arial"/>
          <w:b/>
          <w:bCs/>
          <w:color w:val="FFFFFF"/>
          <w:sz w:val="2"/>
          <w:szCs w:val="2"/>
          <w:rtl/>
        </w:rPr>
      </w:pPr>
      <w:r w:rsidRPr="00457CBC">
        <w:rPr>
          <w:rFonts w:ascii="Arial" w:hAnsi="Arial"/>
          <w:b/>
          <w:bCs/>
          <w:color w:val="FFFFFF"/>
          <w:sz w:val="2"/>
          <w:szCs w:val="2"/>
          <w:rtl/>
        </w:rPr>
        <w:t>5129371</w:t>
      </w:r>
    </w:p>
    <w:p w14:paraId="06DBED00" w14:textId="77777777" w:rsidR="0075645C" w:rsidRPr="00457CBC" w:rsidRDefault="00457CBC" w:rsidP="005B77DA">
      <w:pPr>
        <w:keepNext/>
        <w:rPr>
          <w:rFonts w:ascii="David" w:hAnsi="David"/>
          <w:color w:val="FFFFFF"/>
          <w:sz w:val="2"/>
          <w:szCs w:val="2"/>
          <w:rtl/>
        </w:rPr>
      </w:pPr>
      <w:r w:rsidRPr="00457CBC">
        <w:rPr>
          <w:rFonts w:ascii="David" w:hAnsi="David"/>
          <w:color w:val="FFFFFF"/>
          <w:sz w:val="2"/>
          <w:szCs w:val="2"/>
          <w:rtl/>
        </w:rPr>
        <w:t>54678313</w:t>
      </w:r>
    </w:p>
    <w:p w14:paraId="3E1FC7C1" w14:textId="77777777" w:rsidR="005B77DA" w:rsidRDefault="005B77DA" w:rsidP="005B77DA">
      <w:pPr>
        <w:rPr>
          <w:rtl/>
        </w:rPr>
      </w:pPr>
    </w:p>
    <w:p w14:paraId="643F1E23" w14:textId="77777777" w:rsidR="005B77DA" w:rsidRDefault="005B77DA" w:rsidP="005B77DA">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p w14:paraId="64741B8D" w14:textId="77777777" w:rsidR="00457CBC" w:rsidRPr="00457CBC" w:rsidRDefault="00457CBC" w:rsidP="00457CBC">
      <w:pPr>
        <w:keepNext/>
        <w:rPr>
          <w:rFonts w:ascii="David" w:hAnsi="David"/>
          <w:color w:val="000000"/>
          <w:sz w:val="22"/>
          <w:szCs w:val="22"/>
          <w:rtl/>
        </w:rPr>
      </w:pPr>
    </w:p>
    <w:p w14:paraId="5551CD35" w14:textId="77777777" w:rsidR="00457CBC" w:rsidRPr="00457CBC" w:rsidRDefault="00457CBC" w:rsidP="00457CBC">
      <w:pPr>
        <w:keepNext/>
        <w:rPr>
          <w:rFonts w:ascii="David" w:hAnsi="David"/>
          <w:color w:val="000000"/>
          <w:sz w:val="22"/>
          <w:szCs w:val="22"/>
          <w:rtl/>
        </w:rPr>
      </w:pPr>
      <w:r w:rsidRPr="00457CBC">
        <w:rPr>
          <w:rFonts w:ascii="David" w:hAnsi="David"/>
          <w:color w:val="000000"/>
          <w:sz w:val="22"/>
          <w:szCs w:val="22"/>
          <w:rtl/>
        </w:rPr>
        <w:t>אוהד גורדון 54678313-/</w:t>
      </w:r>
    </w:p>
    <w:p w14:paraId="3E3A540E" w14:textId="77777777" w:rsidR="005B77DA" w:rsidRPr="005B77DA" w:rsidRDefault="00457CBC" w:rsidP="00457CBC">
      <w:pPr>
        <w:rPr>
          <w:color w:val="0000FF"/>
          <w:u w:val="single"/>
        </w:rPr>
      </w:pPr>
      <w:r w:rsidRPr="00457CBC">
        <w:rPr>
          <w:color w:val="000000"/>
          <w:u w:val="single"/>
          <w:rtl/>
        </w:rPr>
        <w:t>נוסח מסמך זה כפוף לשינויי ניסוח ועריכה</w:t>
      </w:r>
    </w:p>
    <w:sectPr w:rsidR="005B77DA" w:rsidRPr="005B77DA" w:rsidSect="00457CBC">
      <w:headerReference w:type="even" r:id="rId48"/>
      <w:headerReference w:type="default" r:id="rId49"/>
      <w:footerReference w:type="even" r:id="rId50"/>
      <w:footerReference w:type="default" r:id="rId5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930F7C" w14:textId="77777777" w:rsidR="000C1BA0" w:rsidRDefault="000C1BA0" w:rsidP="00D10F00">
      <w:r>
        <w:separator/>
      </w:r>
    </w:p>
  </w:endnote>
  <w:endnote w:type="continuationSeparator" w:id="0">
    <w:p w14:paraId="13C70A89" w14:textId="77777777" w:rsidR="000C1BA0" w:rsidRDefault="000C1BA0" w:rsidP="00D10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F20F7" w14:textId="77777777" w:rsidR="00457CBC" w:rsidRDefault="00457CBC" w:rsidP="00457CB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3</w:t>
    </w:r>
    <w:r>
      <w:rPr>
        <w:rFonts w:ascii="FrankRuehl" w:hAnsi="FrankRuehl" w:cs="FrankRuehl"/>
        <w:rtl/>
      </w:rPr>
      <w:fldChar w:fldCharType="end"/>
    </w:r>
  </w:p>
  <w:p w14:paraId="5400837D" w14:textId="77777777" w:rsidR="000C1BA0" w:rsidRPr="00457CBC" w:rsidRDefault="00457CBC" w:rsidP="00457CBC">
    <w:pPr>
      <w:pStyle w:val="a5"/>
      <w:pBdr>
        <w:top w:val="single" w:sz="4" w:space="1" w:color="auto"/>
        <w:between w:val="single" w:sz="4" w:space="0" w:color="auto"/>
      </w:pBdr>
      <w:spacing w:after="60"/>
      <w:jc w:val="center"/>
      <w:rPr>
        <w:rFonts w:ascii="FrankRuehl" w:hAnsi="FrankRuehl" w:cs="FrankRuehl"/>
        <w:color w:val="000000"/>
      </w:rPr>
    </w:pPr>
    <w:r w:rsidRPr="00457CB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949BDF" w14:textId="77777777" w:rsidR="00457CBC" w:rsidRDefault="00457CBC" w:rsidP="00457CB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8291E">
      <w:rPr>
        <w:rFonts w:ascii="FrankRuehl" w:hAnsi="FrankRuehl" w:cs="FrankRuehl"/>
        <w:noProof/>
        <w:rtl/>
      </w:rPr>
      <w:t>1</w:t>
    </w:r>
    <w:r>
      <w:rPr>
        <w:rFonts w:ascii="FrankRuehl" w:hAnsi="FrankRuehl" w:cs="FrankRuehl"/>
        <w:rtl/>
      </w:rPr>
      <w:fldChar w:fldCharType="end"/>
    </w:r>
  </w:p>
  <w:p w14:paraId="382C7F79" w14:textId="77777777" w:rsidR="000C1BA0" w:rsidRPr="00457CBC" w:rsidRDefault="00457CBC" w:rsidP="00457CBC">
    <w:pPr>
      <w:pStyle w:val="a5"/>
      <w:pBdr>
        <w:top w:val="single" w:sz="4" w:space="1" w:color="auto"/>
        <w:between w:val="single" w:sz="4" w:space="0" w:color="auto"/>
      </w:pBdr>
      <w:spacing w:after="60"/>
      <w:jc w:val="center"/>
      <w:rPr>
        <w:rFonts w:ascii="FrankRuehl" w:hAnsi="FrankRuehl" w:cs="FrankRuehl"/>
        <w:color w:val="000000"/>
      </w:rPr>
    </w:pPr>
    <w:r w:rsidRPr="00457CBC">
      <w:rPr>
        <w:rFonts w:ascii="FrankRuehl" w:hAnsi="FrankRuehl" w:cs="FrankRuehl"/>
        <w:color w:val="000000"/>
      </w:rPr>
      <w:pict w14:anchorId="562737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57D66E" w14:textId="77777777" w:rsidR="000C1BA0" w:rsidRDefault="000C1BA0" w:rsidP="00D10F00">
      <w:r>
        <w:separator/>
      </w:r>
    </w:p>
  </w:footnote>
  <w:footnote w:type="continuationSeparator" w:id="0">
    <w:p w14:paraId="321EBFE4" w14:textId="77777777" w:rsidR="000C1BA0" w:rsidRDefault="000C1BA0" w:rsidP="00D10F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6B78E1" w14:textId="77777777" w:rsidR="005B77DA" w:rsidRPr="00457CBC" w:rsidRDefault="00457CBC" w:rsidP="00457CB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1580-11-23</w:t>
    </w:r>
    <w:r>
      <w:rPr>
        <w:rFonts w:ascii="David" w:hAnsi="David"/>
        <w:color w:val="000000"/>
        <w:sz w:val="22"/>
        <w:szCs w:val="22"/>
        <w:rtl/>
      </w:rPr>
      <w:tab/>
      <w:t xml:space="preserve"> מדינת ישראל נ' סאמר דאהר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DA80F2" w14:textId="77777777" w:rsidR="005B77DA" w:rsidRPr="00457CBC" w:rsidRDefault="00457CBC" w:rsidP="00457CB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1580-11-23</w:t>
    </w:r>
    <w:r>
      <w:rPr>
        <w:rFonts w:ascii="David" w:hAnsi="David"/>
        <w:color w:val="000000"/>
        <w:sz w:val="22"/>
        <w:szCs w:val="22"/>
        <w:rtl/>
      </w:rPr>
      <w:tab/>
      <w:t xml:space="preserve"> מדינת ישראל נ' סאמר דאהר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8234C0"/>
    <w:multiLevelType w:val="hybridMultilevel"/>
    <w:tmpl w:val="F6B665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8D46B2C"/>
    <w:multiLevelType w:val="hybridMultilevel"/>
    <w:tmpl w:val="078E255E"/>
    <w:lvl w:ilvl="0" w:tplc="F07E944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3993567">
    <w:abstractNumId w:val="0"/>
  </w:num>
  <w:num w:numId="2" w16cid:durableId="6644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557F3"/>
    <w:rsid w:val="000C1BA0"/>
    <w:rsid w:val="0038291E"/>
    <w:rsid w:val="00457CBC"/>
    <w:rsid w:val="005B77DA"/>
    <w:rsid w:val="0075645C"/>
    <w:rsid w:val="008557F3"/>
    <w:rsid w:val="009A4E4C"/>
    <w:rsid w:val="00AE2E4B"/>
    <w:rsid w:val="00D10F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6B9D747"/>
  <w15:chartTrackingRefBased/>
  <w15:docId w15:val="{692A71DB-B78D-4D7A-8C95-AF73D4C75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557F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557F3"/>
    <w:pPr>
      <w:tabs>
        <w:tab w:val="center" w:pos="4153"/>
        <w:tab w:val="right" w:pos="8306"/>
      </w:tabs>
    </w:pPr>
  </w:style>
  <w:style w:type="character" w:customStyle="1" w:styleId="a4">
    <w:name w:val="כותרת עליונה תו"/>
    <w:link w:val="a3"/>
    <w:rsid w:val="008557F3"/>
    <w:rPr>
      <w:rFonts w:ascii="Times New Roman" w:eastAsia="Times New Roman" w:hAnsi="Times New Roman" w:cs="David"/>
      <w:sz w:val="24"/>
      <w:szCs w:val="24"/>
    </w:rPr>
  </w:style>
  <w:style w:type="paragraph" w:styleId="a5">
    <w:name w:val="footer"/>
    <w:basedOn w:val="a"/>
    <w:link w:val="a6"/>
    <w:rsid w:val="008557F3"/>
    <w:pPr>
      <w:tabs>
        <w:tab w:val="center" w:pos="4153"/>
        <w:tab w:val="right" w:pos="8306"/>
      </w:tabs>
    </w:pPr>
  </w:style>
  <w:style w:type="character" w:customStyle="1" w:styleId="a6">
    <w:name w:val="כותרת תחתונה תו"/>
    <w:link w:val="a5"/>
    <w:rsid w:val="008557F3"/>
    <w:rPr>
      <w:rFonts w:ascii="Times New Roman" w:eastAsia="Times New Roman" w:hAnsi="Times New Roman" w:cs="David"/>
      <w:sz w:val="24"/>
      <w:szCs w:val="24"/>
    </w:rPr>
  </w:style>
  <w:style w:type="table" w:styleId="a7">
    <w:name w:val="Table Grid"/>
    <w:basedOn w:val="a1"/>
    <w:rsid w:val="008557F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557F3"/>
  </w:style>
  <w:style w:type="paragraph" w:customStyle="1" w:styleId="ListParagraph">
    <w:name w:val="List Paragraph"/>
    <w:basedOn w:val="a"/>
    <w:qFormat/>
    <w:rsid w:val="008557F3"/>
    <w:pPr>
      <w:spacing w:after="160" w:line="259" w:lineRule="auto"/>
      <w:ind w:left="720"/>
      <w:contextualSpacing/>
    </w:pPr>
    <w:rPr>
      <w:rFonts w:ascii="Calibri" w:eastAsia="Calibri" w:hAnsi="Calibri" w:cs="Arial"/>
      <w:sz w:val="22"/>
      <w:szCs w:val="22"/>
    </w:rPr>
  </w:style>
  <w:style w:type="character" w:styleId="Hyperlink">
    <w:name w:val="Hyperlink"/>
    <w:rsid w:val="008557F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0a.a"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27915710" TargetMode="External"/><Relationship Id="rId21" Type="http://schemas.openxmlformats.org/officeDocument/2006/relationships/hyperlink" Target="http://www.nevo.co.il/case/27841905" TargetMode="External"/><Relationship Id="rId34" Type="http://schemas.openxmlformats.org/officeDocument/2006/relationships/hyperlink" Target="https://www.nevo.co.il/psika_html/elyon/22067020-N04.htm" TargetMode="External"/><Relationship Id="rId42" Type="http://schemas.openxmlformats.org/officeDocument/2006/relationships/hyperlink" Target="https://www.nevo.co.il/psika_html/mechozi/ME-21-10-18557-340.htm"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40j.b.1" TargetMode="External"/><Relationship Id="rId37" Type="http://schemas.openxmlformats.org/officeDocument/2006/relationships/hyperlink" Target="http://www.nevo.co.il/law/70301/340a.b.1" TargetMode="External"/><Relationship Id="rId40" Type="http://schemas.openxmlformats.org/officeDocument/2006/relationships/hyperlink" Target="http://www.nevo.co.il/case/28620717" TargetMode="External"/><Relationship Id="rId45" Type="http://schemas.openxmlformats.org/officeDocument/2006/relationships/hyperlink" Target="http://www.nevo.co.il/law/70301/340a"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70301/144" TargetMode="External"/><Relationship Id="rId19" Type="http://schemas.openxmlformats.org/officeDocument/2006/relationships/hyperlink" Target="http://www.nevo.co.il/case/13093721" TargetMode="External"/><Relationship Id="rId31" Type="http://schemas.openxmlformats.org/officeDocument/2006/relationships/hyperlink" Target="http://www.nevo.co.il/law/70301/40j.d" TargetMode="External"/><Relationship Id="rId44" Type="http://schemas.openxmlformats.org/officeDocument/2006/relationships/hyperlink" Target="http://www.nevo.co.il/law/70301/144"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40j.d" TargetMode="External"/><Relationship Id="rId14" Type="http://schemas.openxmlformats.org/officeDocument/2006/relationships/hyperlink" Target="http://www.nevo.co.il/law/70301/340a.b.1" TargetMode="External"/><Relationship Id="rId22" Type="http://schemas.openxmlformats.org/officeDocument/2006/relationships/hyperlink" Target="http://www.nevo.co.il/law/70301" TargetMode="External"/><Relationship Id="rId27" Type="http://schemas.openxmlformats.org/officeDocument/2006/relationships/hyperlink" Target="https://www.nevo.co.il/psika_html/elyon/21001470-F03.htm" TargetMode="External"/><Relationship Id="rId30" Type="http://schemas.openxmlformats.org/officeDocument/2006/relationships/hyperlink" Target="http://www.nevo.co.il/law/70301/340a.a" TargetMode="External"/><Relationship Id="rId35" Type="http://schemas.openxmlformats.org/officeDocument/2006/relationships/hyperlink" Target="http://www.nevo.co.il/law/70301/144.a" TargetMode="External"/><Relationship Id="rId43" Type="http://schemas.openxmlformats.org/officeDocument/2006/relationships/hyperlink" Target="https://www.nevo.co.il/psika_html/mechozi/ME-20-11-67454-625.htm" TargetMode="External"/><Relationship Id="rId48" Type="http://schemas.openxmlformats.org/officeDocument/2006/relationships/header" Target="header1.xml"/><Relationship Id="rId8" Type="http://schemas.openxmlformats.org/officeDocument/2006/relationships/hyperlink" Target="http://www.nevo.co.il/law/70301/40j.b.1"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340a" TargetMode="External"/><Relationship Id="rId17" Type="http://schemas.openxmlformats.org/officeDocument/2006/relationships/hyperlink" Target="http://www.nevo.co.il/law/70301/340a.b.1" TargetMode="External"/><Relationship Id="rId25" Type="http://schemas.openxmlformats.org/officeDocument/2006/relationships/hyperlink" Target="http://www.nevo.co.il/case/28513828"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28883087" TargetMode="External"/><Relationship Id="rId46" Type="http://schemas.openxmlformats.org/officeDocument/2006/relationships/hyperlink" Target="http://www.nevo.co.il/law/70301" TargetMode="External"/><Relationship Id="rId20" Type="http://schemas.openxmlformats.org/officeDocument/2006/relationships/hyperlink" Target="http://www.nevo.co.il/case/29181047" TargetMode="External"/><Relationship Id="rId41" Type="http://schemas.openxmlformats.org/officeDocument/2006/relationships/hyperlink" Target="https://www.nevo.co.il/psika_html/elyon/23026020-E03.ht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case/28895818" TargetMode="External"/><Relationship Id="rId28" Type="http://schemas.openxmlformats.org/officeDocument/2006/relationships/hyperlink" Target="http://www.nevo.co.il/law/70301/340a.b.1" TargetMode="External"/><Relationship Id="rId36" Type="http://schemas.openxmlformats.org/officeDocument/2006/relationships/hyperlink" Target="http://www.nevo.co.il/law/70301"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3232</Words>
  <Characters>16162</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19356</CharactersWithSpaces>
  <SharedDoc>false</SharedDoc>
  <HLinks>
    <vt:vector size="246" baseType="variant">
      <vt:variant>
        <vt:i4>393283</vt:i4>
      </vt:variant>
      <vt:variant>
        <vt:i4>120</vt:i4>
      </vt:variant>
      <vt:variant>
        <vt:i4>0</vt:i4>
      </vt:variant>
      <vt:variant>
        <vt:i4>5</vt:i4>
      </vt:variant>
      <vt:variant>
        <vt:lpwstr>http://www.nevo.co.il/advertisements/nevo-100.doc</vt:lpwstr>
      </vt:variant>
      <vt:variant>
        <vt:lpwstr/>
      </vt:variant>
      <vt:variant>
        <vt:i4>7995492</vt:i4>
      </vt:variant>
      <vt:variant>
        <vt:i4>117</vt:i4>
      </vt:variant>
      <vt:variant>
        <vt:i4>0</vt:i4>
      </vt:variant>
      <vt:variant>
        <vt:i4>5</vt:i4>
      </vt:variant>
      <vt:variant>
        <vt:lpwstr>http://www.nevo.co.il/law/70301</vt:lpwstr>
      </vt:variant>
      <vt:variant>
        <vt:lpwstr/>
      </vt:variant>
      <vt:variant>
        <vt:i4>86</vt:i4>
      </vt:variant>
      <vt:variant>
        <vt:i4>114</vt:i4>
      </vt:variant>
      <vt:variant>
        <vt:i4>0</vt:i4>
      </vt:variant>
      <vt:variant>
        <vt:i4>5</vt:i4>
      </vt:variant>
      <vt:variant>
        <vt:lpwstr>http://www.nevo.co.il/law/70301/340a</vt:lpwstr>
      </vt:variant>
      <vt:variant>
        <vt:lpwstr/>
      </vt:variant>
      <vt:variant>
        <vt:i4>6357092</vt:i4>
      </vt:variant>
      <vt:variant>
        <vt:i4>111</vt:i4>
      </vt:variant>
      <vt:variant>
        <vt:i4>0</vt:i4>
      </vt:variant>
      <vt:variant>
        <vt:i4>5</vt:i4>
      </vt:variant>
      <vt:variant>
        <vt:lpwstr>http://www.nevo.co.il/law/70301/144</vt:lpwstr>
      </vt:variant>
      <vt:variant>
        <vt:lpwstr/>
      </vt:variant>
      <vt:variant>
        <vt:i4>1179683</vt:i4>
      </vt:variant>
      <vt:variant>
        <vt:i4>108</vt:i4>
      </vt:variant>
      <vt:variant>
        <vt:i4>0</vt:i4>
      </vt:variant>
      <vt:variant>
        <vt:i4>5</vt:i4>
      </vt:variant>
      <vt:variant>
        <vt:lpwstr>https://www.nevo.co.il/psika_html/mechozi/ME-20-11-67454-625.htm</vt:lpwstr>
      </vt:variant>
      <vt:variant>
        <vt:lpwstr/>
      </vt:variant>
      <vt:variant>
        <vt:i4>1441835</vt:i4>
      </vt:variant>
      <vt:variant>
        <vt:i4>105</vt:i4>
      </vt:variant>
      <vt:variant>
        <vt:i4>0</vt:i4>
      </vt:variant>
      <vt:variant>
        <vt:i4>5</vt:i4>
      </vt:variant>
      <vt:variant>
        <vt:lpwstr>https://www.nevo.co.il/psika_html/mechozi/ME-21-10-18557-340.htm</vt:lpwstr>
      </vt:variant>
      <vt:variant>
        <vt:lpwstr/>
      </vt:variant>
      <vt:variant>
        <vt:i4>5177395</vt:i4>
      </vt:variant>
      <vt:variant>
        <vt:i4>102</vt:i4>
      </vt:variant>
      <vt:variant>
        <vt:i4>0</vt:i4>
      </vt:variant>
      <vt:variant>
        <vt:i4>5</vt:i4>
      </vt:variant>
      <vt:variant>
        <vt:lpwstr>https://www.nevo.co.il/psika_html/elyon/23026020-E03.htm</vt:lpwstr>
      </vt:variant>
      <vt:variant>
        <vt:lpwstr/>
      </vt:variant>
      <vt:variant>
        <vt:i4>3473529</vt:i4>
      </vt:variant>
      <vt:variant>
        <vt:i4>99</vt:i4>
      </vt:variant>
      <vt:variant>
        <vt:i4>0</vt:i4>
      </vt:variant>
      <vt:variant>
        <vt:i4>5</vt:i4>
      </vt:variant>
      <vt:variant>
        <vt:lpwstr>http://www.nevo.co.il/case/28620717</vt:lpwstr>
      </vt:variant>
      <vt:variant>
        <vt:lpwstr/>
      </vt:variant>
      <vt:variant>
        <vt:i4>4128885</vt:i4>
      </vt:variant>
      <vt:variant>
        <vt:i4>96</vt:i4>
      </vt:variant>
      <vt:variant>
        <vt:i4>0</vt:i4>
      </vt:variant>
      <vt:variant>
        <vt:i4>5</vt:i4>
      </vt:variant>
      <vt:variant>
        <vt:lpwstr>http://www.nevo.co.il/case/27915710</vt:lpwstr>
      </vt:variant>
      <vt:variant>
        <vt:lpwstr/>
      </vt:variant>
      <vt:variant>
        <vt:i4>3211380</vt:i4>
      </vt:variant>
      <vt:variant>
        <vt:i4>93</vt:i4>
      </vt:variant>
      <vt:variant>
        <vt:i4>0</vt:i4>
      </vt:variant>
      <vt:variant>
        <vt:i4>5</vt:i4>
      </vt:variant>
      <vt:variant>
        <vt:lpwstr>http://www.nevo.co.il/case/28883087</vt:lpwstr>
      </vt:variant>
      <vt:variant>
        <vt:lpwstr/>
      </vt:variant>
      <vt:variant>
        <vt:i4>5439574</vt:i4>
      </vt:variant>
      <vt:variant>
        <vt:i4>90</vt:i4>
      </vt:variant>
      <vt:variant>
        <vt:i4>0</vt:i4>
      </vt:variant>
      <vt:variant>
        <vt:i4>5</vt:i4>
      </vt:variant>
      <vt:variant>
        <vt:lpwstr>http://www.nevo.co.il/law/70301/340a.b.1</vt:lpwstr>
      </vt:variant>
      <vt:variant>
        <vt:lpwstr/>
      </vt:variant>
      <vt:variant>
        <vt:i4>7995492</vt:i4>
      </vt:variant>
      <vt:variant>
        <vt:i4>87</vt:i4>
      </vt:variant>
      <vt:variant>
        <vt:i4>0</vt:i4>
      </vt:variant>
      <vt:variant>
        <vt:i4>5</vt:i4>
      </vt:variant>
      <vt:variant>
        <vt:lpwstr>http://www.nevo.co.il/law/70301</vt:lpwstr>
      </vt:variant>
      <vt:variant>
        <vt:lpwstr/>
      </vt:variant>
      <vt:variant>
        <vt:i4>5177424</vt:i4>
      </vt:variant>
      <vt:variant>
        <vt:i4>84</vt:i4>
      </vt:variant>
      <vt:variant>
        <vt:i4>0</vt:i4>
      </vt:variant>
      <vt:variant>
        <vt:i4>5</vt:i4>
      </vt:variant>
      <vt:variant>
        <vt:lpwstr>http://www.nevo.co.il/law/70301/144.a</vt:lpwstr>
      </vt:variant>
      <vt:variant>
        <vt:lpwstr/>
      </vt:variant>
      <vt:variant>
        <vt:i4>4587570</vt:i4>
      </vt:variant>
      <vt:variant>
        <vt:i4>81</vt:i4>
      </vt:variant>
      <vt:variant>
        <vt:i4>0</vt:i4>
      </vt:variant>
      <vt:variant>
        <vt:i4>5</vt:i4>
      </vt:variant>
      <vt:variant>
        <vt:lpwstr>https://www.nevo.co.il/psika_html/elyon/22067020-N04.htm</vt:lpwstr>
      </vt:variant>
      <vt:variant>
        <vt:lpwstr/>
      </vt:variant>
      <vt:variant>
        <vt:i4>7995492</vt:i4>
      </vt:variant>
      <vt:variant>
        <vt:i4>78</vt:i4>
      </vt:variant>
      <vt:variant>
        <vt:i4>0</vt:i4>
      </vt:variant>
      <vt:variant>
        <vt:i4>5</vt:i4>
      </vt:variant>
      <vt:variant>
        <vt:lpwstr>http://www.nevo.co.il/law/70301</vt:lpwstr>
      </vt:variant>
      <vt:variant>
        <vt:lpwstr/>
      </vt:variant>
      <vt:variant>
        <vt:i4>6619241</vt:i4>
      </vt:variant>
      <vt:variant>
        <vt:i4>75</vt:i4>
      </vt:variant>
      <vt:variant>
        <vt:i4>0</vt:i4>
      </vt:variant>
      <vt:variant>
        <vt:i4>5</vt:i4>
      </vt:variant>
      <vt:variant>
        <vt:lpwstr>http://www.nevo.co.il/law/70301/40j.b.1</vt:lpwstr>
      </vt:variant>
      <vt:variant>
        <vt:lpwstr/>
      </vt:variant>
      <vt:variant>
        <vt:i4>4915211</vt:i4>
      </vt:variant>
      <vt:variant>
        <vt:i4>72</vt:i4>
      </vt:variant>
      <vt:variant>
        <vt:i4>0</vt:i4>
      </vt:variant>
      <vt:variant>
        <vt:i4>5</vt:i4>
      </vt:variant>
      <vt:variant>
        <vt:lpwstr>http://www.nevo.co.il/law/70301/40j.d</vt:lpwstr>
      </vt:variant>
      <vt:variant>
        <vt:lpwstr/>
      </vt:variant>
      <vt:variant>
        <vt:i4>6357112</vt:i4>
      </vt:variant>
      <vt:variant>
        <vt:i4>69</vt:i4>
      </vt:variant>
      <vt:variant>
        <vt:i4>0</vt:i4>
      </vt:variant>
      <vt:variant>
        <vt:i4>5</vt:i4>
      </vt:variant>
      <vt:variant>
        <vt:lpwstr>http://www.nevo.co.il/law/70301/340a.a</vt:lpwstr>
      </vt:variant>
      <vt:variant>
        <vt:lpwstr/>
      </vt:variant>
      <vt:variant>
        <vt:i4>7995492</vt:i4>
      </vt:variant>
      <vt:variant>
        <vt:i4>66</vt:i4>
      </vt:variant>
      <vt:variant>
        <vt:i4>0</vt:i4>
      </vt:variant>
      <vt:variant>
        <vt:i4>5</vt:i4>
      </vt:variant>
      <vt:variant>
        <vt:lpwstr>http://www.nevo.co.il/law/70301</vt:lpwstr>
      </vt:variant>
      <vt:variant>
        <vt:lpwstr/>
      </vt:variant>
      <vt:variant>
        <vt:i4>5439574</vt:i4>
      </vt:variant>
      <vt:variant>
        <vt:i4>63</vt:i4>
      </vt:variant>
      <vt:variant>
        <vt:i4>0</vt:i4>
      </vt:variant>
      <vt:variant>
        <vt:i4>5</vt:i4>
      </vt:variant>
      <vt:variant>
        <vt:lpwstr>http://www.nevo.co.il/law/70301/340a.b.1</vt:lpwstr>
      </vt:variant>
      <vt:variant>
        <vt:lpwstr/>
      </vt:variant>
      <vt:variant>
        <vt:i4>4718641</vt:i4>
      </vt:variant>
      <vt:variant>
        <vt:i4>60</vt:i4>
      </vt:variant>
      <vt:variant>
        <vt:i4>0</vt:i4>
      </vt:variant>
      <vt:variant>
        <vt:i4>5</vt:i4>
      </vt:variant>
      <vt:variant>
        <vt:lpwstr>https://www.nevo.co.il/psika_html/elyon/21001470-F03.htm</vt:lpwstr>
      </vt:variant>
      <vt:variant>
        <vt:lpwstr/>
      </vt:variant>
      <vt:variant>
        <vt:i4>7995492</vt:i4>
      </vt:variant>
      <vt:variant>
        <vt:i4>57</vt:i4>
      </vt:variant>
      <vt:variant>
        <vt:i4>0</vt:i4>
      </vt:variant>
      <vt:variant>
        <vt:i4>5</vt:i4>
      </vt:variant>
      <vt:variant>
        <vt:lpwstr>http://www.nevo.co.il/law/70301</vt:lpwstr>
      </vt:variant>
      <vt:variant>
        <vt:lpwstr/>
      </vt:variant>
      <vt:variant>
        <vt:i4>3539061</vt:i4>
      </vt:variant>
      <vt:variant>
        <vt:i4>54</vt:i4>
      </vt:variant>
      <vt:variant>
        <vt:i4>0</vt:i4>
      </vt:variant>
      <vt:variant>
        <vt:i4>5</vt:i4>
      </vt:variant>
      <vt:variant>
        <vt:lpwstr>http://www.nevo.co.il/case/28513828</vt:lpwstr>
      </vt:variant>
      <vt:variant>
        <vt:lpwstr/>
      </vt:variant>
      <vt:variant>
        <vt:i4>7995492</vt:i4>
      </vt:variant>
      <vt:variant>
        <vt:i4>51</vt:i4>
      </vt:variant>
      <vt:variant>
        <vt:i4>0</vt:i4>
      </vt:variant>
      <vt:variant>
        <vt:i4>5</vt:i4>
      </vt:variant>
      <vt:variant>
        <vt:lpwstr>http://www.nevo.co.il/law/70301</vt:lpwstr>
      </vt:variant>
      <vt:variant>
        <vt:lpwstr/>
      </vt:variant>
      <vt:variant>
        <vt:i4>4063357</vt:i4>
      </vt:variant>
      <vt:variant>
        <vt:i4>48</vt:i4>
      </vt:variant>
      <vt:variant>
        <vt:i4>0</vt:i4>
      </vt:variant>
      <vt:variant>
        <vt:i4>5</vt:i4>
      </vt:variant>
      <vt:variant>
        <vt:lpwstr>http://www.nevo.co.il/case/28895818</vt:lpwstr>
      </vt:variant>
      <vt:variant>
        <vt:lpwstr/>
      </vt:variant>
      <vt:variant>
        <vt:i4>7995492</vt:i4>
      </vt:variant>
      <vt:variant>
        <vt:i4>45</vt:i4>
      </vt:variant>
      <vt:variant>
        <vt:i4>0</vt:i4>
      </vt:variant>
      <vt:variant>
        <vt:i4>5</vt:i4>
      </vt:variant>
      <vt:variant>
        <vt:lpwstr>http://www.nevo.co.il/law/70301</vt:lpwstr>
      </vt:variant>
      <vt:variant>
        <vt:lpwstr/>
      </vt:variant>
      <vt:variant>
        <vt:i4>3866750</vt:i4>
      </vt:variant>
      <vt:variant>
        <vt:i4>42</vt:i4>
      </vt:variant>
      <vt:variant>
        <vt:i4>0</vt:i4>
      </vt:variant>
      <vt:variant>
        <vt:i4>5</vt:i4>
      </vt:variant>
      <vt:variant>
        <vt:lpwstr>http://www.nevo.co.il/case/27841905</vt:lpwstr>
      </vt:variant>
      <vt:variant>
        <vt:lpwstr/>
      </vt:variant>
      <vt:variant>
        <vt:i4>3539061</vt:i4>
      </vt:variant>
      <vt:variant>
        <vt:i4>39</vt:i4>
      </vt:variant>
      <vt:variant>
        <vt:i4>0</vt:i4>
      </vt:variant>
      <vt:variant>
        <vt:i4>5</vt:i4>
      </vt:variant>
      <vt:variant>
        <vt:lpwstr>http://www.nevo.co.il/case/29181047</vt:lpwstr>
      </vt:variant>
      <vt:variant>
        <vt:lpwstr/>
      </vt:variant>
      <vt:variant>
        <vt:i4>3145849</vt:i4>
      </vt:variant>
      <vt:variant>
        <vt:i4>36</vt:i4>
      </vt:variant>
      <vt:variant>
        <vt:i4>0</vt:i4>
      </vt:variant>
      <vt:variant>
        <vt:i4>5</vt:i4>
      </vt:variant>
      <vt:variant>
        <vt:lpwstr>http://www.nevo.co.il/case/13093721</vt:lpwstr>
      </vt:variant>
      <vt:variant>
        <vt:lpwstr/>
      </vt:variant>
      <vt:variant>
        <vt:i4>7995492</vt:i4>
      </vt:variant>
      <vt:variant>
        <vt:i4>33</vt:i4>
      </vt:variant>
      <vt:variant>
        <vt:i4>0</vt:i4>
      </vt:variant>
      <vt:variant>
        <vt:i4>5</vt:i4>
      </vt:variant>
      <vt:variant>
        <vt:lpwstr>http://www.nevo.co.il/law/70301</vt:lpwstr>
      </vt:variant>
      <vt:variant>
        <vt:lpwstr/>
      </vt:variant>
      <vt:variant>
        <vt:i4>5439574</vt:i4>
      </vt:variant>
      <vt:variant>
        <vt:i4>30</vt:i4>
      </vt:variant>
      <vt:variant>
        <vt:i4>0</vt:i4>
      </vt:variant>
      <vt:variant>
        <vt:i4>5</vt:i4>
      </vt:variant>
      <vt:variant>
        <vt:lpwstr>http://www.nevo.co.il/law/70301/340a.b.1</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5439574</vt:i4>
      </vt:variant>
      <vt:variant>
        <vt:i4>21</vt:i4>
      </vt:variant>
      <vt:variant>
        <vt:i4>0</vt:i4>
      </vt:variant>
      <vt:variant>
        <vt:i4>5</vt:i4>
      </vt:variant>
      <vt:variant>
        <vt:lpwstr>http://www.nevo.co.il/law/70301/340a.b.1</vt:lpwstr>
      </vt:variant>
      <vt:variant>
        <vt:lpwstr/>
      </vt:variant>
      <vt:variant>
        <vt:i4>6357112</vt:i4>
      </vt:variant>
      <vt:variant>
        <vt:i4>18</vt:i4>
      </vt:variant>
      <vt:variant>
        <vt:i4>0</vt:i4>
      </vt:variant>
      <vt:variant>
        <vt:i4>5</vt:i4>
      </vt:variant>
      <vt:variant>
        <vt:lpwstr>http://www.nevo.co.il/law/70301/340a.a</vt:lpwstr>
      </vt:variant>
      <vt:variant>
        <vt:lpwstr/>
      </vt:variant>
      <vt:variant>
        <vt:i4>86</vt:i4>
      </vt:variant>
      <vt:variant>
        <vt:i4>15</vt:i4>
      </vt:variant>
      <vt:variant>
        <vt:i4>0</vt:i4>
      </vt:variant>
      <vt:variant>
        <vt:i4>5</vt:i4>
      </vt:variant>
      <vt:variant>
        <vt:lpwstr>http://www.nevo.co.il/law/70301/340a</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6357092</vt:i4>
      </vt:variant>
      <vt:variant>
        <vt:i4>9</vt:i4>
      </vt:variant>
      <vt:variant>
        <vt:i4>0</vt:i4>
      </vt:variant>
      <vt:variant>
        <vt:i4>5</vt:i4>
      </vt:variant>
      <vt:variant>
        <vt:lpwstr>http://www.nevo.co.il/law/70301/144</vt:lpwstr>
      </vt:variant>
      <vt:variant>
        <vt:lpwstr/>
      </vt:variant>
      <vt:variant>
        <vt:i4>4915211</vt:i4>
      </vt:variant>
      <vt:variant>
        <vt:i4>6</vt:i4>
      </vt:variant>
      <vt:variant>
        <vt:i4>0</vt:i4>
      </vt:variant>
      <vt:variant>
        <vt:i4>5</vt:i4>
      </vt:variant>
      <vt:variant>
        <vt:lpwstr>http://www.nevo.co.il/law/70301/40j.d</vt:lpwstr>
      </vt:variant>
      <vt:variant>
        <vt:lpwstr/>
      </vt:variant>
      <vt:variant>
        <vt:i4>6619241</vt:i4>
      </vt:variant>
      <vt:variant>
        <vt:i4>3</vt:i4>
      </vt:variant>
      <vt:variant>
        <vt:i4>0</vt:i4>
      </vt:variant>
      <vt:variant>
        <vt:i4>5</vt:i4>
      </vt:variant>
      <vt:variant>
        <vt:lpwstr>http://www.nevo.co.il/law/70301/40j.b.1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2025-01-19T17:07:00Z</dcterms:created>
  <dcterms:modified xsi:type="dcterms:W3CDTF">2025-01-19T17:07:00Z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1580</vt:lpwstr>
  </property>
  <property fmtid="{D5CDD505-2E9C-101B-9397-08002B2CF9AE}" pid="6" name="NEWPARTB">
    <vt:lpwstr>11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סאמר דאהר</vt:lpwstr>
  </property>
  <property fmtid="{D5CDD505-2E9C-101B-9397-08002B2CF9AE}" pid="10" name="LAWYER">
    <vt:lpwstr>ע' מוחמדיה;ש' עציון;ב' אדרת</vt:lpwstr>
  </property>
  <property fmtid="{D5CDD505-2E9C-101B-9397-08002B2CF9AE}" pid="11" name="JUDGE">
    <vt:lpwstr>אוהד גורדון</vt:lpwstr>
  </property>
  <property fmtid="{D5CDD505-2E9C-101B-9397-08002B2CF9AE}" pid="12" name="CITY">
    <vt:lpwstr>י-ם</vt:lpwstr>
  </property>
  <property fmtid="{D5CDD505-2E9C-101B-9397-08002B2CF9AE}" pid="13" name="DATE">
    <vt:lpwstr>20241010</vt:lpwstr>
  </property>
  <property fmtid="{D5CDD505-2E9C-101B-9397-08002B2CF9AE}" pid="14" name="TYPE_N_DATE">
    <vt:lpwstr>39020241010</vt:lpwstr>
  </property>
  <property fmtid="{D5CDD505-2E9C-101B-9397-08002B2CF9AE}" pid="15" name="CASESLISTTMP1">
    <vt:lpwstr>13093721;29181047;27841905;28895818;28513828;28883087;27915710;28620717</vt:lpwstr>
  </property>
  <property fmtid="{D5CDD505-2E9C-101B-9397-08002B2CF9AE}" pid="16" name="CASENOTES1">
    <vt:lpwstr>ProcID=135&amp;PartA=9683&amp;PartB=09&amp;PartC=22</vt:lpwstr>
  </property>
  <property fmtid="{D5CDD505-2E9C-101B-9397-08002B2CF9AE}" pid="17" name="CASENOTES2">
    <vt:lpwstr>ProcID=209&amp;PartA=6514&amp;PartB=03&amp;PartC=23</vt:lpwstr>
  </property>
  <property fmtid="{D5CDD505-2E9C-101B-9397-08002B2CF9AE}" pid="18" name="WORDNUMPAGES">
    <vt:lpwstr>8</vt:lpwstr>
  </property>
  <property fmtid="{D5CDD505-2E9C-101B-9397-08002B2CF9AE}" pid="19" name="TYPE_ABS_DATE">
    <vt:lpwstr>390020241010</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70301/144.a:2;340a.b.1:3;340a.a;040j.d;040j.b.1;144;340a</vt:lpwstr>
  </property>
</Properties>
</file>