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335DC" w:rsidRPr="00042CC6" w14:paraId="0DB4F771" w14:textId="77777777" w:rsidTr="0068414C">
        <w:trPr>
          <w:trHeight w:hRule="exact" w:val="418"/>
          <w:jc w:val="center"/>
        </w:trPr>
        <w:tc>
          <w:tcPr>
            <w:tcW w:w="8721" w:type="dxa"/>
            <w:gridSpan w:val="2"/>
          </w:tcPr>
          <w:p w14:paraId="07637610" w14:textId="77777777" w:rsidR="005335DC" w:rsidRPr="00042CC6" w:rsidRDefault="005335DC" w:rsidP="00FE44EA">
            <w:pPr>
              <w:pStyle w:val="a3"/>
              <w:jc w:val="center"/>
              <w:rPr>
                <w:rFonts w:ascii="Tahoma" w:hAnsi="Tahoma" w:cs="Tahoma"/>
                <w:color w:val="000080"/>
                <w:rtl/>
              </w:rPr>
            </w:pPr>
            <w:bookmarkStart w:id="0" w:name="LastJudge"/>
            <w:r w:rsidRPr="00042CC6">
              <w:rPr>
                <w:rFonts w:ascii="Tahoma" w:hAnsi="Tahoma" w:cs="Tahoma"/>
                <w:b/>
                <w:bCs/>
                <w:color w:val="000080"/>
                <w:rtl/>
              </w:rPr>
              <w:t>בית המשפט המחוזי בחיפה</w:t>
            </w:r>
          </w:p>
        </w:tc>
      </w:tr>
      <w:tr w:rsidR="005335DC" w:rsidRPr="00042CC6" w14:paraId="2C1586B9" w14:textId="77777777" w:rsidTr="0068414C">
        <w:trPr>
          <w:trHeight w:val="337"/>
          <w:jc w:val="center"/>
        </w:trPr>
        <w:tc>
          <w:tcPr>
            <w:tcW w:w="5057" w:type="dxa"/>
          </w:tcPr>
          <w:p w14:paraId="7285634B" w14:textId="77777777" w:rsidR="005335DC" w:rsidRPr="00042CC6" w:rsidRDefault="005335DC" w:rsidP="00FE44EA">
            <w:pPr>
              <w:rPr>
                <w:rFonts w:cs="FrankRuehl"/>
                <w:sz w:val="28"/>
                <w:szCs w:val="28"/>
                <w:rtl/>
              </w:rPr>
            </w:pPr>
            <w:r w:rsidRPr="00042CC6">
              <w:rPr>
                <w:rFonts w:cs="FrankRuehl"/>
                <w:sz w:val="28"/>
                <w:szCs w:val="28"/>
                <w:rtl/>
              </w:rPr>
              <w:t>ת"פ</w:t>
            </w:r>
            <w:r w:rsidRPr="00042CC6">
              <w:rPr>
                <w:rFonts w:cs="FrankRuehl" w:hint="cs"/>
                <w:sz w:val="28"/>
                <w:szCs w:val="28"/>
                <w:rtl/>
              </w:rPr>
              <w:t xml:space="preserve"> </w:t>
            </w:r>
            <w:r w:rsidRPr="00042CC6">
              <w:rPr>
                <w:rFonts w:cs="FrankRuehl"/>
                <w:sz w:val="28"/>
                <w:szCs w:val="28"/>
                <w:rtl/>
              </w:rPr>
              <w:t>15962-11-23</w:t>
            </w:r>
            <w:r w:rsidRPr="00042CC6">
              <w:rPr>
                <w:rFonts w:cs="FrankRuehl" w:hint="cs"/>
                <w:sz w:val="28"/>
                <w:szCs w:val="28"/>
                <w:rtl/>
              </w:rPr>
              <w:t xml:space="preserve"> </w:t>
            </w:r>
            <w:r w:rsidRPr="00042CC6">
              <w:rPr>
                <w:rFonts w:cs="FrankRuehl"/>
                <w:sz w:val="28"/>
                <w:szCs w:val="28"/>
                <w:rtl/>
              </w:rPr>
              <w:t>מדינת ישראל נ' אבו שנדי(עציר)</w:t>
            </w:r>
          </w:p>
          <w:p w14:paraId="023F2BC3" w14:textId="77777777" w:rsidR="005335DC" w:rsidRPr="00042CC6" w:rsidRDefault="005335DC" w:rsidP="00FE44EA">
            <w:pPr>
              <w:pStyle w:val="a3"/>
              <w:rPr>
                <w:rFonts w:cs="FrankRuehl"/>
                <w:sz w:val="28"/>
                <w:szCs w:val="28"/>
                <w:rtl/>
              </w:rPr>
            </w:pPr>
          </w:p>
        </w:tc>
        <w:tc>
          <w:tcPr>
            <w:tcW w:w="3664" w:type="dxa"/>
          </w:tcPr>
          <w:p w14:paraId="4C7E8087" w14:textId="77777777" w:rsidR="005335DC" w:rsidRPr="00042CC6" w:rsidRDefault="005335DC" w:rsidP="00FE44EA">
            <w:pPr>
              <w:pStyle w:val="a3"/>
              <w:jc w:val="right"/>
              <w:rPr>
                <w:rFonts w:cs="FrankRuehl"/>
                <w:sz w:val="28"/>
                <w:szCs w:val="28"/>
                <w:rtl/>
              </w:rPr>
            </w:pPr>
          </w:p>
        </w:tc>
      </w:tr>
    </w:tbl>
    <w:p w14:paraId="50DE4338" w14:textId="77777777" w:rsidR="005335DC" w:rsidRPr="00042CC6" w:rsidRDefault="005335DC" w:rsidP="005335DC">
      <w:pPr>
        <w:pStyle w:val="a3"/>
        <w:rPr>
          <w:rtl/>
        </w:rPr>
      </w:pPr>
      <w:r w:rsidRPr="00042CC6">
        <w:rPr>
          <w:rFonts w:hint="cs"/>
          <w:rtl/>
        </w:rPr>
        <w:t xml:space="preserve"> </w:t>
      </w:r>
    </w:p>
    <w:p w14:paraId="79C59747" w14:textId="77777777" w:rsidR="005335DC" w:rsidRPr="00042CC6" w:rsidRDefault="005335DC" w:rsidP="005335DC">
      <w:pPr>
        <w:suppressLineNumbers/>
        <w:spacing w:line="360" w:lineRule="auto"/>
        <w:jc w:val="both"/>
        <w:rPr>
          <w:rFonts w:ascii="Arial" w:hAnsi="Arial"/>
          <w:szCs w:val="26"/>
          <w:rtl/>
        </w:rPr>
      </w:pPr>
    </w:p>
    <w:p w14:paraId="2C497A20" w14:textId="77777777" w:rsidR="005335DC" w:rsidRPr="00042CC6" w:rsidRDefault="005335DC" w:rsidP="005335DC">
      <w:pPr>
        <w:suppressLineNumbers/>
        <w:spacing w:line="360" w:lineRule="auto"/>
        <w:jc w:val="both"/>
        <w:rPr>
          <w:rFonts w:ascii="Arial" w:hAnsi="Arial"/>
          <w:szCs w:val="26"/>
          <w:rtl/>
        </w:rPr>
      </w:pPr>
    </w:p>
    <w:tbl>
      <w:tblPr>
        <w:bidiVisual/>
        <w:tblW w:w="8802" w:type="dxa"/>
        <w:tblInd w:w="-28" w:type="dxa"/>
        <w:tblLook w:val="01E0" w:firstRow="1" w:lastRow="1" w:firstColumn="1" w:lastColumn="1" w:noHBand="0" w:noVBand="0"/>
      </w:tblPr>
      <w:tblGrid>
        <w:gridCol w:w="2880"/>
        <w:gridCol w:w="5838"/>
        <w:gridCol w:w="84"/>
      </w:tblGrid>
      <w:tr w:rsidR="005335DC" w:rsidRPr="00042CC6" w14:paraId="452D652F" w14:textId="77777777" w:rsidTr="005335DC">
        <w:trPr>
          <w:gridAfter w:val="1"/>
          <w:wAfter w:w="56" w:type="dxa"/>
        </w:trPr>
        <w:tc>
          <w:tcPr>
            <w:tcW w:w="8718" w:type="dxa"/>
            <w:gridSpan w:val="2"/>
            <w:shd w:val="clear" w:color="auto" w:fill="auto"/>
          </w:tcPr>
          <w:p w14:paraId="19DEF6DE" w14:textId="77777777" w:rsidR="005335DC" w:rsidRPr="00042CC6" w:rsidRDefault="005335DC" w:rsidP="005335DC">
            <w:pPr>
              <w:spacing w:line="360" w:lineRule="auto"/>
              <w:jc w:val="both"/>
              <w:rPr>
                <w:sz w:val="26"/>
                <w:szCs w:val="26"/>
                <w:rtl/>
              </w:rPr>
            </w:pPr>
            <w:r w:rsidRPr="00042CC6">
              <w:rPr>
                <w:rFonts w:hint="cs"/>
                <w:sz w:val="26"/>
                <w:szCs w:val="26"/>
                <w:rtl/>
              </w:rPr>
              <w:t>בפני כבוד השופט איל באומגרט</w:t>
            </w:r>
          </w:p>
          <w:p w14:paraId="19B162F1" w14:textId="77777777" w:rsidR="005335DC" w:rsidRPr="00042CC6" w:rsidRDefault="005335DC" w:rsidP="005335DC">
            <w:pPr>
              <w:spacing w:line="360" w:lineRule="auto"/>
              <w:jc w:val="both"/>
              <w:rPr>
                <w:sz w:val="26"/>
                <w:szCs w:val="26"/>
                <w:rtl/>
              </w:rPr>
            </w:pPr>
          </w:p>
        </w:tc>
      </w:tr>
      <w:tr w:rsidR="005335DC" w:rsidRPr="00042CC6" w14:paraId="67D9C180" w14:textId="77777777" w:rsidTr="005335DC">
        <w:trPr>
          <w:cantSplit/>
          <w:trHeight w:val="724"/>
        </w:trPr>
        <w:tc>
          <w:tcPr>
            <w:tcW w:w="2880" w:type="dxa"/>
            <w:shd w:val="clear" w:color="auto" w:fill="auto"/>
          </w:tcPr>
          <w:p w14:paraId="798F874D" w14:textId="77777777" w:rsidR="005335DC" w:rsidRPr="00042CC6" w:rsidRDefault="005335DC" w:rsidP="005335DC">
            <w:pPr>
              <w:spacing w:line="360" w:lineRule="auto"/>
              <w:ind w:left="26"/>
              <w:jc w:val="both"/>
              <w:rPr>
                <w:sz w:val="26"/>
                <w:szCs w:val="26"/>
                <w:rtl/>
              </w:rPr>
            </w:pPr>
            <w:bookmarkStart w:id="1" w:name="FirstAppellant"/>
            <w:r w:rsidRPr="00042CC6">
              <w:rPr>
                <w:rFonts w:hint="cs"/>
                <w:sz w:val="26"/>
                <w:szCs w:val="26"/>
                <w:rtl/>
              </w:rPr>
              <w:t>המאשימה:</w:t>
            </w:r>
          </w:p>
          <w:p w14:paraId="12467CE7" w14:textId="77777777" w:rsidR="005335DC" w:rsidRPr="00042CC6" w:rsidRDefault="005335DC" w:rsidP="005335DC">
            <w:pPr>
              <w:spacing w:line="360" w:lineRule="auto"/>
              <w:jc w:val="both"/>
              <w:rPr>
                <w:sz w:val="26"/>
                <w:szCs w:val="26"/>
                <w:rtl/>
              </w:rPr>
            </w:pPr>
          </w:p>
        </w:tc>
        <w:tc>
          <w:tcPr>
            <w:tcW w:w="5922" w:type="dxa"/>
            <w:gridSpan w:val="2"/>
            <w:shd w:val="clear" w:color="auto" w:fill="auto"/>
          </w:tcPr>
          <w:p w14:paraId="35325AFF" w14:textId="77777777" w:rsidR="005335DC" w:rsidRPr="00042CC6" w:rsidRDefault="005335DC" w:rsidP="005335DC">
            <w:pPr>
              <w:spacing w:line="360" w:lineRule="auto"/>
              <w:jc w:val="both"/>
              <w:rPr>
                <w:sz w:val="26"/>
                <w:szCs w:val="26"/>
                <w:rtl/>
              </w:rPr>
            </w:pPr>
            <w:r w:rsidRPr="00042CC6">
              <w:rPr>
                <w:rFonts w:hint="cs"/>
                <w:sz w:val="26"/>
                <w:szCs w:val="26"/>
                <w:rtl/>
              </w:rPr>
              <w:t>מדינת-ישראל</w:t>
            </w:r>
          </w:p>
        </w:tc>
      </w:tr>
      <w:bookmarkEnd w:id="1"/>
      <w:tr w:rsidR="005335DC" w:rsidRPr="00042CC6" w14:paraId="550B4559" w14:textId="77777777" w:rsidTr="005335DC">
        <w:tc>
          <w:tcPr>
            <w:tcW w:w="8802" w:type="dxa"/>
            <w:gridSpan w:val="3"/>
            <w:shd w:val="clear" w:color="auto" w:fill="auto"/>
            <w:vAlign w:val="center"/>
          </w:tcPr>
          <w:p w14:paraId="27E135AD" w14:textId="77777777" w:rsidR="005335DC" w:rsidRPr="00042CC6" w:rsidRDefault="005335DC" w:rsidP="005335DC">
            <w:pPr>
              <w:spacing w:line="360" w:lineRule="auto"/>
              <w:jc w:val="center"/>
              <w:rPr>
                <w:rFonts w:ascii="Arial" w:hAnsi="Arial"/>
                <w:sz w:val="26"/>
                <w:szCs w:val="26"/>
                <w:rtl/>
              </w:rPr>
            </w:pPr>
            <w:r w:rsidRPr="00042CC6">
              <w:rPr>
                <w:rFonts w:ascii="Arial" w:hAnsi="Arial" w:hint="cs"/>
                <w:sz w:val="26"/>
                <w:szCs w:val="26"/>
                <w:rtl/>
              </w:rPr>
              <w:t>- נגד -</w:t>
            </w:r>
          </w:p>
          <w:p w14:paraId="05D4F017" w14:textId="77777777" w:rsidR="005335DC" w:rsidRPr="00042CC6" w:rsidRDefault="005335DC" w:rsidP="005335DC">
            <w:pPr>
              <w:spacing w:line="360" w:lineRule="auto"/>
              <w:jc w:val="center"/>
              <w:rPr>
                <w:rFonts w:ascii="Arial" w:hAnsi="Arial"/>
                <w:sz w:val="26"/>
                <w:szCs w:val="26"/>
                <w:rtl/>
              </w:rPr>
            </w:pPr>
          </w:p>
        </w:tc>
      </w:tr>
      <w:tr w:rsidR="005335DC" w:rsidRPr="00042CC6" w14:paraId="3F6E6427" w14:textId="77777777" w:rsidTr="005335DC">
        <w:tc>
          <w:tcPr>
            <w:tcW w:w="2880" w:type="dxa"/>
            <w:shd w:val="clear" w:color="auto" w:fill="auto"/>
          </w:tcPr>
          <w:p w14:paraId="2C703A81" w14:textId="77777777" w:rsidR="005335DC" w:rsidRPr="00042CC6" w:rsidRDefault="005335DC" w:rsidP="005335DC">
            <w:pPr>
              <w:spacing w:line="360" w:lineRule="auto"/>
              <w:ind w:left="26"/>
              <w:jc w:val="both"/>
              <w:rPr>
                <w:sz w:val="26"/>
                <w:szCs w:val="26"/>
                <w:rtl/>
              </w:rPr>
            </w:pPr>
            <w:r w:rsidRPr="00042CC6">
              <w:rPr>
                <w:rFonts w:hint="cs"/>
                <w:sz w:val="26"/>
                <w:szCs w:val="26"/>
                <w:rtl/>
              </w:rPr>
              <w:t>הנאשם:</w:t>
            </w:r>
          </w:p>
        </w:tc>
        <w:tc>
          <w:tcPr>
            <w:tcW w:w="5922" w:type="dxa"/>
            <w:gridSpan w:val="2"/>
            <w:shd w:val="clear" w:color="auto" w:fill="auto"/>
          </w:tcPr>
          <w:p w14:paraId="6881322A" w14:textId="77777777" w:rsidR="005335DC" w:rsidRPr="00042CC6" w:rsidRDefault="005335DC" w:rsidP="005335DC">
            <w:pPr>
              <w:spacing w:line="360" w:lineRule="auto"/>
              <w:jc w:val="both"/>
              <w:rPr>
                <w:sz w:val="26"/>
                <w:szCs w:val="26"/>
              </w:rPr>
            </w:pPr>
            <w:r w:rsidRPr="00042CC6">
              <w:rPr>
                <w:rFonts w:hint="cs"/>
                <w:sz w:val="26"/>
                <w:szCs w:val="26"/>
                <w:rtl/>
              </w:rPr>
              <w:t xml:space="preserve">רודא אבו שאנדי (עציר), ת"ז </w:t>
            </w:r>
            <w:r w:rsidR="00042CC6">
              <w:rPr>
                <w:sz w:val="26"/>
                <w:szCs w:val="26"/>
              </w:rPr>
              <w:t>xxxxxxxxx</w:t>
            </w:r>
          </w:p>
        </w:tc>
      </w:tr>
    </w:tbl>
    <w:p w14:paraId="0904FF6B" w14:textId="77777777" w:rsidR="005335DC" w:rsidRPr="00042CC6" w:rsidRDefault="005335DC" w:rsidP="005335DC">
      <w:pPr>
        <w:suppressLineNumbers/>
        <w:spacing w:line="360" w:lineRule="auto"/>
        <w:jc w:val="both"/>
        <w:rPr>
          <w:rFonts w:ascii="Arial" w:hAnsi="Arial"/>
          <w:szCs w:val="26"/>
          <w:rtl/>
        </w:rPr>
      </w:pPr>
    </w:p>
    <w:p w14:paraId="1FC757C8" w14:textId="77777777" w:rsidR="005335DC" w:rsidRPr="00042CC6" w:rsidRDefault="005335DC" w:rsidP="005335DC">
      <w:pPr>
        <w:suppressLineNumbers/>
        <w:spacing w:line="360" w:lineRule="auto"/>
        <w:jc w:val="both"/>
        <w:rPr>
          <w:rFonts w:ascii="Arial" w:hAnsi="Arial"/>
          <w:szCs w:val="26"/>
          <w:rtl/>
        </w:rPr>
      </w:pPr>
      <w:r w:rsidRPr="00042CC6">
        <w:rPr>
          <w:rFonts w:ascii="Arial" w:hAnsi="Arial" w:hint="cs"/>
          <w:szCs w:val="26"/>
          <w:rtl/>
        </w:rPr>
        <w:t>נוכחים:</w:t>
      </w:r>
    </w:p>
    <w:p w14:paraId="3D7F5811" w14:textId="77777777" w:rsidR="005335DC" w:rsidRPr="00042CC6" w:rsidRDefault="005335DC" w:rsidP="005335DC">
      <w:pPr>
        <w:suppressLineNumbers/>
        <w:spacing w:line="360" w:lineRule="auto"/>
        <w:jc w:val="both"/>
        <w:rPr>
          <w:rFonts w:ascii="Arial" w:hAnsi="Arial"/>
          <w:szCs w:val="26"/>
          <w:rtl/>
        </w:rPr>
      </w:pPr>
      <w:bookmarkStart w:id="2" w:name="FirstLawyer"/>
      <w:r w:rsidRPr="00042CC6">
        <w:rPr>
          <w:rFonts w:ascii="Arial" w:hAnsi="Arial" w:hint="cs"/>
          <w:szCs w:val="26"/>
          <w:rtl/>
        </w:rPr>
        <w:t>ב"כ</w:t>
      </w:r>
      <w:bookmarkEnd w:id="2"/>
      <w:r w:rsidRPr="00042CC6">
        <w:rPr>
          <w:rFonts w:ascii="Arial" w:hAnsi="Arial" w:hint="cs"/>
          <w:szCs w:val="26"/>
          <w:rtl/>
        </w:rPr>
        <w:t xml:space="preserve"> המאשימה: עו"ד אמיר אלרון</w:t>
      </w:r>
    </w:p>
    <w:p w14:paraId="596257CB" w14:textId="77777777" w:rsidR="005335DC" w:rsidRPr="00042CC6" w:rsidRDefault="005335DC" w:rsidP="005335DC">
      <w:pPr>
        <w:suppressLineNumbers/>
        <w:spacing w:line="360" w:lineRule="auto"/>
        <w:jc w:val="both"/>
        <w:rPr>
          <w:rFonts w:ascii="Arial" w:hAnsi="Arial"/>
          <w:szCs w:val="26"/>
          <w:rtl/>
        </w:rPr>
      </w:pPr>
      <w:r w:rsidRPr="00042CC6">
        <w:rPr>
          <w:rFonts w:ascii="Arial" w:hAnsi="Arial" w:hint="cs"/>
          <w:szCs w:val="26"/>
          <w:rtl/>
        </w:rPr>
        <w:t>ב"כ הנאשם: עו"ד פאיז יונס</w:t>
      </w:r>
    </w:p>
    <w:p w14:paraId="2CCEFBDC" w14:textId="77777777" w:rsidR="005335DC" w:rsidRPr="00042CC6" w:rsidRDefault="005335DC" w:rsidP="005335DC">
      <w:pPr>
        <w:suppressLineNumbers/>
        <w:spacing w:line="360" w:lineRule="auto"/>
        <w:jc w:val="both"/>
        <w:rPr>
          <w:rFonts w:ascii="Arial" w:hAnsi="Arial"/>
          <w:szCs w:val="26"/>
          <w:rtl/>
        </w:rPr>
      </w:pPr>
      <w:r w:rsidRPr="00042CC6">
        <w:rPr>
          <w:rFonts w:ascii="Arial" w:hAnsi="Arial" w:hint="cs"/>
          <w:szCs w:val="26"/>
          <w:rtl/>
        </w:rPr>
        <w:t>הנאשם: באמצעות שב"ס</w:t>
      </w:r>
    </w:p>
    <w:p w14:paraId="1BA0FD18" w14:textId="77777777" w:rsidR="005335DC" w:rsidRPr="00042CC6" w:rsidRDefault="005335DC" w:rsidP="005335DC">
      <w:pPr>
        <w:suppressLineNumbers/>
        <w:spacing w:line="360" w:lineRule="auto"/>
        <w:jc w:val="both"/>
        <w:rPr>
          <w:rFonts w:ascii="Arial" w:hAnsi="Arial"/>
          <w:szCs w:val="26"/>
          <w:rtl/>
        </w:rPr>
      </w:pPr>
      <w:r w:rsidRPr="00042CC6">
        <w:rPr>
          <w:rFonts w:ascii="Arial" w:hAnsi="Arial" w:hint="cs"/>
          <w:szCs w:val="26"/>
          <w:rtl/>
        </w:rPr>
        <w:t>מתורגמן לשפה הערבית: מר ג'וזף פאר</w:t>
      </w:r>
    </w:p>
    <w:p w14:paraId="0A1A30DA" w14:textId="77777777" w:rsidR="0068414C" w:rsidRPr="0068414C" w:rsidRDefault="0068414C" w:rsidP="0068414C">
      <w:pPr>
        <w:spacing w:before="120" w:after="120" w:line="240" w:lineRule="exact"/>
        <w:ind w:left="283" w:hanging="283"/>
        <w:jc w:val="both"/>
        <w:rPr>
          <w:rFonts w:ascii="FrankRuehl" w:hAnsi="FrankRuehl" w:cs="FrankRuehl"/>
          <w:rtl/>
        </w:rPr>
      </w:pPr>
      <w:bookmarkStart w:id="3" w:name="LawTable"/>
      <w:bookmarkEnd w:id="3"/>
      <w:r w:rsidRPr="0068414C">
        <w:rPr>
          <w:rFonts w:ascii="FrankRuehl" w:hAnsi="FrankRuehl" w:cs="FrankRuehl"/>
          <w:rtl/>
        </w:rPr>
        <w:t xml:space="preserve">חקיקה שאוזכרה: </w:t>
      </w:r>
    </w:p>
    <w:p w14:paraId="29D0D857" w14:textId="77777777" w:rsidR="0068414C" w:rsidRPr="0068414C" w:rsidRDefault="0068414C" w:rsidP="0068414C">
      <w:pPr>
        <w:spacing w:before="120" w:after="120" w:line="240" w:lineRule="exact"/>
        <w:ind w:left="283" w:hanging="283"/>
        <w:jc w:val="both"/>
        <w:rPr>
          <w:rFonts w:ascii="FrankRuehl" w:hAnsi="FrankRuehl" w:cs="FrankRuehl"/>
          <w:color w:val="0000FF"/>
          <w:rtl/>
        </w:rPr>
      </w:pPr>
      <w:hyperlink r:id="rId7" w:history="1">
        <w:r w:rsidRPr="0068414C">
          <w:rPr>
            <w:rStyle w:val="Hyperlink"/>
            <w:rFonts w:ascii="FrankRuehl" w:hAnsi="FrankRuehl" w:cs="FrankRuehl"/>
            <w:u w:val="none"/>
            <w:rtl/>
          </w:rPr>
          <w:t>חוק העונשין, תשל"ז-1977</w:t>
        </w:r>
      </w:hyperlink>
      <w:r w:rsidRPr="0068414C">
        <w:rPr>
          <w:rFonts w:ascii="FrankRuehl" w:hAnsi="FrankRuehl" w:cs="FrankRuehl"/>
          <w:color w:val="0000FF"/>
          <w:rtl/>
        </w:rPr>
        <w:t xml:space="preserve">: סע'  </w:t>
      </w:r>
      <w:hyperlink r:id="rId8" w:history="1">
        <w:r w:rsidRPr="0068414C">
          <w:rPr>
            <w:rStyle w:val="Hyperlink"/>
            <w:rFonts w:ascii="FrankRuehl" w:hAnsi="FrankRuehl" w:cs="FrankRuehl"/>
            <w:u w:val="none"/>
          </w:rPr>
          <w:t>25</w:t>
        </w:r>
      </w:hyperlink>
      <w:r w:rsidRPr="0068414C">
        <w:rPr>
          <w:rFonts w:ascii="FrankRuehl" w:hAnsi="FrankRuehl" w:cs="FrankRuehl"/>
          <w:color w:val="0000FF"/>
          <w:rtl/>
        </w:rPr>
        <w:t xml:space="preserve">, </w:t>
      </w:r>
      <w:hyperlink r:id="rId9" w:history="1">
        <w:r w:rsidRPr="0068414C">
          <w:rPr>
            <w:rStyle w:val="Hyperlink"/>
            <w:rFonts w:ascii="FrankRuehl" w:hAnsi="FrankRuehl" w:cs="FrankRuehl"/>
            <w:u w:val="none"/>
          </w:rPr>
          <w:t>40</w:t>
        </w:r>
        <w:r w:rsidRPr="0068414C">
          <w:rPr>
            <w:rStyle w:val="Hyperlink"/>
            <w:rFonts w:ascii="FrankRuehl" w:hAnsi="FrankRuehl" w:cs="FrankRuehl"/>
            <w:u w:val="none"/>
            <w:rtl/>
          </w:rPr>
          <w:t>א</w:t>
        </w:r>
      </w:hyperlink>
      <w:r w:rsidRPr="0068414C">
        <w:rPr>
          <w:rFonts w:ascii="FrankRuehl" w:hAnsi="FrankRuehl" w:cs="FrankRuehl"/>
          <w:color w:val="0000FF"/>
          <w:rtl/>
        </w:rPr>
        <w:t xml:space="preserve">, </w:t>
      </w:r>
      <w:hyperlink r:id="rId10" w:history="1">
        <w:r w:rsidRPr="0068414C">
          <w:rPr>
            <w:rStyle w:val="Hyperlink"/>
            <w:rFonts w:ascii="FrankRuehl" w:hAnsi="FrankRuehl" w:cs="FrankRuehl"/>
            <w:u w:val="none"/>
          </w:rPr>
          <w:t>40</w:t>
        </w:r>
        <w:r w:rsidRPr="0068414C">
          <w:rPr>
            <w:rStyle w:val="Hyperlink"/>
            <w:rFonts w:ascii="FrankRuehl" w:hAnsi="FrankRuehl" w:cs="FrankRuehl"/>
            <w:u w:val="none"/>
            <w:rtl/>
          </w:rPr>
          <w:t>ב</w:t>
        </w:r>
      </w:hyperlink>
      <w:r w:rsidRPr="0068414C">
        <w:rPr>
          <w:rFonts w:ascii="FrankRuehl" w:hAnsi="FrankRuehl" w:cs="FrankRuehl"/>
          <w:color w:val="0000FF"/>
          <w:rtl/>
        </w:rPr>
        <w:t xml:space="preserve">, </w:t>
      </w:r>
      <w:hyperlink r:id="rId11" w:history="1">
        <w:r w:rsidRPr="0068414C">
          <w:rPr>
            <w:rStyle w:val="Hyperlink"/>
            <w:rFonts w:ascii="FrankRuehl" w:hAnsi="FrankRuehl" w:cs="FrankRuehl"/>
            <w:u w:val="none"/>
          </w:rPr>
          <w:t>40</w:t>
        </w:r>
        <w:r w:rsidRPr="0068414C">
          <w:rPr>
            <w:rStyle w:val="Hyperlink"/>
            <w:rFonts w:ascii="FrankRuehl" w:hAnsi="FrankRuehl" w:cs="FrankRuehl"/>
            <w:u w:val="none"/>
            <w:rtl/>
          </w:rPr>
          <w:t>ג</w:t>
        </w:r>
      </w:hyperlink>
      <w:r w:rsidRPr="0068414C">
        <w:rPr>
          <w:rFonts w:ascii="FrankRuehl" w:hAnsi="FrankRuehl" w:cs="FrankRuehl"/>
          <w:color w:val="0000FF"/>
          <w:rtl/>
        </w:rPr>
        <w:t xml:space="preserve">, </w:t>
      </w:r>
      <w:hyperlink r:id="rId12" w:history="1">
        <w:r w:rsidRPr="0068414C">
          <w:rPr>
            <w:rStyle w:val="Hyperlink"/>
            <w:rFonts w:ascii="FrankRuehl" w:hAnsi="FrankRuehl" w:cs="FrankRuehl"/>
            <w:u w:val="none"/>
          </w:rPr>
          <w:t>40</w:t>
        </w:r>
        <w:r w:rsidRPr="0068414C">
          <w:rPr>
            <w:rStyle w:val="Hyperlink"/>
            <w:rFonts w:ascii="FrankRuehl" w:hAnsi="FrankRuehl" w:cs="FrankRuehl"/>
            <w:u w:val="none"/>
            <w:rtl/>
          </w:rPr>
          <w:t>ד</w:t>
        </w:r>
      </w:hyperlink>
      <w:r w:rsidRPr="0068414C">
        <w:rPr>
          <w:rFonts w:ascii="FrankRuehl" w:hAnsi="FrankRuehl" w:cs="FrankRuehl"/>
          <w:color w:val="0000FF"/>
          <w:rtl/>
        </w:rPr>
        <w:t xml:space="preserve">, </w:t>
      </w:r>
      <w:hyperlink r:id="rId13" w:history="1">
        <w:r w:rsidRPr="0068414C">
          <w:rPr>
            <w:rStyle w:val="Hyperlink"/>
            <w:rFonts w:ascii="FrankRuehl" w:hAnsi="FrankRuehl" w:cs="FrankRuehl"/>
            <w:u w:val="none"/>
          </w:rPr>
          <w:t>40</w:t>
        </w:r>
        <w:r w:rsidRPr="0068414C">
          <w:rPr>
            <w:rStyle w:val="Hyperlink"/>
            <w:rFonts w:ascii="FrankRuehl" w:hAnsi="FrankRuehl" w:cs="FrankRuehl"/>
            <w:u w:val="none"/>
            <w:rtl/>
          </w:rPr>
          <w:t>ה</w:t>
        </w:r>
      </w:hyperlink>
      <w:r w:rsidRPr="0068414C">
        <w:rPr>
          <w:rFonts w:ascii="FrankRuehl" w:hAnsi="FrankRuehl" w:cs="FrankRuehl"/>
          <w:color w:val="0000FF"/>
          <w:rtl/>
        </w:rPr>
        <w:t xml:space="preserve">, </w:t>
      </w:r>
      <w:hyperlink r:id="rId14" w:history="1">
        <w:r w:rsidRPr="0068414C">
          <w:rPr>
            <w:rStyle w:val="Hyperlink"/>
            <w:rFonts w:ascii="FrankRuehl" w:hAnsi="FrankRuehl" w:cs="FrankRuehl"/>
            <w:u w:val="none"/>
          </w:rPr>
          <w:t>40</w:t>
        </w:r>
        <w:r w:rsidRPr="0068414C">
          <w:rPr>
            <w:rStyle w:val="Hyperlink"/>
            <w:rFonts w:ascii="FrankRuehl" w:hAnsi="FrankRuehl" w:cs="FrankRuehl"/>
            <w:u w:val="none"/>
            <w:rtl/>
          </w:rPr>
          <w:t>ו</w:t>
        </w:r>
      </w:hyperlink>
      <w:r w:rsidRPr="0068414C">
        <w:rPr>
          <w:rFonts w:ascii="FrankRuehl" w:hAnsi="FrankRuehl" w:cs="FrankRuehl"/>
          <w:color w:val="0000FF"/>
          <w:rtl/>
        </w:rPr>
        <w:t xml:space="preserve">, </w:t>
      </w:r>
      <w:hyperlink r:id="rId15" w:history="1">
        <w:r w:rsidRPr="0068414C">
          <w:rPr>
            <w:rStyle w:val="Hyperlink"/>
            <w:rFonts w:ascii="FrankRuehl" w:hAnsi="FrankRuehl" w:cs="FrankRuehl"/>
            <w:u w:val="none"/>
          </w:rPr>
          <w:t>40</w:t>
        </w:r>
        <w:r w:rsidRPr="0068414C">
          <w:rPr>
            <w:rStyle w:val="Hyperlink"/>
            <w:rFonts w:ascii="FrankRuehl" w:hAnsi="FrankRuehl" w:cs="FrankRuehl"/>
            <w:u w:val="none"/>
            <w:rtl/>
          </w:rPr>
          <w:t>ז</w:t>
        </w:r>
      </w:hyperlink>
      <w:r w:rsidRPr="0068414C">
        <w:rPr>
          <w:rFonts w:ascii="FrankRuehl" w:hAnsi="FrankRuehl" w:cs="FrankRuehl"/>
          <w:color w:val="0000FF"/>
          <w:rtl/>
        </w:rPr>
        <w:t xml:space="preserve">, </w:t>
      </w:r>
      <w:hyperlink r:id="rId16" w:history="1">
        <w:r w:rsidRPr="0068414C">
          <w:rPr>
            <w:rStyle w:val="Hyperlink"/>
            <w:rFonts w:ascii="FrankRuehl" w:hAnsi="FrankRuehl" w:cs="FrankRuehl"/>
            <w:u w:val="none"/>
          </w:rPr>
          <w:t>40</w:t>
        </w:r>
        <w:r w:rsidRPr="0068414C">
          <w:rPr>
            <w:rStyle w:val="Hyperlink"/>
            <w:rFonts w:ascii="FrankRuehl" w:hAnsi="FrankRuehl" w:cs="FrankRuehl"/>
            <w:u w:val="none"/>
            <w:rtl/>
          </w:rPr>
          <w:t>ח</w:t>
        </w:r>
      </w:hyperlink>
      <w:r w:rsidRPr="0068414C">
        <w:rPr>
          <w:rFonts w:ascii="FrankRuehl" w:hAnsi="FrankRuehl" w:cs="FrankRuehl"/>
          <w:color w:val="0000FF"/>
          <w:rtl/>
        </w:rPr>
        <w:t xml:space="preserve">, </w:t>
      </w:r>
      <w:hyperlink r:id="rId17" w:history="1">
        <w:r w:rsidRPr="0068414C">
          <w:rPr>
            <w:rStyle w:val="Hyperlink"/>
            <w:rFonts w:ascii="FrankRuehl" w:hAnsi="FrankRuehl" w:cs="FrankRuehl"/>
            <w:u w:val="none"/>
          </w:rPr>
          <w:t>40</w:t>
        </w:r>
        <w:r w:rsidRPr="0068414C">
          <w:rPr>
            <w:rStyle w:val="Hyperlink"/>
            <w:rFonts w:ascii="FrankRuehl" w:hAnsi="FrankRuehl" w:cs="FrankRuehl"/>
            <w:u w:val="none"/>
            <w:rtl/>
          </w:rPr>
          <w:t>ט</w:t>
        </w:r>
      </w:hyperlink>
      <w:r w:rsidRPr="0068414C">
        <w:rPr>
          <w:rFonts w:ascii="FrankRuehl" w:hAnsi="FrankRuehl" w:cs="FrankRuehl"/>
          <w:color w:val="0000FF"/>
          <w:rtl/>
        </w:rPr>
        <w:t xml:space="preserve">, </w:t>
      </w:r>
      <w:hyperlink r:id="rId18" w:history="1">
        <w:r w:rsidRPr="0068414C">
          <w:rPr>
            <w:rStyle w:val="Hyperlink"/>
            <w:rFonts w:ascii="FrankRuehl" w:hAnsi="FrankRuehl" w:cs="FrankRuehl"/>
            <w:u w:val="none"/>
          </w:rPr>
          <w:t>40</w:t>
        </w:r>
        <w:r w:rsidRPr="0068414C">
          <w:rPr>
            <w:rStyle w:val="Hyperlink"/>
            <w:rFonts w:ascii="FrankRuehl" w:hAnsi="FrankRuehl" w:cs="FrankRuehl"/>
            <w:u w:val="none"/>
            <w:rtl/>
          </w:rPr>
          <w:t>י</w:t>
        </w:r>
      </w:hyperlink>
      <w:r w:rsidRPr="0068414C">
        <w:rPr>
          <w:rFonts w:ascii="FrankRuehl" w:hAnsi="FrankRuehl" w:cs="FrankRuehl"/>
          <w:color w:val="0000FF"/>
          <w:rtl/>
        </w:rPr>
        <w:t xml:space="preserve">, </w:t>
      </w:r>
      <w:hyperlink r:id="rId19" w:history="1">
        <w:r w:rsidRPr="0068414C">
          <w:rPr>
            <w:rStyle w:val="Hyperlink"/>
            <w:rFonts w:ascii="FrankRuehl" w:hAnsi="FrankRuehl" w:cs="FrankRuehl"/>
            <w:u w:val="none"/>
          </w:rPr>
          <w:t>144</w:t>
        </w:r>
      </w:hyperlink>
      <w:r w:rsidRPr="0068414C">
        <w:rPr>
          <w:rFonts w:ascii="FrankRuehl" w:hAnsi="FrankRuehl" w:cs="FrankRuehl"/>
          <w:color w:val="0000FF"/>
          <w:rtl/>
        </w:rPr>
        <w:t xml:space="preserve">(ב), </w:t>
      </w:r>
      <w:hyperlink r:id="rId20" w:history="1">
        <w:r w:rsidRPr="0068414C">
          <w:rPr>
            <w:rStyle w:val="Hyperlink"/>
            <w:rFonts w:ascii="FrankRuehl" w:hAnsi="FrankRuehl" w:cs="FrankRuehl"/>
            <w:u w:val="none"/>
          </w:rPr>
          <w:t>144</w:t>
        </w:r>
      </w:hyperlink>
      <w:r w:rsidRPr="0068414C">
        <w:rPr>
          <w:rFonts w:ascii="FrankRuehl" w:hAnsi="FrankRuehl" w:cs="FrankRuehl"/>
          <w:color w:val="0000FF"/>
          <w:rtl/>
        </w:rPr>
        <w:t xml:space="preserve">(ז), </w:t>
      </w:r>
      <w:hyperlink r:id="rId21" w:history="1">
        <w:r w:rsidRPr="0068414C">
          <w:rPr>
            <w:rStyle w:val="Hyperlink"/>
            <w:rFonts w:ascii="FrankRuehl" w:hAnsi="FrankRuehl" w:cs="FrankRuehl"/>
            <w:u w:val="none"/>
          </w:rPr>
          <w:t>273</w:t>
        </w:r>
      </w:hyperlink>
      <w:r w:rsidRPr="0068414C">
        <w:rPr>
          <w:rFonts w:ascii="FrankRuehl" w:hAnsi="FrankRuehl" w:cs="FrankRuehl"/>
          <w:color w:val="0000FF"/>
          <w:rtl/>
        </w:rPr>
        <w:t xml:space="preserve">, </w:t>
      </w:r>
      <w:hyperlink r:id="rId22" w:history="1">
        <w:r w:rsidRPr="0068414C">
          <w:rPr>
            <w:rStyle w:val="Hyperlink"/>
            <w:rFonts w:ascii="FrankRuehl" w:hAnsi="FrankRuehl" w:cs="FrankRuehl"/>
            <w:u w:val="none"/>
          </w:rPr>
          <w:t>40</w:t>
        </w:r>
        <w:r w:rsidRPr="0068414C">
          <w:rPr>
            <w:rStyle w:val="Hyperlink"/>
            <w:rFonts w:ascii="FrankRuehl" w:hAnsi="FrankRuehl" w:cs="FrankRuehl"/>
            <w:u w:val="none"/>
            <w:rtl/>
          </w:rPr>
          <w:t>טו</w:t>
        </w:r>
      </w:hyperlink>
      <w:r w:rsidRPr="0068414C">
        <w:rPr>
          <w:rFonts w:ascii="FrankRuehl" w:hAnsi="FrankRuehl" w:cs="FrankRuehl"/>
          <w:color w:val="0000FF"/>
          <w:rtl/>
        </w:rPr>
        <w:t xml:space="preserve">, </w:t>
      </w:r>
      <w:hyperlink r:id="rId23" w:history="1">
        <w:r w:rsidRPr="0068414C">
          <w:rPr>
            <w:rStyle w:val="Hyperlink"/>
            <w:rFonts w:ascii="FrankRuehl" w:hAnsi="FrankRuehl" w:cs="FrankRuehl"/>
            <w:u w:val="none"/>
          </w:rPr>
          <w:t>40</w:t>
        </w:r>
        <w:r w:rsidRPr="0068414C">
          <w:rPr>
            <w:rStyle w:val="Hyperlink"/>
            <w:rFonts w:ascii="FrankRuehl" w:hAnsi="FrankRuehl" w:cs="FrankRuehl"/>
            <w:u w:val="none"/>
            <w:rtl/>
          </w:rPr>
          <w:t>יא</w:t>
        </w:r>
      </w:hyperlink>
      <w:r w:rsidRPr="0068414C">
        <w:rPr>
          <w:rFonts w:ascii="FrankRuehl" w:hAnsi="FrankRuehl" w:cs="FrankRuehl"/>
          <w:color w:val="0000FF"/>
          <w:rtl/>
        </w:rPr>
        <w:t xml:space="preserve">, </w:t>
      </w:r>
      <w:hyperlink r:id="rId24" w:history="1">
        <w:r w:rsidRPr="0068414C">
          <w:rPr>
            <w:rStyle w:val="Hyperlink"/>
            <w:rFonts w:ascii="FrankRuehl" w:hAnsi="FrankRuehl" w:cs="FrankRuehl"/>
            <w:u w:val="none"/>
          </w:rPr>
          <w:t>40</w:t>
        </w:r>
        <w:r w:rsidRPr="0068414C">
          <w:rPr>
            <w:rStyle w:val="Hyperlink"/>
            <w:rFonts w:ascii="FrankRuehl" w:hAnsi="FrankRuehl" w:cs="FrankRuehl"/>
            <w:u w:val="none"/>
            <w:rtl/>
          </w:rPr>
          <w:t>יב</w:t>
        </w:r>
      </w:hyperlink>
      <w:r w:rsidRPr="0068414C">
        <w:rPr>
          <w:rFonts w:ascii="FrankRuehl" w:hAnsi="FrankRuehl" w:cs="FrankRuehl"/>
          <w:color w:val="0000FF"/>
          <w:rtl/>
        </w:rPr>
        <w:t xml:space="preserve">, </w:t>
      </w:r>
      <w:hyperlink r:id="rId25" w:history="1">
        <w:r w:rsidRPr="0068414C">
          <w:rPr>
            <w:rStyle w:val="Hyperlink"/>
            <w:rFonts w:ascii="FrankRuehl" w:hAnsi="FrankRuehl" w:cs="FrankRuehl"/>
            <w:u w:val="none"/>
          </w:rPr>
          <w:t>40</w:t>
        </w:r>
        <w:r w:rsidRPr="0068414C">
          <w:rPr>
            <w:rStyle w:val="Hyperlink"/>
            <w:rFonts w:ascii="FrankRuehl" w:hAnsi="FrankRuehl" w:cs="FrankRuehl"/>
            <w:u w:val="none"/>
            <w:rtl/>
          </w:rPr>
          <w:t>יג</w:t>
        </w:r>
      </w:hyperlink>
      <w:r w:rsidRPr="0068414C">
        <w:rPr>
          <w:rFonts w:ascii="FrankRuehl" w:hAnsi="FrankRuehl" w:cs="FrankRuehl"/>
          <w:color w:val="0000FF"/>
          <w:rtl/>
        </w:rPr>
        <w:t xml:space="preserve">, </w:t>
      </w:r>
      <w:hyperlink r:id="rId26" w:history="1">
        <w:r w:rsidRPr="0068414C">
          <w:rPr>
            <w:rStyle w:val="Hyperlink"/>
            <w:rFonts w:ascii="FrankRuehl" w:hAnsi="FrankRuehl" w:cs="FrankRuehl"/>
            <w:u w:val="none"/>
          </w:rPr>
          <w:t>40</w:t>
        </w:r>
        <w:r w:rsidRPr="0068414C">
          <w:rPr>
            <w:rStyle w:val="Hyperlink"/>
            <w:rFonts w:ascii="FrankRuehl" w:hAnsi="FrankRuehl" w:cs="FrankRuehl"/>
            <w:u w:val="none"/>
            <w:rtl/>
          </w:rPr>
          <w:t>יד</w:t>
        </w:r>
      </w:hyperlink>
    </w:p>
    <w:p w14:paraId="4C083D79" w14:textId="77777777" w:rsidR="005335DC" w:rsidRPr="0068414C" w:rsidRDefault="005335DC" w:rsidP="0068414C">
      <w:pPr>
        <w:spacing w:line="360" w:lineRule="auto"/>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35DC" w:rsidRPr="00ED06BB" w14:paraId="6980C3CB" w14:textId="77777777" w:rsidTr="005335DC">
        <w:trPr>
          <w:trHeight w:val="355"/>
          <w:jc w:val="center"/>
        </w:trPr>
        <w:tc>
          <w:tcPr>
            <w:tcW w:w="8820" w:type="dxa"/>
            <w:tcBorders>
              <w:top w:val="nil"/>
              <w:left w:val="nil"/>
              <w:bottom w:val="nil"/>
              <w:right w:val="nil"/>
            </w:tcBorders>
            <w:shd w:val="clear" w:color="auto" w:fill="auto"/>
          </w:tcPr>
          <w:p w14:paraId="732B29D0" w14:textId="77777777" w:rsidR="00042CC6" w:rsidRPr="00042CC6" w:rsidRDefault="00042CC6" w:rsidP="00042CC6">
            <w:pPr>
              <w:spacing w:line="360" w:lineRule="auto"/>
              <w:jc w:val="center"/>
              <w:rPr>
                <w:rFonts w:ascii="David" w:hAnsi="David"/>
                <w:bCs/>
                <w:sz w:val="32"/>
                <w:szCs w:val="32"/>
                <w:u w:val="single"/>
                <w:rtl/>
              </w:rPr>
            </w:pPr>
            <w:bookmarkStart w:id="5" w:name="PsakDin" w:colFirst="0" w:colLast="0"/>
            <w:bookmarkEnd w:id="0"/>
            <w:r w:rsidRPr="00042CC6">
              <w:rPr>
                <w:rFonts w:ascii="David" w:hAnsi="David"/>
                <w:bCs/>
                <w:sz w:val="32"/>
                <w:szCs w:val="32"/>
                <w:u w:val="single"/>
                <w:rtl/>
              </w:rPr>
              <w:t>גזר דין</w:t>
            </w:r>
          </w:p>
          <w:p w14:paraId="59F00F1D" w14:textId="77777777" w:rsidR="005335DC" w:rsidRPr="00042CC6" w:rsidRDefault="005335DC" w:rsidP="00042CC6">
            <w:pPr>
              <w:spacing w:line="360" w:lineRule="auto"/>
              <w:jc w:val="center"/>
              <w:rPr>
                <w:rFonts w:ascii="David" w:hAnsi="David"/>
                <w:bCs/>
                <w:sz w:val="32"/>
                <w:szCs w:val="32"/>
                <w:u w:val="single"/>
                <w:rtl/>
              </w:rPr>
            </w:pPr>
          </w:p>
        </w:tc>
      </w:tr>
      <w:bookmarkEnd w:id="5"/>
    </w:tbl>
    <w:p w14:paraId="0BE4310B" w14:textId="77777777" w:rsidR="005335DC" w:rsidRPr="00ED06BB" w:rsidRDefault="005335DC" w:rsidP="005335DC">
      <w:pPr>
        <w:spacing w:line="360" w:lineRule="auto"/>
        <w:rPr>
          <w:rFonts w:ascii="Arial" w:hAnsi="Arial"/>
          <w:sz w:val="26"/>
          <w:szCs w:val="26"/>
          <w:rtl/>
        </w:rPr>
      </w:pPr>
    </w:p>
    <w:p w14:paraId="4C3A34DC" w14:textId="77777777" w:rsidR="005335DC" w:rsidRPr="00ED06BB" w:rsidRDefault="005335DC" w:rsidP="005335DC">
      <w:pPr>
        <w:spacing w:line="360" w:lineRule="auto"/>
        <w:rPr>
          <w:rFonts w:ascii="Arial" w:hAnsi="Arial"/>
          <w:b/>
          <w:bCs/>
          <w:sz w:val="26"/>
          <w:szCs w:val="26"/>
          <w:u w:val="single"/>
        </w:rPr>
      </w:pPr>
      <w:r w:rsidRPr="00ED06BB">
        <w:rPr>
          <w:rFonts w:ascii="Arial" w:hAnsi="Arial"/>
          <w:b/>
          <w:bCs/>
          <w:sz w:val="26"/>
          <w:szCs w:val="26"/>
          <w:u w:val="single"/>
          <w:rtl/>
        </w:rPr>
        <w:t>רקע:</w:t>
      </w:r>
    </w:p>
    <w:p w14:paraId="700AA8CC" w14:textId="77777777" w:rsidR="005335DC" w:rsidRPr="00ED06BB" w:rsidRDefault="005335DC" w:rsidP="005335DC">
      <w:pPr>
        <w:numPr>
          <w:ilvl w:val="0"/>
          <w:numId w:val="1"/>
        </w:numPr>
        <w:spacing w:line="360" w:lineRule="auto"/>
        <w:jc w:val="both"/>
        <w:rPr>
          <w:rFonts w:ascii="Arial" w:hAnsi="Arial"/>
          <w:sz w:val="26"/>
          <w:szCs w:val="26"/>
        </w:rPr>
      </w:pPr>
      <w:bookmarkStart w:id="6" w:name="ABSTRACT_START"/>
      <w:bookmarkEnd w:id="6"/>
      <w:r w:rsidRPr="00ED06BB">
        <w:rPr>
          <w:rFonts w:ascii="Arial" w:hAnsi="Arial"/>
          <w:sz w:val="26"/>
          <w:szCs w:val="26"/>
          <w:rtl/>
        </w:rPr>
        <w:t xml:space="preserve">הנאשם, יליד שנת 1996, הורשע על פי הודאתו, במסגרת הסדר טיעון, בכתב אישום מתוקן. על פי כתב האישום המתוקן, הורשע הנאשם בעבירה בנשק (נשיאה)- עבירה לפי </w:t>
      </w:r>
      <w:hyperlink r:id="rId27" w:history="1">
        <w:r w:rsidR="0068414C" w:rsidRPr="0068414C">
          <w:rPr>
            <w:rStyle w:val="Hyperlink"/>
            <w:rFonts w:ascii="Arial" w:hAnsi="Arial"/>
            <w:color w:val="0000FF"/>
            <w:sz w:val="26"/>
            <w:szCs w:val="26"/>
            <w:rtl/>
          </w:rPr>
          <w:t>סעיף 144(ב)</w:t>
        </w:r>
      </w:hyperlink>
      <w:r w:rsidRPr="00ED06BB">
        <w:rPr>
          <w:rFonts w:ascii="Arial" w:hAnsi="Arial"/>
          <w:sz w:val="26"/>
          <w:szCs w:val="26"/>
          <w:rtl/>
        </w:rPr>
        <w:t xml:space="preserve"> (רישא וסיפא) ל</w:t>
      </w:r>
      <w:hyperlink r:id="rId28" w:history="1">
        <w:r w:rsidR="00042CC6" w:rsidRPr="00042CC6">
          <w:rPr>
            <w:rFonts w:ascii="Arial" w:hAnsi="Arial"/>
            <w:b/>
            <w:bCs/>
            <w:color w:val="0000FF"/>
            <w:sz w:val="26"/>
            <w:szCs w:val="26"/>
            <w:u w:val="single"/>
            <w:rtl/>
          </w:rPr>
          <w:t>חוק העונשין</w:t>
        </w:r>
      </w:hyperlink>
      <w:r w:rsidRPr="00ED06BB">
        <w:rPr>
          <w:rFonts w:ascii="Arial" w:hAnsi="Arial"/>
          <w:sz w:val="26"/>
          <w:szCs w:val="26"/>
          <w:rtl/>
        </w:rPr>
        <w:t>, תשל"ז – 1977 (להלן: "</w:t>
      </w:r>
      <w:r w:rsidRPr="00ED06BB">
        <w:rPr>
          <w:rFonts w:ascii="Arial" w:hAnsi="Arial"/>
          <w:b/>
          <w:bCs/>
          <w:sz w:val="26"/>
          <w:szCs w:val="26"/>
          <w:rtl/>
        </w:rPr>
        <w:t>חוק העונשין</w:t>
      </w:r>
      <w:r w:rsidRPr="00ED06BB">
        <w:rPr>
          <w:rFonts w:ascii="Arial" w:hAnsi="Arial"/>
          <w:sz w:val="26"/>
          <w:szCs w:val="26"/>
          <w:rtl/>
        </w:rPr>
        <w:t xml:space="preserve">") וכן בעבירה של ניסיון תקיפת שוטר, עבירה לפי </w:t>
      </w:r>
      <w:hyperlink r:id="rId29" w:history="1">
        <w:r w:rsidR="0068414C" w:rsidRPr="0068414C">
          <w:rPr>
            <w:rStyle w:val="Hyperlink"/>
            <w:rFonts w:ascii="Arial" w:hAnsi="Arial"/>
            <w:color w:val="0000FF"/>
            <w:sz w:val="26"/>
            <w:szCs w:val="26"/>
            <w:rtl/>
          </w:rPr>
          <w:t>סעיף 273</w:t>
        </w:r>
      </w:hyperlink>
      <w:r w:rsidRPr="00ED06BB">
        <w:rPr>
          <w:rFonts w:ascii="Arial" w:hAnsi="Arial"/>
          <w:sz w:val="26"/>
          <w:szCs w:val="26"/>
          <w:rtl/>
        </w:rPr>
        <w:t xml:space="preserve"> + </w:t>
      </w:r>
      <w:hyperlink r:id="rId30" w:history="1">
        <w:r w:rsidR="0068414C" w:rsidRPr="0068414C">
          <w:rPr>
            <w:rStyle w:val="Hyperlink"/>
            <w:rFonts w:ascii="Arial" w:hAnsi="Arial"/>
            <w:color w:val="0000FF"/>
            <w:sz w:val="26"/>
            <w:szCs w:val="26"/>
            <w:rtl/>
          </w:rPr>
          <w:t>סעיף 25</w:t>
        </w:r>
      </w:hyperlink>
      <w:r w:rsidRPr="00ED06BB">
        <w:rPr>
          <w:rFonts w:ascii="Arial" w:hAnsi="Arial"/>
          <w:sz w:val="26"/>
          <w:szCs w:val="26"/>
          <w:rtl/>
        </w:rPr>
        <w:t xml:space="preserve"> לחוק העונשין. </w:t>
      </w:r>
    </w:p>
    <w:p w14:paraId="63FA81E2" w14:textId="77777777" w:rsidR="005335DC" w:rsidRPr="00ED06BB" w:rsidRDefault="005335DC" w:rsidP="005335DC">
      <w:pPr>
        <w:spacing w:line="360" w:lineRule="auto"/>
        <w:jc w:val="both"/>
        <w:rPr>
          <w:rFonts w:ascii="Arial" w:hAnsi="Arial"/>
          <w:sz w:val="26"/>
          <w:szCs w:val="26"/>
          <w:rtl/>
        </w:rPr>
      </w:pPr>
      <w:bookmarkStart w:id="7" w:name="ABSTRACT_END"/>
      <w:bookmarkEnd w:id="7"/>
    </w:p>
    <w:p w14:paraId="1C55AAF9"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lastRenderedPageBreak/>
        <w:t xml:space="preserve">הסדר הטיעון לא כלל הסכמה לעניין העונש. </w:t>
      </w:r>
    </w:p>
    <w:p w14:paraId="1D8CCD34" w14:textId="77777777" w:rsidR="005335DC" w:rsidRPr="00ED06BB" w:rsidRDefault="005335DC" w:rsidP="005335DC">
      <w:pPr>
        <w:spacing w:line="360" w:lineRule="auto"/>
        <w:jc w:val="both"/>
        <w:rPr>
          <w:rFonts w:ascii="Arial" w:hAnsi="Arial"/>
          <w:sz w:val="26"/>
          <w:szCs w:val="26"/>
          <w:rtl/>
        </w:rPr>
      </w:pPr>
    </w:p>
    <w:p w14:paraId="3DA906F4" w14:textId="77777777" w:rsidR="005335DC" w:rsidRPr="00ED06BB" w:rsidRDefault="005335DC" w:rsidP="005335DC">
      <w:pPr>
        <w:spacing w:line="360" w:lineRule="auto"/>
        <w:jc w:val="both"/>
        <w:rPr>
          <w:rFonts w:ascii="Arial" w:hAnsi="Arial"/>
          <w:b/>
          <w:bCs/>
          <w:sz w:val="26"/>
          <w:szCs w:val="26"/>
          <w:u w:val="single"/>
        </w:rPr>
      </w:pPr>
      <w:r w:rsidRPr="00ED06BB">
        <w:rPr>
          <w:rFonts w:ascii="Arial" w:hAnsi="Arial"/>
          <w:b/>
          <w:bCs/>
          <w:sz w:val="26"/>
          <w:szCs w:val="26"/>
          <w:u w:val="single"/>
          <w:rtl/>
        </w:rPr>
        <w:t>עובדות כתב האישום המתוקן:</w:t>
      </w:r>
    </w:p>
    <w:p w14:paraId="187C87EC"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על פי עובדות כתב האישום המתוקן, ביום 23.10.23, בסמוך לחצות, שהה הנאשם במבנה המצוי במתחם ביתו בכפר קרע (להלן: "מבנה"). אותה עת הגיעו למתחם שוטרים. הגעת השוטרים הייתה במטרה  לבצע צו חיפוש. על השוטרים נמנה השוטר ישראל אלמליח (להלן: "</w:t>
      </w:r>
      <w:r w:rsidRPr="00ED06BB">
        <w:rPr>
          <w:rFonts w:ascii="Arial" w:hAnsi="Arial"/>
          <w:b/>
          <w:bCs/>
          <w:sz w:val="26"/>
          <w:szCs w:val="26"/>
          <w:rtl/>
        </w:rPr>
        <w:t>השוטר</w:t>
      </w:r>
      <w:r w:rsidRPr="00ED06BB">
        <w:rPr>
          <w:rFonts w:ascii="Arial" w:hAnsi="Arial"/>
          <w:sz w:val="26"/>
          <w:szCs w:val="26"/>
          <w:rtl/>
        </w:rPr>
        <w:t>").</w:t>
      </w:r>
    </w:p>
    <w:p w14:paraId="7C7734EF" w14:textId="77777777" w:rsidR="005335DC" w:rsidRPr="00ED06BB" w:rsidRDefault="005335DC" w:rsidP="005335DC">
      <w:pPr>
        <w:spacing w:line="360" w:lineRule="auto"/>
        <w:jc w:val="both"/>
        <w:rPr>
          <w:rFonts w:ascii="Arial" w:hAnsi="Arial"/>
          <w:sz w:val="26"/>
          <w:szCs w:val="26"/>
          <w:rtl/>
        </w:rPr>
      </w:pPr>
    </w:p>
    <w:p w14:paraId="0436AA9E"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 xml:space="preserve">עת נכנס השוטר למבנה הבחין בו הנאשם אשר החל להימלט בריצה, תוך שהוא נושא רובה מסוג </w:t>
      </w:r>
      <w:r w:rsidRPr="00ED06BB">
        <w:rPr>
          <w:rFonts w:ascii="Arial" w:hAnsi="Arial"/>
          <w:sz w:val="26"/>
          <w:szCs w:val="26"/>
        </w:rPr>
        <w:t>M</w:t>
      </w:r>
      <w:r w:rsidRPr="00ED06BB">
        <w:rPr>
          <w:rFonts w:ascii="Arial" w:hAnsi="Arial"/>
          <w:sz w:val="26"/>
          <w:szCs w:val="26"/>
          <w:rtl/>
        </w:rPr>
        <w:t>-16 שמספרו הסידורי 8690034</w:t>
      </w:r>
      <w:r w:rsidRPr="00ED06BB">
        <w:rPr>
          <w:rFonts w:ascii="Arial" w:hAnsi="Arial"/>
          <w:sz w:val="26"/>
          <w:szCs w:val="26"/>
        </w:rPr>
        <w:t xml:space="preserve"> </w:t>
      </w:r>
      <w:r w:rsidRPr="00ED06BB">
        <w:rPr>
          <w:rFonts w:ascii="Arial" w:hAnsi="Arial"/>
          <w:sz w:val="26"/>
          <w:szCs w:val="26"/>
          <w:rtl/>
        </w:rPr>
        <w:t>(להלן: "הרובה"). עוד נשא עמו הנאשם שתי מחסניות תואמות (להלן: "</w:t>
      </w:r>
      <w:r w:rsidRPr="00ED06BB">
        <w:rPr>
          <w:rFonts w:ascii="Arial" w:hAnsi="Arial"/>
          <w:b/>
          <w:bCs/>
          <w:sz w:val="26"/>
          <w:szCs w:val="26"/>
          <w:rtl/>
        </w:rPr>
        <w:t>המחסניות</w:t>
      </w:r>
      <w:r w:rsidRPr="00ED06BB">
        <w:rPr>
          <w:rFonts w:ascii="Arial" w:hAnsi="Arial"/>
          <w:sz w:val="26"/>
          <w:szCs w:val="26"/>
          <w:rtl/>
        </w:rPr>
        <w:t>"). הנאשם נשא את הרובה והמחסניות ללא רשות על פי דין.</w:t>
      </w:r>
    </w:p>
    <w:p w14:paraId="403C1131" w14:textId="77777777" w:rsidR="005335DC" w:rsidRPr="00ED06BB" w:rsidRDefault="005335DC" w:rsidP="005335DC">
      <w:pPr>
        <w:spacing w:line="360" w:lineRule="auto"/>
        <w:jc w:val="both"/>
        <w:rPr>
          <w:rFonts w:ascii="Arial" w:hAnsi="Arial"/>
          <w:sz w:val="26"/>
          <w:szCs w:val="26"/>
          <w:rtl/>
        </w:rPr>
      </w:pPr>
    </w:p>
    <w:p w14:paraId="5B6C5B91"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נטען בכתב האישום, כי הרובה הוא כלי שביכולתו לירות כדור, שבכוחו להרוג אדם (להלן: "</w:t>
      </w:r>
      <w:r w:rsidRPr="00ED06BB">
        <w:rPr>
          <w:rFonts w:ascii="Arial" w:hAnsi="Arial"/>
          <w:b/>
          <w:bCs/>
          <w:sz w:val="26"/>
          <w:szCs w:val="26"/>
          <w:rtl/>
        </w:rPr>
        <w:t>נשק</w:t>
      </w:r>
      <w:r w:rsidRPr="00ED06BB">
        <w:rPr>
          <w:rFonts w:ascii="Arial" w:hAnsi="Arial"/>
          <w:sz w:val="26"/>
          <w:szCs w:val="26"/>
          <w:rtl/>
        </w:rPr>
        <w:t xml:space="preserve">")  והמחסניות מהוות אביזר לנשק. </w:t>
      </w:r>
    </w:p>
    <w:p w14:paraId="6701B08D" w14:textId="77777777" w:rsidR="005335DC" w:rsidRPr="00ED06BB" w:rsidRDefault="005335DC" w:rsidP="005335DC">
      <w:pPr>
        <w:spacing w:line="360" w:lineRule="auto"/>
        <w:jc w:val="both"/>
        <w:rPr>
          <w:rFonts w:ascii="Arial" w:hAnsi="Arial"/>
          <w:sz w:val="26"/>
          <w:szCs w:val="26"/>
          <w:rtl/>
        </w:rPr>
      </w:pPr>
    </w:p>
    <w:p w14:paraId="46DEFA1F"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השוטר דלק אחר הנאשם ותפס אותו בכתפיו. הנאשם, בתגובה, זרק את הרובה והמחסניות ובהמשך ניסה, באמצעות נגיחה, לתקוף את השוטר אשר מילא את תפקידו כחוק. על מנת לעצור את הנאשם נאלץ השוטר להפעיל כוח כחוק. דא עקא, כל העת התנגד הנאשם למעצרו וניסה לדחוף את השוטר ולבעוט בו.</w:t>
      </w:r>
    </w:p>
    <w:p w14:paraId="732E5C7D" w14:textId="77777777" w:rsidR="005335DC" w:rsidRPr="00ED06BB" w:rsidRDefault="005335DC" w:rsidP="005335DC">
      <w:pPr>
        <w:spacing w:line="360" w:lineRule="auto"/>
        <w:jc w:val="both"/>
        <w:rPr>
          <w:rFonts w:ascii="Arial" w:hAnsi="Arial"/>
          <w:sz w:val="26"/>
          <w:szCs w:val="26"/>
          <w:u w:val="single"/>
          <w:rtl/>
        </w:rPr>
      </w:pPr>
    </w:p>
    <w:p w14:paraId="549F1075" w14:textId="77777777" w:rsidR="005335DC" w:rsidRPr="00ED06BB" w:rsidRDefault="005335DC" w:rsidP="005335DC">
      <w:pPr>
        <w:spacing w:line="360" w:lineRule="auto"/>
        <w:jc w:val="both"/>
        <w:rPr>
          <w:rFonts w:ascii="Arial" w:hAnsi="Arial"/>
          <w:b/>
          <w:bCs/>
          <w:sz w:val="26"/>
          <w:szCs w:val="26"/>
          <w:u w:val="single"/>
          <w:rtl/>
        </w:rPr>
      </w:pPr>
      <w:r w:rsidRPr="00ED06BB">
        <w:rPr>
          <w:rFonts w:ascii="Arial" w:hAnsi="Arial"/>
          <w:b/>
          <w:bCs/>
          <w:sz w:val="26"/>
          <w:szCs w:val="26"/>
          <w:u w:val="single"/>
          <w:rtl/>
        </w:rPr>
        <w:t>ראיות לעונש:</w:t>
      </w:r>
    </w:p>
    <w:p w14:paraId="75474BD1" w14:textId="77777777" w:rsidR="005335DC" w:rsidRDefault="005335DC" w:rsidP="005335DC">
      <w:pPr>
        <w:numPr>
          <w:ilvl w:val="0"/>
          <w:numId w:val="1"/>
        </w:numPr>
        <w:spacing w:line="360" w:lineRule="auto"/>
        <w:jc w:val="both"/>
        <w:rPr>
          <w:rFonts w:ascii="Arial" w:hAnsi="Arial"/>
          <w:sz w:val="26"/>
          <w:szCs w:val="26"/>
        </w:rPr>
      </w:pPr>
      <w:r w:rsidRPr="00ED06BB">
        <w:rPr>
          <w:rFonts w:ascii="Arial" w:hAnsi="Arial"/>
          <w:sz w:val="26"/>
          <w:szCs w:val="26"/>
          <w:rtl/>
        </w:rPr>
        <w:t xml:space="preserve">מטעם המאשימה הוגש תדפיס מידע פלילי (מ/1) ממנו עולה, כי הנאשם נעדר הרשעות קודמות. עוד עולה מתדפיס המידע הפלילי, כי נגד הנאשם הוגשו בעבר שני כתבי אישום, תוך שנקבע שהנאשם אינו מסוגל לעמוד לדין עקב מחלת נפש והוצא, בהתאמה, צו אשפוז לתקופות של שלוש וארבע שנים. </w:t>
      </w:r>
    </w:p>
    <w:p w14:paraId="4B347FAB" w14:textId="77777777" w:rsidR="005335DC" w:rsidRPr="00ED06BB" w:rsidRDefault="005335DC" w:rsidP="005335DC">
      <w:pPr>
        <w:spacing w:line="360" w:lineRule="auto"/>
        <w:ind w:left="927"/>
        <w:jc w:val="both"/>
        <w:rPr>
          <w:rFonts w:ascii="Arial" w:hAnsi="Arial"/>
          <w:sz w:val="26"/>
          <w:szCs w:val="26"/>
          <w:rtl/>
        </w:rPr>
      </w:pPr>
    </w:p>
    <w:p w14:paraId="3812AEF2"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 xml:space="preserve">מטעם הנאשם הוגשה אסופת מסמכים רפואיים המלמדת על לקות נפשית וכן אישור המל"ל אודות נכות צמיתה עקב הלקות בשיעור של 50%. עולה מאסופת המסמכים שהלקות הנפשית היא על רקע צריכת סמים. </w:t>
      </w:r>
    </w:p>
    <w:p w14:paraId="3FCE3C00" w14:textId="77777777" w:rsidR="005335DC" w:rsidRPr="00ED06BB" w:rsidRDefault="005335DC" w:rsidP="005335DC">
      <w:pPr>
        <w:spacing w:line="360" w:lineRule="auto"/>
        <w:jc w:val="both"/>
        <w:rPr>
          <w:rFonts w:ascii="Arial" w:hAnsi="Arial"/>
          <w:sz w:val="26"/>
          <w:szCs w:val="26"/>
          <w:rtl/>
        </w:rPr>
      </w:pPr>
    </w:p>
    <w:p w14:paraId="65E0ADC8" w14:textId="77777777" w:rsidR="005335DC" w:rsidRPr="00ED06BB" w:rsidRDefault="005335DC" w:rsidP="005335DC">
      <w:pPr>
        <w:spacing w:line="360" w:lineRule="auto"/>
        <w:ind w:left="720"/>
        <w:jc w:val="both"/>
        <w:rPr>
          <w:rFonts w:ascii="Arial" w:hAnsi="Arial"/>
          <w:sz w:val="26"/>
          <w:szCs w:val="26"/>
          <w:rtl/>
        </w:rPr>
      </w:pPr>
      <w:r w:rsidRPr="00ED06BB">
        <w:rPr>
          <w:rFonts w:ascii="Arial" w:hAnsi="Arial"/>
          <w:sz w:val="26"/>
          <w:szCs w:val="26"/>
          <w:rtl/>
        </w:rPr>
        <w:lastRenderedPageBreak/>
        <w:t xml:space="preserve">עוד צרף הנאשם מסמך רפואי (נ/3) ממנו, לטענתו, עולה שתוך כדי המעצר נשברה אחת משיניו. </w:t>
      </w:r>
    </w:p>
    <w:p w14:paraId="7777AD11" w14:textId="77777777" w:rsidR="005335DC" w:rsidRPr="00ED06BB" w:rsidRDefault="005335DC" w:rsidP="005335DC">
      <w:pPr>
        <w:spacing w:line="360" w:lineRule="auto"/>
        <w:jc w:val="both"/>
        <w:rPr>
          <w:rFonts w:ascii="Arial" w:hAnsi="Arial"/>
          <w:sz w:val="26"/>
          <w:szCs w:val="26"/>
          <w:u w:val="single"/>
          <w:rtl/>
        </w:rPr>
      </w:pPr>
    </w:p>
    <w:p w14:paraId="45375618" w14:textId="77777777" w:rsidR="005335DC" w:rsidRPr="00ED06BB" w:rsidRDefault="005335DC" w:rsidP="005335DC">
      <w:pPr>
        <w:spacing w:line="360" w:lineRule="auto"/>
        <w:jc w:val="both"/>
        <w:rPr>
          <w:rFonts w:ascii="Arial" w:hAnsi="Arial"/>
          <w:b/>
          <w:bCs/>
          <w:sz w:val="26"/>
          <w:szCs w:val="26"/>
          <w:u w:val="single"/>
          <w:rtl/>
        </w:rPr>
      </w:pPr>
      <w:r w:rsidRPr="00ED06BB">
        <w:rPr>
          <w:rFonts w:ascii="Arial" w:hAnsi="Arial"/>
          <w:b/>
          <w:bCs/>
          <w:sz w:val="26"/>
          <w:szCs w:val="26"/>
          <w:u w:val="single"/>
          <w:rtl/>
        </w:rPr>
        <w:t xml:space="preserve">טיעוני המאשימה לעניין העונש: </w:t>
      </w:r>
    </w:p>
    <w:p w14:paraId="76EEA65D"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בטיעוניה, עמדה המאשימה על חומרת העבירות בהן הורשע הנאשם ומגמת ההחמרה בענישה המובלת על ידי בית המשפט העליון ועל ידי המחוקק, אשר בתיקון 140 ל</w:t>
      </w:r>
      <w:hyperlink r:id="rId31" w:history="1">
        <w:r w:rsidR="00042CC6" w:rsidRPr="00042CC6">
          <w:rPr>
            <w:rFonts w:ascii="Arial" w:hAnsi="Arial"/>
            <w:color w:val="0000FF"/>
            <w:sz w:val="26"/>
            <w:szCs w:val="26"/>
            <w:u w:val="single"/>
            <w:rtl/>
          </w:rPr>
          <w:t>חוק העונשין</w:t>
        </w:r>
      </w:hyperlink>
      <w:r w:rsidRPr="00ED06BB">
        <w:rPr>
          <w:rFonts w:ascii="Arial" w:hAnsi="Arial"/>
          <w:sz w:val="26"/>
          <w:szCs w:val="26"/>
          <w:rtl/>
        </w:rPr>
        <w:t xml:space="preserve"> קבע עונש מזערי בעבירות נשק. </w:t>
      </w:r>
    </w:p>
    <w:p w14:paraId="3C714136" w14:textId="77777777" w:rsidR="005335DC" w:rsidRPr="00ED06BB" w:rsidRDefault="005335DC" w:rsidP="005335DC">
      <w:pPr>
        <w:spacing w:line="360" w:lineRule="auto"/>
        <w:jc w:val="both"/>
        <w:rPr>
          <w:rFonts w:ascii="Arial" w:hAnsi="Arial"/>
          <w:sz w:val="26"/>
          <w:szCs w:val="26"/>
          <w:rtl/>
        </w:rPr>
      </w:pPr>
    </w:p>
    <w:p w14:paraId="5FDF7F2B"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בטיעוניה, הדגישה המאשימה את הנזק העצום לגוף ולרכוש הנובע מעבירות נשק וכן את העובדה שעבירות נשק הפכו למכת מדינה של ממש.</w:t>
      </w:r>
    </w:p>
    <w:p w14:paraId="1C1E8A90" w14:textId="77777777" w:rsidR="005335DC" w:rsidRPr="00ED06BB" w:rsidRDefault="005335DC" w:rsidP="005335DC">
      <w:pPr>
        <w:spacing w:line="360" w:lineRule="auto"/>
        <w:jc w:val="both"/>
        <w:rPr>
          <w:rFonts w:ascii="Arial" w:hAnsi="Arial"/>
          <w:sz w:val="26"/>
          <w:szCs w:val="26"/>
          <w:rtl/>
        </w:rPr>
      </w:pPr>
    </w:p>
    <w:p w14:paraId="5AB6660A"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בכל הנוגע לעניינו הפרטני של הנאשם, מפנה המאשימה לכך שהנאשם ביצע את העבירות לבדו.</w:t>
      </w:r>
    </w:p>
    <w:p w14:paraId="22758286" w14:textId="77777777" w:rsidR="005335DC" w:rsidRDefault="005335DC" w:rsidP="005335DC">
      <w:pPr>
        <w:spacing w:line="360" w:lineRule="auto"/>
        <w:jc w:val="both"/>
        <w:rPr>
          <w:rFonts w:ascii="Arial" w:hAnsi="Arial"/>
          <w:sz w:val="26"/>
          <w:szCs w:val="26"/>
          <w:rtl/>
        </w:rPr>
      </w:pPr>
    </w:p>
    <w:p w14:paraId="111D0FF2"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 xml:space="preserve">באשר לנסיבות שאינן קשורות לביצוע העבירה, לא התעלמה המאשימה מהעדר עבר פלילי וכן מהודאת הנאשם, בהזדמנות הראשונה, בעובדות כתב האישום המתוקן ובחיסכון בזמן הנובע מכך ונטילת האחריות המשתמעת. </w:t>
      </w:r>
    </w:p>
    <w:p w14:paraId="22F97269" w14:textId="77777777" w:rsidR="005335DC" w:rsidRPr="00ED06BB" w:rsidRDefault="005335DC" w:rsidP="005335DC">
      <w:pPr>
        <w:spacing w:line="360" w:lineRule="auto"/>
        <w:jc w:val="both"/>
        <w:rPr>
          <w:rFonts w:ascii="Arial" w:hAnsi="Arial"/>
          <w:sz w:val="26"/>
          <w:szCs w:val="26"/>
          <w:rtl/>
        </w:rPr>
      </w:pPr>
    </w:p>
    <w:p w14:paraId="56A6E229" w14:textId="77777777" w:rsidR="005335DC" w:rsidRPr="00ED06BB" w:rsidRDefault="005335DC" w:rsidP="005335DC">
      <w:pPr>
        <w:numPr>
          <w:ilvl w:val="0"/>
          <w:numId w:val="1"/>
        </w:numPr>
        <w:spacing w:line="360" w:lineRule="auto"/>
        <w:jc w:val="both"/>
        <w:rPr>
          <w:rFonts w:ascii="Arial" w:hAnsi="Arial"/>
          <w:sz w:val="26"/>
          <w:szCs w:val="26"/>
          <w:u w:val="single"/>
          <w:rtl/>
        </w:rPr>
      </w:pPr>
      <w:r w:rsidRPr="00ED06BB">
        <w:rPr>
          <w:rFonts w:ascii="Arial" w:hAnsi="Arial"/>
          <w:sz w:val="26"/>
          <w:szCs w:val="26"/>
          <w:rtl/>
        </w:rPr>
        <w:t>תוך הפניה לפסקי דין והנחיות פרקליט המדינה, טענה המאשימה שמתחם הענישה הראוי נע בין 34 – 60 חודשי מאסר לריצוי בפועל, זאת נוכח העבירה הנוספת של ניסיון תקיפת שוטר. בכל הנוגע לגזירת דינו של הנאשם ביקשה המאשימה למקם את עונשו של הנאשם ברף התחתון עד אמצעי של מתחם הענישה המבוקש. עוד עתרה המאשימה לענישה נלווית בדמות מאסר על תנאי וקנס כספי.</w:t>
      </w:r>
    </w:p>
    <w:p w14:paraId="5B3F2BB0" w14:textId="77777777" w:rsidR="005335DC" w:rsidRPr="00ED06BB" w:rsidRDefault="005335DC" w:rsidP="005335DC">
      <w:pPr>
        <w:spacing w:line="360" w:lineRule="auto"/>
        <w:jc w:val="both"/>
        <w:rPr>
          <w:rFonts w:ascii="Arial" w:hAnsi="Arial"/>
          <w:sz w:val="26"/>
          <w:szCs w:val="26"/>
          <w:u w:val="single"/>
          <w:rtl/>
        </w:rPr>
      </w:pPr>
    </w:p>
    <w:p w14:paraId="217BF540" w14:textId="77777777" w:rsidR="005335DC" w:rsidRPr="00ED06BB" w:rsidRDefault="005335DC" w:rsidP="005335DC">
      <w:pPr>
        <w:spacing w:line="360" w:lineRule="auto"/>
        <w:jc w:val="both"/>
        <w:rPr>
          <w:rFonts w:ascii="Arial" w:hAnsi="Arial"/>
          <w:b/>
          <w:bCs/>
          <w:sz w:val="26"/>
          <w:szCs w:val="26"/>
          <w:u w:val="single"/>
          <w:rtl/>
        </w:rPr>
      </w:pPr>
      <w:r w:rsidRPr="00ED06BB">
        <w:rPr>
          <w:rFonts w:ascii="Arial" w:hAnsi="Arial"/>
          <w:b/>
          <w:bCs/>
          <w:sz w:val="26"/>
          <w:szCs w:val="26"/>
          <w:u w:val="single"/>
          <w:rtl/>
        </w:rPr>
        <w:t>טיעוני הנאשם:</w:t>
      </w:r>
    </w:p>
    <w:p w14:paraId="2B7C6AD3"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בטיעוניו, ביקש ב"כ הנאשם למקד את הענישה הראויה לעניינו הפרטי של הנאשם ונסיבותיו. על כן, הדגיש ב"כ הנאשם את גיל הנאשם שהוא כבן 28 שנים.</w:t>
      </w:r>
    </w:p>
    <w:p w14:paraId="5F1ADA92" w14:textId="77777777" w:rsidR="005335DC" w:rsidRPr="00ED06BB" w:rsidRDefault="005335DC" w:rsidP="005335DC">
      <w:pPr>
        <w:spacing w:line="360" w:lineRule="auto"/>
        <w:jc w:val="both"/>
        <w:rPr>
          <w:rFonts w:ascii="Arial" w:hAnsi="Arial"/>
          <w:sz w:val="26"/>
          <w:szCs w:val="26"/>
          <w:rtl/>
        </w:rPr>
      </w:pPr>
    </w:p>
    <w:p w14:paraId="243FFC8A"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 xml:space="preserve">עוד הדגיש ב"כ הנאשם שכתב האישום המתוקן מייחס לנאשם עבירה של נשיאת נשק בלבד, זאת בניגוד לאסופת הפסיקה עליה הסתמכה המאשימה שעניינה, לדבריו, החזקת והובלת נשק. עוד הדגיש הסנגור את העובדה העולה מכתב האישום המתוקן שנשיאת הנשק הייתה רגעית בלבד. </w:t>
      </w:r>
    </w:p>
    <w:p w14:paraId="45C80A62" w14:textId="77777777" w:rsidR="005335DC" w:rsidRPr="00ED06BB" w:rsidRDefault="005335DC" w:rsidP="005335DC">
      <w:pPr>
        <w:spacing w:line="360" w:lineRule="auto"/>
        <w:jc w:val="both"/>
        <w:rPr>
          <w:rFonts w:ascii="Arial" w:hAnsi="Arial"/>
          <w:sz w:val="26"/>
          <w:szCs w:val="26"/>
          <w:rtl/>
        </w:rPr>
      </w:pPr>
    </w:p>
    <w:p w14:paraId="264319AF"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בהגינותו, הסכים הסנגור עם טיעוני המאשימה בכל הנוגע לסכנה הטמונה בעבירות נשק ומגמת ההחמרה בענישה בעבירות כגון דא. עם זאת, הדגיש הסנגור, כי במקרה דנן לא נעשה שימוש בנשק וממילא לא נגרם כל נזק.</w:t>
      </w:r>
    </w:p>
    <w:p w14:paraId="773D1E5F" w14:textId="77777777" w:rsidR="005335DC" w:rsidRPr="00ED06BB" w:rsidRDefault="005335DC" w:rsidP="005335DC">
      <w:pPr>
        <w:spacing w:line="360" w:lineRule="auto"/>
        <w:jc w:val="both"/>
        <w:rPr>
          <w:rFonts w:ascii="Arial" w:hAnsi="Arial"/>
          <w:sz w:val="26"/>
          <w:szCs w:val="26"/>
          <w:rtl/>
        </w:rPr>
      </w:pPr>
    </w:p>
    <w:p w14:paraId="7EC30D81"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עוד הדגיש הסנגור, כי הנאשם הוא זה שנפגע כתוצאה מניסיונו לתקוף את השוטר. בעניין זה הסתמך הסנגור על אסופת המסמכים הרפואיים (נ/3) ממנה עולה, לדבריו, כי הנאשם נפגע בארובת העין ואחת משיניו נשברה.</w:t>
      </w:r>
    </w:p>
    <w:p w14:paraId="1BEA1CC1" w14:textId="77777777" w:rsidR="005335DC" w:rsidRPr="00ED06BB" w:rsidRDefault="005335DC" w:rsidP="005335DC">
      <w:pPr>
        <w:spacing w:line="360" w:lineRule="auto"/>
        <w:jc w:val="both"/>
        <w:rPr>
          <w:rFonts w:ascii="Arial" w:hAnsi="Arial"/>
          <w:sz w:val="26"/>
          <w:szCs w:val="26"/>
          <w:rtl/>
        </w:rPr>
      </w:pPr>
    </w:p>
    <w:p w14:paraId="7F5DDA92"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בכל הנוגע לנסיבות ביצוע העבירה הפנה הסנגור לכך שזו בוצעה ללא תכנון מקדים.</w:t>
      </w:r>
    </w:p>
    <w:p w14:paraId="4E9717A9" w14:textId="77777777" w:rsidR="005335DC" w:rsidRPr="00ED06BB" w:rsidRDefault="005335DC" w:rsidP="005335DC">
      <w:pPr>
        <w:spacing w:line="360" w:lineRule="auto"/>
        <w:jc w:val="both"/>
        <w:rPr>
          <w:rFonts w:ascii="Arial" w:hAnsi="Arial"/>
          <w:sz w:val="26"/>
          <w:szCs w:val="26"/>
          <w:rtl/>
        </w:rPr>
      </w:pPr>
    </w:p>
    <w:p w14:paraId="15739BB8"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באשר לנסיבות שאינן קשורות לביצוע העבירה, מיקד הסנגור את טיעוניו במצבו הרפואי של הנאשם, נכותו בשיעור של 50% והעובדה שבעבר הוצא נגדו צו אשפוז בכפייה. בסוגיה זו טען הסנגור, שאין בידי שב"ס להעניק לנאשם, בין כתלי הכלא, את המענה הרפואי הנדרש.</w:t>
      </w:r>
    </w:p>
    <w:p w14:paraId="0F2995D9" w14:textId="77777777" w:rsidR="005335DC" w:rsidRPr="00ED06BB" w:rsidRDefault="005335DC" w:rsidP="005335DC">
      <w:pPr>
        <w:spacing w:line="360" w:lineRule="auto"/>
        <w:jc w:val="both"/>
        <w:rPr>
          <w:rFonts w:ascii="Arial" w:hAnsi="Arial"/>
          <w:sz w:val="26"/>
          <w:szCs w:val="26"/>
          <w:rtl/>
        </w:rPr>
      </w:pPr>
    </w:p>
    <w:p w14:paraId="49665B8E"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בהתייחס לטיעוני המאשימה, ביקש הסנגור להדגיש, כי במקרים כגון זה, החלת תיקון 140 ל</w:t>
      </w:r>
      <w:hyperlink r:id="rId32" w:history="1">
        <w:r w:rsidR="00042CC6" w:rsidRPr="00042CC6">
          <w:rPr>
            <w:rFonts w:ascii="Arial" w:hAnsi="Arial"/>
            <w:color w:val="0000FF"/>
            <w:sz w:val="26"/>
            <w:szCs w:val="26"/>
            <w:u w:val="single"/>
            <w:rtl/>
          </w:rPr>
          <w:t>חוק העונשין</w:t>
        </w:r>
      </w:hyperlink>
      <w:r w:rsidRPr="00ED06BB">
        <w:rPr>
          <w:rFonts w:ascii="Arial" w:hAnsi="Arial"/>
          <w:sz w:val="26"/>
          <w:szCs w:val="26"/>
          <w:rtl/>
        </w:rPr>
        <w:t xml:space="preserve"> מתבצעת, בדרך של ענישה שחלקה בדרך של ריצוי מאסר בפועל וחלקה האחר באמצעות ענישה מותנית. </w:t>
      </w:r>
    </w:p>
    <w:p w14:paraId="76D3397D" w14:textId="77777777" w:rsidR="005335DC" w:rsidRPr="00ED06BB" w:rsidRDefault="005335DC" w:rsidP="005335DC">
      <w:pPr>
        <w:spacing w:line="360" w:lineRule="auto"/>
        <w:jc w:val="both"/>
        <w:rPr>
          <w:rFonts w:ascii="Arial" w:hAnsi="Arial"/>
          <w:sz w:val="26"/>
          <w:szCs w:val="26"/>
          <w:rtl/>
        </w:rPr>
      </w:pPr>
    </w:p>
    <w:p w14:paraId="205167A0"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 xml:space="preserve">עוד טען הסנגור, שמתחם הענישה עליו ביססה המאשימה טיעוניה מתייחס לאלה שעשו שימוש בנשק. בענייננו, כאמור, לא נעשה כל שימוש בנשק. </w:t>
      </w:r>
    </w:p>
    <w:p w14:paraId="6E01184C" w14:textId="77777777" w:rsidR="005335DC" w:rsidRPr="00ED06BB" w:rsidRDefault="005335DC" w:rsidP="005335DC">
      <w:pPr>
        <w:spacing w:line="360" w:lineRule="auto"/>
        <w:jc w:val="both"/>
        <w:rPr>
          <w:rFonts w:ascii="Arial" w:hAnsi="Arial"/>
          <w:sz w:val="26"/>
          <w:szCs w:val="26"/>
          <w:rtl/>
        </w:rPr>
      </w:pPr>
    </w:p>
    <w:p w14:paraId="3B0E1E23"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 xml:space="preserve">על כן, טען הסנגור שיש להתאים את מתחם הענישה ואת הענישה עצמה לעניינו הפרטני של הנאשם, שהוא נעדר עבר פלילי, בעל לקות נפשית משמעותית, נפגע בעצמו תוך כדי מעצרו, לא עשה כל שימוש בנשק ולכך שנשיאת הנשק הייתה רגעית. </w:t>
      </w:r>
    </w:p>
    <w:p w14:paraId="27A6E860" w14:textId="77777777" w:rsidR="005335DC" w:rsidRPr="00ED06BB" w:rsidRDefault="005335DC" w:rsidP="005335DC">
      <w:pPr>
        <w:spacing w:line="360" w:lineRule="auto"/>
        <w:jc w:val="both"/>
        <w:rPr>
          <w:rFonts w:ascii="Arial" w:hAnsi="Arial"/>
          <w:sz w:val="26"/>
          <w:szCs w:val="26"/>
          <w:rtl/>
        </w:rPr>
      </w:pPr>
    </w:p>
    <w:p w14:paraId="492D858A" w14:textId="77777777" w:rsidR="005335DC" w:rsidRPr="00ED06BB" w:rsidRDefault="005335DC" w:rsidP="005335DC">
      <w:pPr>
        <w:spacing w:line="360" w:lineRule="auto"/>
        <w:ind w:left="927"/>
        <w:jc w:val="both"/>
        <w:rPr>
          <w:rFonts w:ascii="Arial" w:hAnsi="Arial"/>
          <w:sz w:val="26"/>
          <w:szCs w:val="26"/>
          <w:u w:val="single"/>
          <w:rtl/>
        </w:rPr>
      </w:pPr>
      <w:r w:rsidRPr="00ED06BB">
        <w:rPr>
          <w:rFonts w:ascii="Arial" w:hAnsi="Arial"/>
          <w:sz w:val="26"/>
          <w:szCs w:val="26"/>
          <w:rtl/>
        </w:rPr>
        <w:t>משכך, ביקש הסנגור להטיל על הנאשם עונש מאסר לריצוי מאחורי סורג ובריח לתקופה של 9 חודשים ולהימנע מהטלת קנס כספי, שכן קיום הנאשם  על קצבת מל"ל שבדוחק מספיקה לקיומו.</w:t>
      </w:r>
    </w:p>
    <w:p w14:paraId="7268D0BA" w14:textId="77777777" w:rsidR="005335DC" w:rsidRPr="00ED06BB" w:rsidRDefault="005335DC" w:rsidP="005335DC">
      <w:pPr>
        <w:spacing w:line="360" w:lineRule="auto"/>
        <w:jc w:val="both"/>
        <w:rPr>
          <w:rFonts w:ascii="Arial" w:hAnsi="Arial"/>
          <w:sz w:val="26"/>
          <w:szCs w:val="26"/>
          <w:u w:val="single"/>
          <w:rtl/>
        </w:rPr>
      </w:pPr>
    </w:p>
    <w:p w14:paraId="3A1C685B" w14:textId="77777777" w:rsidR="005335DC" w:rsidRPr="00ED06BB" w:rsidRDefault="005335DC" w:rsidP="005335DC">
      <w:pPr>
        <w:spacing w:line="360" w:lineRule="auto"/>
        <w:jc w:val="both"/>
        <w:rPr>
          <w:rFonts w:ascii="Arial" w:hAnsi="Arial"/>
          <w:b/>
          <w:bCs/>
          <w:sz w:val="26"/>
          <w:szCs w:val="26"/>
          <w:u w:val="single"/>
          <w:rtl/>
        </w:rPr>
      </w:pPr>
      <w:r w:rsidRPr="00ED06BB">
        <w:rPr>
          <w:rFonts w:ascii="Arial" w:hAnsi="Arial"/>
          <w:b/>
          <w:bCs/>
          <w:sz w:val="26"/>
          <w:szCs w:val="26"/>
          <w:u w:val="single"/>
          <w:rtl/>
        </w:rPr>
        <w:t>דברי הנאשם:</w:t>
      </w:r>
    </w:p>
    <w:p w14:paraId="6EDC3D67"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 xml:space="preserve">בדבריו, התייחס הנאשם לקשיים הרבים שהם מנת חלקו תוך כדי  המעצר, שהם מעל ומעבר לאלה שחווה נאשם אחר המרצה עונש מאסר. לדברי הנאשם, הוא לא מקבל את הטיפול התרופתי במועד, הוא אינו אוכל, ומתקשה לשמור על היגיינה אישית. </w:t>
      </w:r>
    </w:p>
    <w:p w14:paraId="122C8A2A" w14:textId="77777777" w:rsidR="005335DC" w:rsidRPr="00ED06BB" w:rsidRDefault="005335DC" w:rsidP="005335DC">
      <w:pPr>
        <w:spacing w:line="360" w:lineRule="auto"/>
        <w:jc w:val="both"/>
        <w:rPr>
          <w:rFonts w:ascii="Arial" w:hAnsi="Arial"/>
          <w:sz w:val="26"/>
          <w:szCs w:val="26"/>
          <w:u w:val="single"/>
          <w:rtl/>
        </w:rPr>
      </w:pPr>
    </w:p>
    <w:p w14:paraId="51BD168B" w14:textId="77777777" w:rsidR="005335DC" w:rsidRPr="00ED06BB" w:rsidRDefault="005335DC" w:rsidP="005335DC">
      <w:pPr>
        <w:spacing w:line="360" w:lineRule="auto"/>
        <w:jc w:val="both"/>
        <w:rPr>
          <w:rFonts w:ascii="Arial" w:hAnsi="Arial"/>
          <w:b/>
          <w:bCs/>
          <w:sz w:val="26"/>
          <w:szCs w:val="26"/>
          <w:u w:val="single"/>
          <w:rtl/>
        </w:rPr>
      </w:pPr>
      <w:r w:rsidRPr="00ED06BB">
        <w:rPr>
          <w:rFonts w:ascii="Arial" w:hAnsi="Arial"/>
          <w:b/>
          <w:bCs/>
          <w:sz w:val="26"/>
          <w:szCs w:val="26"/>
          <w:u w:val="single"/>
          <w:rtl/>
        </w:rPr>
        <w:t>דיון והכרעה:</w:t>
      </w:r>
    </w:p>
    <w:p w14:paraId="5E16AF8E" w14:textId="77777777" w:rsidR="005335DC" w:rsidRPr="00ED06BB" w:rsidRDefault="005335DC" w:rsidP="005335DC">
      <w:pPr>
        <w:spacing w:line="360" w:lineRule="auto"/>
        <w:jc w:val="both"/>
        <w:rPr>
          <w:rFonts w:ascii="Arial" w:hAnsi="Arial"/>
          <w:b/>
          <w:bCs/>
          <w:sz w:val="26"/>
          <w:szCs w:val="26"/>
          <w:u w:val="single"/>
          <w:rtl/>
        </w:rPr>
      </w:pPr>
      <w:r w:rsidRPr="00ED06BB">
        <w:rPr>
          <w:rFonts w:ascii="Arial" w:hAnsi="Arial"/>
          <w:b/>
          <w:bCs/>
          <w:sz w:val="26"/>
          <w:szCs w:val="26"/>
          <w:u w:val="single"/>
          <w:rtl/>
        </w:rPr>
        <w:t>דרכי קביעת מתחם העונש ההולם:</w:t>
      </w:r>
    </w:p>
    <w:p w14:paraId="2759CB5B"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 xml:space="preserve">סעיפים </w:t>
      </w:r>
      <w:hyperlink r:id="rId33" w:history="1">
        <w:r w:rsidR="0068414C" w:rsidRPr="0068414C">
          <w:rPr>
            <w:rStyle w:val="Hyperlink"/>
            <w:rFonts w:ascii="Arial" w:hAnsi="Arial"/>
            <w:color w:val="0000FF"/>
            <w:sz w:val="26"/>
            <w:szCs w:val="26"/>
            <w:rtl/>
          </w:rPr>
          <w:t>40א – טו</w:t>
        </w:r>
      </w:hyperlink>
      <w:r w:rsidRPr="00ED06BB">
        <w:rPr>
          <w:rFonts w:ascii="Arial" w:hAnsi="Arial"/>
          <w:sz w:val="26"/>
          <w:szCs w:val="26"/>
          <w:rtl/>
        </w:rPr>
        <w:t xml:space="preserve"> ל</w:t>
      </w:r>
      <w:hyperlink r:id="rId34" w:history="1">
        <w:r w:rsidR="00042CC6" w:rsidRPr="00042CC6">
          <w:rPr>
            <w:rFonts w:ascii="Arial" w:hAnsi="Arial"/>
            <w:color w:val="0000FF"/>
            <w:sz w:val="26"/>
            <w:szCs w:val="26"/>
            <w:u w:val="single"/>
            <w:rtl/>
          </w:rPr>
          <w:t>חוק העונשין</w:t>
        </w:r>
      </w:hyperlink>
      <w:r w:rsidRPr="00ED06BB">
        <w:rPr>
          <w:rFonts w:ascii="Arial" w:hAnsi="Arial"/>
          <w:sz w:val="26"/>
          <w:szCs w:val="26"/>
          <w:rtl/>
        </w:rPr>
        <w:t xml:space="preserve"> קובעים שהעיקרון המנחה בגזירת הדין הוא קיומו של יחס הולם בין חומרת מעשה העבירה בנסיבותיו ומידת אשמו של הנאשם ובין סוג ומידת העונש המוטל עליו. בהמשך קובע בית המשפט מתחם עונש הולם למעשה עבירה שביצע הנאשם בהתאם לעיקרון המנחה, ולשם כך עליו להתחשב בערך החברתי שנפגע מביצוע העבירה, במידת הפגיעה בו, במדיניות הענישה הנהוגה ובנסיבות הקשורות בביצוע העבירה. בתוך מתחם העונש ההולם על בית המשפט לקבוע את העונש המתאים לנאשם, בהתחשב בנסיבות שאינן קשורות בביצוע העבירה. עם זאת, בית המשפט רשאי לחרוג ממתחם העונש ההולם בשל שיקולי שיקום או מטעמי הגנה על שלום הציבור.</w:t>
      </w:r>
    </w:p>
    <w:p w14:paraId="3ADB23B2" w14:textId="77777777" w:rsidR="005335DC" w:rsidRDefault="005335DC" w:rsidP="005335DC">
      <w:pPr>
        <w:spacing w:line="360" w:lineRule="auto"/>
        <w:jc w:val="both"/>
        <w:rPr>
          <w:rFonts w:ascii="Arial" w:hAnsi="Arial"/>
          <w:sz w:val="26"/>
          <w:szCs w:val="26"/>
          <w:rtl/>
        </w:rPr>
      </w:pPr>
    </w:p>
    <w:p w14:paraId="03F54201" w14:textId="77777777" w:rsidR="005335DC" w:rsidRPr="00ED06BB" w:rsidRDefault="005335DC" w:rsidP="005335DC">
      <w:pPr>
        <w:spacing w:line="360" w:lineRule="auto"/>
        <w:ind w:left="927"/>
        <w:jc w:val="both"/>
        <w:rPr>
          <w:rFonts w:ascii="Arial" w:hAnsi="Arial"/>
          <w:sz w:val="26"/>
          <w:szCs w:val="26"/>
        </w:rPr>
      </w:pPr>
      <w:r w:rsidRPr="00ED06BB">
        <w:rPr>
          <w:rFonts w:ascii="Arial" w:hAnsi="Arial"/>
          <w:sz w:val="26"/>
          <w:szCs w:val="26"/>
          <w:rtl/>
        </w:rPr>
        <w:t>קיום יחס הולם בין העבירה ובין מידת אשמו של הנאשם. בהמשך, בוחן בית המשפט את הערכים החברתיים שנפגעו, הגנה על שלום הציבור, שיקום, הרתעת הרבים והפרט.</w:t>
      </w:r>
    </w:p>
    <w:p w14:paraId="72F1C7C6" w14:textId="77777777" w:rsidR="005335DC" w:rsidRPr="00ED06BB" w:rsidRDefault="005335DC" w:rsidP="005335DC">
      <w:pPr>
        <w:spacing w:line="360" w:lineRule="auto"/>
        <w:jc w:val="both"/>
        <w:rPr>
          <w:rFonts w:ascii="Arial" w:hAnsi="Arial"/>
          <w:sz w:val="26"/>
          <w:szCs w:val="26"/>
          <w:u w:val="single"/>
          <w:rtl/>
        </w:rPr>
      </w:pPr>
      <w:r w:rsidRPr="00ED06BB">
        <w:rPr>
          <w:rFonts w:ascii="Arial" w:hAnsi="Arial"/>
          <w:sz w:val="26"/>
          <w:szCs w:val="26"/>
          <w:u w:val="single"/>
          <w:rtl/>
        </w:rPr>
        <w:t xml:space="preserve"> </w:t>
      </w:r>
    </w:p>
    <w:p w14:paraId="4089E599" w14:textId="77777777" w:rsidR="005335DC" w:rsidRPr="00B47640" w:rsidRDefault="005335DC" w:rsidP="005335DC">
      <w:pPr>
        <w:spacing w:line="360" w:lineRule="auto"/>
        <w:jc w:val="both"/>
        <w:rPr>
          <w:rFonts w:ascii="Arial" w:hAnsi="Arial"/>
          <w:b/>
          <w:bCs/>
          <w:sz w:val="26"/>
          <w:szCs w:val="26"/>
          <w:u w:val="single"/>
          <w:rtl/>
        </w:rPr>
      </w:pPr>
      <w:r w:rsidRPr="00B47640">
        <w:rPr>
          <w:rFonts w:ascii="Arial" w:hAnsi="Arial"/>
          <w:b/>
          <w:bCs/>
          <w:sz w:val="26"/>
          <w:szCs w:val="26"/>
          <w:u w:val="single"/>
          <w:rtl/>
        </w:rPr>
        <w:t>הערך החברתי שנפגע:</w:t>
      </w:r>
    </w:p>
    <w:p w14:paraId="053A035D"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 xml:space="preserve">אין צורך להרחיב בפרק זה. נפגעו הערך של חיי אדם ושלמות הגוף. כך גם נפגעה תחושת הציבור לביטחון. המחוקק עצמו רואה בעבירות נשק חומרה יתרה עת קבע בהוראת שעה </w:t>
      </w:r>
      <w:hyperlink r:id="rId35" w:history="1">
        <w:r w:rsidR="0068414C" w:rsidRPr="0068414C">
          <w:rPr>
            <w:rStyle w:val="Hyperlink"/>
            <w:rFonts w:ascii="Arial" w:hAnsi="Arial"/>
            <w:color w:val="0000FF"/>
            <w:sz w:val="26"/>
            <w:szCs w:val="26"/>
            <w:rtl/>
          </w:rPr>
          <w:t>בסעיף 144(ז)</w:t>
        </w:r>
      </w:hyperlink>
      <w:r w:rsidRPr="00ED06BB">
        <w:rPr>
          <w:rFonts w:ascii="Arial" w:hAnsi="Arial"/>
          <w:sz w:val="26"/>
          <w:szCs w:val="26"/>
          <w:rtl/>
        </w:rPr>
        <w:t xml:space="preserve"> ל</w:t>
      </w:r>
      <w:hyperlink r:id="rId36" w:history="1">
        <w:r w:rsidR="00042CC6" w:rsidRPr="00042CC6">
          <w:rPr>
            <w:rFonts w:ascii="Arial" w:hAnsi="Arial"/>
            <w:color w:val="0000FF"/>
            <w:sz w:val="26"/>
            <w:szCs w:val="26"/>
            <w:u w:val="single"/>
            <w:rtl/>
          </w:rPr>
          <w:t>חוק העונשין</w:t>
        </w:r>
      </w:hyperlink>
      <w:r w:rsidRPr="00ED06BB">
        <w:rPr>
          <w:rFonts w:ascii="Arial" w:hAnsi="Arial"/>
          <w:sz w:val="26"/>
          <w:szCs w:val="26"/>
          <w:rtl/>
        </w:rPr>
        <w:t xml:space="preserve"> עונש מזערי. </w:t>
      </w:r>
    </w:p>
    <w:p w14:paraId="1D9FC607" w14:textId="77777777" w:rsidR="005335DC" w:rsidRPr="00ED06BB" w:rsidRDefault="005335DC" w:rsidP="005335DC">
      <w:pPr>
        <w:spacing w:line="360" w:lineRule="auto"/>
        <w:jc w:val="both"/>
        <w:rPr>
          <w:rFonts w:ascii="Arial" w:hAnsi="Arial"/>
          <w:sz w:val="26"/>
          <w:szCs w:val="26"/>
          <w:rtl/>
        </w:rPr>
      </w:pPr>
    </w:p>
    <w:p w14:paraId="157CB9B6" w14:textId="77777777" w:rsidR="005335DC" w:rsidRPr="00ED06BB" w:rsidRDefault="005335DC" w:rsidP="005335DC">
      <w:pPr>
        <w:spacing w:line="360" w:lineRule="auto"/>
        <w:ind w:left="720"/>
        <w:jc w:val="both"/>
        <w:rPr>
          <w:rFonts w:ascii="Arial" w:hAnsi="Arial"/>
          <w:sz w:val="26"/>
          <w:szCs w:val="26"/>
          <w:rtl/>
        </w:rPr>
      </w:pPr>
      <w:r w:rsidRPr="00ED06BB">
        <w:rPr>
          <w:rFonts w:ascii="Arial" w:hAnsi="Arial"/>
          <w:sz w:val="26"/>
          <w:szCs w:val="26"/>
          <w:rtl/>
        </w:rPr>
        <w:t xml:space="preserve">ראו לדוגמה </w:t>
      </w:r>
      <w:hyperlink r:id="rId37" w:history="1">
        <w:r w:rsidR="00042CC6" w:rsidRPr="00042CC6">
          <w:rPr>
            <w:rFonts w:ascii="Arial" w:hAnsi="Arial"/>
            <w:color w:val="0000FF"/>
            <w:sz w:val="26"/>
            <w:szCs w:val="26"/>
            <w:u w:val="single"/>
            <w:rtl/>
          </w:rPr>
          <w:t>ע"פ 5681/23</w:t>
        </w:r>
      </w:hyperlink>
      <w:r w:rsidRPr="00ED06BB">
        <w:rPr>
          <w:rFonts w:ascii="Arial" w:hAnsi="Arial"/>
          <w:sz w:val="26"/>
          <w:szCs w:val="26"/>
          <w:rtl/>
        </w:rPr>
        <w:t xml:space="preserve"> חווא נ' מדינת ישראל (נבו 20.12.2023) (להלן: "עניין חווא") והאסמכתאות שם:</w:t>
      </w:r>
    </w:p>
    <w:p w14:paraId="6CED3350" w14:textId="77777777" w:rsidR="005335DC" w:rsidRPr="00B47640" w:rsidRDefault="005335DC" w:rsidP="005335DC">
      <w:pPr>
        <w:spacing w:line="360" w:lineRule="auto"/>
        <w:ind w:left="720"/>
        <w:jc w:val="both"/>
        <w:rPr>
          <w:rFonts w:ascii="Arial" w:hAnsi="Arial"/>
          <w:b/>
          <w:bCs/>
          <w:sz w:val="26"/>
          <w:szCs w:val="26"/>
          <w:rtl/>
        </w:rPr>
      </w:pPr>
      <w:r w:rsidRPr="00ED06BB">
        <w:rPr>
          <w:rFonts w:ascii="Arial" w:hAnsi="Arial"/>
          <w:sz w:val="26"/>
          <w:szCs w:val="26"/>
          <w:rtl/>
        </w:rPr>
        <w:t>"</w:t>
      </w:r>
      <w:r w:rsidRPr="00B47640">
        <w:rPr>
          <w:rFonts w:ascii="Arial" w:hAnsi="Arial"/>
          <w:b/>
          <w:bCs/>
          <w:sz w:val="26"/>
          <w:szCs w:val="26"/>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 סטטוטורי</w:t>
      </w:r>
      <w:r w:rsidR="00042CC6">
        <w:rPr>
          <w:rFonts w:ascii="Arial" w:hAnsi="Arial"/>
          <w:b/>
          <w:bCs/>
          <w:sz w:val="26"/>
          <w:szCs w:val="26"/>
          <w:rtl/>
        </w:rPr>
        <w:t xml:space="preserve"> </w:t>
      </w:r>
      <w:hyperlink r:id="rId38" w:history="1">
        <w:r w:rsidR="0068414C" w:rsidRPr="0068414C">
          <w:rPr>
            <w:rStyle w:val="Hyperlink"/>
            <w:rFonts w:ascii="Arial" w:hAnsi="Arial"/>
            <w:b/>
            <w:bCs/>
            <w:color w:val="0000FF"/>
            <w:sz w:val="26"/>
            <w:szCs w:val="26"/>
            <w:rtl/>
          </w:rPr>
          <w:t>בסעיף 144(ז)</w:t>
        </w:r>
      </w:hyperlink>
      <w:r w:rsidR="00042CC6">
        <w:rPr>
          <w:rFonts w:ascii="Arial" w:hAnsi="Arial"/>
          <w:b/>
          <w:bCs/>
          <w:sz w:val="26"/>
          <w:szCs w:val="26"/>
          <w:rtl/>
        </w:rPr>
        <w:t xml:space="preserve"> </w:t>
      </w:r>
      <w:r w:rsidRPr="00B47640">
        <w:rPr>
          <w:rFonts w:ascii="Arial" w:hAnsi="Arial"/>
          <w:b/>
          <w:bCs/>
          <w:sz w:val="26"/>
          <w:szCs w:val="26"/>
          <w:rtl/>
        </w:rPr>
        <w:t>ל</w:t>
      </w:r>
      <w:hyperlink r:id="rId39" w:history="1">
        <w:r w:rsidR="00042CC6" w:rsidRPr="00042CC6">
          <w:rPr>
            <w:rFonts w:ascii="Arial" w:hAnsi="Arial"/>
            <w:b/>
            <w:bCs/>
            <w:color w:val="0000FF"/>
            <w:sz w:val="26"/>
            <w:szCs w:val="26"/>
            <w:u w:val="single"/>
            <w:rtl/>
          </w:rPr>
          <w:t>חוק העונשין</w:t>
        </w:r>
      </w:hyperlink>
      <w:r w:rsidR="00042CC6">
        <w:rPr>
          <w:rFonts w:ascii="Arial" w:hAnsi="Arial"/>
          <w:b/>
          <w:bCs/>
          <w:sz w:val="26"/>
          <w:szCs w:val="26"/>
          <w:rtl/>
        </w:rPr>
        <w:t xml:space="preserve"> </w:t>
      </w:r>
      <w:r w:rsidRPr="00B47640">
        <w:rPr>
          <w:rFonts w:ascii="Arial" w:hAnsi="Arial"/>
          <w:b/>
          <w:bCs/>
          <w:sz w:val="26"/>
          <w:szCs w:val="26"/>
          <w:rtl/>
        </w:rPr>
        <w:t>אשר חוקק במסגרת תיקון מס' 140 לחוק (ראו: חוק העונשין (תיקון מס' 140 – הוראת שעה), התשפ"ב-2021, ס"ח 2938)."</w:t>
      </w:r>
    </w:p>
    <w:p w14:paraId="62D666BE" w14:textId="77777777" w:rsidR="005335DC" w:rsidRPr="00B47640" w:rsidRDefault="005335DC" w:rsidP="005335DC">
      <w:pPr>
        <w:spacing w:line="360" w:lineRule="auto"/>
        <w:jc w:val="both"/>
        <w:rPr>
          <w:rFonts w:ascii="Arial" w:hAnsi="Arial"/>
          <w:b/>
          <w:bCs/>
          <w:sz w:val="26"/>
          <w:szCs w:val="26"/>
          <w:rtl/>
        </w:rPr>
      </w:pPr>
    </w:p>
    <w:p w14:paraId="56306967"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 xml:space="preserve">בענייננו, הנאשם נשא רובה מסוג </w:t>
      </w:r>
      <w:r w:rsidRPr="00ED06BB">
        <w:rPr>
          <w:rFonts w:ascii="Arial" w:hAnsi="Arial"/>
          <w:sz w:val="26"/>
          <w:szCs w:val="26"/>
        </w:rPr>
        <w:t>M</w:t>
      </w:r>
      <w:r w:rsidRPr="00ED06BB">
        <w:rPr>
          <w:rFonts w:ascii="Arial" w:hAnsi="Arial"/>
          <w:sz w:val="26"/>
          <w:szCs w:val="26"/>
          <w:rtl/>
        </w:rPr>
        <w:t xml:space="preserve">-16 ושתי מחסניות. המדובר בכלי נשק מסוכן שיש בכוחו לגרום נזק, לפצוע ואף להמית, נשק "ארוך" ואוטומטי. </w:t>
      </w:r>
    </w:p>
    <w:p w14:paraId="1A488137" w14:textId="77777777" w:rsidR="005335DC" w:rsidRPr="00ED06BB" w:rsidRDefault="005335DC" w:rsidP="005335DC">
      <w:pPr>
        <w:spacing w:line="360" w:lineRule="auto"/>
        <w:jc w:val="both"/>
        <w:rPr>
          <w:rFonts w:ascii="Arial" w:hAnsi="Arial"/>
          <w:sz w:val="26"/>
          <w:szCs w:val="26"/>
          <w:u w:val="single"/>
          <w:rtl/>
        </w:rPr>
      </w:pPr>
    </w:p>
    <w:p w14:paraId="6A91EAED" w14:textId="77777777" w:rsidR="005335DC" w:rsidRPr="00B47640" w:rsidRDefault="005335DC" w:rsidP="005335DC">
      <w:pPr>
        <w:spacing w:line="360" w:lineRule="auto"/>
        <w:jc w:val="both"/>
        <w:rPr>
          <w:rFonts w:ascii="Arial" w:hAnsi="Arial"/>
          <w:b/>
          <w:bCs/>
          <w:sz w:val="26"/>
          <w:szCs w:val="26"/>
          <w:u w:val="single"/>
          <w:rtl/>
        </w:rPr>
      </w:pPr>
      <w:r w:rsidRPr="00B47640">
        <w:rPr>
          <w:rFonts w:ascii="Arial" w:hAnsi="Arial"/>
          <w:b/>
          <w:bCs/>
          <w:sz w:val="26"/>
          <w:szCs w:val="26"/>
          <w:u w:val="single"/>
          <w:rtl/>
        </w:rPr>
        <w:t>נסיבות ביצוע העבירה:</w:t>
      </w:r>
    </w:p>
    <w:p w14:paraId="7AEE7F07"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 xml:space="preserve">בכתב האישום, לא נטען שהייתה גלומה מטרה נוספת בנשיאת הרובה והמחסניות. עם זאת, אין לשכוח את העובדה שהנאשם ניסה, באמצעות נגיחה, לתקוף את השוטר שביקש לעצרו. כמו כן, קשה להלום טענה, לפיה הנאשם נשא את הרובה והמחסניות "סתם כך". </w:t>
      </w:r>
    </w:p>
    <w:p w14:paraId="2A8C3631" w14:textId="77777777" w:rsidR="005335DC" w:rsidRPr="00ED06BB" w:rsidRDefault="005335DC" w:rsidP="005335DC">
      <w:pPr>
        <w:spacing w:line="360" w:lineRule="auto"/>
        <w:jc w:val="both"/>
        <w:rPr>
          <w:rFonts w:ascii="Arial" w:hAnsi="Arial"/>
          <w:sz w:val="26"/>
          <w:szCs w:val="26"/>
          <w:rtl/>
        </w:rPr>
      </w:pPr>
    </w:p>
    <w:p w14:paraId="6007B903"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בד בבד, יש לזכור, שעל פי עובדות כתב האישום המתוקן, נשיאת הנשק הייתה לפרק זמן קצר ביותר, אם כי מטרתה היתה הרחקתו מעין השוטרים עורכי החיפוש. כך גם יש לזכור, שחרף הלקות הנפשית של הנאשם הוא נמצא כשיר לעמוד לדין והוא ביצע את העבירות באופן בלעדי.</w:t>
      </w:r>
    </w:p>
    <w:p w14:paraId="23517F4F" w14:textId="77777777" w:rsidR="005335DC" w:rsidRPr="00ED06BB" w:rsidRDefault="005335DC" w:rsidP="005335DC">
      <w:pPr>
        <w:spacing w:line="360" w:lineRule="auto"/>
        <w:jc w:val="both"/>
        <w:rPr>
          <w:rFonts w:ascii="Arial" w:hAnsi="Arial"/>
          <w:sz w:val="26"/>
          <w:szCs w:val="26"/>
          <w:rtl/>
        </w:rPr>
      </w:pPr>
    </w:p>
    <w:p w14:paraId="088DBDAA"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 xml:space="preserve">על כן, יש לסווג את נסיבות ביצוע העבירות ככאלה העומדות במדרג חומרה בינוני, זאת נוכח פוטנציאל הנזק הטמון בנשק ארוך אוטומטי ובניסיון תקיפת השוטר. </w:t>
      </w:r>
    </w:p>
    <w:p w14:paraId="40B1CC91" w14:textId="77777777" w:rsidR="005335DC" w:rsidRPr="00ED06BB" w:rsidRDefault="005335DC" w:rsidP="005335DC">
      <w:pPr>
        <w:spacing w:line="360" w:lineRule="auto"/>
        <w:jc w:val="both"/>
        <w:rPr>
          <w:rFonts w:ascii="Arial" w:hAnsi="Arial"/>
          <w:sz w:val="26"/>
          <w:szCs w:val="26"/>
          <w:u w:val="single"/>
          <w:rtl/>
        </w:rPr>
      </w:pPr>
    </w:p>
    <w:p w14:paraId="0001BE28" w14:textId="77777777" w:rsidR="005335DC" w:rsidRPr="00B47640" w:rsidRDefault="005335DC" w:rsidP="005335DC">
      <w:pPr>
        <w:spacing w:line="360" w:lineRule="auto"/>
        <w:jc w:val="both"/>
        <w:rPr>
          <w:rFonts w:ascii="Arial" w:hAnsi="Arial"/>
          <w:b/>
          <w:bCs/>
          <w:sz w:val="26"/>
          <w:szCs w:val="26"/>
          <w:u w:val="single"/>
          <w:rtl/>
        </w:rPr>
      </w:pPr>
      <w:r w:rsidRPr="00B47640">
        <w:rPr>
          <w:rFonts w:ascii="Arial" w:hAnsi="Arial"/>
          <w:b/>
          <w:bCs/>
          <w:sz w:val="26"/>
          <w:szCs w:val="26"/>
          <w:u w:val="single"/>
          <w:rtl/>
        </w:rPr>
        <w:t>מדיניות הענישה וההלכה הפסוקה:</w:t>
      </w:r>
    </w:p>
    <w:p w14:paraId="5DE8B216"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בשורה של פסקי דין, עמד בית המשפט העליון על החומרה הטמונה בעבירות נשק והסיכון הממשי לשלום הציבור והחשש להסלמה. על כן, ככלל, קבע בית המשפט העליון שדינם של מבצעי עבירות בנשק הוא מאסר ממשי מאחורי סורג ובריח, על מנת להגן על הציבור, להרתיעם מפני החזקת כלי נשק למיניהם, ולהרחיקם מהחברה.</w:t>
      </w:r>
    </w:p>
    <w:p w14:paraId="4304E09E" w14:textId="77777777" w:rsidR="005335DC" w:rsidRPr="00ED06BB" w:rsidRDefault="005335DC" w:rsidP="005335DC">
      <w:pPr>
        <w:spacing w:line="360" w:lineRule="auto"/>
        <w:jc w:val="both"/>
        <w:rPr>
          <w:rFonts w:ascii="Arial" w:hAnsi="Arial"/>
          <w:sz w:val="26"/>
          <w:szCs w:val="26"/>
          <w:rtl/>
        </w:rPr>
      </w:pPr>
    </w:p>
    <w:p w14:paraId="2D29E0F2"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 xml:space="preserve">ראו לדוגמה </w:t>
      </w:r>
      <w:hyperlink r:id="rId40" w:history="1">
        <w:r w:rsidR="00042CC6" w:rsidRPr="00042CC6">
          <w:rPr>
            <w:rFonts w:ascii="Arial" w:hAnsi="Arial"/>
            <w:color w:val="0000FF"/>
            <w:sz w:val="26"/>
            <w:szCs w:val="26"/>
            <w:u w:val="single"/>
            <w:rtl/>
          </w:rPr>
          <w:t>ע"פ 1693/23</w:t>
        </w:r>
      </w:hyperlink>
      <w:r w:rsidRPr="00ED06BB">
        <w:rPr>
          <w:rFonts w:ascii="Arial" w:hAnsi="Arial"/>
          <w:sz w:val="26"/>
          <w:szCs w:val="26"/>
          <w:rtl/>
        </w:rPr>
        <w:t xml:space="preserve"> </w:t>
      </w:r>
      <w:r w:rsidRPr="00B47640">
        <w:rPr>
          <w:rFonts w:ascii="Arial" w:hAnsi="Arial"/>
          <w:b/>
          <w:bCs/>
          <w:sz w:val="26"/>
          <w:szCs w:val="26"/>
          <w:rtl/>
        </w:rPr>
        <w:t>אסלאם אבו אחמד נ' מדינת ישראל</w:t>
      </w:r>
      <w:r w:rsidRPr="00ED06BB">
        <w:rPr>
          <w:rFonts w:ascii="Arial" w:hAnsi="Arial"/>
          <w:sz w:val="26"/>
          <w:szCs w:val="26"/>
          <w:rtl/>
        </w:rPr>
        <w:t xml:space="preserve"> (נבו 3.12.2023) והאסמכתאות שם, (להלן: "</w:t>
      </w:r>
      <w:r w:rsidRPr="00B47640">
        <w:rPr>
          <w:rFonts w:ascii="Arial" w:hAnsi="Arial"/>
          <w:b/>
          <w:bCs/>
          <w:sz w:val="26"/>
          <w:szCs w:val="26"/>
          <w:rtl/>
        </w:rPr>
        <w:t>עניין אבו אחמד</w:t>
      </w:r>
      <w:r w:rsidRPr="00ED06BB">
        <w:rPr>
          <w:rFonts w:ascii="Arial" w:hAnsi="Arial"/>
          <w:sz w:val="26"/>
          <w:szCs w:val="26"/>
          <w:rtl/>
        </w:rPr>
        <w:t xml:space="preserve">"). בעניין אבו אחמד, הדגיש בית המשפט העליון שעבירות נשק הפכו מכת מדינה, המצדיקות ומצריכות ענישה הולמת ומחמירה, שכן אנו מצויים במצב חרום בעניין עבירות נשק. עוד הדגיש בית המשפט העליון בעניין אבו אחמד, את הסכנה הטמונה לחפים מפשע כתוצאה מהחזקת נשק שלא כדין, בין אם הם נפגעים כתוצאה מהשימוש בו ובין אם הם נתקלים בו במקרה ונפגעים. </w:t>
      </w:r>
    </w:p>
    <w:p w14:paraId="3AA76BB2" w14:textId="77777777" w:rsidR="005335DC" w:rsidRPr="00ED06BB" w:rsidRDefault="005335DC" w:rsidP="005335DC">
      <w:pPr>
        <w:spacing w:line="360" w:lineRule="auto"/>
        <w:jc w:val="both"/>
        <w:rPr>
          <w:rFonts w:ascii="Arial" w:hAnsi="Arial"/>
          <w:sz w:val="26"/>
          <w:szCs w:val="26"/>
          <w:rtl/>
        </w:rPr>
      </w:pPr>
    </w:p>
    <w:p w14:paraId="43DB65F4" w14:textId="77777777" w:rsidR="005335DC" w:rsidRPr="00ED06BB" w:rsidRDefault="005335DC" w:rsidP="005335DC">
      <w:pPr>
        <w:spacing w:line="360" w:lineRule="auto"/>
        <w:ind w:left="207" w:firstLine="720"/>
        <w:jc w:val="both"/>
        <w:rPr>
          <w:rFonts w:ascii="Arial" w:hAnsi="Arial"/>
          <w:sz w:val="26"/>
          <w:szCs w:val="26"/>
          <w:rtl/>
        </w:rPr>
      </w:pPr>
      <w:r w:rsidRPr="00ED06BB">
        <w:rPr>
          <w:rFonts w:ascii="Arial" w:hAnsi="Arial"/>
          <w:sz w:val="26"/>
          <w:szCs w:val="26"/>
          <w:rtl/>
        </w:rPr>
        <w:t>עוד ראו את שנאמר ב</w:t>
      </w:r>
      <w:hyperlink r:id="rId41" w:history="1">
        <w:r w:rsidR="00042CC6" w:rsidRPr="00042CC6">
          <w:rPr>
            <w:rFonts w:ascii="Arial" w:hAnsi="Arial"/>
            <w:color w:val="0000FF"/>
            <w:sz w:val="26"/>
            <w:szCs w:val="26"/>
            <w:u w:val="single"/>
            <w:rtl/>
          </w:rPr>
          <w:t>ע"פ 2165/23</w:t>
        </w:r>
      </w:hyperlink>
      <w:r w:rsidRPr="00ED06BB">
        <w:rPr>
          <w:rFonts w:ascii="Arial" w:hAnsi="Arial"/>
          <w:sz w:val="26"/>
          <w:szCs w:val="26"/>
          <w:rtl/>
        </w:rPr>
        <w:t xml:space="preserve"> </w:t>
      </w:r>
      <w:r w:rsidRPr="00B47640">
        <w:rPr>
          <w:rFonts w:ascii="Arial" w:hAnsi="Arial"/>
          <w:b/>
          <w:bCs/>
          <w:sz w:val="26"/>
          <w:szCs w:val="26"/>
          <w:rtl/>
        </w:rPr>
        <w:t>מדינת ישראל נ' פלאח בלאל</w:t>
      </w:r>
      <w:r w:rsidRPr="00ED06BB">
        <w:rPr>
          <w:rFonts w:ascii="Arial" w:hAnsi="Arial"/>
          <w:sz w:val="26"/>
          <w:szCs w:val="26"/>
          <w:rtl/>
        </w:rPr>
        <w:t xml:space="preserve"> (נבו 4.5.2023).</w:t>
      </w:r>
    </w:p>
    <w:p w14:paraId="52E316C2" w14:textId="77777777" w:rsidR="005335DC" w:rsidRPr="00ED06BB" w:rsidRDefault="005335DC" w:rsidP="005335DC">
      <w:pPr>
        <w:spacing w:line="360" w:lineRule="auto"/>
        <w:jc w:val="both"/>
        <w:rPr>
          <w:rFonts w:ascii="Arial" w:hAnsi="Arial"/>
          <w:sz w:val="26"/>
          <w:szCs w:val="26"/>
          <w:rtl/>
        </w:rPr>
      </w:pPr>
    </w:p>
    <w:p w14:paraId="6CECF780" w14:textId="77777777" w:rsidR="005335DC" w:rsidRPr="00ED06BB" w:rsidRDefault="005335DC" w:rsidP="005335DC">
      <w:pPr>
        <w:spacing w:line="360" w:lineRule="auto"/>
        <w:ind w:left="720" w:firstLine="207"/>
        <w:jc w:val="both"/>
        <w:rPr>
          <w:rFonts w:ascii="Arial" w:hAnsi="Arial"/>
          <w:sz w:val="26"/>
          <w:szCs w:val="26"/>
          <w:rtl/>
        </w:rPr>
      </w:pPr>
      <w:r w:rsidRPr="00ED06BB">
        <w:rPr>
          <w:rFonts w:ascii="Arial" w:hAnsi="Arial"/>
          <w:sz w:val="26"/>
          <w:szCs w:val="26"/>
          <w:rtl/>
        </w:rPr>
        <w:t>כמו כן, ראו דברים שנקבעו ב</w:t>
      </w:r>
      <w:hyperlink r:id="rId42" w:history="1">
        <w:r w:rsidR="00042CC6" w:rsidRPr="00042CC6">
          <w:rPr>
            <w:rFonts w:ascii="Arial" w:hAnsi="Arial"/>
            <w:color w:val="0000FF"/>
            <w:sz w:val="26"/>
            <w:szCs w:val="26"/>
            <w:u w:val="single"/>
            <w:rtl/>
          </w:rPr>
          <w:t>ע"פ 4406/19</w:t>
        </w:r>
      </w:hyperlink>
      <w:r w:rsidRPr="00ED06BB">
        <w:rPr>
          <w:rFonts w:ascii="Arial" w:hAnsi="Arial"/>
          <w:sz w:val="26"/>
          <w:szCs w:val="26"/>
          <w:rtl/>
        </w:rPr>
        <w:t xml:space="preserve"> </w:t>
      </w:r>
      <w:r w:rsidRPr="00B47640">
        <w:rPr>
          <w:rFonts w:ascii="Arial" w:hAnsi="Arial"/>
          <w:b/>
          <w:bCs/>
          <w:sz w:val="26"/>
          <w:szCs w:val="26"/>
          <w:rtl/>
        </w:rPr>
        <w:t xml:space="preserve">מדינת ישראל נ' סובח </w:t>
      </w:r>
      <w:r w:rsidRPr="00ED06BB">
        <w:rPr>
          <w:rFonts w:ascii="Arial" w:hAnsi="Arial"/>
          <w:sz w:val="26"/>
          <w:szCs w:val="26"/>
          <w:rtl/>
        </w:rPr>
        <w:t>(נבו 5.11.2019):</w:t>
      </w:r>
    </w:p>
    <w:p w14:paraId="59DFE056" w14:textId="77777777" w:rsidR="005335DC" w:rsidRPr="00B47640" w:rsidRDefault="005335DC" w:rsidP="005335DC">
      <w:pPr>
        <w:spacing w:line="360" w:lineRule="auto"/>
        <w:ind w:left="927"/>
        <w:jc w:val="both"/>
        <w:rPr>
          <w:rFonts w:ascii="Arial" w:hAnsi="Arial"/>
          <w:b/>
          <w:bCs/>
          <w:sz w:val="26"/>
          <w:szCs w:val="26"/>
          <w:rtl/>
        </w:rPr>
      </w:pPr>
      <w:r w:rsidRPr="00ED06BB">
        <w:rPr>
          <w:rFonts w:ascii="Arial" w:hAnsi="Arial"/>
          <w:sz w:val="26"/>
          <w:szCs w:val="26"/>
          <w:rtl/>
        </w:rPr>
        <w:t>"</w:t>
      </w:r>
      <w:r w:rsidRPr="00B47640">
        <w:rPr>
          <w:rFonts w:ascii="Arial" w:hAnsi="Arial"/>
          <w:b/>
          <w:bCs/>
          <w:sz w:val="26"/>
          <w:szCs w:val="26"/>
          <w:rtl/>
        </w:rPr>
        <w:t>אולם,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p>
    <w:p w14:paraId="7CAE2060" w14:textId="77777777" w:rsidR="005335DC" w:rsidRPr="00B47640" w:rsidRDefault="005335DC" w:rsidP="005335DC">
      <w:pPr>
        <w:spacing w:line="360" w:lineRule="auto"/>
        <w:ind w:left="927"/>
        <w:jc w:val="both"/>
        <w:rPr>
          <w:rFonts w:ascii="Arial" w:hAnsi="Arial"/>
          <w:b/>
          <w:bCs/>
          <w:sz w:val="26"/>
          <w:szCs w:val="26"/>
          <w:rtl/>
        </w:rPr>
      </w:pPr>
      <w:r w:rsidRPr="00B47640">
        <w:rPr>
          <w:rFonts w:ascii="Arial" w:hAnsi="Arial"/>
          <w:b/>
          <w:bCs/>
          <w:sz w:val="26"/>
          <w:szCs w:val="26"/>
          <w:rtl/>
        </w:rPr>
        <w:t>המקרה שלפנינו נמנה לטעמי עם אותם מקרים חריגים אשר בהם נדרשת התערבותו של בית משפט זה בשבתו כערכאת ערעור, וזאת לנוכח מדיניות הענישה המחמירה אשר יש לנקוט כלפי עבירות הכוללות שימוש בנשק חם כאמצעי ליישוב סכסוכים.</w:t>
      </w:r>
    </w:p>
    <w:p w14:paraId="3F1CFA9C" w14:textId="77777777" w:rsidR="005335DC" w:rsidRPr="00ED06BB" w:rsidRDefault="005335DC" w:rsidP="005335DC">
      <w:pPr>
        <w:spacing w:line="360" w:lineRule="auto"/>
        <w:ind w:left="927"/>
        <w:jc w:val="both"/>
        <w:rPr>
          <w:rFonts w:ascii="Arial" w:hAnsi="Arial"/>
          <w:sz w:val="26"/>
          <w:szCs w:val="26"/>
          <w:rtl/>
        </w:rPr>
      </w:pPr>
      <w:r w:rsidRPr="00B47640">
        <w:rPr>
          <w:rFonts w:ascii="Arial" w:hAnsi="Arial"/>
          <w:b/>
          <w:bCs/>
          <w:sz w:val="26"/>
          <w:szCs w:val="26"/>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w:t>
      </w:r>
      <w:r w:rsidR="00042CC6">
        <w:rPr>
          <w:rFonts w:ascii="Arial" w:hAnsi="Arial"/>
          <w:b/>
          <w:bCs/>
          <w:sz w:val="26"/>
          <w:szCs w:val="26"/>
          <w:rtl/>
        </w:rPr>
        <w:t xml:space="preserve"> </w:t>
      </w:r>
      <w:r w:rsidRPr="00B47640">
        <w:rPr>
          <w:rFonts w:ascii="Arial" w:hAnsi="Arial"/>
          <w:b/>
          <w:bCs/>
          <w:sz w:val="26"/>
          <w:szCs w:val="26"/>
          <w:rtl/>
        </w:rPr>
        <w:t>התמודדות משטרת ישראל עם החזקת אמצעי לחימה לא חוקיים ואירועי ירי ביישובי החברה הערבית וביישובים מעורבים</w:t>
      </w:r>
      <w:r w:rsidR="00042CC6">
        <w:rPr>
          <w:rFonts w:ascii="Arial" w:hAnsi="Arial"/>
          <w:b/>
          <w:bCs/>
          <w:sz w:val="26"/>
          <w:szCs w:val="26"/>
          <w:rtl/>
        </w:rPr>
        <w:t xml:space="preserve"> </w:t>
      </w:r>
      <w:r w:rsidRPr="00B47640">
        <w:rPr>
          <w:rFonts w:ascii="Arial" w:hAnsi="Arial"/>
          <w:b/>
          <w:bCs/>
          <w:sz w:val="26"/>
          <w:szCs w:val="26"/>
          <w:rtl/>
        </w:rPr>
        <w:t>28 (2018)).</w:t>
      </w:r>
      <w:r w:rsidRPr="00ED06BB">
        <w:rPr>
          <w:rFonts w:ascii="Arial" w:hAnsi="Arial"/>
          <w:sz w:val="26"/>
          <w:szCs w:val="26"/>
          <w:rtl/>
        </w:rPr>
        <w:t>"</w:t>
      </w:r>
    </w:p>
    <w:p w14:paraId="55C716B3" w14:textId="77777777" w:rsidR="005335DC" w:rsidRDefault="005335DC" w:rsidP="005335DC">
      <w:pPr>
        <w:spacing w:line="360" w:lineRule="auto"/>
        <w:jc w:val="both"/>
        <w:rPr>
          <w:rFonts w:ascii="Arial" w:hAnsi="Arial"/>
          <w:sz w:val="26"/>
          <w:szCs w:val="26"/>
          <w:rtl/>
        </w:rPr>
      </w:pPr>
    </w:p>
    <w:p w14:paraId="51BEBDAC" w14:textId="77777777" w:rsidR="005335DC" w:rsidRPr="00ED06BB" w:rsidRDefault="005335DC" w:rsidP="005335DC">
      <w:pPr>
        <w:spacing w:line="360" w:lineRule="auto"/>
        <w:ind w:left="927"/>
        <w:jc w:val="both"/>
        <w:rPr>
          <w:rFonts w:ascii="Arial" w:hAnsi="Arial"/>
          <w:sz w:val="26"/>
          <w:szCs w:val="26"/>
        </w:rPr>
      </w:pPr>
      <w:r w:rsidRPr="00ED06BB">
        <w:rPr>
          <w:rFonts w:ascii="Arial" w:hAnsi="Arial"/>
          <w:sz w:val="26"/>
          <w:szCs w:val="26"/>
          <w:rtl/>
        </w:rPr>
        <w:t>כל צד הפנה לפסיקה אשר לשיטתו תומכת בגישתו. את דינו של הנאשם יש לגזור בהתאם לשיקולי הענישה הכלליים תוך התאמה לנסיבותיו כפי שפורטו לעיל.</w:t>
      </w:r>
    </w:p>
    <w:p w14:paraId="1D7F57DD" w14:textId="77777777" w:rsidR="005335DC" w:rsidRPr="00ED06BB" w:rsidRDefault="005335DC" w:rsidP="005335DC">
      <w:pPr>
        <w:spacing w:line="360" w:lineRule="auto"/>
        <w:jc w:val="both"/>
        <w:rPr>
          <w:rFonts w:ascii="Arial" w:hAnsi="Arial"/>
          <w:sz w:val="26"/>
          <w:szCs w:val="26"/>
          <w:rtl/>
        </w:rPr>
      </w:pPr>
    </w:p>
    <w:p w14:paraId="395A6DBC"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בין היתר מפנה המאשימה ל</w:t>
      </w:r>
      <w:hyperlink r:id="rId43" w:history="1">
        <w:r w:rsidR="00042CC6" w:rsidRPr="00042CC6">
          <w:rPr>
            <w:rFonts w:ascii="Arial" w:hAnsi="Arial"/>
            <w:color w:val="0000FF"/>
            <w:sz w:val="26"/>
            <w:szCs w:val="26"/>
            <w:u w:val="single"/>
            <w:rtl/>
          </w:rPr>
          <w:t>ע"פ 4945/13</w:t>
        </w:r>
      </w:hyperlink>
      <w:r w:rsidRPr="00B47640">
        <w:rPr>
          <w:rFonts w:ascii="Arial" w:hAnsi="Arial"/>
          <w:b/>
          <w:bCs/>
          <w:sz w:val="26"/>
          <w:szCs w:val="26"/>
          <w:rtl/>
        </w:rPr>
        <w:t xml:space="preserve"> מדינת ישראל נ' סלימאן</w:t>
      </w:r>
      <w:r w:rsidRPr="00ED06BB">
        <w:rPr>
          <w:rFonts w:ascii="Arial" w:hAnsi="Arial"/>
          <w:sz w:val="26"/>
          <w:szCs w:val="26"/>
          <w:rtl/>
        </w:rPr>
        <w:t xml:space="preserve"> (נבו 19.1.2014) (להלן: "</w:t>
      </w:r>
      <w:r w:rsidRPr="00B47640">
        <w:rPr>
          <w:rFonts w:ascii="Arial" w:hAnsi="Arial"/>
          <w:b/>
          <w:bCs/>
          <w:sz w:val="26"/>
          <w:szCs w:val="26"/>
          <w:rtl/>
        </w:rPr>
        <w:t>עניין סלימאן</w:t>
      </w:r>
      <w:r w:rsidRPr="00ED06BB">
        <w:rPr>
          <w:rFonts w:ascii="Arial" w:hAnsi="Arial"/>
          <w:sz w:val="26"/>
          <w:szCs w:val="26"/>
          <w:rtl/>
        </w:rPr>
        <w:t>"), כחיזוק לטיעוניה בדבר הצורך להחמיר בענישה. עיון בעניין סלימאן מעלה שהנאשם שם הורשע על פי הודאתו בעבירות של רכישת ואחזקת נשק מסוג קרל גוסטב שהוא נשק אוטומטי. עוד הורשע הנאשם בעניין סלימאן, בעבירה של הפרעה לשוטר במילוי תפקידו. נוכח היעדר עבר פלילי, תסקיר חיובי משירות המבחן ומצב נפשי קשה הותיר בית המשפט העליון, על כנו, את עונש המאסר של 6 חודשים לריצוי בדרך של עבודות שירות.</w:t>
      </w:r>
    </w:p>
    <w:p w14:paraId="5D30A4D4" w14:textId="77777777" w:rsidR="005335DC" w:rsidRPr="00ED06BB" w:rsidRDefault="005335DC" w:rsidP="005335DC">
      <w:pPr>
        <w:spacing w:line="360" w:lineRule="auto"/>
        <w:jc w:val="both"/>
        <w:rPr>
          <w:rFonts w:ascii="Arial" w:hAnsi="Arial"/>
          <w:sz w:val="26"/>
          <w:szCs w:val="26"/>
          <w:rtl/>
        </w:rPr>
      </w:pPr>
    </w:p>
    <w:p w14:paraId="2E30498F" w14:textId="77777777" w:rsidR="005335DC" w:rsidRPr="00ED06BB" w:rsidRDefault="005335DC" w:rsidP="005335DC">
      <w:pPr>
        <w:spacing w:line="360" w:lineRule="auto"/>
        <w:ind w:left="720"/>
        <w:jc w:val="both"/>
        <w:rPr>
          <w:rFonts w:ascii="Arial" w:hAnsi="Arial"/>
          <w:sz w:val="26"/>
          <w:szCs w:val="26"/>
          <w:rtl/>
        </w:rPr>
      </w:pPr>
      <w:r w:rsidRPr="00ED06BB">
        <w:rPr>
          <w:rFonts w:ascii="Arial" w:hAnsi="Arial"/>
          <w:sz w:val="26"/>
          <w:szCs w:val="26"/>
          <w:rtl/>
        </w:rPr>
        <w:t>כלומר, אף המאשימה, בדרך של הפניה לאסמכתאות, מסכימה כי את העקרונות הכלליים, עליהם אין חולק, יש להתאים לעניינו הפרטני של כל נאשם. עוד יש לזכור, כי עניין סלימאן הוכרע עובר לתיקון 140 ל</w:t>
      </w:r>
      <w:hyperlink r:id="rId44" w:history="1">
        <w:r w:rsidR="00042CC6" w:rsidRPr="00042CC6">
          <w:rPr>
            <w:rFonts w:ascii="Arial" w:hAnsi="Arial"/>
            <w:color w:val="0000FF"/>
            <w:sz w:val="26"/>
            <w:szCs w:val="26"/>
            <w:u w:val="single"/>
            <w:rtl/>
          </w:rPr>
          <w:t>חוק העונשין</w:t>
        </w:r>
      </w:hyperlink>
      <w:r w:rsidRPr="00ED06BB">
        <w:rPr>
          <w:rFonts w:ascii="Arial" w:hAnsi="Arial"/>
          <w:sz w:val="26"/>
          <w:szCs w:val="26"/>
          <w:rtl/>
        </w:rPr>
        <w:t xml:space="preserve"> והוא מהווה סממן למגמת ההחמרה בענישה. כידוע, אין מחמירים בענישה בבת אחת אלא בהדרגה.</w:t>
      </w:r>
    </w:p>
    <w:p w14:paraId="0D82C60C" w14:textId="77777777" w:rsidR="005335DC" w:rsidRPr="00ED06BB" w:rsidRDefault="005335DC" w:rsidP="005335DC">
      <w:pPr>
        <w:spacing w:line="360" w:lineRule="auto"/>
        <w:jc w:val="both"/>
        <w:rPr>
          <w:rFonts w:ascii="Arial" w:hAnsi="Arial"/>
          <w:sz w:val="26"/>
          <w:szCs w:val="26"/>
          <w:rtl/>
        </w:rPr>
      </w:pPr>
    </w:p>
    <w:p w14:paraId="6CF47EB1" w14:textId="77777777" w:rsidR="005335DC" w:rsidRPr="00ED06BB" w:rsidRDefault="005335DC" w:rsidP="005335DC">
      <w:pPr>
        <w:spacing w:line="360" w:lineRule="auto"/>
        <w:ind w:left="720"/>
        <w:jc w:val="both"/>
        <w:rPr>
          <w:rFonts w:ascii="Arial" w:hAnsi="Arial"/>
          <w:sz w:val="26"/>
          <w:szCs w:val="26"/>
          <w:rtl/>
        </w:rPr>
      </w:pPr>
      <w:r w:rsidRPr="00ED06BB">
        <w:rPr>
          <w:rFonts w:ascii="Arial" w:hAnsi="Arial"/>
          <w:sz w:val="26"/>
          <w:szCs w:val="26"/>
          <w:rtl/>
        </w:rPr>
        <w:t>עוד הפנתה המאשימה ל</w:t>
      </w:r>
      <w:hyperlink r:id="rId45" w:history="1">
        <w:r w:rsidR="00042CC6" w:rsidRPr="00042CC6">
          <w:rPr>
            <w:rFonts w:ascii="Arial" w:hAnsi="Arial"/>
            <w:color w:val="0000FF"/>
            <w:sz w:val="26"/>
            <w:szCs w:val="26"/>
            <w:u w:val="single"/>
            <w:rtl/>
          </w:rPr>
          <w:t>ע"פ 6383/21</w:t>
        </w:r>
      </w:hyperlink>
      <w:r w:rsidRPr="00ED06BB">
        <w:rPr>
          <w:rFonts w:ascii="Arial" w:hAnsi="Arial"/>
          <w:sz w:val="26"/>
          <w:szCs w:val="26"/>
          <w:rtl/>
        </w:rPr>
        <w:t xml:space="preserve"> </w:t>
      </w:r>
      <w:r w:rsidRPr="00B47640">
        <w:rPr>
          <w:rFonts w:ascii="Arial" w:hAnsi="Arial"/>
          <w:b/>
          <w:bCs/>
          <w:sz w:val="26"/>
          <w:szCs w:val="26"/>
          <w:rtl/>
        </w:rPr>
        <w:t>קריף נ' מדינת ישראל</w:t>
      </w:r>
      <w:r w:rsidRPr="00ED06BB">
        <w:rPr>
          <w:rFonts w:ascii="Arial" w:hAnsi="Arial"/>
          <w:sz w:val="26"/>
          <w:szCs w:val="26"/>
          <w:rtl/>
        </w:rPr>
        <w:t xml:space="preserve"> (נבו 13.2.2022) (להלן: "</w:t>
      </w:r>
      <w:r w:rsidRPr="00B47640">
        <w:rPr>
          <w:rFonts w:ascii="Arial" w:hAnsi="Arial"/>
          <w:b/>
          <w:bCs/>
          <w:sz w:val="26"/>
          <w:szCs w:val="26"/>
          <w:rtl/>
        </w:rPr>
        <w:t>עניין קריף</w:t>
      </w:r>
      <w:r w:rsidRPr="00ED06BB">
        <w:rPr>
          <w:rFonts w:ascii="Arial" w:hAnsi="Arial"/>
          <w:sz w:val="26"/>
          <w:szCs w:val="26"/>
          <w:rtl/>
        </w:rPr>
        <w:t>"). בעניין קריף התברר עניינם של שלושה מערערים אשר שניים מהם הורשעו על פי הודאתם בעבירה של נשיאה והובלת נשק מסוג אקדח, שהוא נשק מסוכן פחות מנשק ארוך אוטומטי, כמו בענייננו. לחובת המערערים בעניין קריף רבץ עבר פלילי. המערערים שעניינם דומה לזה שלפנינו נדונו לעונשי מאסר לריצוי בפועל לתקופה של 25 חודשים עד 28 חודשים. הוסיף בית המשפט בעניין קריף וקבע:</w:t>
      </w:r>
    </w:p>
    <w:p w14:paraId="7AAD3F50" w14:textId="77777777" w:rsidR="005335DC" w:rsidRPr="00ED06BB" w:rsidRDefault="005335DC" w:rsidP="005335DC">
      <w:pPr>
        <w:spacing w:line="360" w:lineRule="auto"/>
        <w:jc w:val="both"/>
        <w:rPr>
          <w:rFonts w:ascii="Arial" w:hAnsi="Arial"/>
          <w:sz w:val="26"/>
          <w:szCs w:val="26"/>
          <w:rtl/>
        </w:rPr>
      </w:pPr>
    </w:p>
    <w:p w14:paraId="6362D95F" w14:textId="77777777" w:rsidR="005335DC" w:rsidRPr="00ED06BB" w:rsidRDefault="005335DC" w:rsidP="005335DC">
      <w:pPr>
        <w:spacing w:line="360" w:lineRule="auto"/>
        <w:ind w:left="720"/>
        <w:jc w:val="both"/>
        <w:rPr>
          <w:rFonts w:ascii="Arial" w:hAnsi="Arial"/>
          <w:sz w:val="26"/>
          <w:szCs w:val="26"/>
          <w:rtl/>
        </w:rPr>
      </w:pPr>
      <w:r w:rsidRPr="00ED06BB">
        <w:rPr>
          <w:rFonts w:ascii="Arial" w:hAnsi="Arial"/>
          <w:sz w:val="26"/>
          <w:szCs w:val="26"/>
          <w:rtl/>
        </w:rPr>
        <w:t>"</w:t>
      </w:r>
      <w:r w:rsidRPr="00B47640">
        <w:rPr>
          <w:rFonts w:ascii="Arial" w:hAnsi="Arial"/>
          <w:b/>
          <w:bCs/>
          <w:sz w:val="26"/>
          <w:szCs w:val="26"/>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w:t>
      </w:r>
      <w:r w:rsidRPr="00ED06BB">
        <w:rPr>
          <w:rFonts w:ascii="Arial" w:hAnsi="Arial"/>
          <w:sz w:val="26"/>
          <w:szCs w:val="26"/>
          <w:rtl/>
        </w:rPr>
        <w:t xml:space="preserve">". </w:t>
      </w:r>
    </w:p>
    <w:p w14:paraId="6239EE59" w14:textId="77777777" w:rsidR="005335DC" w:rsidRPr="00ED06BB" w:rsidRDefault="005335DC" w:rsidP="005335DC">
      <w:pPr>
        <w:spacing w:line="360" w:lineRule="auto"/>
        <w:jc w:val="both"/>
        <w:rPr>
          <w:rFonts w:ascii="Arial" w:hAnsi="Arial"/>
          <w:sz w:val="26"/>
          <w:szCs w:val="26"/>
          <w:rtl/>
        </w:rPr>
      </w:pPr>
    </w:p>
    <w:p w14:paraId="6379A831" w14:textId="77777777" w:rsidR="005335DC" w:rsidRPr="00ED06BB" w:rsidRDefault="005335DC" w:rsidP="005335DC">
      <w:pPr>
        <w:spacing w:line="360" w:lineRule="auto"/>
        <w:ind w:left="720"/>
        <w:jc w:val="both"/>
        <w:rPr>
          <w:rFonts w:ascii="Arial" w:hAnsi="Arial"/>
          <w:sz w:val="26"/>
          <w:szCs w:val="26"/>
          <w:rtl/>
        </w:rPr>
      </w:pPr>
      <w:r w:rsidRPr="00ED06BB">
        <w:rPr>
          <w:rFonts w:ascii="Arial" w:hAnsi="Arial"/>
          <w:sz w:val="26"/>
          <w:szCs w:val="26"/>
          <w:rtl/>
        </w:rPr>
        <w:t>נוסף על כך הפנתה המאשימה ל</w:t>
      </w:r>
      <w:hyperlink r:id="rId46" w:history="1">
        <w:r w:rsidR="00042CC6" w:rsidRPr="00042CC6">
          <w:rPr>
            <w:rFonts w:ascii="Arial" w:hAnsi="Arial"/>
            <w:color w:val="0000FF"/>
            <w:sz w:val="26"/>
            <w:szCs w:val="26"/>
            <w:u w:val="single"/>
            <w:rtl/>
          </w:rPr>
          <w:t>ע"פ 5602/22</w:t>
        </w:r>
      </w:hyperlink>
      <w:r w:rsidRPr="00ED06BB">
        <w:rPr>
          <w:rFonts w:ascii="Arial" w:hAnsi="Arial"/>
          <w:sz w:val="26"/>
          <w:szCs w:val="26"/>
          <w:rtl/>
        </w:rPr>
        <w:t xml:space="preserve"> </w:t>
      </w:r>
      <w:r w:rsidRPr="00B47640">
        <w:rPr>
          <w:rFonts w:ascii="Arial" w:hAnsi="Arial"/>
          <w:b/>
          <w:bCs/>
          <w:sz w:val="26"/>
          <w:szCs w:val="26"/>
          <w:rtl/>
        </w:rPr>
        <w:t xml:space="preserve">מדינת ישראל נ' פלוני </w:t>
      </w:r>
      <w:r w:rsidRPr="00ED06BB">
        <w:rPr>
          <w:rFonts w:ascii="Arial" w:hAnsi="Arial"/>
          <w:sz w:val="26"/>
          <w:szCs w:val="26"/>
          <w:rtl/>
        </w:rPr>
        <w:t>(נבו 14.9.2022) (להלן: "</w:t>
      </w:r>
      <w:r w:rsidRPr="00B47640">
        <w:rPr>
          <w:rFonts w:ascii="Arial" w:hAnsi="Arial"/>
          <w:b/>
          <w:bCs/>
          <w:sz w:val="26"/>
          <w:szCs w:val="26"/>
          <w:rtl/>
        </w:rPr>
        <w:t>עניין פלוני</w:t>
      </w:r>
      <w:r w:rsidRPr="00ED06BB">
        <w:rPr>
          <w:rFonts w:ascii="Arial" w:hAnsi="Arial"/>
          <w:sz w:val="26"/>
          <w:szCs w:val="26"/>
          <w:rtl/>
        </w:rPr>
        <w:t xml:space="preserve">"). בעניין פלוני התברר עניינו של נאשם אשר הורשע על פי הודאתו בעבירות של נשיאת נשק שלא כדין, הפרעה לשוטר במילוי תפקידו ושהייה בישראל שלא כדין. הנשק בעניין פלוני היה אקדח. בית המשפט העליון החמיר בעונשו של הנאשם והעמידו על תקופה של 28 חודשי מאסר לריצוי בפועל תוך הדגשה שערכאת הערעור אינה ממצה את הדין. עוד נקבע בעניין פלוני שיש להחמיר בענישה גם בעניינם של נעדרי עבר פלילי המורשעים בעבירות נשק, זאת נוכח צוק העיתים ועבירות הנשק שהפכו מכת מדינה. על מתחם העונש הראוי נקבע בעניין פלוני שזה נע בין 30 ל- 42 חודשי מאסר לריצוי בפועל. </w:t>
      </w:r>
    </w:p>
    <w:p w14:paraId="4D36542A" w14:textId="77777777" w:rsidR="005335DC" w:rsidRPr="00ED06BB" w:rsidRDefault="005335DC" w:rsidP="005335DC">
      <w:pPr>
        <w:spacing w:line="360" w:lineRule="auto"/>
        <w:jc w:val="both"/>
        <w:rPr>
          <w:rFonts w:ascii="Arial" w:hAnsi="Arial"/>
          <w:sz w:val="26"/>
          <w:szCs w:val="26"/>
          <w:rtl/>
        </w:rPr>
      </w:pPr>
    </w:p>
    <w:p w14:paraId="3847AC78" w14:textId="77777777" w:rsidR="005335DC" w:rsidRPr="00ED06BB" w:rsidRDefault="005335DC" w:rsidP="005335DC">
      <w:pPr>
        <w:spacing w:line="360" w:lineRule="auto"/>
        <w:ind w:left="720"/>
        <w:jc w:val="both"/>
        <w:rPr>
          <w:rFonts w:ascii="Arial" w:hAnsi="Arial"/>
          <w:sz w:val="26"/>
          <w:szCs w:val="26"/>
          <w:rtl/>
        </w:rPr>
      </w:pPr>
      <w:r w:rsidRPr="00ED06BB">
        <w:rPr>
          <w:rFonts w:ascii="Arial" w:hAnsi="Arial"/>
          <w:sz w:val="26"/>
          <w:szCs w:val="26"/>
          <w:rtl/>
        </w:rPr>
        <w:t>כמו כן, הפנתה המאשימה ל</w:t>
      </w:r>
      <w:hyperlink r:id="rId47" w:history="1">
        <w:r w:rsidR="00042CC6" w:rsidRPr="00042CC6">
          <w:rPr>
            <w:rFonts w:ascii="Arial" w:hAnsi="Arial"/>
            <w:color w:val="0000FF"/>
            <w:sz w:val="26"/>
            <w:szCs w:val="26"/>
            <w:u w:val="single"/>
            <w:rtl/>
          </w:rPr>
          <w:t>ע"פ 5856/22</w:t>
        </w:r>
      </w:hyperlink>
      <w:r w:rsidRPr="00ED06BB">
        <w:rPr>
          <w:rFonts w:ascii="Arial" w:hAnsi="Arial"/>
          <w:sz w:val="26"/>
          <w:szCs w:val="26"/>
          <w:rtl/>
        </w:rPr>
        <w:t xml:space="preserve"> </w:t>
      </w:r>
      <w:r w:rsidRPr="00B47640">
        <w:rPr>
          <w:rFonts w:ascii="Arial" w:hAnsi="Arial"/>
          <w:b/>
          <w:bCs/>
          <w:sz w:val="26"/>
          <w:szCs w:val="26"/>
          <w:rtl/>
        </w:rPr>
        <w:t>סויטאת נ' מדינת ישראל</w:t>
      </w:r>
      <w:r w:rsidRPr="00ED06BB">
        <w:rPr>
          <w:rFonts w:ascii="Arial" w:hAnsi="Arial"/>
          <w:sz w:val="26"/>
          <w:szCs w:val="26"/>
          <w:rtl/>
        </w:rPr>
        <w:t xml:space="preserve"> (נבו 21.3.2023) (להלן: "</w:t>
      </w:r>
      <w:r w:rsidRPr="00B47640">
        <w:rPr>
          <w:rFonts w:ascii="Arial" w:hAnsi="Arial"/>
          <w:b/>
          <w:bCs/>
          <w:sz w:val="26"/>
          <w:szCs w:val="26"/>
          <w:rtl/>
        </w:rPr>
        <w:t>עניין סויטאת</w:t>
      </w:r>
      <w:r w:rsidRPr="00ED06BB">
        <w:rPr>
          <w:rFonts w:ascii="Arial" w:hAnsi="Arial"/>
          <w:sz w:val="26"/>
          <w:szCs w:val="26"/>
          <w:rtl/>
        </w:rPr>
        <w:t xml:space="preserve">"). בעניין סויטאת, הורשע הנאשם בעבירות של נשיאה והובלת אקדח ואביזר לנשק שלא כדין וכן בהפרעה לשוטר במילוי תפקידו. בית המשפט העליון הותיר על כנו את עונש המאסר לתקופה של 28 חודשים. </w:t>
      </w:r>
    </w:p>
    <w:p w14:paraId="30B04FEF" w14:textId="77777777" w:rsidR="005335DC" w:rsidRPr="00ED06BB" w:rsidRDefault="005335DC" w:rsidP="005335DC">
      <w:pPr>
        <w:spacing w:line="360" w:lineRule="auto"/>
        <w:jc w:val="both"/>
        <w:rPr>
          <w:rFonts w:ascii="Arial" w:hAnsi="Arial"/>
          <w:sz w:val="26"/>
          <w:szCs w:val="26"/>
          <w:rtl/>
        </w:rPr>
      </w:pPr>
    </w:p>
    <w:p w14:paraId="76F76394"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ב"כ הנאשם הפנה לאסופת גזרי דין מהם, לשיטתו, יש ללמוד על עניינו הפרטני של הנאשם. בין היתר, הפנה הסנגור ל</w:t>
      </w:r>
      <w:hyperlink r:id="rId48" w:history="1">
        <w:r w:rsidR="00042CC6" w:rsidRPr="00042CC6">
          <w:rPr>
            <w:rFonts w:ascii="Arial" w:hAnsi="Arial"/>
            <w:color w:val="0000FF"/>
            <w:sz w:val="26"/>
            <w:szCs w:val="26"/>
            <w:u w:val="single"/>
            <w:rtl/>
          </w:rPr>
          <w:t>ע"פ 4332/21</w:t>
        </w:r>
      </w:hyperlink>
      <w:r w:rsidRPr="00ED06BB">
        <w:rPr>
          <w:rFonts w:ascii="Arial" w:hAnsi="Arial"/>
          <w:sz w:val="26"/>
          <w:szCs w:val="26"/>
          <w:rtl/>
        </w:rPr>
        <w:t xml:space="preserve"> </w:t>
      </w:r>
      <w:r w:rsidRPr="00B47640">
        <w:rPr>
          <w:rFonts w:ascii="Arial" w:hAnsi="Arial"/>
          <w:b/>
          <w:bCs/>
          <w:sz w:val="26"/>
          <w:szCs w:val="26"/>
          <w:rtl/>
        </w:rPr>
        <w:t xml:space="preserve">עאסלה נ' מדינת ישראל </w:t>
      </w:r>
      <w:r w:rsidRPr="00ED06BB">
        <w:rPr>
          <w:rFonts w:ascii="Arial" w:hAnsi="Arial"/>
          <w:sz w:val="26"/>
          <w:szCs w:val="26"/>
          <w:rtl/>
        </w:rPr>
        <w:t>(נבו, 20.2.2022 ו- 29.3.2022) (להלן: "</w:t>
      </w:r>
      <w:r w:rsidRPr="00B47640">
        <w:rPr>
          <w:rFonts w:ascii="Arial" w:hAnsi="Arial"/>
          <w:b/>
          <w:bCs/>
          <w:sz w:val="26"/>
          <w:szCs w:val="26"/>
          <w:rtl/>
        </w:rPr>
        <w:t>עניין עסאלה"</w:t>
      </w:r>
      <w:r w:rsidRPr="00ED06BB">
        <w:rPr>
          <w:rFonts w:ascii="Arial" w:hAnsi="Arial"/>
          <w:sz w:val="26"/>
          <w:szCs w:val="26"/>
          <w:rtl/>
        </w:rPr>
        <w:t>). בעניין עסאללה נדון הנאשם לתקופת מאסר של 9 חודשים לריצוי בדרך של עבודות שירות, לאחר שהורשע, עפ"י הודאתו, בעבירה של החזקת נשק אוטומטי מסוג קרלו, שלא כדין. אין הנדון דומה לראיה. בעניין עסאללה, הנאשם הוא זה שהוביל את המשטרה למקום בו הוסתר הנשק. בית המשפט הדגיש שיש מקום לסטות ממתחם הענישה המקובל, נוכח תסקיר חיובי משירות המבחן, שיתוף הפעולה של הנאשם עם המשטרה, הודייתו המידית, חרטה כנה והליך טיפולי מוצלח.</w:t>
      </w:r>
    </w:p>
    <w:p w14:paraId="0BB42A37" w14:textId="77777777" w:rsidR="005335DC" w:rsidRPr="00ED06BB" w:rsidRDefault="005335DC" w:rsidP="005335DC">
      <w:pPr>
        <w:spacing w:line="360" w:lineRule="auto"/>
        <w:jc w:val="both"/>
        <w:rPr>
          <w:rFonts w:ascii="Arial" w:hAnsi="Arial"/>
          <w:sz w:val="26"/>
          <w:szCs w:val="26"/>
          <w:rtl/>
        </w:rPr>
      </w:pPr>
    </w:p>
    <w:p w14:paraId="19C446CA"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כך הפנה הסנגור ל</w:t>
      </w:r>
      <w:hyperlink r:id="rId49" w:history="1">
        <w:r w:rsidR="00042CC6" w:rsidRPr="00042CC6">
          <w:rPr>
            <w:rFonts w:ascii="Arial" w:hAnsi="Arial"/>
            <w:color w:val="0000FF"/>
            <w:sz w:val="26"/>
            <w:szCs w:val="26"/>
            <w:u w:val="single"/>
            <w:rtl/>
          </w:rPr>
          <w:t>ע"פ 5807/20</w:t>
        </w:r>
      </w:hyperlink>
      <w:r w:rsidRPr="00B47640">
        <w:rPr>
          <w:rFonts w:ascii="Arial" w:hAnsi="Arial"/>
          <w:b/>
          <w:bCs/>
          <w:sz w:val="26"/>
          <w:szCs w:val="26"/>
          <w:rtl/>
        </w:rPr>
        <w:t xml:space="preserve"> שיבלי נ' מדינת ישראל</w:t>
      </w:r>
      <w:r w:rsidRPr="00ED06BB">
        <w:rPr>
          <w:rFonts w:ascii="Arial" w:hAnsi="Arial"/>
          <w:sz w:val="26"/>
          <w:szCs w:val="26"/>
          <w:rtl/>
        </w:rPr>
        <w:t xml:space="preserve"> (נבו, 30.12.2020) (להלן: "</w:t>
      </w:r>
      <w:r w:rsidRPr="00B47640">
        <w:rPr>
          <w:rFonts w:ascii="Arial" w:hAnsi="Arial"/>
          <w:b/>
          <w:bCs/>
          <w:sz w:val="26"/>
          <w:szCs w:val="26"/>
          <w:rtl/>
        </w:rPr>
        <w:t>עניין שיבלי</w:t>
      </w:r>
      <w:r w:rsidRPr="00ED06BB">
        <w:rPr>
          <w:rFonts w:ascii="Arial" w:hAnsi="Arial"/>
          <w:sz w:val="26"/>
          <w:szCs w:val="26"/>
          <w:rtl/>
        </w:rPr>
        <w:t xml:space="preserve">"). בעניין שיבלי הורשע הנאשם, עפ"י הודאתו בעבירה של נשיאה והובלה של נשק מסוג תת מקלע.  עם זאת, מצא בית המשפט בעניין שיבלי שזהו מקרה "חריג שבחריגים" המצדיק סטייה מרף הענישה הכללי. במיוחד הדגיש בית המשפט את מצבו הרפואי נפשי של הנאשם. יש לזכור, את הנסיבות בעניין שיבלי, שם הנאשם שירת בצה"ל משך 6 שנים, נפגע בפיצוץ תופת ולקה כתוצאה מכך בהלם קרב. בכל הנוגע לנסיבות העבירה, נמצא שהנאשם, שיתף מידית פעולה עם השוטרים והודה. עוד עמד לזכות הנאשם בעניין שיבלי תסקיר חיובי משירות המבחן. </w:t>
      </w:r>
    </w:p>
    <w:p w14:paraId="19DC7FD0" w14:textId="77777777" w:rsidR="005335DC" w:rsidRPr="00ED06BB" w:rsidRDefault="005335DC" w:rsidP="005335DC">
      <w:pPr>
        <w:spacing w:line="360" w:lineRule="auto"/>
        <w:jc w:val="both"/>
        <w:rPr>
          <w:rFonts w:ascii="Arial" w:hAnsi="Arial"/>
          <w:sz w:val="26"/>
          <w:szCs w:val="26"/>
          <w:rtl/>
        </w:rPr>
      </w:pPr>
    </w:p>
    <w:p w14:paraId="3B200C87"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ב</w:t>
      </w:r>
      <w:hyperlink r:id="rId50" w:history="1">
        <w:r w:rsidR="00042CC6" w:rsidRPr="00042CC6">
          <w:rPr>
            <w:rFonts w:ascii="Arial" w:hAnsi="Arial"/>
            <w:color w:val="0000FF"/>
            <w:sz w:val="26"/>
            <w:szCs w:val="26"/>
            <w:u w:val="single"/>
            <w:rtl/>
          </w:rPr>
          <w:t>ת"פ 960-08-22</w:t>
        </w:r>
      </w:hyperlink>
      <w:r w:rsidRPr="00ED06BB">
        <w:rPr>
          <w:rFonts w:ascii="Arial" w:hAnsi="Arial"/>
          <w:sz w:val="26"/>
          <w:szCs w:val="26"/>
          <w:rtl/>
        </w:rPr>
        <w:t xml:space="preserve"> </w:t>
      </w:r>
      <w:r w:rsidRPr="00B47640">
        <w:rPr>
          <w:rFonts w:ascii="Arial" w:hAnsi="Arial"/>
          <w:b/>
          <w:bCs/>
          <w:sz w:val="26"/>
          <w:szCs w:val="26"/>
          <w:rtl/>
        </w:rPr>
        <w:t xml:space="preserve">מדינת ישראל נ' מוחמד </w:t>
      </w:r>
      <w:r w:rsidRPr="00ED06BB">
        <w:rPr>
          <w:rFonts w:ascii="Arial" w:hAnsi="Arial"/>
          <w:sz w:val="26"/>
          <w:szCs w:val="26"/>
          <w:rtl/>
        </w:rPr>
        <w:t>(לא פורסם) (להלן: "</w:t>
      </w:r>
      <w:r w:rsidRPr="00B47640">
        <w:rPr>
          <w:rFonts w:ascii="Arial" w:hAnsi="Arial"/>
          <w:b/>
          <w:bCs/>
          <w:sz w:val="26"/>
          <w:szCs w:val="26"/>
          <w:rtl/>
        </w:rPr>
        <w:t>עניין מוחמד</w:t>
      </w:r>
      <w:r w:rsidRPr="00ED06BB">
        <w:rPr>
          <w:rFonts w:ascii="Arial" w:hAnsi="Arial"/>
          <w:sz w:val="26"/>
          <w:szCs w:val="26"/>
          <w:rtl/>
        </w:rPr>
        <w:t xml:space="preserve">") הורשע הנאשם, עפ"י הודאתו בעבירות של נשיאה והובלת נשק וכן בעבירה של שיבוש מהלכי משפט. הנשק בעניין מוחמד היה, כמו בענייננו, רובה מסוג </w:t>
      </w:r>
      <w:r w:rsidRPr="00ED06BB">
        <w:rPr>
          <w:rFonts w:ascii="Arial" w:hAnsi="Arial"/>
          <w:sz w:val="26"/>
          <w:szCs w:val="26"/>
        </w:rPr>
        <w:t>M</w:t>
      </w:r>
      <w:r w:rsidRPr="00ED06BB">
        <w:rPr>
          <w:rFonts w:ascii="Arial" w:hAnsi="Arial"/>
          <w:sz w:val="26"/>
          <w:szCs w:val="26"/>
          <w:rtl/>
        </w:rPr>
        <w:t>-16. עם זאת, יש לזכור שבעניין מוחמד היה מדובר בנאשם שלזכותו עמד תסקיר חיובי משירות המבחן. נוכח כל אלה מצא בית המשפט שזהו המקרה לסטות ממתחם הענישה שקבע. על כן, נדון הנאשם לעונש מאסר של 9 חודשים לריצוי בעבודות שירות. כלומר, עניין השיקום גבר על שיקולי הענישה האחרים.</w:t>
      </w:r>
    </w:p>
    <w:p w14:paraId="578D7933" w14:textId="77777777" w:rsidR="005335DC" w:rsidRPr="00ED06BB" w:rsidRDefault="005335DC" w:rsidP="005335DC">
      <w:pPr>
        <w:spacing w:line="360" w:lineRule="auto"/>
        <w:jc w:val="both"/>
        <w:rPr>
          <w:rFonts w:ascii="Arial" w:hAnsi="Arial"/>
          <w:sz w:val="26"/>
          <w:szCs w:val="26"/>
          <w:rtl/>
        </w:rPr>
      </w:pPr>
    </w:p>
    <w:p w14:paraId="696F716B" w14:textId="77777777" w:rsidR="005335DC" w:rsidRDefault="005335DC" w:rsidP="005335DC">
      <w:pPr>
        <w:spacing w:line="360" w:lineRule="auto"/>
        <w:ind w:left="927"/>
        <w:jc w:val="both"/>
        <w:rPr>
          <w:rFonts w:ascii="Arial" w:hAnsi="Arial"/>
          <w:sz w:val="26"/>
          <w:szCs w:val="26"/>
          <w:rtl/>
        </w:rPr>
      </w:pPr>
      <w:r w:rsidRPr="00ED06BB">
        <w:rPr>
          <w:rFonts w:ascii="Arial" w:hAnsi="Arial"/>
          <w:sz w:val="26"/>
          <w:szCs w:val="26"/>
          <w:rtl/>
        </w:rPr>
        <w:t>עוד הפנה הסנגור ל</w:t>
      </w:r>
      <w:hyperlink r:id="rId51" w:history="1">
        <w:r w:rsidR="00042CC6" w:rsidRPr="00042CC6">
          <w:rPr>
            <w:rFonts w:ascii="Arial" w:hAnsi="Arial"/>
            <w:color w:val="0000FF"/>
            <w:sz w:val="26"/>
            <w:szCs w:val="26"/>
            <w:u w:val="single"/>
            <w:rtl/>
          </w:rPr>
          <w:t>ת"פ 5874-09-21</w:t>
        </w:r>
      </w:hyperlink>
      <w:r w:rsidRPr="00ED06BB">
        <w:rPr>
          <w:rFonts w:ascii="Arial" w:hAnsi="Arial"/>
          <w:sz w:val="26"/>
          <w:szCs w:val="26"/>
          <w:rtl/>
        </w:rPr>
        <w:t xml:space="preserve"> </w:t>
      </w:r>
      <w:r w:rsidRPr="00B47640">
        <w:rPr>
          <w:rFonts w:ascii="Arial" w:hAnsi="Arial"/>
          <w:b/>
          <w:bCs/>
          <w:sz w:val="26"/>
          <w:szCs w:val="26"/>
          <w:rtl/>
        </w:rPr>
        <w:t>מדינת ישראל נ' גנאים</w:t>
      </w:r>
      <w:r w:rsidRPr="00ED06BB">
        <w:rPr>
          <w:rFonts w:ascii="Arial" w:hAnsi="Arial"/>
          <w:sz w:val="26"/>
          <w:szCs w:val="26"/>
          <w:rtl/>
        </w:rPr>
        <w:t xml:space="preserve"> (3.3.2022) (להלן: "</w:t>
      </w:r>
      <w:r w:rsidRPr="00B47640">
        <w:rPr>
          <w:rFonts w:ascii="Arial" w:hAnsi="Arial"/>
          <w:b/>
          <w:bCs/>
          <w:sz w:val="26"/>
          <w:szCs w:val="26"/>
          <w:rtl/>
        </w:rPr>
        <w:t>עניין גנאים</w:t>
      </w:r>
      <w:r w:rsidRPr="00ED06BB">
        <w:rPr>
          <w:rFonts w:ascii="Arial" w:hAnsi="Arial"/>
          <w:sz w:val="26"/>
          <w:szCs w:val="26"/>
          <w:rtl/>
        </w:rPr>
        <w:t xml:space="preserve">"). בעניין גנאים הנאשמים הורשעו, עפ"י הודאתם, בעבירות של נשיאה, הובלה והחזקה של נשק מאולתר מסוג </w:t>
      </w:r>
      <w:r w:rsidRPr="00ED06BB">
        <w:rPr>
          <w:rFonts w:ascii="Arial" w:hAnsi="Arial"/>
          <w:sz w:val="26"/>
          <w:szCs w:val="26"/>
        </w:rPr>
        <w:t>M</w:t>
      </w:r>
      <w:r w:rsidRPr="00ED06BB">
        <w:rPr>
          <w:rFonts w:ascii="Arial" w:hAnsi="Arial"/>
          <w:sz w:val="26"/>
          <w:szCs w:val="26"/>
          <w:rtl/>
        </w:rPr>
        <w:t xml:space="preserve">-16. בית המשפט, אבחן בין שני </w:t>
      </w:r>
    </w:p>
    <w:p w14:paraId="735EF22E" w14:textId="77777777" w:rsidR="005335DC" w:rsidRDefault="005335DC" w:rsidP="005335DC">
      <w:pPr>
        <w:spacing w:line="360" w:lineRule="auto"/>
        <w:ind w:left="927"/>
        <w:jc w:val="both"/>
        <w:rPr>
          <w:rFonts w:ascii="Arial" w:hAnsi="Arial"/>
          <w:sz w:val="26"/>
          <w:szCs w:val="26"/>
          <w:rtl/>
        </w:rPr>
      </w:pPr>
    </w:p>
    <w:p w14:paraId="1C7DC686"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 xml:space="preserve">הנאשמים. בעוד שנאשם 1 הוביל את הנשק באופן משמעותי היה הנאשם 2 בקרבתו תקופה קצרה. על כן, בעניין נאשם 2 נקבע מתחם הענישה שנע בין 9 – 18 חודשים ולבסוף הוא נדון ל- 10 לחודשי מאסר לריצוי בפועל. </w:t>
      </w:r>
    </w:p>
    <w:p w14:paraId="2035C73E" w14:textId="77777777" w:rsidR="005335DC" w:rsidRPr="00ED06BB" w:rsidRDefault="005335DC" w:rsidP="005335DC">
      <w:pPr>
        <w:spacing w:line="360" w:lineRule="auto"/>
        <w:jc w:val="both"/>
        <w:rPr>
          <w:rFonts w:ascii="Arial" w:hAnsi="Arial"/>
          <w:sz w:val="26"/>
          <w:szCs w:val="26"/>
          <w:rtl/>
        </w:rPr>
      </w:pPr>
    </w:p>
    <w:p w14:paraId="4A2950B7"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נוסף על כך, ביקש הסנגור להפנות לת"פ 28787-04-22</w:t>
      </w:r>
      <w:r w:rsidRPr="00B47640">
        <w:rPr>
          <w:rFonts w:ascii="Arial" w:hAnsi="Arial"/>
          <w:b/>
          <w:bCs/>
          <w:sz w:val="26"/>
          <w:szCs w:val="26"/>
          <w:rtl/>
        </w:rPr>
        <w:t xml:space="preserve"> מדינת ישראל נ' משעלי</w:t>
      </w:r>
      <w:r w:rsidRPr="00ED06BB">
        <w:rPr>
          <w:rFonts w:ascii="Arial" w:hAnsi="Arial"/>
          <w:sz w:val="26"/>
          <w:szCs w:val="26"/>
          <w:rtl/>
        </w:rPr>
        <w:t xml:space="preserve"> (נבו 26.9.2023)</w:t>
      </w:r>
      <w:r>
        <w:rPr>
          <w:rFonts w:ascii="Arial" w:hAnsi="Arial" w:hint="cs"/>
          <w:sz w:val="26"/>
          <w:szCs w:val="26"/>
          <w:rtl/>
        </w:rPr>
        <w:t xml:space="preserve"> </w:t>
      </w:r>
      <w:r w:rsidRPr="00ED06BB">
        <w:rPr>
          <w:rFonts w:ascii="Arial" w:hAnsi="Arial"/>
          <w:sz w:val="26"/>
          <w:szCs w:val="26"/>
          <w:rtl/>
        </w:rPr>
        <w:t>(להלן: "</w:t>
      </w:r>
      <w:r w:rsidRPr="00B47640">
        <w:rPr>
          <w:rFonts w:ascii="Arial" w:hAnsi="Arial"/>
          <w:b/>
          <w:bCs/>
          <w:sz w:val="26"/>
          <w:szCs w:val="26"/>
          <w:rtl/>
        </w:rPr>
        <w:t>עניין משעלי</w:t>
      </w:r>
      <w:r w:rsidRPr="00ED06BB">
        <w:rPr>
          <w:rFonts w:ascii="Arial" w:hAnsi="Arial"/>
          <w:sz w:val="26"/>
          <w:szCs w:val="26"/>
          <w:rtl/>
        </w:rPr>
        <w:t xml:space="preserve">"). בעניין משעלי התברר עניינו של נאשם אשר הורשע, עפ"י הודאתו, בעבירות של החזקה, נשיאה והובלה של נשק מסוג אקדח ביחד עם מחסנית וכדורים. התסקיר בעניין הנאשם לא היה חיובי. עם זאת, נוכח גיל הנאשם, העדר עבר פלילי נקבע כי הנאשם ירצה מאסר לתקופה  של 18 חודשים. לאחרונה נדחה ערעורו בידי בית המשפט העליון לאחר שחזר בו מהערעור (ראו: </w:t>
      </w:r>
      <w:hyperlink r:id="rId52" w:history="1">
        <w:r w:rsidR="00042CC6" w:rsidRPr="00042CC6">
          <w:rPr>
            <w:rFonts w:ascii="Arial" w:hAnsi="Arial"/>
            <w:color w:val="0000FF"/>
            <w:sz w:val="26"/>
            <w:szCs w:val="26"/>
            <w:u w:val="single"/>
            <w:rtl/>
          </w:rPr>
          <w:t>ע"פ 8039/23</w:t>
        </w:r>
      </w:hyperlink>
      <w:r w:rsidRPr="00ED06BB">
        <w:rPr>
          <w:rFonts w:ascii="Arial" w:hAnsi="Arial"/>
          <w:sz w:val="26"/>
          <w:szCs w:val="26"/>
          <w:rtl/>
        </w:rPr>
        <w:t xml:space="preserve"> פלוני נ' מדינת ישראל (17.1.24))</w:t>
      </w:r>
    </w:p>
    <w:p w14:paraId="2E0A695A" w14:textId="77777777" w:rsidR="005335DC" w:rsidRPr="00ED06BB" w:rsidRDefault="005335DC" w:rsidP="005335DC">
      <w:pPr>
        <w:spacing w:line="360" w:lineRule="auto"/>
        <w:jc w:val="both"/>
        <w:rPr>
          <w:rFonts w:ascii="Arial" w:hAnsi="Arial"/>
          <w:sz w:val="26"/>
          <w:szCs w:val="26"/>
          <w:u w:val="single"/>
          <w:rtl/>
        </w:rPr>
      </w:pPr>
    </w:p>
    <w:p w14:paraId="6078789C" w14:textId="77777777" w:rsidR="005335DC" w:rsidRPr="00AF5EA8" w:rsidRDefault="005335DC" w:rsidP="005335DC">
      <w:pPr>
        <w:spacing w:line="360" w:lineRule="auto"/>
        <w:jc w:val="both"/>
        <w:rPr>
          <w:rFonts w:ascii="Arial" w:hAnsi="Arial"/>
          <w:b/>
          <w:bCs/>
          <w:sz w:val="26"/>
          <w:szCs w:val="26"/>
          <w:u w:val="single"/>
          <w:rtl/>
        </w:rPr>
      </w:pPr>
      <w:r w:rsidRPr="00AF5EA8">
        <w:rPr>
          <w:rFonts w:ascii="Arial" w:hAnsi="Arial"/>
          <w:b/>
          <w:bCs/>
          <w:sz w:val="26"/>
          <w:szCs w:val="26"/>
          <w:u w:val="single"/>
          <w:rtl/>
        </w:rPr>
        <w:t>מתחם הענישה ההולם:</w:t>
      </w:r>
    </w:p>
    <w:p w14:paraId="08B7ED7D"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 xml:space="preserve">בענייננו, יש לזכור את הערכים המוגנים שנפגעו, את העובדה שעבירות הנשק הפכו מכת מדינה וכי </w:t>
      </w:r>
      <w:hyperlink r:id="rId53" w:history="1">
        <w:r w:rsidR="0068414C" w:rsidRPr="0068414C">
          <w:rPr>
            <w:rStyle w:val="Hyperlink"/>
            <w:rFonts w:ascii="Arial" w:hAnsi="Arial"/>
            <w:color w:val="0000FF"/>
            <w:sz w:val="26"/>
            <w:szCs w:val="26"/>
            <w:rtl/>
          </w:rPr>
          <w:t>סעיף 144(ב)</w:t>
        </w:r>
      </w:hyperlink>
      <w:r w:rsidRPr="00ED06BB">
        <w:rPr>
          <w:rFonts w:ascii="Arial" w:hAnsi="Arial"/>
          <w:sz w:val="26"/>
          <w:szCs w:val="26"/>
          <w:rtl/>
        </w:rPr>
        <w:t xml:space="preserve"> ל</w:t>
      </w:r>
      <w:hyperlink r:id="rId54" w:history="1">
        <w:r w:rsidR="00042CC6" w:rsidRPr="00042CC6">
          <w:rPr>
            <w:rFonts w:ascii="Arial" w:hAnsi="Arial"/>
            <w:color w:val="0000FF"/>
            <w:sz w:val="26"/>
            <w:szCs w:val="26"/>
            <w:u w:val="single"/>
            <w:rtl/>
          </w:rPr>
          <w:t>חוק העונשין</w:t>
        </w:r>
      </w:hyperlink>
      <w:r w:rsidRPr="00ED06BB">
        <w:rPr>
          <w:rFonts w:ascii="Arial" w:hAnsi="Arial"/>
          <w:sz w:val="26"/>
          <w:szCs w:val="26"/>
          <w:rtl/>
        </w:rPr>
        <w:t xml:space="preserve"> קובע עונש מרבי של 10 שנית מאסר. בהמשך קובע </w:t>
      </w:r>
      <w:hyperlink r:id="rId55" w:history="1">
        <w:r w:rsidR="0068414C" w:rsidRPr="0068414C">
          <w:rPr>
            <w:rStyle w:val="Hyperlink"/>
            <w:rFonts w:ascii="Arial" w:hAnsi="Arial"/>
            <w:color w:val="0000FF"/>
            <w:sz w:val="26"/>
            <w:szCs w:val="26"/>
            <w:rtl/>
          </w:rPr>
          <w:t>סעיף 144(ז)</w:t>
        </w:r>
      </w:hyperlink>
      <w:r w:rsidRPr="00ED06BB">
        <w:rPr>
          <w:rFonts w:ascii="Arial" w:hAnsi="Arial"/>
          <w:sz w:val="26"/>
          <w:szCs w:val="26"/>
          <w:rtl/>
        </w:rPr>
        <w:t xml:space="preserve"> ל</w:t>
      </w:r>
      <w:hyperlink r:id="rId56" w:history="1">
        <w:r w:rsidR="00042CC6" w:rsidRPr="00042CC6">
          <w:rPr>
            <w:rFonts w:ascii="Arial" w:hAnsi="Arial"/>
            <w:color w:val="0000FF"/>
            <w:sz w:val="26"/>
            <w:szCs w:val="26"/>
            <w:u w:val="single"/>
            <w:rtl/>
          </w:rPr>
          <w:t>חוק העונשין</w:t>
        </w:r>
      </w:hyperlink>
      <w:r w:rsidRPr="00ED06BB">
        <w:rPr>
          <w:rFonts w:ascii="Arial" w:hAnsi="Arial"/>
          <w:sz w:val="26"/>
          <w:szCs w:val="26"/>
          <w:rtl/>
        </w:rPr>
        <w:t xml:space="preserve"> עונש מזערי שלא יפחת מרבע העונש המרבי הקבוע והקלה אפשרית רק מנימוקים מיוחדים שירשמו.</w:t>
      </w:r>
    </w:p>
    <w:p w14:paraId="131E8EB5" w14:textId="77777777" w:rsidR="005335DC" w:rsidRPr="00ED06BB" w:rsidRDefault="005335DC" w:rsidP="005335DC">
      <w:pPr>
        <w:spacing w:line="360" w:lineRule="auto"/>
        <w:jc w:val="both"/>
        <w:rPr>
          <w:rFonts w:ascii="Arial" w:hAnsi="Arial"/>
          <w:sz w:val="26"/>
          <w:szCs w:val="26"/>
        </w:rPr>
      </w:pPr>
    </w:p>
    <w:p w14:paraId="1655755F" w14:textId="77777777" w:rsidR="005335DC" w:rsidRPr="00ED06BB" w:rsidRDefault="005335DC" w:rsidP="005335DC">
      <w:pPr>
        <w:spacing w:line="360" w:lineRule="auto"/>
        <w:ind w:firstLine="720"/>
        <w:jc w:val="both"/>
        <w:rPr>
          <w:rFonts w:ascii="Arial" w:hAnsi="Arial"/>
          <w:sz w:val="26"/>
          <w:szCs w:val="26"/>
          <w:rtl/>
        </w:rPr>
      </w:pPr>
      <w:r w:rsidRPr="00ED06BB">
        <w:rPr>
          <w:rFonts w:ascii="Arial" w:hAnsi="Arial"/>
          <w:sz w:val="26"/>
          <w:szCs w:val="26"/>
          <w:rtl/>
        </w:rPr>
        <w:t xml:space="preserve">לעניין זה ראו </w:t>
      </w:r>
      <w:hyperlink r:id="rId57" w:history="1">
        <w:r w:rsidR="00042CC6" w:rsidRPr="00042CC6">
          <w:rPr>
            <w:rFonts w:ascii="Arial" w:hAnsi="Arial"/>
            <w:color w:val="0000FF"/>
            <w:sz w:val="26"/>
            <w:szCs w:val="26"/>
            <w:u w:val="single"/>
            <w:rtl/>
          </w:rPr>
          <w:t>ע"פ 8500/22</w:t>
        </w:r>
      </w:hyperlink>
      <w:r w:rsidRPr="00ED06BB">
        <w:rPr>
          <w:rFonts w:ascii="Arial" w:hAnsi="Arial"/>
          <w:sz w:val="26"/>
          <w:szCs w:val="26"/>
          <w:rtl/>
        </w:rPr>
        <w:t xml:space="preserve"> </w:t>
      </w:r>
      <w:r w:rsidRPr="00AF5EA8">
        <w:rPr>
          <w:rFonts w:ascii="Arial" w:hAnsi="Arial"/>
          <w:b/>
          <w:bCs/>
          <w:sz w:val="26"/>
          <w:szCs w:val="26"/>
          <w:rtl/>
        </w:rPr>
        <w:t xml:space="preserve">אבוטבול נ' מדינת ישראל </w:t>
      </w:r>
      <w:r w:rsidRPr="00ED06BB">
        <w:rPr>
          <w:rFonts w:ascii="Arial" w:hAnsi="Arial"/>
          <w:sz w:val="26"/>
          <w:szCs w:val="26"/>
          <w:rtl/>
        </w:rPr>
        <w:t>(נבו, 10.7.2023) שם נקבע כך:</w:t>
      </w:r>
    </w:p>
    <w:p w14:paraId="67847927" w14:textId="77777777" w:rsidR="005335DC" w:rsidRPr="00AF5EA8" w:rsidRDefault="005335DC" w:rsidP="005335DC">
      <w:pPr>
        <w:spacing w:line="360" w:lineRule="auto"/>
        <w:ind w:left="720"/>
        <w:jc w:val="both"/>
        <w:rPr>
          <w:rFonts w:ascii="Arial" w:hAnsi="Arial"/>
          <w:b/>
          <w:bCs/>
          <w:sz w:val="26"/>
          <w:szCs w:val="26"/>
          <w:rtl/>
        </w:rPr>
      </w:pPr>
      <w:r w:rsidRPr="00ED06BB">
        <w:rPr>
          <w:rFonts w:ascii="Arial" w:hAnsi="Arial"/>
          <w:sz w:val="26"/>
          <w:szCs w:val="26"/>
          <w:rtl/>
        </w:rPr>
        <w:t>"</w:t>
      </w:r>
      <w:r w:rsidRPr="00AF5EA8">
        <w:rPr>
          <w:rFonts w:ascii="Arial" w:hAnsi="Arial"/>
          <w:b/>
          <w:bCs/>
          <w:sz w:val="26"/>
          <w:szCs w:val="26"/>
          <w:rtl/>
        </w:rPr>
        <w:t>מתחם העונש ההולם והעונש המזערי – קשורים הם בקשר אמיץ;</w:t>
      </w:r>
      <w:r w:rsidR="00042CC6">
        <w:rPr>
          <w:rFonts w:ascii="Arial" w:hAnsi="Arial"/>
          <w:b/>
          <w:bCs/>
          <w:sz w:val="26"/>
          <w:szCs w:val="26"/>
          <w:rtl/>
        </w:rPr>
        <w:t xml:space="preserve"> </w:t>
      </w:r>
      <w:r w:rsidRPr="00AF5EA8">
        <w:rPr>
          <w:rFonts w:ascii="Arial" w:hAnsi="Arial"/>
          <w:b/>
          <w:bCs/>
          <w:sz w:val="26"/>
          <w:szCs w:val="26"/>
          <w:rtl/>
        </w:rPr>
        <w:t>"עונש המינימום הוא בבחינת אינדיקציה לחומרה שמיוחסת לעבירה ולמידת הפגיעה בערכים המוגנים מחמת ביצועה, ומשכך, ראוי שתהיה לו השפעה גם על מתחם העונש ההולם"</w:t>
      </w:r>
      <w:r w:rsidR="00042CC6">
        <w:rPr>
          <w:rFonts w:ascii="Arial" w:hAnsi="Arial"/>
          <w:b/>
          <w:bCs/>
          <w:sz w:val="26"/>
          <w:szCs w:val="26"/>
          <w:rtl/>
        </w:rPr>
        <w:t xml:space="preserve"> </w:t>
      </w:r>
      <w:r w:rsidRPr="00AF5EA8">
        <w:rPr>
          <w:rFonts w:ascii="Arial" w:hAnsi="Arial"/>
          <w:b/>
          <w:bCs/>
          <w:sz w:val="26"/>
          <w:szCs w:val="26"/>
          <w:rtl/>
        </w:rPr>
        <w:t>(</w:t>
      </w:r>
      <w:hyperlink r:id="rId58" w:history="1">
        <w:r w:rsidR="00042CC6" w:rsidRPr="00042CC6">
          <w:rPr>
            <w:rFonts w:ascii="Arial" w:hAnsi="Arial"/>
            <w:b/>
            <w:bCs/>
            <w:color w:val="0000FF"/>
            <w:sz w:val="26"/>
            <w:szCs w:val="26"/>
            <w:u w:val="single"/>
            <w:rtl/>
          </w:rPr>
          <w:t>ע"פ 8045/13</w:t>
        </w:r>
      </w:hyperlink>
      <w:r w:rsidR="00042CC6">
        <w:rPr>
          <w:rFonts w:ascii="Arial" w:hAnsi="Arial"/>
          <w:b/>
          <w:bCs/>
          <w:sz w:val="26"/>
          <w:szCs w:val="26"/>
          <w:rtl/>
        </w:rPr>
        <w:t xml:space="preserve"> </w:t>
      </w:r>
      <w:r w:rsidRPr="00AF5EA8">
        <w:rPr>
          <w:rFonts w:ascii="Arial" w:hAnsi="Arial"/>
          <w:b/>
          <w:bCs/>
          <w:sz w:val="26"/>
          <w:szCs w:val="26"/>
          <w:rtl/>
        </w:rPr>
        <w:t>פלוני נ' מדינת ישראל, פסקה 31</w:t>
      </w:r>
      <w:r w:rsidR="00042CC6">
        <w:rPr>
          <w:rFonts w:ascii="Arial" w:hAnsi="Arial"/>
          <w:b/>
          <w:bCs/>
          <w:sz w:val="26"/>
          <w:szCs w:val="26"/>
          <w:rtl/>
        </w:rPr>
        <w:t xml:space="preserve"> </w:t>
      </w:r>
      <w:r w:rsidRPr="00AF5EA8">
        <w:rPr>
          <w:rFonts w:ascii="Arial" w:hAnsi="Arial"/>
          <w:b/>
          <w:bCs/>
          <w:sz w:val="26"/>
          <w:szCs w:val="26"/>
          <w:rtl/>
        </w:rPr>
        <w:t>[פורסם בנבו]</w:t>
      </w:r>
      <w:r w:rsidR="00042CC6">
        <w:rPr>
          <w:rFonts w:ascii="Arial" w:hAnsi="Arial"/>
          <w:b/>
          <w:bCs/>
          <w:sz w:val="26"/>
          <w:szCs w:val="26"/>
          <w:rtl/>
        </w:rPr>
        <w:t xml:space="preserve"> </w:t>
      </w:r>
      <w:r w:rsidRPr="00AF5EA8">
        <w:rPr>
          <w:rFonts w:ascii="Arial" w:hAnsi="Arial"/>
          <w:b/>
          <w:bCs/>
          <w:sz w:val="26"/>
          <w:szCs w:val="26"/>
          <w:rtl/>
        </w:rPr>
        <w:t>(‏4.11.2014))."</w:t>
      </w:r>
    </w:p>
    <w:p w14:paraId="6028BD7C" w14:textId="77777777" w:rsidR="005335DC" w:rsidRPr="00AF5EA8" w:rsidRDefault="005335DC" w:rsidP="005335DC">
      <w:pPr>
        <w:spacing w:line="360" w:lineRule="auto"/>
        <w:jc w:val="both"/>
        <w:rPr>
          <w:rFonts w:ascii="Arial" w:hAnsi="Arial"/>
          <w:b/>
          <w:bCs/>
          <w:sz w:val="26"/>
          <w:szCs w:val="26"/>
          <w:rtl/>
        </w:rPr>
      </w:pPr>
    </w:p>
    <w:p w14:paraId="15FA229B"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 xml:space="preserve">באשר לטענה לפיה נשיאת הנשק הייתה רגעית, יש לזכור שרק תפיסת הנשק על ידי השוטר, היא זו שהפכה את הנשיאה לקצרה. </w:t>
      </w:r>
    </w:p>
    <w:p w14:paraId="380E3EA5" w14:textId="77777777" w:rsidR="005335DC" w:rsidRPr="00ED06BB" w:rsidRDefault="005335DC" w:rsidP="005335DC">
      <w:pPr>
        <w:spacing w:line="360" w:lineRule="auto"/>
        <w:jc w:val="both"/>
        <w:rPr>
          <w:rFonts w:ascii="Arial" w:hAnsi="Arial"/>
          <w:sz w:val="26"/>
          <w:szCs w:val="26"/>
          <w:u w:val="single"/>
          <w:rtl/>
        </w:rPr>
      </w:pPr>
    </w:p>
    <w:p w14:paraId="15860B79" w14:textId="77777777" w:rsidR="005335DC" w:rsidRDefault="005335DC" w:rsidP="005335DC">
      <w:pPr>
        <w:spacing w:line="360" w:lineRule="auto"/>
        <w:jc w:val="both"/>
        <w:rPr>
          <w:rFonts w:ascii="Arial" w:hAnsi="Arial"/>
          <w:b/>
          <w:bCs/>
          <w:sz w:val="26"/>
          <w:szCs w:val="26"/>
          <w:u w:val="single"/>
          <w:rtl/>
        </w:rPr>
      </w:pPr>
    </w:p>
    <w:p w14:paraId="5272D807" w14:textId="77777777" w:rsidR="005335DC" w:rsidRDefault="005335DC" w:rsidP="005335DC">
      <w:pPr>
        <w:spacing w:line="360" w:lineRule="auto"/>
        <w:jc w:val="both"/>
        <w:rPr>
          <w:rFonts w:ascii="Arial" w:hAnsi="Arial"/>
          <w:b/>
          <w:bCs/>
          <w:sz w:val="26"/>
          <w:szCs w:val="26"/>
          <w:u w:val="single"/>
          <w:rtl/>
        </w:rPr>
      </w:pPr>
    </w:p>
    <w:p w14:paraId="1AD671CA" w14:textId="77777777" w:rsidR="005335DC" w:rsidRPr="00AF5EA8" w:rsidRDefault="005335DC" w:rsidP="005335DC">
      <w:pPr>
        <w:spacing w:line="360" w:lineRule="auto"/>
        <w:jc w:val="both"/>
        <w:rPr>
          <w:rFonts w:ascii="Arial" w:hAnsi="Arial"/>
          <w:b/>
          <w:bCs/>
          <w:sz w:val="26"/>
          <w:szCs w:val="26"/>
          <w:u w:val="single"/>
          <w:rtl/>
        </w:rPr>
      </w:pPr>
      <w:r w:rsidRPr="00AF5EA8">
        <w:rPr>
          <w:rFonts w:ascii="Arial" w:hAnsi="Arial"/>
          <w:b/>
          <w:bCs/>
          <w:sz w:val="26"/>
          <w:szCs w:val="26"/>
          <w:u w:val="single"/>
          <w:rtl/>
        </w:rPr>
        <w:t>נסיבות שאינן קשורות בביצוע העבירה:</w:t>
      </w:r>
    </w:p>
    <w:p w14:paraId="2FD825C8"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בענייננו, הנאשם נעדר עבר פלילי, בעל לקות נפשית משמעותית, הוא הודה במיוחס לו לאחר תיקון כתב האישום ובכך חסך לא רק מזמנו של בית משפט אלא גם מזמנה של המאשימה</w:t>
      </w:r>
      <w:r>
        <w:rPr>
          <w:rFonts w:ascii="Arial" w:hAnsi="Arial"/>
          <w:sz w:val="26"/>
          <w:szCs w:val="26"/>
          <w:rtl/>
        </w:rPr>
        <w:t xml:space="preserve">. די לעיין בכתב האישום המתוקן </w:t>
      </w:r>
      <w:r>
        <w:rPr>
          <w:rFonts w:ascii="Arial" w:hAnsi="Arial" w:hint="cs"/>
          <w:sz w:val="26"/>
          <w:szCs w:val="26"/>
          <w:rtl/>
        </w:rPr>
        <w:t>ה</w:t>
      </w:r>
      <w:r w:rsidRPr="00ED06BB">
        <w:rPr>
          <w:rFonts w:ascii="Arial" w:hAnsi="Arial"/>
          <w:sz w:val="26"/>
          <w:szCs w:val="26"/>
          <w:rtl/>
        </w:rPr>
        <w:t>מ</w:t>
      </w:r>
      <w:r>
        <w:rPr>
          <w:rFonts w:ascii="Arial" w:hAnsi="Arial" w:hint="cs"/>
          <w:sz w:val="26"/>
          <w:szCs w:val="26"/>
          <w:rtl/>
        </w:rPr>
        <w:t>ו</w:t>
      </w:r>
      <w:r w:rsidRPr="00ED06BB">
        <w:rPr>
          <w:rFonts w:ascii="Arial" w:hAnsi="Arial"/>
          <w:sz w:val="26"/>
          <w:szCs w:val="26"/>
          <w:rtl/>
        </w:rPr>
        <w:t>נה 28 עדים.</w:t>
      </w:r>
    </w:p>
    <w:p w14:paraId="122E2381" w14:textId="77777777" w:rsidR="005335DC" w:rsidRDefault="005335DC" w:rsidP="005335DC">
      <w:pPr>
        <w:spacing w:line="360" w:lineRule="auto"/>
        <w:jc w:val="both"/>
        <w:rPr>
          <w:rFonts w:ascii="Arial" w:hAnsi="Arial"/>
          <w:sz w:val="26"/>
          <w:szCs w:val="26"/>
          <w:u w:val="single"/>
          <w:rtl/>
        </w:rPr>
      </w:pPr>
    </w:p>
    <w:p w14:paraId="0F14C809" w14:textId="77777777" w:rsidR="005335DC" w:rsidRPr="00AF5EA8" w:rsidRDefault="005335DC" w:rsidP="005335DC">
      <w:pPr>
        <w:spacing w:line="360" w:lineRule="auto"/>
        <w:jc w:val="both"/>
        <w:rPr>
          <w:rFonts w:ascii="Arial" w:hAnsi="Arial"/>
          <w:b/>
          <w:bCs/>
          <w:sz w:val="26"/>
          <w:szCs w:val="26"/>
          <w:u w:val="single"/>
          <w:rtl/>
        </w:rPr>
      </w:pPr>
      <w:r w:rsidRPr="00AF5EA8">
        <w:rPr>
          <w:rFonts w:ascii="Arial" w:hAnsi="Arial"/>
          <w:b/>
          <w:bCs/>
          <w:sz w:val="26"/>
          <w:szCs w:val="26"/>
          <w:u w:val="single"/>
          <w:rtl/>
        </w:rPr>
        <w:t>מתחם העונש ההולם - קביעה:</w:t>
      </w:r>
    </w:p>
    <w:p w14:paraId="2B4AAF47"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 xml:space="preserve">בשים לב לאמור לעיל מתחם העונש הראוי נע בין </w:t>
      </w:r>
      <w:r>
        <w:rPr>
          <w:rFonts w:ascii="Arial" w:hAnsi="Arial" w:hint="cs"/>
          <w:sz w:val="26"/>
          <w:szCs w:val="26"/>
          <w:rtl/>
        </w:rPr>
        <w:t>28</w:t>
      </w:r>
      <w:r w:rsidRPr="00ED06BB">
        <w:rPr>
          <w:rFonts w:ascii="Arial" w:hAnsi="Arial"/>
          <w:sz w:val="26"/>
          <w:szCs w:val="26"/>
          <w:rtl/>
        </w:rPr>
        <w:t xml:space="preserve"> חודשים ל- 42 חודשי מאסר, שאת חלקם ניתן לרצות בדרך של מאסר מותנה. עם זאת, נראה, נוכח מגמת ההחמרה בענישה, עמדת המחוקק, והחומרה הנובעת מעבירות נשק, שלא יהא זה נכון לקבוע שחלק הארי מהעונש יוטל בדרך של מאסר מותנה. </w:t>
      </w:r>
    </w:p>
    <w:p w14:paraId="6B32FE7F" w14:textId="77777777" w:rsidR="005335DC" w:rsidRPr="00ED06BB" w:rsidRDefault="005335DC" w:rsidP="005335DC">
      <w:pPr>
        <w:spacing w:line="360" w:lineRule="auto"/>
        <w:jc w:val="both"/>
        <w:rPr>
          <w:rFonts w:ascii="Arial" w:hAnsi="Arial"/>
          <w:sz w:val="26"/>
          <w:szCs w:val="26"/>
        </w:rPr>
      </w:pPr>
    </w:p>
    <w:p w14:paraId="1E5A47D3" w14:textId="77777777" w:rsidR="005335DC" w:rsidRPr="00ED06BB" w:rsidRDefault="005335DC" w:rsidP="005335DC">
      <w:pPr>
        <w:spacing w:line="360" w:lineRule="auto"/>
        <w:ind w:left="720"/>
        <w:jc w:val="both"/>
        <w:rPr>
          <w:rFonts w:ascii="Arial" w:hAnsi="Arial"/>
          <w:sz w:val="26"/>
          <w:szCs w:val="26"/>
          <w:rtl/>
        </w:rPr>
      </w:pPr>
      <w:r w:rsidRPr="00ED06BB">
        <w:rPr>
          <w:rFonts w:ascii="Arial" w:hAnsi="Arial"/>
          <w:sz w:val="26"/>
          <w:szCs w:val="26"/>
          <w:rtl/>
        </w:rPr>
        <w:t>עם זאת, יש לקחת בחשבון את הודאת הנאשם בהזדמנות הראשונה, העדר עבר פלילי והלקות הנפשית המשמעותית.</w:t>
      </w:r>
    </w:p>
    <w:p w14:paraId="08821C88" w14:textId="77777777" w:rsidR="005335DC" w:rsidRPr="00ED06BB" w:rsidRDefault="005335DC" w:rsidP="005335DC">
      <w:pPr>
        <w:spacing w:line="360" w:lineRule="auto"/>
        <w:jc w:val="both"/>
        <w:rPr>
          <w:rFonts w:ascii="Arial" w:hAnsi="Arial"/>
          <w:sz w:val="26"/>
          <w:szCs w:val="26"/>
          <w:u w:val="single"/>
          <w:rtl/>
        </w:rPr>
      </w:pPr>
    </w:p>
    <w:p w14:paraId="028D4DB3" w14:textId="77777777" w:rsidR="005335DC" w:rsidRPr="00AF5EA8" w:rsidRDefault="005335DC" w:rsidP="005335DC">
      <w:pPr>
        <w:spacing w:line="360" w:lineRule="auto"/>
        <w:jc w:val="both"/>
        <w:rPr>
          <w:rFonts w:ascii="Arial" w:hAnsi="Arial"/>
          <w:b/>
          <w:bCs/>
          <w:sz w:val="26"/>
          <w:szCs w:val="26"/>
          <w:u w:val="single"/>
          <w:rtl/>
        </w:rPr>
      </w:pPr>
      <w:r w:rsidRPr="00AF5EA8">
        <w:rPr>
          <w:rFonts w:ascii="Arial" w:hAnsi="Arial"/>
          <w:b/>
          <w:bCs/>
          <w:sz w:val="26"/>
          <w:szCs w:val="26"/>
          <w:u w:val="single"/>
          <w:rtl/>
        </w:rPr>
        <w:t>התוצאה:</w:t>
      </w:r>
    </w:p>
    <w:p w14:paraId="01EA79AA" w14:textId="77777777" w:rsidR="005335DC" w:rsidRPr="00ED06BB" w:rsidRDefault="005335DC" w:rsidP="005335DC">
      <w:pPr>
        <w:numPr>
          <w:ilvl w:val="0"/>
          <w:numId w:val="1"/>
        </w:numPr>
        <w:spacing w:line="360" w:lineRule="auto"/>
        <w:jc w:val="both"/>
        <w:rPr>
          <w:rFonts w:ascii="Arial" w:hAnsi="Arial"/>
          <w:sz w:val="26"/>
          <w:szCs w:val="26"/>
          <w:rtl/>
        </w:rPr>
      </w:pPr>
      <w:r w:rsidRPr="00ED06BB">
        <w:rPr>
          <w:rFonts w:ascii="Arial" w:hAnsi="Arial"/>
          <w:sz w:val="26"/>
          <w:szCs w:val="26"/>
          <w:rtl/>
        </w:rPr>
        <w:t>מאסר בפועל לתקופה של 28 חודשים בניכוי ימי מעצרו מיום ( 23.10.2023).</w:t>
      </w:r>
    </w:p>
    <w:p w14:paraId="1B4A13A1" w14:textId="77777777" w:rsidR="005335DC" w:rsidRDefault="005335DC" w:rsidP="005335DC">
      <w:pPr>
        <w:spacing w:line="360" w:lineRule="auto"/>
        <w:ind w:left="927"/>
        <w:jc w:val="both"/>
        <w:rPr>
          <w:rFonts w:ascii="Arial" w:hAnsi="Arial"/>
          <w:sz w:val="26"/>
          <w:szCs w:val="26"/>
          <w:rtl/>
        </w:rPr>
      </w:pPr>
    </w:p>
    <w:p w14:paraId="03DFB9B1"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עשרה (10) חודשי מאסר על תנאי למשך שלוש שנים מיום השחרור על כל עבירה בנשק מסוג פשע.</w:t>
      </w:r>
    </w:p>
    <w:p w14:paraId="38E35B98" w14:textId="77777777" w:rsidR="005335DC" w:rsidRDefault="005335DC" w:rsidP="005335DC">
      <w:pPr>
        <w:spacing w:line="360" w:lineRule="auto"/>
        <w:ind w:left="927"/>
        <w:jc w:val="both"/>
        <w:rPr>
          <w:rFonts w:ascii="Arial" w:hAnsi="Arial"/>
          <w:sz w:val="26"/>
          <w:szCs w:val="26"/>
          <w:rtl/>
        </w:rPr>
      </w:pPr>
    </w:p>
    <w:p w14:paraId="053DBB13" w14:textId="77777777" w:rsidR="005335DC" w:rsidRPr="00ED06BB" w:rsidRDefault="005335DC" w:rsidP="005335DC">
      <w:pPr>
        <w:spacing w:line="360" w:lineRule="auto"/>
        <w:ind w:left="927"/>
        <w:jc w:val="both"/>
        <w:rPr>
          <w:rFonts w:ascii="Arial" w:hAnsi="Arial"/>
          <w:sz w:val="26"/>
          <w:szCs w:val="26"/>
          <w:rtl/>
        </w:rPr>
      </w:pPr>
      <w:r w:rsidRPr="00ED06BB">
        <w:rPr>
          <w:rFonts w:ascii="Arial" w:hAnsi="Arial"/>
          <w:sz w:val="26"/>
          <w:szCs w:val="26"/>
          <w:rtl/>
        </w:rPr>
        <w:t>חמישה (5) חודשי מאסר על תנאי למשך שלוש שנים מיום השחרור על כל עבירת נשק מסוג עוון וכן כל עבירה בניגוד לפרק ט סימן ג ל</w:t>
      </w:r>
      <w:hyperlink r:id="rId59" w:history="1">
        <w:r w:rsidR="00042CC6" w:rsidRPr="00042CC6">
          <w:rPr>
            <w:rFonts w:ascii="Arial" w:hAnsi="Arial"/>
            <w:color w:val="0000FF"/>
            <w:sz w:val="26"/>
            <w:szCs w:val="26"/>
            <w:u w:val="single"/>
            <w:rtl/>
          </w:rPr>
          <w:t>חוק העונשין</w:t>
        </w:r>
      </w:hyperlink>
      <w:r w:rsidRPr="00ED06BB">
        <w:rPr>
          <w:rFonts w:ascii="Arial" w:hAnsi="Arial"/>
          <w:sz w:val="26"/>
          <w:szCs w:val="26"/>
          <w:rtl/>
        </w:rPr>
        <w:t>.</w:t>
      </w:r>
    </w:p>
    <w:p w14:paraId="2C3E8E1D" w14:textId="77777777" w:rsidR="005335DC" w:rsidRPr="00ED06BB" w:rsidRDefault="005335DC" w:rsidP="005335DC">
      <w:pPr>
        <w:spacing w:line="360" w:lineRule="auto"/>
        <w:rPr>
          <w:rFonts w:ascii="Arial" w:hAnsi="Arial"/>
          <w:sz w:val="26"/>
          <w:szCs w:val="26"/>
          <w:rtl/>
        </w:rPr>
      </w:pPr>
    </w:p>
    <w:p w14:paraId="76DEA993" w14:textId="77777777" w:rsidR="005335DC" w:rsidRPr="00ED06BB" w:rsidRDefault="005335DC" w:rsidP="005335DC">
      <w:pPr>
        <w:spacing w:line="360" w:lineRule="auto"/>
        <w:rPr>
          <w:rFonts w:ascii="Arial" w:hAnsi="Arial"/>
          <w:sz w:val="26"/>
          <w:szCs w:val="26"/>
          <w:rtl/>
        </w:rPr>
      </w:pPr>
      <w:r w:rsidRPr="00ED06BB">
        <w:rPr>
          <w:rFonts w:ascii="Arial" w:hAnsi="Arial"/>
          <w:sz w:val="26"/>
          <w:szCs w:val="26"/>
          <w:rtl/>
        </w:rPr>
        <w:t>זכות ערעור לבית המשפט העליון תוך 45 ימים.</w:t>
      </w:r>
    </w:p>
    <w:p w14:paraId="571C71B3" w14:textId="77777777" w:rsidR="005335DC" w:rsidRPr="00042CC6" w:rsidRDefault="00042CC6" w:rsidP="005335DC">
      <w:pPr>
        <w:spacing w:line="360" w:lineRule="auto"/>
        <w:rPr>
          <w:rFonts w:ascii="Arial" w:hAnsi="Arial"/>
          <w:color w:val="FFFFFF"/>
          <w:sz w:val="2"/>
          <w:szCs w:val="2"/>
          <w:rtl/>
        </w:rPr>
      </w:pPr>
      <w:r w:rsidRPr="00042CC6">
        <w:rPr>
          <w:rFonts w:ascii="Arial" w:hAnsi="Arial"/>
          <w:color w:val="FFFFFF"/>
          <w:sz w:val="2"/>
          <w:szCs w:val="2"/>
          <w:rtl/>
        </w:rPr>
        <w:t>5129371</w:t>
      </w:r>
    </w:p>
    <w:p w14:paraId="7942BF42" w14:textId="77777777" w:rsidR="005335DC" w:rsidRPr="00042CC6" w:rsidRDefault="00042CC6" w:rsidP="005335DC">
      <w:pPr>
        <w:spacing w:line="360" w:lineRule="auto"/>
        <w:rPr>
          <w:rFonts w:ascii="Arial" w:hAnsi="Arial"/>
          <w:color w:val="FFFFFF"/>
          <w:sz w:val="2"/>
          <w:szCs w:val="2"/>
          <w:rtl/>
        </w:rPr>
      </w:pPr>
      <w:r w:rsidRPr="00042CC6">
        <w:rPr>
          <w:rFonts w:ascii="Arial" w:hAnsi="Arial"/>
          <w:color w:val="FFFFFF"/>
          <w:sz w:val="2"/>
          <w:szCs w:val="2"/>
          <w:rtl/>
        </w:rPr>
        <w:t>54678313</w:t>
      </w:r>
    </w:p>
    <w:p w14:paraId="10B04203" w14:textId="77777777" w:rsidR="005335DC" w:rsidRPr="00ED06BB" w:rsidRDefault="005335DC" w:rsidP="005335DC">
      <w:pPr>
        <w:spacing w:line="360" w:lineRule="auto"/>
        <w:rPr>
          <w:rFonts w:ascii="Arial" w:hAnsi="Arial"/>
          <w:sz w:val="26"/>
          <w:szCs w:val="26"/>
          <w:rtl/>
        </w:rPr>
      </w:pPr>
    </w:p>
    <w:p w14:paraId="54E12A75" w14:textId="77777777" w:rsidR="005335DC" w:rsidRPr="00ED06BB" w:rsidRDefault="00042CC6" w:rsidP="005335DC">
      <w:pPr>
        <w:spacing w:line="360" w:lineRule="auto"/>
        <w:jc w:val="both"/>
        <w:rPr>
          <w:rFonts w:ascii="Arial" w:hAnsi="Arial"/>
          <w:sz w:val="26"/>
          <w:szCs w:val="26"/>
          <w:rtl/>
        </w:rPr>
      </w:pPr>
      <w:bookmarkStart w:id="8" w:name="Nitan"/>
      <w:r>
        <w:rPr>
          <w:rFonts w:ascii="Arial" w:hAnsi="Arial"/>
          <w:sz w:val="26"/>
          <w:szCs w:val="26"/>
          <w:rtl/>
        </w:rPr>
        <w:t xml:space="preserve">ניתן היום,  ט"ו אייר תשפ"ד, 23 מאי 2024, במעמד הנ"ל. </w:t>
      </w:r>
      <w:bookmarkEnd w:id="8"/>
      <w:r w:rsidR="005335DC" w:rsidRPr="00ED06BB">
        <w:rPr>
          <w:rFonts w:ascii="Arial" w:hAnsi="Arial"/>
          <w:sz w:val="26"/>
          <w:szCs w:val="26"/>
          <w:rtl/>
        </w:rPr>
        <w:tab/>
      </w:r>
      <w:r w:rsidR="005335DC" w:rsidRPr="00ED06BB">
        <w:rPr>
          <w:rFonts w:ascii="Arial" w:hAnsi="Arial"/>
          <w:sz w:val="26"/>
          <w:szCs w:val="26"/>
          <w:rtl/>
        </w:rPr>
        <w:tab/>
      </w:r>
      <w:r w:rsidR="005335DC" w:rsidRPr="00ED06BB">
        <w:rPr>
          <w:rFonts w:ascii="Arial" w:hAnsi="Arial"/>
          <w:sz w:val="26"/>
          <w:szCs w:val="26"/>
          <w:rtl/>
        </w:rPr>
        <w:tab/>
      </w:r>
      <w:r w:rsidR="005335DC" w:rsidRPr="00ED06BB">
        <w:rPr>
          <w:rFonts w:ascii="Arial" w:hAnsi="Arial"/>
          <w:sz w:val="26"/>
          <w:szCs w:val="26"/>
          <w:rtl/>
        </w:rPr>
        <w:tab/>
      </w:r>
      <w:r w:rsidR="005335DC" w:rsidRPr="00ED06BB">
        <w:rPr>
          <w:rFonts w:ascii="Arial" w:hAnsi="Arial"/>
          <w:sz w:val="26"/>
          <w:szCs w:val="26"/>
          <w:rtl/>
        </w:rPr>
        <w:tab/>
      </w:r>
      <w:r w:rsidR="005335DC" w:rsidRPr="00ED06BB">
        <w:rPr>
          <w:rFonts w:ascii="Arial" w:hAnsi="Arial"/>
          <w:sz w:val="26"/>
          <w:szCs w:val="26"/>
          <w:rtl/>
        </w:rPr>
        <w:tab/>
      </w:r>
      <w:r w:rsidR="005335DC" w:rsidRPr="00ED06BB">
        <w:rPr>
          <w:rFonts w:ascii="Arial" w:hAnsi="Arial"/>
          <w:sz w:val="26"/>
          <w:szCs w:val="26"/>
          <w:rtl/>
        </w:rPr>
        <w:tab/>
      </w:r>
      <w:r w:rsidR="005335DC" w:rsidRPr="00ED06BB">
        <w:rPr>
          <w:rFonts w:ascii="Arial" w:hAnsi="Arial" w:hint="cs"/>
          <w:sz w:val="26"/>
          <w:szCs w:val="26"/>
          <w:rtl/>
        </w:rPr>
        <w:t xml:space="preserve">         </w:t>
      </w:r>
    </w:p>
    <w:p w14:paraId="5D269B46" w14:textId="77777777" w:rsidR="005335DC" w:rsidRPr="00ED06BB" w:rsidRDefault="005335DC" w:rsidP="00042CC6">
      <w:pPr>
        <w:spacing w:line="360" w:lineRule="auto"/>
        <w:jc w:val="center"/>
      </w:pPr>
      <w:r w:rsidRPr="00ED06BB">
        <w:rPr>
          <w:rFonts w:ascii="Arial" w:hAnsi="Arial"/>
          <w:sz w:val="26"/>
          <w:szCs w:val="26"/>
          <w:rtl/>
        </w:rPr>
        <w:t xml:space="preserve">   </w:t>
      </w:r>
      <w:r w:rsidRPr="00ED06BB">
        <w:rPr>
          <w:rFonts w:ascii="Arial" w:hAnsi="Arial"/>
          <w:sz w:val="26"/>
          <w:szCs w:val="26"/>
          <w:rtl/>
        </w:rPr>
        <w:tab/>
      </w:r>
      <w:r w:rsidRPr="00ED06BB">
        <w:rPr>
          <w:rFonts w:ascii="Arial" w:hAnsi="Arial"/>
          <w:sz w:val="26"/>
          <w:szCs w:val="26"/>
          <w:rtl/>
        </w:rPr>
        <w:tab/>
      </w:r>
      <w:r w:rsidRPr="00ED06BB">
        <w:rPr>
          <w:rFonts w:ascii="Arial" w:hAnsi="Arial"/>
          <w:sz w:val="26"/>
          <w:szCs w:val="26"/>
          <w:rtl/>
        </w:rPr>
        <w:tab/>
      </w:r>
      <w:r w:rsidRPr="00ED06BB">
        <w:rPr>
          <w:rFonts w:ascii="Arial" w:hAnsi="Arial"/>
          <w:sz w:val="26"/>
          <w:szCs w:val="26"/>
          <w:rtl/>
        </w:rPr>
        <w:tab/>
      </w:r>
      <w:r w:rsidRPr="00ED06BB">
        <w:rPr>
          <w:rFonts w:ascii="Arial" w:hAnsi="Arial"/>
          <w:sz w:val="26"/>
          <w:szCs w:val="26"/>
          <w:rtl/>
        </w:rPr>
        <w:tab/>
      </w:r>
    </w:p>
    <w:p w14:paraId="2D1FC54A" w14:textId="77777777" w:rsidR="005335DC" w:rsidRPr="0068414C" w:rsidRDefault="0068414C" w:rsidP="005335DC">
      <w:pPr>
        <w:spacing w:line="360" w:lineRule="auto"/>
        <w:jc w:val="center"/>
        <w:rPr>
          <w:rFonts w:ascii="Arial" w:hAnsi="Arial"/>
          <w:color w:val="FFFFFF"/>
          <w:sz w:val="2"/>
          <w:szCs w:val="2"/>
          <w:rtl/>
        </w:rPr>
      </w:pPr>
      <w:r w:rsidRPr="0068414C">
        <w:rPr>
          <w:rFonts w:ascii="Arial" w:hAnsi="Arial"/>
          <w:color w:val="FFFFFF"/>
          <w:sz w:val="2"/>
          <w:szCs w:val="2"/>
          <w:rtl/>
        </w:rPr>
        <w:t>5129371</w:t>
      </w:r>
    </w:p>
    <w:p w14:paraId="36E08133" w14:textId="77777777" w:rsidR="00001386" w:rsidRPr="0068414C" w:rsidRDefault="0068414C" w:rsidP="00042CC6">
      <w:pPr>
        <w:keepNext/>
        <w:rPr>
          <w:rFonts w:ascii="David" w:hAnsi="David"/>
          <w:color w:val="FFFFFF"/>
          <w:sz w:val="2"/>
          <w:szCs w:val="2"/>
          <w:rtl/>
        </w:rPr>
      </w:pPr>
      <w:r w:rsidRPr="0068414C">
        <w:rPr>
          <w:rFonts w:ascii="David" w:hAnsi="David"/>
          <w:color w:val="FFFFFF"/>
          <w:sz w:val="2"/>
          <w:szCs w:val="2"/>
          <w:rtl/>
        </w:rPr>
        <w:t>54678313</w:t>
      </w:r>
    </w:p>
    <w:p w14:paraId="5DC948C8" w14:textId="77777777" w:rsidR="00042CC6" w:rsidRPr="00042CC6" w:rsidRDefault="00042CC6" w:rsidP="00042CC6">
      <w:pPr>
        <w:keepNext/>
        <w:rPr>
          <w:rFonts w:ascii="David" w:hAnsi="David"/>
          <w:color w:val="000000"/>
          <w:sz w:val="22"/>
          <w:szCs w:val="22"/>
          <w:rtl/>
        </w:rPr>
      </w:pPr>
      <w:r w:rsidRPr="00042CC6">
        <w:rPr>
          <w:rFonts w:ascii="David" w:hAnsi="David"/>
          <w:color w:val="000000"/>
          <w:sz w:val="22"/>
          <w:szCs w:val="22"/>
          <w:rtl/>
        </w:rPr>
        <w:t>איל באומגרט 54678313</w:t>
      </w:r>
    </w:p>
    <w:p w14:paraId="0DFA16E5" w14:textId="77777777" w:rsidR="00042CC6" w:rsidRDefault="00042CC6" w:rsidP="00042CC6">
      <w:r w:rsidRPr="00042CC6">
        <w:rPr>
          <w:color w:val="000000"/>
          <w:rtl/>
        </w:rPr>
        <w:t>נוסח מסמך זה כפוף לשינויי ניסוח ועריכה</w:t>
      </w:r>
    </w:p>
    <w:p w14:paraId="4E4D1ACB" w14:textId="77777777" w:rsidR="00042CC6" w:rsidRDefault="00042CC6" w:rsidP="00042CC6">
      <w:pPr>
        <w:rPr>
          <w:rtl/>
        </w:rPr>
      </w:pPr>
    </w:p>
    <w:p w14:paraId="7F09C225" w14:textId="77777777" w:rsidR="00042CC6" w:rsidRDefault="00042CC6" w:rsidP="00042CC6">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346A14EE" w14:textId="77777777" w:rsidR="0068414C" w:rsidRPr="0068414C" w:rsidRDefault="0068414C" w:rsidP="0068414C">
      <w:pPr>
        <w:keepNext/>
        <w:rPr>
          <w:rFonts w:ascii="David" w:hAnsi="David"/>
          <w:color w:val="000000"/>
          <w:sz w:val="22"/>
          <w:szCs w:val="22"/>
          <w:rtl/>
        </w:rPr>
      </w:pPr>
    </w:p>
    <w:sectPr w:rsidR="0068414C" w:rsidRPr="0068414C" w:rsidSect="0068414C">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C07C7" w14:textId="77777777" w:rsidR="00280A0F" w:rsidRDefault="00280A0F" w:rsidP="00BB58CC">
      <w:r>
        <w:separator/>
      </w:r>
    </w:p>
  </w:endnote>
  <w:endnote w:type="continuationSeparator" w:id="0">
    <w:p w14:paraId="7FEF54DF" w14:textId="77777777" w:rsidR="00280A0F" w:rsidRDefault="00280A0F" w:rsidP="00BB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01B05" w14:textId="77777777" w:rsidR="0068414C" w:rsidRDefault="0068414C" w:rsidP="0068414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0F94297" w14:textId="77777777" w:rsidR="00FE44EA" w:rsidRPr="0068414C" w:rsidRDefault="0068414C" w:rsidP="0068414C">
    <w:pPr>
      <w:pStyle w:val="a5"/>
      <w:pBdr>
        <w:top w:val="single" w:sz="4" w:space="1" w:color="auto"/>
        <w:between w:val="single" w:sz="4" w:space="0" w:color="auto"/>
      </w:pBdr>
      <w:spacing w:after="60"/>
      <w:jc w:val="center"/>
      <w:rPr>
        <w:rFonts w:ascii="FrankRuehl" w:hAnsi="FrankRuehl" w:cs="FrankRuehl"/>
        <w:color w:val="000000"/>
      </w:rPr>
    </w:pPr>
    <w:r w:rsidRPr="006841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9A053" w14:textId="77777777" w:rsidR="0068414C" w:rsidRDefault="0068414C" w:rsidP="0068414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22C7">
      <w:rPr>
        <w:rFonts w:ascii="FrankRuehl" w:hAnsi="FrankRuehl" w:cs="FrankRuehl"/>
        <w:noProof/>
        <w:rtl/>
      </w:rPr>
      <w:t>1</w:t>
    </w:r>
    <w:r>
      <w:rPr>
        <w:rFonts w:ascii="FrankRuehl" w:hAnsi="FrankRuehl" w:cs="FrankRuehl"/>
        <w:rtl/>
      </w:rPr>
      <w:fldChar w:fldCharType="end"/>
    </w:r>
  </w:p>
  <w:p w14:paraId="5BD85FE0" w14:textId="77777777" w:rsidR="00FE44EA" w:rsidRPr="0068414C" w:rsidRDefault="0068414C" w:rsidP="0068414C">
    <w:pPr>
      <w:pStyle w:val="a5"/>
      <w:pBdr>
        <w:top w:val="single" w:sz="4" w:space="1" w:color="auto"/>
        <w:between w:val="single" w:sz="4" w:space="0" w:color="auto"/>
      </w:pBdr>
      <w:spacing w:after="60"/>
      <w:jc w:val="center"/>
      <w:rPr>
        <w:rFonts w:ascii="FrankRuehl" w:hAnsi="FrankRuehl" w:cs="FrankRuehl"/>
        <w:color w:val="000000"/>
      </w:rPr>
    </w:pPr>
    <w:r w:rsidRPr="0068414C">
      <w:rPr>
        <w:rFonts w:ascii="FrankRuehl" w:hAnsi="FrankRuehl" w:cs="FrankRuehl"/>
        <w:color w:val="000000"/>
      </w:rPr>
      <w:pict w14:anchorId="3B517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80DFE" w14:textId="77777777" w:rsidR="00280A0F" w:rsidRDefault="00280A0F" w:rsidP="00BB58CC">
      <w:r>
        <w:separator/>
      </w:r>
    </w:p>
  </w:footnote>
  <w:footnote w:type="continuationSeparator" w:id="0">
    <w:p w14:paraId="5DC03CE2" w14:textId="77777777" w:rsidR="00280A0F" w:rsidRDefault="00280A0F" w:rsidP="00BB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9F451" w14:textId="77777777" w:rsidR="00042CC6" w:rsidRPr="0068414C" w:rsidRDefault="0068414C" w:rsidP="006841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15962-11-23</w:t>
    </w:r>
    <w:r>
      <w:rPr>
        <w:rFonts w:ascii="David" w:hAnsi="David"/>
        <w:color w:val="000000"/>
        <w:sz w:val="22"/>
        <w:szCs w:val="22"/>
        <w:rtl/>
      </w:rPr>
      <w:tab/>
      <w:t xml:space="preserve"> מדינת-ישראל נ' רודא אבו שאנדי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8ADFC" w14:textId="77777777" w:rsidR="00042CC6" w:rsidRPr="0068414C" w:rsidRDefault="0068414C" w:rsidP="006841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15962-11-23</w:t>
    </w:r>
    <w:r>
      <w:rPr>
        <w:rFonts w:ascii="David" w:hAnsi="David"/>
        <w:color w:val="000000"/>
        <w:sz w:val="22"/>
        <w:szCs w:val="22"/>
        <w:rtl/>
      </w:rPr>
      <w:tab/>
      <w:t xml:space="preserve"> מדינת-ישראל נ' רודא אבו שאנדי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91ABB"/>
    <w:multiLevelType w:val="hybridMultilevel"/>
    <w:tmpl w:val="CEF89EB2"/>
    <w:lvl w:ilvl="0" w:tplc="7DF22FF8">
      <w:start w:val="1"/>
      <w:numFmt w:val="decimal"/>
      <w:lvlText w:val="%1."/>
      <w:lvlJc w:val="left"/>
      <w:pPr>
        <w:ind w:left="927"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1327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35DC"/>
    <w:rsid w:val="00001386"/>
    <w:rsid w:val="00042CC6"/>
    <w:rsid w:val="00280A0F"/>
    <w:rsid w:val="002B22C7"/>
    <w:rsid w:val="005335DC"/>
    <w:rsid w:val="00644A06"/>
    <w:rsid w:val="0068414C"/>
    <w:rsid w:val="009A4E4C"/>
    <w:rsid w:val="009F5856"/>
    <w:rsid w:val="00BB58CC"/>
    <w:rsid w:val="00FE44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4354C9"/>
  <w15:chartTrackingRefBased/>
  <w15:docId w15:val="{BA82FDF5-BAB2-4F0D-8828-AB3A550D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35D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335DC"/>
    <w:pPr>
      <w:tabs>
        <w:tab w:val="center" w:pos="4153"/>
        <w:tab w:val="right" w:pos="8306"/>
      </w:tabs>
    </w:pPr>
  </w:style>
  <w:style w:type="character" w:customStyle="1" w:styleId="a4">
    <w:name w:val="כותרת עליונה תו"/>
    <w:link w:val="a3"/>
    <w:rsid w:val="005335DC"/>
    <w:rPr>
      <w:rFonts w:ascii="Times New Roman" w:eastAsia="Times New Roman" w:hAnsi="Times New Roman" w:cs="David"/>
      <w:sz w:val="24"/>
      <w:szCs w:val="24"/>
    </w:rPr>
  </w:style>
  <w:style w:type="paragraph" w:styleId="a5">
    <w:name w:val="footer"/>
    <w:basedOn w:val="a"/>
    <w:link w:val="a6"/>
    <w:rsid w:val="005335DC"/>
    <w:pPr>
      <w:tabs>
        <w:tab w:val="center" w:pos="4153"/>
        <w:tab w:val="right" w:pos="8306"/>
      </w:tabs>
    </w:pPr>
  </w:style>
  <w:style w:type="character" w:customStyle="1" w:styleId="a6">
    <w:name w:val="כותרת תחתונה תו"/>
    <w:link w:val="a5"/>
    <w:rsid w:val="005335DC"/>
    <w:rPr>
      <w:rFonts w:ascii="Times New Roman" w:eastAsia="Times New Roman" w:hAnsi="Times New Roman" w:cs="David"/>
      <w:sz w:val="24"/>
      <w:szCs w:val="24"/>
    </w:rPr>
  </w:style>
  <w:style w:type="table" w:styleId="a7">
    <w:name w:val="Table Grid"/>
    <w:basedOn w:val="a1"/>
    <w:rsid w:val="005335D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335DC"/>
  </w:style>
  <w:style w:type="character" w:styleId="Hyperlink">
    <w:name w:val="Hyperlink"/>
    <w:rsid w:val="005335D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d" TargetMode="External"/><Relationship Id="rId21" Type="http://schemas.openxmlformats.org/officeDocument/2006/relationships/hyperlink" Target="http://www.nevo.co.il/law/70301/273"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5824863" TargetMode="External"/><Relationship Id="rId47" Type="http://schemas.openxmlformats.org/officeDocument/2006/relationships/hyperlink" Target="http://www.nevo.co.il/case/28916087" TargetMode="External"/><Relationship Id="rId50" Type="http://schemas.openxmlformats.org/officeDocument/2006/relationships/hyperlink" Target="http://www.nevo.co.il/case/28818526" TargetMode="External"/><Relationship Id="rId55" Type="http://schemas.openxmlformats.org/officeDocument/2006/relationships/hyperlink" Target="http://www.nevo.co.il/law/70301/144.g" TargetMode="External"/><Relationship Id="rId63"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h" TargetMode="External"/><Relationship Id="rId29" Type="http://schemas.openxmlformats.org/officeDocument/2006/relationships/hyperlink" Target="http://www.nevo.co.il/law/70301/273"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40jb"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9867910" TargetMode="External"/><Relationship Id="rId40" Type="http://schemas.openxmlformats.org/officeDocument/2006/relationships/hyperlink" Target="http://www.nevo.co.il/case/29445473" TargetMode="External"/><Relationship Id="rId45" Type="http://schemas.openxmlformats.org/officeDocument/2006/relationships/hyperlink" Target="http://www.nevo.co.il/case/27925239" TargetMode="External"/><Relationship Id="rId53" Type="http://schemas.openxmlformats.org/officeDocument/2006/relationships/hyperlink" Target="http://www.nevo.co.il/law/70301/144.b" TargetMode="External"/><Relationship Id="rId58" Type="http://schemas.openxmlformats.org/officeDocument/2006/relationships/hyperlink" Target="http://www.nevo.co.il/case/18107737"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0301/144.b" TargetMode="External"/><Relationship Id="rId14" Type="http://schemas.openxmlformats.org/officeDocument/2006/relationships/hyperlink" Target="http://www.nevo.co.il/law/70301/40f" TargetMode="External"/><Relationship Id="rId22" Type="http://schemas.openxmlformats.org/officeDocument/2006/relationships/hyperlink" Target="http://www.nevo.co.il/law/70301/40if"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70301/144.g" TargetMode="External"/><Relationship Id="rId43" Type="http://schemas.openxmlformats.org/officeDocument/2006/relationships/hyperlink" Target="http://www.nevo.co.il/case/7791493" TargetMode="External"/><Relationship Id="rId48" Type="http://schemas.openxmlformats.org/officeDocument/2006/relationships/hyperlink" Target="http://www.nevo.co.il/case/27721185" TargetMode="External"/><Relationship Id="rId56" Type="http://schemas.openxmlformats.org/officeDocument/2006/relationships/hyperlink" Target="http://www.nevo.co.il/law/70301" TargetMode="External"/><Relationship Id="rId64"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27913620"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law/70301/40a;40b;40c;40d;40e;40f;40g;40h;40i;40j;40ja;40jb;40jc;40jd;40if" TargetMode="External"/><Relationship Id="rId38" Type="http://schemas.openxmlformats.org/officeDocument/2006/relationships/hyperlink" Target="http://www.nevo.co.il/law/70301/144.g" TargetMode="External"/><Relationship Id="rId46" Type="http://schemas.openxmlformats.org/officeDocument/2006/relationships/hyperlink" Target="http://www.nevo.co.il/case/28883087" TargetMode="External"/><Relationship Id="rId59" Type="http://schemas.openxmlformats.org/officeDocument/2006/relationships/hyperlink" Target="http://www.nevo.co.il/law/70301" TargetMode="External"/><Relationship Id="rId20" Type="http://schemas.openxmlformats.org/officeDocument/2006/relationships/hyperlink" Target="http://www.nevo.co.il/law/70301/144.g" TargetMode="External"/><Relationship Id="rId41" Type="http://schemas.openxmlformats.org/officeDocument/2006/relationships/hyperlink" Target="http://www.nevo.co.il/case/29486731" TargetMode="External"/><Relationship Id="rId54" Type="http://schemas.openxmlformats.org/officeDocument/2006/relationships/hyperlink" Target="http://www.nevo.co.il/law/70301"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g"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6934681" TargetMode="External"/><Relationship Id="rId57" Type="http://schemas.openxmlformats.org/officeDocument/2006/relationships/hyperlink" Target="http://www.nevo.co.il/case/29209115"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30180153"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a" TargetMode="External"/><Relationship Id="rId13" Type="http://schemas.openxmlformats.org/officeDocument/2006/relationships/hyperlink" Target="http://www.nevo.co.il/law/70301/40e" TargetMode="External"/><Relationship Id="rId18" Type="http://schemas.openxmlformats.org/officeDocument/2006/relationships/hyperlink" Target="http://www.nevo.co.il/law/70301/40j"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3144</Words>
  <Characters>15724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18831</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3407995</vt:i4>
      </vt:variant>
      <vt:variant>
        <vt:i4>153</vt:i4>
      </vt:variant>
      <vt:variant>
        <vt:i4>0</vt:i4>
      </vt:variant>
      <vt:variant>
        <vt:i4>5</vt:i4>
      </vt:variant>
      <vt:variant>
        <vt:lpwstr>http://www.nevo.co.il/case/18107737</vt:lpwstr>
      </vt:variant>
      <vt:variant>
        <vt:lpwstr/>
      </vt:variant>
      <vt:variant>
        <vt:i4>3670140</vt:i4>
      </vt:variant>
      <vt:variant>
        <vt:i4>150</vt:i4>
      </vt:variant>
      <vt:variant>
        <vt:i4>0</vt:i4>
      </vt:variant>
      <vt:variant>
        <vt:i4>5</vt:i4>
      </vt:variant>
      <vt:variant>
        <vt:lpwstr>http://www.nevo.co.il/case/29209115</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5177424</vt:i4>
      </vt:variant>
      <vt:variant>
        <vt:i4>144</vt:i4>
      </vt:variant>
      <vt:variant>
        <vt:i4>0</vt:i4>
      </vt:variant>
      <vt:variant>
        <vt:i4>5</vt:i4>
      </vt:variant>
      <vt:variant>
        <vt:lpwstr>http://www.nevo.co.il/law/70301/144.g</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5177424</vt:i4>
      </vt:variant>
      <vt:variant>
        <vt:i4>138</vt:i4>
      </vt:variant>
      <vt:variant>
        <vt:i4>0</vt:i4>
      </vt:variant>
      <vt:variant>
        <vt:i4>5</vt:i4>
      </vt:variant>
      <vt:variant>
        <vt:lpwstr>http://www.nevo.co.il/law/70301/144.b</vt:lpwstr>
      </vt:variant>
      <vt:variant>
        <vt:lpwstr/>
      </vt:variant>
      <vt:variant>
        <vt:i4>3604605</vt:i4>
      </vt:variant>
      <vt:variant>
        <vt:i4>135</vt:i4>
      </vt:variant>
      <vt:variant>
        <vt:i4>0</vt:i4>
      </vt:variant>
      <vt:variant>
        <vt:i4>5</vt:i4>
      </vt:variant>
      <vt:variant>
        <vt:lpwstr>http://www.nevo.co.il/case/30180153</vt:lpwstr>
      </vt:variant>
      <vt:variant>
        <vt:lpwstr/>
      </vt:variant>
      <vt:variant>
        <vt:i4>3801204</vt:i4>
      </vt:variant>
      <vt:variant>
        <vt:i4>132</vt:i4>
      </vt:variant>
      <vt:variant>
        <vt:i4>0</vt:i4>
      </vt:variant>
      <vt:variant>
        <vt:i4>5</vt:i4>
      </vt:variant>
      <vt:variant>
        <vt:lpwstr>http://www.nevo.co.il/case/27913620</vt:lpwstr>
      </vt:variant>
      <vt:variant>
        <vt:lpwstr/>
      </vt:variant>
      <vt:variant>
        <vt:i4>3145848</vt:i4>
      </vt:variant>
      <vt:variant>
        <vt:i4>129</vt:i4>
      </vt:variant>
      <vt:variant>
        <vt:i4>0</vt:i4>
      </vt:variant>
      <vt:variant>
        <vt:i4>5</vt:i4>
      </vt:variant>
      <vt:variant>
        <vt:lpwstr>http://www.nevo.co.il/case/28818526</vt:lpwstr>
      </vt:variant>
      <vt:variant>
        <vt:lpwstr/>
      </vt:variant>
      <vt:variant>
        <vt:i4>3604599</vt:i4>
      </vt:variant>
      <vt:variant>
        <vt:i4>126</vt:i4>
      </vt:variant>
      <vt:variant>
        <vt:i4>0</vt:i4>
      </vt:variant>
      <vt:variant>
        <vt:i4>5</vt:i4>
      </vt:variant>
      <vt:variant>
        <vt:lpwstr>http://www.nevo.co.il/case/26934681</vt:lpwstr>
      </vt:variant>
      <vt:variant>
        <vt:lpwstr/>
      </vt:variant>
      <vt:variant>
        <vt:i4>3932272</vt:i4>
      </vt:variant>
      <vt:variant>
        <vt:i4>123</vt:i4>
      </vt:variant>
      <vt:variant>
        <vt:i4>0</vt:i4>
      </vt:variant>
      <vt:variant>
        <vt:i4>5</vt:i4>
      </vt:variant>
      <vt:variant>
        <vt:lpwstr>http://www.nevo.co.il/case/27721185</vt:lpwstr>
      </vt:variant>
      <vt:variant>
        <vt:lpwstr/>
      </vt:variant>
      <vt:variant>
        <vt:i4>3473533</vt:i4>
      </vt:variant>
      <vt:variant>
        <vt:i4>120</vt:i4>
      </vt:variant>
      <vt:variant>
        <vt:i4>0</vt:i4>
      </vt:variant>
      <vt:variant>
        <vt:i4>5</vt:i4>
      </vt:variant>
      <vt:variant>
        <vt:lpwstr>http://www.nevo.co.il/case/28916087</vt:lpwstr>
      </vt:variant>
      <vt:variant>
        <vt:lpwstr/>
      </vt:variant>
      <vt:variant>
        <vt:i4>3211380</vt:i4>
      </vt:variant>
      <vt:variant>
        <vt:i4>117</vt:i4>
      </vt:variant>
      <vt:variant>
        <vt:i4>0</vt:i4>
      </vt:variant>
      <vt:variant>
        <vt:i4>5</vt:i4>
      </vt:variant>
      <vt:variant>
        <vt:lpwstr>http://www.nevo.co.il/case/28883087</vt:lpwstr>
      </vt:variant>
      <vt:variant>
        <vt:lpwstr/>
      </vt:variant>
      <vt:variant>
        <vt:i4>3997811</vt:i4>
      </vt:variant>
      <vt:variant>
        <vt:i4>114</vt:i4>
      </vt:variant>
      <vt:variant>
        <vt:i4>0</vt:i4>
      </vt:variant>
      <vt:variant>
        <vt:i4>5</vt:i4>
      </vt:variant>
      <vt:variant>
        <vt:lpwstr>http://www.nevo.co.il/case/27925239</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3735675</vt:i4>
      </vt:variant>
      <vt:variant>
        <vt:i4>108</vt:i4>
      </vt:variant>
      <vt:variant>
        <vt:i4>0</vt:i4>
      </vt:variant>
      <vt:variant>
        <vt:i4>5</vt:i4>
      </vt:variant>
      <vt:variant>
        <vt:lpwstr>http://www.nevo.co.il/case/7791493</vt:lpwstr>
      </vt:variant>
      <vt:variant>
        <vt:lpwstr/>
      </vt:variant>
      <vt:variant>
        <vt:i4>3670139</vt:i4>
      </vt:variant>
      <vt:variant>
        <vt:i4>105</vt:i4>
      </vt:variant>
      <vt:variant>
        <vt:i4>0</vt:i4>
      </vt:variant>
      <vt:variant>
        <vt:i4>5</vt:i4>
      </vt:variant>
      <vt:variant>
        <vt:lpwstr>http://www.nevo.co.il/case/25824863</vt:lpwstr>
      </vt:variant>
      <vt:variant>
        <vt:lpwstr/>
      </vt:variant>
      <vt:variant>
        <vt:i4>3342450</vt:i4>
      </vt:variant>
      <vt:variant>
        <vt:i4>102</vt:i4>
      </vt:variant>
      <vt:variant>
        <vt:i4>0</vt:i4>
      </vt:variant>
      <vt:variant>
        <vt:i4>5</vt:i4>
      </vt:variant>
      <vt:variant>
        <vt:lpwstr>http://www.nevo.co.il/case/29486731</vt:lpwstr>
      </vt:variant>
      <vt:variant>
        <vt:lpwstr/>
      </vt:variant>
      <vt:variant>
        <vt:i4>3407997</vt:i4>
      </vt:variant>
      <vt:variant>
        <vt:i4>99</vt:i4>
      </vt:variant>
      <vt:variant>
        <vt:i4>0</vt:i4>
      </vt:variant>
      <vt:variant>
        <vt:i4>5</vt:i4>
      </vt:variant>
      <vt:variant>
        <vt:lpwstr>http://www.nevo.co.il/case/29445473</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http://www.nevo.co.il/law/70301/144.g</vt:lpwstr>
      </vt:variant>
      <vt:variant>
        <vt:lpwstr/>
      </vt:variant>
      <vt:variant>
        <vt:i4>3932274</vt:i4>
      </vt:variant>
      <vt:variant>
        <vt:i4>90</vt:i4>
      </vt:variant>
      <vt:variant>
        <vt:i4>0</vt:i4>
      </vt:variant>
      <vt:variant>
        <vt:i4>5</vt:i4>
      </vt:variant>
      <vt:variant>
        <vt:lpwstr>http://www.nevo.co.il/case/29867910</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http://www.nevo.co.il/law/70301/144.g</vt:lpwstr>
      </vt:variant>
      <vt:variant>
        <vt:lpwstr/>
      </vt:variant>
      <vt:variant>
        <vt:i4>7995492</vt:i4>
      </vt:variant>
      <vt:variant>
        <vt:i4>81</vt:i4>
      </vt:variant>
      <vt:variant>
        <vt:i4>0</vt:i4>
      </vt:variant>
      <vt:variant>
        <vt:i4>5</vt:i4>
      </vt:variant>
      <vt:variant>
        <vt:lpwstr>http://www.nevo.co.il/law/70301</vt:lpwstr>
      </vt:variant>
      <vt:variant>
        <vt:lpwstr/>
      </vt:variant>
      <vt:variant>
        <vt:i4>65541</vt:i4>
      </vt:variant>
      <vt:variant>
        <vt:i4>78</vt:i4>
      </vt:variant>
      <vt:variant>
        <vt:i4>0</vt:i4>
      </vt:variant>
      <vt:variant>
        <vt:i4>5</vt:i4>
      </vt:variant>
      <vt:variant>
        <vt:lpwstr>http://www.nevo.co.il/law/70301/40a;40b;40c;40d;40e;40f;40g;40h;40i;40j;40ja;40jb;40jc;40jd;40if</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6422631</vt:i4>
      </vt:variant>
      <vt:variant>
        <vt:i4>66</vt:i4>
      </vt:variant>
      <vt:variant>
        <vt:i4>0</vt:i4>
      </vt:variant>
      <vt:variant>
        <vt:i4>5</vt:i4>
      </vt:variant>
      <vt:variant>
        <vt:lpwstr>http://www.nevo.co.il/law/70301/273</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65547</vt:i4>
      </vt:variant>
      <vt:variant>
        <vt:i4>57</vt:i4>
      </vt:variant>
      <vt:variant>
        <vt:i4>0</vt:i4>
      </vt:variant>
      <vt:variant>
        <vt:i4>5</vt:i4>
      </vt:variant>
      <vt:variant>
        <vt:lpwstr>http://www.nevo.co.il/law/70301/40jd</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458763</vt:i4>
      </vt:variant>
      <vt:variant>
        <vt:i4>51</vt:i4>
      </vt:variant>
      <vt:variant>
        <vt:i4>0</vt:i4>
      </vt:variant>
      <vt:variant>
        <vt:i4>5</vt:i4>
      </vt:variant>
      <vt:variant>
        <vt:lpwstr>http://www.nevo.co.il/law/70301/40jb</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196616</vt:i4>
      </vt:variant>
      <vt:variant>
        <vt:i4>45</vt:i4>
      </vt:variant>
      <vt:variant>
        <vt:i4>0</vt:i4>
      </vt:variant>
      <vt:variant>
        <vt:i4>5</vt:i4>
      </vt:variant>
      <vt:variant>
        <vt:lpwstr>http://www.nevo.co.il/law/70301/40if</vt:lpwstr>
      </vt:variant>
      <vt:variant>
        <vt:lpwstr/>
      </vt:variant>
      <vt:variant>
        <vt:i4>6422631</vt:i4>
      </vt:variant>
      <vt:variant>
        <vt:i4>42</vt:i4>
      </vt:variant>
      <vt:variant>
        <vt:i4>0</vt:i4>
      </vt:variant>
      <vt:variant>
        <vt:i4>5</vt:i4>
      </vt:variant>
      <vt:variant>
        <vt:lpwstr>http://www.nevo.co.il/law/70301/273</vt:lpwstr>
      </vt:variant>
      <vt:variant>
        <vt:lpwstr/>
      </vt:variant>
      <vt:variant>
        <vt:i4>5177424</vt:i4>
      </vt:variant>
      <vt:variant>
        <vt:i4>39</vt:i4>
      </vt:variant>
      <vt:variant>
        <vt:i4>0</vt:i4>
      </vt:variant>
      <vt:variant>
        <vt:i4>5</vt:i4>
      </vt:variant>
      <vt:variant>
        <vt:lpwstr>http://www.nevo.co.il/law/70301/144.g</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6619233</vt:i4>
      </vt:variant>
      <vt:variant>
        <vt:i4>33</vt:i4>
      </vt:variant>
      <vt:variant>
        <vt:i4>0</vt:i4>
      </vt:variant>
      <vt:variant>
        <vt:i4>5</vt:i4>
      </vt:variant>
      <vt:variant>
        <vt:lpwstr>http://www.nevo.co.il/law/70301/40j</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http://www.nevo.co.il/law/70301/40h</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2025-01-19T17:07:00Z</dcterms:created>
  <dcterms:modified xsi:type="dcterms:W3CDTF">2025-01-19T17:07:00Z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15962</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מדינת-ישראל</vt:lpwstr>
  </property>
  <property fmtid="{D5CDD505-2E9C-101B-9397-08002B2CF9AE}" pid="9" name="APPELLEE">
    <vt:lpwstr>רודא אבו שאנדי</vt:lpwstr>
  </property>
  <property fmtid="{D5CDD505-2E9C-101B-9397-08002B2CF9AE}" pid="10" name="LAWYER">
    <vt:lpwstr>אמיר אלרון;פאיז יונס</vt:lpwstr>
  </property>
  <property fmtid="{D5CDD505-2E9C-101B-9397-08002B2CF9AE}" pid="11" name="JUDGE">
    <vt:lpwstr>איל באומגרט</vt:lpwstr>
  </property>
  <property fmtid="{D5CDD505-2E9C-101B-9397-08002B2CF9AE}" pid="12" name="CITY">
    <vt:lpwstr>חי'</vt:lpwstr>
  </property>
  <property fmtid="{D5CDD505-2E9C-101B-9397-08002B2CF9AE}" pid="13" name="DATE">
    <vt:lpwstr>20240523</vt:lpwstr>
  </property>
  <property fmtid="{D5CDD505-2E9C-101B-9397-08002B2CF9AE}" pid="14" name="TYPE_N_DATE">
    <vt:lpwstr>39020240523</vt:lpwstr>
  </property>
  <property fmtid="{D5CDD505-2E9C-101B-9397-08002B2CF9AE}" pid="15" name="CASESLISTTMP1">
    <vt:lpwstr>29867910;29445473;29486731;25824863;7791493;27925239;28883087;28916087;27721185;26934681;28818526;27913620;30180153;29209115;18107737</vt:lpwstr>
  </property>
  <property fmtid="{D5CDD505-2E9C-101B-9397-08002B2CF9AE}" pid="16" name="CASENOTES1">
    <vt:lpwstr>ProcID=209&amp;PartA=28787&amp;PartB=04&amp;PartC=22</vt:lpwstr>
  </property>
  <property fmtid="{D5CDD505-2E9C-101B-9397-08002B2CF9AE}" pid="17" name="WORDNUMPAGES">
    <vt:lpwstr>12</vt:lpwstr>
  </property>
  <property fmtid="{D5CDD505-2E9C-101B-9397-08002B2CF9AE}" pid="18" name="TYPE_ABS_DATE">
    <vt:lpwstr>390020240523</vt:lpwstr>
  </property>
  <property fmtid="{D5CDD505-2E9C-101B-9397-08002B2CF9AE}" pid="19" name="ISABSTRACT">
    <vt:lpwstr>Y</vt:lpwstr>
  </property>
  <property fmtid="{D5CDD505-2E9C-101B-9397-08002B2CF9AE}" pid="20" name="LAWLISTTMP1">
    <vt:lpwstr>70301/144.b:2;273;025;040a;040b;040c;040d;040e;040f;040g;040h;040i;040j;40ja;40jb;40jc;40jd;40if;144.g:3</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