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FF338B" w:rsidRPr="00E371E2" w14:paraId="6CBC3422" w14:textId="77777777" w:rsidTr="009643FF">
        <w:trPr>
          <w:trHeight w:hRule="exact" w:val="704"/>
          <w:jc w:val="center"/>
        </w:trPr>
        <w:tc>
          <w:tcPr>
            <w:tcW w:w="8523" w:type="dxa"/>
          </w:tcPr>
          <w:p w14:paraId="5EEE082B" w14:textId="77777777" w:rsidR="00FF338B" w:rsidRPr="00E371E2" w:rsidRDefault="00FF338B" w:rsidP="002F306D">
            <w:pPr>
              <w:pStyle w:val="a3"/>
              <w:jc w:val="center"/>
              <w:rPr>
                <w:rFonts w:ascii="Tahoma" w:hAnsi="Tahoma"/>
                <w:noProof w:val="0"/>
                <w:color w:val="000080"/>
                <w:sz w:val="32"/>
                <w:szCs w:val="32"/>
                <w:rtl/>
              </w:rPr>
            </w:pPr>
            <w:bookmarkStart w:id="0" w:name="LastJudge"/>
            <w:r w:rsidRPr="00E371E2">
              <w:rPr>
                <w:rFonts w:ascii="Tahoma" w:hAnsi="Tahoma"/>
                <w:color w:val="000080"/>
                <w:sz w:val="32"/>
                <w:szCs w:val="32"/>
                <w:rtl/>
              </w:rPr>
              <w:t>בית המשפט המחוזי בחיפה</w:t>
            </w:r>
          </w:p>
        </w:tc>
      </w:tr>
      <w:tr w:rsidR="00FF338B" w:rsidRPr="00E371E2" w14:paraId="3C7AEB9C" w14:textId="77777777" w:rsidTr="009643FF">
        <w:trPr>
          <w:trHeight w:val="337"/>
          <w:jc w:val="center"/>
        </w:trPr>
        <w:tc>
          <w:tcPr>
            <w:tcW w:w="8523" w:type="dxa"/>
          </w:tcPr>
          <w:p w14:paraId="0B28E661" w14:textId="77777777" w:rsidR="00FF338B" w:rsidRPr="00E371E2" w:rsidRDefault="00FF338B" w:rsidP="002F306D">
            <w:pPr>
              <w:rPr>
                <w:b/>
                <w:bCs/>
                <w:noProof w:val="0"/>
                <w:sz w:val="26"/>
                <w:szCs w:val="26"/>
                <w:rtl/>
              </w:rPr>
            </w:pPr>
            <w:r w:rsidRPr="00E371E2">
              <w:rPr>
                <w:b/>
                <w:bCs/>
                <w:noProof w:val="0"/>
                <w:sz w:val="26"/>
                <w:szCs w:val="26"/>
                <w:rtl/>
              </w:rPr>
              <w:t xml:space="preserve">ת"פ 22642-11-23 מדינת ישראל נ' טאהא </w:t>
            </w:r>
          </w:p>
          <w:p w14:paraId="3B1ACB9D" w14:textId="77777777" w:rsidR="00FF338B" w:rsidRPr="00E371E2" w:rsidRDefault="00FF338B" w:rsidP="002F306D">
            <w:pPr>
              <w:rPr>
                <w:b/>
                <w:bCs/>
                <w:noProof w:val="0"/>
                <w:sz w:val="2"/>
                <w:szCs w:val="2"/>
                <w:rtl/>
              </w:rPr>
            </w:pPr>
          </w:p>
          <w:p w14:paraId="0E021E9B" w14:textId="77777777" w:rsidR="00FF338B" w:rsidRPr="00E371E2" w:rsidRDefault="00FF338B" w:rsidP="002F306D">
            <w:pPr>
              <w:rPr>
                <w:sz w:val="20"/>
                <w:szCs w:val="20"/>
                <w:rtl/>
              </w:rPr>
            </w:pPr>
            <w:r w:rsidRPr="00E371E2">
              <w:rPr>
                <w:rFonts w:hint="cs"/>
                <w:rtl/>
              </w:rPr>
              <w:t xml:space="preserve">                           </w:t>
            </w:r>
            <w:r w:rsidRPr="00E371E2">
              <w:rPr>
                <w:rFonts w:hint="cs"/>
                <w:sz w:val="20"/>
                <w:szCs w:val="20"/>
                <w:rtl/>
              </w:rPr>
              <w:t xml:space="preserve">                                       </w:t>
            </w:r>
          </w:p>
          <w:p w14:paraId="025CC840" w14:textId="77777777" w:rsidR="00FF338B" w:rsidRPr="00E371E2" w:rsidRDefault="00FF338B" w:rsidP="002F306D">
            <w:pPr>
              <w:rPr>
                <w:sz w:val="20"/>
                <w:szCs w:val="20"/>
                <w:rtl/>
              </w:rPr>
            </w:pPr>
            <w:r w:rsidRPr="00E371E2">
              <w:rPr>
                <w:rFonts w:hint="cs"/>
                <w:sz w:val="20"/>
                <w:szCs w:val="20"/>
                <w:rtl/>
              </w:rPr>
              <w:t xml:space="preserve">תיק חיצוני: </w:t>
            </w:r>
            <w:r w:rsidRPr="00E371E2">
              <w:rPr>
                <w:rFonts w:hint="eastAsia"/>
                <w:sz w:val="20"/>
                <w:szCs w:val="20"/>
                <w:rtl/>
              </w:rPr>
              <w:t>469613/2023 תחנת טמרה</w:t>
            </w:r>
            <w:r w:rsidRPr="00E371E2">
              <w:rPr>
                <w:rFonts w:hint="cs"/>
                <w:sz w:val="20"/>
                <w:szCs w:val="20"/>
                <w:rtl/>
              </w:rPr>
              <w:t xml:space="preserve"> </w:t>
            </w:r>
            <w:r w:rsidRPr="00E371E2">
              <w:rPr>
                <w:sz w:val="20"/>
                <w:szCs w:val="20"/>
                <w:rtl/>
              </w:rPr>
              <w:t xml:space="preserve">  </w:t>
            </w:r>
          </w:p>
        </w:tc>
      </w:tr>
    </w:tbl>
    <w:p w14:paraId="52AD8788" w14:textId="77777777" w:rsidR="00FF338B" w:rsidRPr="00E371E2" w:rsidRDefault="00FF338B" w:rsidP="009643FF">
      <w:pPr>
        <w:pStyle w:val="a3"/>
        <w:rPr>
          <w:rtl/>
        </w:rPr>
      </w:pPr>
      <w:r w:rsidRPr="00E371E2">
        <w:rPr>
          <w:noProof w:val="0"/>
          <w:rtl/>
        </w:rPr>
        <w:t xml:space="preserve"> </w:t>
      </w:r>
    </w:p>
    <w:tbl>
      <w:tblPr>
        <w:bidiVisual/>
        <w:tblW w:w="8820" w:type="dxa"/>
        <w:jc w:val="center"/>
        <w:tblLook w:val="01E0" w:firstRow="1" w:lastRow="1" w:firstColumn="1" w:lastColumn="1" w:noHBand="0" w:noVBand="0"/>
      </w:tblPr>
      <w:tblGrid>
        <w:gridCol w:w="743"/>
        <w:gridCol w:w="2506"/>
        <w:gridCol w:w="5571"/>
      </w:tblGrid>
      <w:tr w:rsidR="00FF338B" w:rsidRPr="00E371E2" w14:paraId="706C9D56" w14:textId="77777777" w:rsidTr="00FF338B">
        <w:trPr>
          <w:jc w:val="center"/>
        </w:trPr>
        <w:tc>
          <w:tcPr>
            <w:tcW w:w="743" w:type="dxa"/>
            <w:shd w:val="clear" w:color="auto" w:fill="auto"/>
          </w:tcPr>
          <w:p w14:paraId="66353E4D" w14:textId="77777777" w:rsidR="00FF338B" w:rsidRPr="00E371E2" w:rsidRDefault="00FF338B" w:rsidP="00FF338B">
            <w:pPr>
              <w:suppressLineNumbers/>
              <w:jc w:val="both"/>
              <w:rPr>
                <w:rFonts w:ascii="Arial" w:hAnsi="Arial"/>
                <w:b/>
                <w:bCs/>
                <w:sz w:val="26"/>
                <w:szCs w:val="26"/>
                <w:rtl/>
              </w:rPr>
            </w:pPr>
            <w:r w:rsidRPr="00E371E2">
              <w:rPr>
                <w:rFonts w:ascii="Arial" w:hAnsi="Arial" w:hint="cs"/>
                <w:b/>
                <w:bCs/>
                <w:sz w:val="26"/>
                <w:szCs w:val="26"/>
                <w:rtl/>
              </w:rPr>
              <w:t>ל</w:t>
            </w:r>
            <w:r w:rsidRPr="00E371E2">
              <w:rPr>
                <w:rFonts w:ascii="Arial" w:hAnsi="Arial"/>
                <w:b/>
                <w:bCs/>
                <w:sz w:val="26"/>
                <w:szCs w:val="26"/>
                <w:rtl/>
              </w:rPr>
              <w:t xml:space="preserve">פני </w:t>
            </w:r>
          </w:p>
        </w:tc>
        <w:tc>
          <w:tcPr>
            <w:tcW w:w="8077" w:type="dxa"/>
            <w:gridSpan w:val="2"/>
            <w:shd w:val="clear" w:color="auto" w:fill="auto"/>
          </w:tcPr>
          <w:p w14:paraId="23A3FE45" w14:textId="77777777" w:rsidR="00FF338B" w:rsidRPr="00E371E2" w:rsidRDefault="00FF338B" w:rsidP="00FF338B">
            <w:pPr>
              <w:suppressLineNumbers/>
              <w:rPr>
                <w:rFonts w:ascii="Arial" w:hAnsi="Arial"/>
                <w:b/>
                <w:bCs/>
                <w:sz w:val="26"/>
                <w:szCs w:val="26"/>
                <w:rtl/>
              </w:rPr>
            </w:pPr>
            <w:r w:rsidRPr="00E371E2">
              <w:rPr>
                <w:rFonts w:ascii="Arial" w:hAnsi="Arial" w:hint="cs"/>
                <w:b/>
                <w:bCs/>
                <w:sz w:val="26"/>
                <w:szCs w:val="26"/>
                <w:rtl/>
              </w:rPr>
              <w:t>כבוד ה</w:t>
            </w:r>
            <w:r w:rsidRPr="00E371E2">
              <w:rPr>
                <w:rFonts w:ascii="Arial" w:hAnsi="Arial"/>
                <w:b/>
                <w:bCs/>
                <w:sz w:val="26"/>
                <w:szCs w:val="26"/>
                <w:rtl/>
              </w:rPr>
              <w:t>שופט</w:t>
            </w:r>
            <w:r w:rsidRPr="00E371E2">
              <w:rPr>
                <w:rFonts w:ascii="Arial" w:hAnsi="Arial" w:hint="cs"/>
                <w:b/>
                <w:bCs/>
                <w:sz w:val="26"/>
                <w:szCs w:val="26"/>
                <w:rtl/>
              </w:rPr>
              <w:t xml:space="preserve"> </w:t>
            </w:r>
            <w:r w:rsidRPr="00E371E2">
              <w:rPr>
                <w:rFonts w:ascii="Arial" w:hAnsi="Arial"/>
                <w:b/>
                <w:bCs/>
                <w:sz w:val="26"/>
                <w:szCs w:val="26"/>
                <w:rtl/>
              </w:rPr>
              <w:t>איל באומגרט</w:t>
            </w:r>
          </w:p>
          <w:p w14:paraId="655E5EED" w14:textId="77777777" w:rsidR="00FF338B" w:rsidRPr="00E371E2" w:rsidRDefault="00FF338B" w:rsidP="00FF338B">
            <w:pPr>
              <w:suppressLineNumbers/>
              <w:rPr>
                <w:sz w:val="26"/>
                <w:szCs w:val="26"/>
              </w:rPr>
            </w:pPr>
          </w:p>
        </w:tc>
      </w:tr>
      <w:tr w:rsidR="00FF338B" w:rsidRPr="00E371E2" w14:paraId="228D43AE" w14:textId="77777777" w:rsidTr="00FF338B">
        <w:trPr>
          <w:jc w:val="center"/>
        </w:trPr>
        <w:tc>
          <w:tcPr>
            <w:tcW w:w="3249" w:type="dxa"/>
            <w:gridSpan w:val="2"/>
            <w:shd w:val="clear" w:color="auto" w:fill="auto"/>
          </w:tcPr>
          <w:p w14:paraId="11DCD405" w14:textId="77777777" w:rsidR="00FF338B" w:rsidRPr="00E371E2" w:rsidRDefault="00FF338B" w:rsidP="00FF338B">
            <w:pPr>
              <w:suppressLineNumbers/>
              <w:rPr>
                <w:rtl/>
              </w:rPr>
            </w:pPr>
            <w:bookmarkStart w:id="1" w:name="FirstAppellant"/>
          </w:p>
          <w:p w14:paraId="5FBE8D52" w14:textId="77777777" w:rsidR="00FF338B" w:rsidRPr="00E371E2" w:rsidRDefault="00FF338B" w:rsidP="00FF338B">
            <w:pPr>
              <w:suppressLineNumbers/>
              <w:rPr>
                <w:rFonts w:ascii="Arial" w:hAnsi="Arial"/>
                <w:b/>
                <w:bCs/>
                <w:noProof w:val="0"/>
                <w:sz w:val="26"/>
                <w:szCs w:val="26"/>
                <w:rtl/>
              </w:rPr>
            </w:pPr>
            <w:r w:rsidRPr="00E371E2">
              <w:rPr>
                <w:rFonts w:ascii="Arial" w:hAnsi="Arial" w:hint="cs"/>
                <w:b/>
                <w:bCs/>
                <w:noProof w:val="0"/>
                <w:sz w:val="26"/>
                <w:szCs w:val="26"/>
                <w:rtl/>
              </w:rPr>
              <w:t>ה</w:t>
            </w:r>
            <w:r w:rsidRPr="00E371E2">
              <w:rPr>
                <w:rFonts w:ascii="Arial" w:hAnsi="Arial"/>
                <w:b/>
                <w:bCs/>
                <w:noProof w:val="0"/>
                <w:sz w:val="26"/>
                <w:szCs w:val="26"/>
                <w:rtl/>
              </w:rPr>
              <w:t>מאשימה</w:t>
            </w:r>
          </w:p>
        </w:tc>
        <w:tc>
          <w:tcPr>
            <w:tcW w:w="5571" w:type="dxa"/>
            <w:shd w:val="clear" w:color="auto" w:fill="auto"/>
          </w:tcPr>
          <w:p w14:paraId="2C4063E6" w14:textId="77777777" w:rsidR="00FF338B" w:rsidRPr="00E371E2" w:rsidRDefault="00FF338B" w:rsidP="00FF338B">
            <w:pPr>
              <w:suppressLineNumbers/>
              <w:rPr>
                <w:rtl/>
              </w:rPr>
            </w:pPr>
          </w:p>
          <w:p w14:paraId="3D45319E" w14:textId="77777777" w:rsidR="00FF338B" w:rsidRPr="00E371E2" w:rsidRDefault="00FF338B" w:rsidP="00FF338B">
            <w:pPr>
              <w:suppressLineNumbers/>
              <w:rPr>
                <w:b/>
                <w:bCs/>
                <w:noProof w:val="0"/>
                <w:sz w:val="26"/>
                <w:szCs w:val="26"/>
              </w:rPr>
            </w:pPr>
            <w:r w:rsidRPr="00E371E2">
              <w:rPr>
                <w:rFonts w:ascii="Arial" w:hAnsi="Arial"/>
                <w:b/>
                <w:bCs/>
                <w:noProof w:val="0"/>
                <w:sz w:val="26"/>
                <w:szCs w:val="26"/>
                <w:rtl/>
              </w:rPr>
              <w:t>מדינת ישראל</w:t>
            </w:r>
            <w:r w:rsidRPr="00E371E2">
              <w:rPr>
                <w:rFonts w:ascii="Arial" w:hAnsi="Arial"/>
                <w:b/>
                <w:bCs/>
                <w:noProof w:val="0"/>
                <w:sz w:val="26"/>
                <w:szCs w:val="26"/>
                <w:rtl/>
              </w:rPr>
              <w:br/>
            </w:r>
          </w:p>
        </w:tc>
      </w:tr>
      <w:bookmarkEnd w:id="1"/>
      <w:tr w:rsidR="00FF338B" w:rsidRPr="00E371E2" w14:paraId="57E0B2F3" w14:textId="77777777" w:rsidTr="00FF338B">
        <w:trPr>
          <w:jc w:val="center"/>
        </w:trPr>
        <w:tc>
          <w:tcPr>
            <w:tcW w:w="8820" w:type="dxa"/>
            <w:gridSpan w:val="3"/>
            <w:shd w:val="clear" w:color="auto" w:fill="auto"/>
          </w:tcPr>
          <w:p w14:paraId="206A366A" w14:textId="77777777" w:rsidR="00FF338B" w:rsidRPr="00E371E2" w:rsidRDefault="00FF338B" w:rsidP="00FF338B">
            <w:pPr>
              <w:suppressLineNumbers/>
              <w:rPr>
                <w:rFonts w:ascii="Arial" w:hAnsi="Arial"/>
                <w:b/>
                <w:bCs/>
                <w:noProof w:val="0"/>
                <w:sz w:val="26"/>
                <w:szCs w:val="26"/>
                <w:rtl/>
              </w:rPr>
            </w:pPr>
          </w:p>
          <w:p w14:paraId="25B64FEF" w14:textId="77777777" w:rsidR="00FF338B" w:rsidRPr="00E371E2" w:rsidRDefault="00FF338B" w:rsidP="00FF338B">
            <w:pPr>
              <w:suppressLineNumbers/>
              <w:jc w:val="center"/>
              <w:rPr>
                <w:rFonts w:ascii="Arial" w:hAnsi="Arial"/>
                <w:b/>
                <w:bCs/>
                <w:noProof w:val="0"/>
                <w:sz w:val="26"/>
                <w:szCs w:val="26"/>
                <w:rtl/>
              </w:rPr>
            </w:pPr>
            <w:r w:rsidRPr="00E371E2">
              <w:rPr>
                <w:rFonts w:ascii="Arial" w:hAnsi="Arial"/>
                <w:b/>
                <w:bCs/>
                <w:noProof w:val="0"/>
                <w:sz w:val="26"/>
                <w:szCs w:val="26"/>
                <w:rtl/>
              </w:rPr>
              <w:t>נגד</w:t>
            </w:r>
          </w:p>
          <w:p w14:paraId="5E254BFB" w14:textId="77777777" w:rsidR="00FF338B" w:rsidRPr="00E371E2" w:rsidRDefault="00FF338B" w:rsidP="00FF338B">
            <w:pPr>
              <w:suppressLineNumbers/>
              <w:rPr>
                <w:rFonts w:ascii="Arial" w:hAnsi="Arial"/>
                <w:b/>
                <w:bCs/>
                <w:noProof w:val="0"/>
                <w:sz w:val="26"/>
                <w:szCs w:val="26"/>
              </w:rPr>
            </w:pPr>
          </w:p>
        </w:tc>
      </w:tr>
      <w:tr w:rsidR="00FF338B" w:rsidRPr="00E371E2" w14:paraId="637EA167" w14:textId="77777777" w:rsidTr="00FF338B">
        <w:trPr>
          <w:jc w:val="center"/>
        </w:trPr>
        <w:tc>
          <w:tcPr>
            <w:tcW w:w="3249" w:type="dxa"/>
            <w:gridSpan w:val="2"/>
            <w:shd w:val="clear" w:color="auto" w:fill="auto"/>
          </w:tcPr>
          <w:p w14:paraId="623DFB27" w14:textId="77777777" w:rsidR="00FF338B" w:rsidRPr="00E371E2" w:rsidRDefault="00FF338B" w:rsidP="00FF338B">
            <w:pPr>
              <w:suppressLineNumbers/>
              <w:rPr>
                <w:rFonts w:ascii="Arial" w:hAnsi="Arial"/>
                <w:b/>
                <w:bCs/>
                <w:noProof w:val="0"/>
                <w:sz w:val="26"/>
                <w:szCs w:val="26"/>
              </w:rPr>
            </w:pPr>
            <w:r w:rsidRPr="00E371E2">
              <w:rPr>
                <w:rFonts w:ascii="Arial" w:hAnsi="Arial" w:hint="cs"/>
                <w:b/>
                <w:bCs/>
                <w:noProof w:val="0"/>
                <w:sz w:val="26"/>
                <w:szCs w:val="26"/>
                <w:rtl/>
              </w:rPr>
              <w:t>ה</w:t>
            </w:r>
            <w:r w:rsidRPr="00E371E2">
              <w:rPr>
                <w:rFonts w:ascii="Arial" w:hAnsi="Arial"/>
                <w:b/>
                <w:bCs/>
                <w:noProof w:val="0"/>
                <w:sz w:val="26"/>
                <w:szCs w:val="26"/>
                <w:rtl/>
              </w:rPr>
              <w:t>נאש</w:t>
            </w:r>
            <w:r w:rsidRPr="00E371E2">
              <w:rPr>
                <w:rFonts w:ascii="Arial" w:hAnsi="Arial" w:hint="cs"/>
                <w:b/>
                <w:bCs/>
                <w:noProof w:val="0"/>
                <w:sz w:val="26"/>
                <w:szCs w:val="26"/>
                <w:rtl/>
              </w:rPr>
              <w:t>ם</w:t>
            </w:r>
          </w:p>
        </w:tc>
        <w:tc>
          <w:tcPr>
            <w:tcW w:w="5571" w:type="dxa"/>
            <w:shd w:val="clear" w:color="auto" w:fill="auto"/>
          </w:tcPr>
          <w:p w14:paraId="7ED8F010" w14:textId="77777777" w:rsidR="00FF338B" w:rsidRPr="00E371E2" w:rsidRDefault="00FF338B" w:rsidP="00FF338B">
            <w:pPr>
              <w:suppressLineNumbers/>
              <w:rPr>
                <w:rFonts w:ascii="Arial" w:hAnsi="Arial"/>
                <w:b/>
                <w:bCs/>
                <w:noProof w:val="0"/>
                <w:sz w:val="26"/>
                <w:szCs w:val="26"/>
                <w:rtl/>
              </w:rPr>
            </w:pPr>
            <w:r w:rsidRPr="00E371E2">
              <w:rPr>
                <w:rFonts w:ascii="Arial" w:hAnsi="Arial"/>
                <w:b/>
                <w:bCs/>
                <w:noProof w:val="0"/>
                <w:sz w:val="26"/>
                <w:szCs w:val="26"/>
                <w:rtl/>
              </w:rPr>
              <w:t>זידאן טא</w:t>
            </w:r>
            <w:r w:rsidRPr="00E371E2">
              <w:rPr>
                <w:rFonts w:ascii="Arial" w:hAnsi="Arial" w:hint="cs"/>
                <w:b/>
                <w:bCs/>
                <w:noProof w:val="0"/>
                <w:sz w:val="26"/>
                <w:szCs w:val="26"/>
                <w:rtl/>
              </w:rPr>
              <w:t>הא</w:t>
            </w:r>
          </w:p>
        </w:tc>
      </w:tr>
    </w:tbl>
    <w:p w14:paraId="0C02D58C" w14:textId="77777777" w:rsidR="00FF338B" w:rsidRPr="00E371E2" w:rsidRDefault="00FF338B" w:rsidP="00FF338B">
      <w:pPr>
        <w:suppressLineNumbers/>
        <w:rPr>
          <w:rtl/>
        </w:rPr>
      </w:pPr>
    </w:p>
    <w:p w14:paraId="63C70944" w14:textId="77777777" w:rsidR="00FF338B" w:rsidRPr="00E371E2" w:rsidRDefault="00FF338B" w:rsidP="00FF338B">
      <w:pPr>
        <w:suppressLineNumbers/>
        <w:rPr>
          <w:b/>
          <w:bCs/>
          <w:rtl/>
        </w:rPr>
      </w:pPr>
    </w:p>
    <w:p w14:paraId="65BB5263" w14:textId="77777777" w:rsidR="00FF338B" w:rsidRPr="00E371E2" w:rsidRDefault="00FF338B" w:rsidP="00FF338B">
      <w:pPr>
        <w:suppressLineNumbers/>
        <w:rPr>
          <w:b/>
          <w:bCs/>
          <w:rtl/>
        </w:rPr>
      </w:pPr>
    </w:p>
    <w:p w14:paraId="5E549441" w14:textId="77777777" w:rsidR="00FF338B" w:rsidRPr="00E371E2" w:rsidRDefault="00FF338B" w:rsidP="00FF338B">
      <w:pPr>
        <w:suppressLineNumbers/>
        <w:rPr>
          <w:b/>
          <w:bCs/>
          <w:rtl/>
        </w:rPr>
      </w:pPr>
      <w:r w:rsidRPr="00E371E2">
        <w:rPr>
          <w:rFonts w:hint="cs"/>
          <w:b/>
          <w:bCs/>
          <w:rtl/>
        </w:rPr>
        <w:t xml:space="preserve">נוכחים: </w:t>
      </w:r>
    </w:p>
    <w:p w14:paraId="6DC857DA" w14:textId="77777777" w:rsidR="00FF338B" w:rsidRPr="00E371E2" w:rsidRDefault="00FF338B" w:rsidP="00FF338B">
      <w:pPr>
        <w:suppressLineNumbers/>
        <w:rPr>
          <w:b/>
          <w:bCs/>
          <w:rtl/>
        </w:rPr>
      </w:pPr>
      <w:bookmarkStart w:id="2" w:name="FirstLawyer"/>
      <w:r w:rsidRPr="00E371E2">
        <w:rPr>
          <w:rFonts w:hint="cs"/>
          <w:b/>
          <w:bCs/>
          <w:rtl/>
        </w:rPr>
        <w:t>ב"כ</w:t>
      </w:r>
      <w:bookmarkEnd w:id="2"/>
      <w:r w:rsidRPr="00E371E2">
        <w:rPr>
          <w:rFonts w:hint="cs"/>
          <w:b/>
          <w:bCs/>
          <w:rtl/>
        </w:rPr>
        <w:t xml:space="preserve"> המאשימה: עו"'ד מוחמד מולא </w:t>
      </w:r>
    </w:p>
    <w:p w14:paraId="39DF4905" w14:textId="77777777" w:rsidR="00FF338B" w:rsidRPr="00E371E2" w:rsidRDefault="00FF338B" w:rsidP="00FF338B">
      <w:pPr>
        <w:suppressLineNumbers/>
        <w:rPr>
          <w:b/>
          <w:bCs/>
          <w:rtl/>
        </w:rPr>
      </w:pPr>
      <w:r w:rsidRPr="00E371E2">
        <w:rPr>
          <w:rFonts w:hint="cs"/>
          <w:b/>
          <w:bCs/>
          <w:rtl/>
        </w:rPr>
        <w:t>ב"כ הנאשם: עו</w:t>
      </w:r>
      <w:r w:rsidRPr="00E371E2">
        <w:rPr>
          <w:b/>
          <w:bCs/>
          <w:rtl/>
        </w:rPr>
        <w:pgNum/>
      </w:r>
      <w:r w:rsidRPr="00E371E2">
        <w:rPr>
          <w:rFonts w:hint="cs"/>
          <w:b/>
          <w:bCs/>
          <w:rtl/>
        </w:rPr>
        <w:t xml:space="preserve">"ד ריאד טאהא </w:t>
      </w:r>
    </w:p>
    <w:p w14:paraId="4601245A" w14:textId="77777777" w:rsidR="00FF338B" w:rsidRPr="00E371E2" w:rsidRDefault="00FF338B" w:rsidP="00FF338B">
      <w:pPr>
        <w:suppressLineNumbers/>
        <w:rPr>
          <w:b/>
          <w:bCs/>
          <w:rtl/>
        </w:rPr>
      </w:pPr>
      <w:r w:rsidRPr="00E371E2">
        <w:rPr>
          <w:rFonts w:hint="cs"/>
          <w:b/>
          <w:bCs/>
          <w:rtl/>
        </w:rPr>
        <w:t xml:space="preserve">הנאשם בעצמו </w:t>
      </w:r>
    </w:p>
    <w:p w14:paraId="34DC5AE0" w14:textId="77777777" w:rsidR="00FF338B" w:rsidRPr="00E371E2" w:rsidRDefault="00FF338B" w:rsidP="00FF338B">
      <w:pPr>
        <w:suppressLineNumbers/>
        <w:rPr>
          <w:rtl/>
        </w:rPr>
      </w:pPr>
    </w:p>
    <w:p w14:paraId="04971679" w14:textId="77777777" w:rsidR="009643FF" w:rsidRPr="00E371E2" w:rsidRDefault="009643FF" w:rsidP="00E371E2">
      <w:pPr>
        <w:spacing w:before="120" w:after="120" w:line="240" w:lineRule="exact"/>
        <w:ind w:left="283" w:hanging="283"/>
        <w:jc w:val="both"/>
        <w:rPr>
          <w:rFonts w:ascii="FrankRuehl" w:hAnsi="FrankRuehl" w:cs="FrankRuehl"/>
          <w:noProof w:val="0"/>
          <w:rtl/>
        </w:rPr>
      </w:pPr>
    </w:p>
    <w:p w14:paraId="3345E44B" w14:textId="77777777" w:rsidR="009643FF" w:rsidRPr="009643FF" w:rsidRDefault="009643FF" w:rsidP="009643FF">
      <w:pPr>
        <w:spacing w:before="120" w:after="120" w:line="240" w:lineRule="exact"/>
        <w:ind w:left="283" w:hanging="283"/>
        <w:jc w:val="both"/>
        <w:rPr>
          <w:rFonts w:ascii="FrankRuehl" w:hAnsi="FrankRuehl" w:cs="FrankRuehl"/>
          <w:noProof w:val="0"/>
          <w:rtl/>
        </w:rPr>
      </w:pPr>
      <w:bookmarkStart w:id="3" w:name="LawTable"/>
      <w:bookmarkEnd w:id="3"/>
    </w:p>
    <w:p w14:paraId="1B53DDE6" w14:textId="77777777" w:rsidR="009643FF" w:rsidRPr="009643FF" w:rsidRDefault="009643FF" w:rsidP="009643FF">
      <w:pPr>
        <w:spacing w:before="120" w:after="120" w:line="240" w:lineRule="exact"/>
        <w:ind w:left="283" w:hanging="283"/>
        <w:jc w:val="both"/>
        <w:rPr>
          <w:rFonts w:ascii="FrankRuehl" w:hAnsi="FrankRuehl" w:cs="FrankRuehl"/>
          <w:noProof w:val="0"/>
          <w:rtl/>
        </w:rPr>
      </w:pPr>
      <w:r w:rsidRPr="009643FF">
        <w:rPr>
          <w:rFonts w:ascii="FrankRuehl" w:hAnsi="FrankRuehl" w:cs="FrankRuehl"/>
          <w:noProof w:val="0"/>
          <w:rtl/>
        </w:rPr>
        <w:t xml:space="preserve">חקיקה שאוזכרה: </w:t>
      </w:r>
    </w:p>
    <w:p w14:paraId="7B74936C" w14:textId="77777777" w:rsidR="009643FF" w:rsidRPr="009643FF" w:rsidRDefault="009643FF" w:rsidP="009643FF">
      <w:pPr>
        <w:spacing w:before="120" w:after="120" w:line="240" w:lineRule="exact"/>
        <w:ind w:left="283" w:hanging="283"/>
        <w:jc w:val="both"/>
        <w:rPr>
          <w:rFonts w:ascii="FrankRuehl" w:hAnsi="FrankRuehl" w:cs="FrankRuehl"/>
          <w:noProof w:val="0"/>
          <w:color w:val="0000FF"/>
          <w:rtl/>
        </w:rPr>
      </w:pPr>
      <w:hyperlink r:id="rId7" w:history="1">
        <w:r w:rsidRPr="009643FF">
          <w:rPr>
            <w:rStyle w:val="Hyperlink"/>
            <w:rFonts w:ascii="FrankRuehl" w:hAnsi="FrankRuehl" w:cs="FrankRuehl"/>
            <w:u w:val="none"/>
            <w:rtl/>
          </w:rPr>
          <w:t>חוק העונשין, תשל"ז-1977</w:t>
        </w:r>
      </w:hyperlink>
      <w:r w:rsidRPr="009643FF">
        <w:rPr>
          <w:rFonts w:ascii="FrankRuehl" w:hAnsi="FrankRuehl" w:cs="FrankRuehl"/>
          <w:noProof w:val="0"/>
          <w:color w:val="0000FF"/>
          <w:rtl/>
        </w:rPr>
        <w:t xml:space="preserve">: סע'  </w:t>
      </w:r>
      <w:hyperlink r:id="rId8" w:history="1">
        <w:r w:rsidRPr="009643FF">
          <w:rPr>
            <w:rStyle w:val="Hyperlink"/>
            <w:rFonts w:ascii="FrankRuehl" w:hAnsi="FrankRuehl" w:cs="FrankRuehl"/>
            <w:u w:val="none"/>
          </w:rPr>
          <w:t>40.</w:t>
        </w:r>
        <w:r w:rsidRPr="009643FF">
          <w:rPr>
            <w:rStyle w:val="Hyperlink"/>
            <w:rFonts w:ascii="FrankRuehl" w:hAnsi="FrankRuehl" w:cs="FrankRuehl"/>
            <w:u w:val="none"/>
            <w:rtl/>
          </w:rPr>
          <w:t>א</w:t>
        </w:r>
        <w:r w:rsidRPr="009643FF">
          <w:rPr>
            <w:rStyle w:val="Hyperlink"/>
            <w:rFonts w:ascii="FrankRuehl" w:hAnsi="FrankRuehl" w:cs="FrankRuehl"/>
            <w:u w:val="none"/>
          </w:rPr>
          <w:t>.</w:t>
        </w:r>
      </w:hyperlink>
      <w:r w:rsidRPr="009643FF">
        <w:rPr>
          <w:rFonts w:ascii="FrankRuehl" w:hAnsi="FrankRuehl" w:cs="FrankRuehl"/>
          <w:noProof w:val="0"/>
          <w:color w:val="0000FF"/>
          <w:rtl/>
        </w:rPr>
        <w:t xml:space="preserve">, </w:t>
      </w:r>
      <w:hyperlink r:id="rId9" w:history="1">
        <w:r w:rsidRPr="009643FF">
          <w:rPr>
            <w:rStyle w:val="Hyperlink"/>
            <w:rFonts w:ascii="FrankRuehl" w:hAnsi="FrankRuehl" w:cs="FrankRuehl"/>
            <w:u w:val="none"/>
          </w:rPr>
          <w:t>144</w:t>
        </w:r>
      </w:hyperlink>
      <w:r w:rsidRPr="009643FF">
        <w:rPr>
          <w:rFonts w:ascii="FrankRuehl" w:hAnsi="FrankRuehl" w:cs="FrankRuehl"/>
          <w:noProof w:val="0"/>
          <w:color w:val="0000FF"/>
          <w:rtl/>
        </w:rPr>
        <w:t xml:space="preserve">(א), </w:t>
      </w:r>
      <w:hyperlink r:id="rId10" w:history="1">
        <w:r w:rsidRPr="009643FF">
          <w:rPr>
            <w:rStyle w:val="Hyperlink"/>
            <w:rFonts w:ascii="FrankRuehl" w:hAnsi="FrankRuehl" w:cs="FrankRuehl"/>
            <w:u w:val="none"/>
          </w:rPr>
          <w:t>144</w:t>
        </w:r>
      </w:hyperlink>
      <w:r w:rsidRPr="009643FF">
        <w:rPr>
          <w:rFonts w:ascii="FrankRuehl" w:hAnsi="FrankRuehl" w:cs="FrankRuehl"/>
          <w:noProof w:val="0"/>
          <w:color w:val="0000FF"/>
          <w:rtl/>
        </w:rPr>
        <w:t xml:space="preserve">(ב), </w:t>
      </w:r>
      <w:hyperlink r:id="rId11" w:history="1">
        <w:r w:rsidRPr="009643FF">
          <w:rPr>
            <w:rStyle w:val="Hyperlink"/>
            <w:rFonts w:ascii="FrankRuehl" w:hAnsi="FrankRuehl" w:cs="FrankRuehl"/>
            <w:u w:val="none"/>
          </w:rPr>
          <w:t>144</w:t>
        </w:r>
      </w:hyperlink>
      <w:r w:rsidRPr="009643FF">
        <w:rPr>
          <w:rFonts w:ascii="FrankRuehl" w:hAnsi="FrankRuehl" w:cs="FrankRuehl"/>
          <w:noProof w:val="0"/>
          <w:color w:val="0000FF"/>
          <w:rtl/>
        </w:rPr>
        <w:t xml:space="preserve">(ז), </w:t>
      </w:r>
      <w:hyperlink r:id="rId12" w:history="1">
        <w:r w:rsidRPr="009643FF">
          <w:rPr>
            <w:rStyle w:val="Hyperlink"/>
            <w:rFonts w:ascii="FrankRuehl" w:hAnsi="FrankRuehl" w:cs="FrankRuehl"/>
            <w:u w:val="none"/>
          </w:rPr>
          <w:t>40</w:t>
        </w:r>
        <w:r w:rsidRPr="009643FF">
          <w:rPr>
            <w:rStyle w:val="Hyperlink"/>
            <w:rFonts w:ascii="FrankRuehl" w:hAnsi="FrankRuehl" w:cs="FrankRuehl"/>
            <w:u w:val="none"/>
            <w:rtl/>
          </w:rPr>
          <w:t>טו</w:t>
        </w:r>
      </w:hyperlink>
    </w:p>
    <w:p w14:paraId="42489264" w14:textId="77777777" w:rsidR="009643FF" w:rsidRPr="009643FF" w:rsidRDefault="009643FF" w:rsidP="009643FF">
      <w:pPr>
        <w:jc w:val="center"/>
        <w:rPr>
          <w:rFonts w:ascii="Arial" w:hAnsi="Arial"/>
          <w:noProof w:val="0"/>
          <w:sz w:val="28"/>
          <w:szCs w:val="28"/>
          <w:rtl/>
        </w:rPr>
      </w:pPr>
      <w:bookmarkStart w:id="4" w:name="LawTable_End"/>
      <w:bookmarkEnd w:id="4"/>
    </w:p>
    <w:p w14:paraId="7524DF6A" w14:textId="77777777" w:rsidR="009643FF" w:rsidRPr="00E371E2" w:rsidRDefault="009643FF" w:rsidP="00E371E2">
      <w:pPr>
        <w:bidi w:val="0"/>
        <w:jc w:val="center"/>
        <w:rPr>
          <w:rFonts w:ascii="Arial" w:hAnsi="Arial"/>
          <w:b/>
          <w:bCs/>
          <w:noProof w:val="0"/>
          <w:sz w:val="28"/>
          <w:szCs w:val="28"/>
          <w:u w:val="single"/>
          <w:rtl/>
        </w:rPr>
      </w:pPr>
      <w:bookmarkStart w:id="5" w:name="PsakDin"/>
      <w:r w:rsidRPr="00E371E2">
        <w:rPr>
          <w:rFonts w:ascii="Arial" w:hAnsi="Arial"/>
          <w:b/>
          <w:bCs/>
          <w:noProof w:val="0"/>
          <w:sz w:val="28"/>
          <w:szCs w:val="28"/>
          <w:u w:val="single"/>
          <w:rtl/>
        </w:rPr>
        <w:t>גזר דין</w:t>
      </w:r>
    </w:p>
    <w:bookmarkEnd w:id="5"/>
    <w:p w14:paraId="229BE497" w14:textId="77777777" w:rsidR="009643FF" w:rsidRPr="00FF338B" w:rsidRDefault="009643FF" w:rsidP="00FF338B">
      <w:pPr>
        <w:bidi w:val="0"/>
        <w:jc w:val="center"/>
        <w:rPr>
          <w:rFonts w:ascii="Arial" w:hAnsi="Arial"/>
          <w:b/>
          <w:bCs/>
          <w:noProof w:val="0"/>
          <w:sz w:val="28"/>
          <w:szCs w:val="28"/>
          <w:u w:val="single"/>
        </w:rPr>
      </w:pPr>
    </w:p>
    <w:p w14:paraId="519D2ABA" w14:textId="77777777" w:rsidR="00FF338B" w:rsidRPr="007A2F4F" w:rsidRDefault="00FF338B" w:rsidP="00FF338B">
      <w:pPr>
        <w:spacing w:line="360" w:lineRule="auto"/>
        <w:jc w:val="both"/>
        <w:rPr>
          <w:rFonts w:ascii="Arial" w:hAnsi="Arial"/>
          <w:b/>
          <w:bCs/>
          <w:noProof w:val="0"/>
          <w:u w:val="single"/>
          <w:rtl/>
        </w:rPr>
      </w:pPr>
      <w:bookmarkStart w:id="6" w:name="NGCSBookmark"/>
      <w:bookmarkEnd w:id="0"/>
      <w:bookmarkEnd w:id="6"/>
      <w:r>
        <w:rPr>
          <w:rFonts w:ascii="Arial" w:hAnsi="Arial" w:hint="cs"/>
          <w:b/>
          <w:bCs/>
          <w:noProof w:val="0"/>
          <w:u w:val="single"/>
          <w:rtl/>
        </w:rPr>
        <w:t>כ</w:t>
      </w:r>
      <w:r w:rsidRPr="007A2F4F">
        <w:rPr>
          <w:rFonts w:ascii="Arial" w:hAnsi="Arial"/>
          <w:b/>
          <w:bCs/>
          <w:noProof w:val="0"/>
          <w:u w:val="single"/>
          <w:rtl/>
        </w:rPr>
        <w:t>ללי:</w:t>
      </w:r>
    </w:p>
    <w:p w14:paraId="157D126A" w14:textId="77777777" w:rsidR="00FF338B" w:rsidRPr="007A2F4F" w:rsidRDefault="00FF338B" w:rsidP="00FF338B">
      <w:pPr>
        <w:pStyle w:val="a9"/>
        <w:numPr>
          <w:ilvl w:val="0"/>
          <w:numId w:val="1"/>
        </w:numPr>
        <w:spacing w:line="360" w:lineRule="auto"/>
        <w:jc w:val="both"/>
        <w:rPr>
          <w:rFonts w:ascii="Arial" w:hAnsi="Arial"/>
          <w:noProof w:val="0"/>
          <w:rtl/>
        </w:rPr>
      </w:pPr>
      <w:bookmarkStart w:id="7" w:name="ABSTRACT_START"/>
      <w:bookmarkEnd w:id="7"/>
      <w:r w:rsidRPr="007A2F4F">
        <w:rPr>
          <w:rFonts w:ascii="Arial" w:hAnsi="Arial"/>
          <w:noProof w:val="0"/>
          <w:rtl/>
        </w:rPr>
        <w:t xml:space="preserve">הנאשם, יליד 4.3.01, הורשע, על פי הודאתו, במסגרת הסדר טיעון, בעבירות בנשק (החזקה), עבירה לפי </w:t>
      </w:r>
      <w:hyperlink r:id="rId13" w:history="1">
        <w:r w:rsidR="009643FF" w:rsidRPr="009643FF">
          <w:rPr>
            <w:rStyle w:val="Hyperlink"/>
            <w:rFonts w:ascii="Arial" w:hAnsi="Arial"/>
            <w:noProof w:val="0"/>
            <w:color w:val="0000FF"/>
            <w:rtl/>
          </w:rPr>
          <w:t>סעיף 144(א)</w:t>
        </w:r>
      </w:hyperlink>
      <w:r w:rsidRPr="007A2F4F">
        <w:rPr>
          <w:rFonts w:ascii="Arial" w:hAnsi="Arial"/>
          <w:noProof w:val="0"/>
          <w:rtl/>
        </w:rPr>
        <w:t xml:space="preserve"> רישא ל</w:t>
      </w:r>
      <w:hyperlink r:id="rId14" w:history="1">
        <w:r w:rsidR="00E371E2" w:rsidRPr="00E371E2">
          <w:rPr>
            <w:rFonts w:ascii="Arial" w:hAnsi="Arial"/>
            <w:b/>
            <w:bCs/>
            <w:noProof w:val="0"/>
            <w:color w:val="0000FF"/>
            <w:u w:val="single"/>
            <w:rtl/>
          </w:rPr>
          <w:t>חוק העונשין</w:t>
        </w:r>
      </w:hyperlink>
      <w:r w:rsidRPr="007A2F4F">
        <w:rPr>
          <w:rFonts w:ascii="Arial" w:hAnsi="Arial"/>
          <w:noProof w:val="0"/>
          <w:rtl/>
        </w:rPr>
        <w:t>, התשל"ז – 1977 (להלן: "</w:t>
      </w:r>
      <w:r w:rsidRPr="007A2F4F">
        <w:rPr>
          <w:rFonts w:ascii="Arial" w:hAnsi="Arial"/>
          <w:b/>
          <w:bCs/>
          <w:noProof w:val="0"/>
          <w:rtl/>
        </w:rPr>
        <w:t>חוק העונשין</w:t>
      </w:r>
      <w:r w:rsidRPr="007A2F4F">
        <w:rPr>
          <w:rFonts w:ascii="Arial" w:hAnsi="Arial"/>
          <w:noProof w:val="0"/>
          <w:rtl/>
        </w:rPr>
        <w:t xml:space="preserve">"). הסדר הטיעון לא כלל הסכמה בדבר העונש שיוטל על הנאשם ולעניין זה טען כל צד כחוכמתו. הסדר הטיעון התייחס לתיקון כתב האישום בלבד. </w:t>
      </w:r>
    </w:p>
    <w:p w14:paraId="7A38351C" w14:textId="77777777" w:rsidR="00FF338B" w:rsidRDefault="00FF338B" w:rsidP="00FF338B">
      <w:pPr>
        <w:spacing w:line="360" w:lineRule="auto"/>
        <w:jc w:val="both"/>
        <w:rPr>
          <w:rFonts w:ascii="Arial" w:hAnsi="Arial"/>
          <w:b/>
          <w:bCs/>
          <w:noProof w:val="0"/>
          <w:u w:val="single"/>
          <w:rtl/>
        </w:rPr>
      </w:pPr>
    </w:p>
    <w:p w14:paraId="595A73BF" w14:textId="77777777" w:rsidR="00FF338B" w:rsidRPr="007A2F4F" w:rsidRDefault="00FF338B" w:rsidP="00FF338B">
      <w:pPr>
        <w:spacing w:line="360" w:lineRule="auto"/>
        <w:jc w:val="both"/>
        <w:rPr>
          <w:rFonts w:ascii="Arial" w:hAnsi="Arial"/>
          <w:b/>
          <w:bCs/>
          <w:noProof w:val="0"/>
          <w:u w:val="single"/>
          <w:rtl/>
        </w:rPr>
      </w:pPr>
      <w:bookmarkStart w:id="8" w:name="ABSTRACT_END"/>
      <w:bookmarkEnd w:id="8"/>
      <w:r w:rsidRPr="007A2F4F">
        <w:rPr>
          <w:rFonts w:ascii="Arial" w:hAnsi="Arial"/>
          <w:b/>
          <w:bCs/>
          <w:noProof w:val="0"/>
          <w:u w:val="single"/>
          <w:rtl/>
        </w:rPr>
        <w:t>כתב האישום המתוקן:</w:t>
      </w:r>
    </w:p>
    <w:p w14:paraId="7E175AE6" w14:textId="77777777" w:rsidR="00FF338B" w:rsidRPr="007A2F4F" w:rsidRDefault="00FF338B" w:rsidP="00FF338B">
      <w:pPr>
        <w:pStyle w:val="a9"/>
        <w:numPr>
          <w:ilvl w:val="0"/>
          <w:numId w:val="1"/>
        </w:numPr>
        <w:spacing w:line="360" w:lineRule="auto"/>
        <w:jc w:val="both"/>
        <w:rPr>
          <w:rFonts w:ascii="Arial" w:hAnsi="Arial"/>
          <w:noProof w:val="0"/>
          <w:rtl/>
        </w:rPr>
      </w:pPr>
      <w:r w:rsidRPr="007A2F4F">
        <w:rPr>
          <w:rFonts w:ascii="Arial" w:hAnsi="Arial"/>
          <w:noProof w:val="0"/>
          <w:rtl/>
        </w:rPr>
        <w:t xml:space="preserve">על פי עובדות כתב האישום המתוקן, ביום 25.10.23 נסעו הנאשם וחברו תופיק ברכב הנמצא בבעלות תופיק. הנאשם ישב במושב הנוסע ותופיק נהג ברכב. בעוד השניים נוסעים ברכב החזיק הנאשם רימון יד הלם </w:t>
      </w:r>
      <w:r w:rsidRPr="007A2F4F">
        <w:rPr>
          <w:rFonts w:ascii="Arial" w:hAnsi="Arial"/>
          <w:noProof w:val="0"/>
        </w:rPr>
        <w:t xml:space="preserve"> M7290</w:t>
      </w:r>
      <w:r w:rsidRPr="007A2F4F">
        <w:rPr>
          <w:rFonts w:ascii="Arial" w:hAnsi="Arial"/>
          <w:noProof w:val="0"/>
          <w:rtl/>
        </w:rPr>
        <w:t xml:space="preserve">תוצרת חברת </w:t>
      </w:r>
      <w:r w:rsidRPr="007A2F4F">
        <w:rPr>
          <w:rFonts w:ascii="Arial" w:hAnsi="Arial"/>
          <w:noProof w:val="0"/>
        </w:rPr>
        <w:t>CTS</w:t>
      </w:r>
      <w:r w:rsidRPr="007A2F4F">
        <w:rPr>
          <w:rFonts w:ascii="Arial" w:hAnsi="Arial"/>
          <w:noProof w:val="0"/>
          <w:rtl/>
        </w:rPr>
        <w:t xml:space="preserve"> (להלן: "</w:t>
      </w:r>
      <w:r w:rsidRPr="007A2F4F">
        <w:rPr>
          <w:rFonts w:ascii="Arial" w:hAnsi="Arial"/>
          <w:b/>
          <w:bCs/>
          <w:noProof w:val="0"/>
          <w:rtl/>
        </w:rPr>
        <w:t>רימון הלם</w:t>
      </w:r>
      <w:r w:rsidRPr="007A2F4F">
        <w:rPr>
          <w:rFonts w:ascii="Arial" w:hAnsi="Arial"/>
          <w:noProof w:val="0"/>
          <w:rtl/>
        </w:rPr>
        <w:t xml:space="preserve">"). את רימון ההלם החזיק הנאשם על רצפת הרכב סמוך לרגליו, ללא רשות על פי דין להחזקתו. </w:t>
      </w:r>
    </w:p>
    <w:p w14:paraId="610714B3" w14:textId="77777777" w:rsidR="00FF338B" w:rsidRDefault="00FF338B" w:rsidP="00FF338B">
      <w:pPr>
        <w:spacing w:line="360" w:lineRule="auto"/>
        <w:jc w:val="both"/>
        <w:rPr>
          <w:rFonts w:ascii="Arial" w:hAnsi="Arial"/>
          <w:noProof w:val="0"/>
          <w:rtl/>
        </w:rPr>
      </w:pPr>
    </w:p>
    <w:p w14:paraId="67B20DA3" w14:textId="77777777" w:rsidR="00FF338B" w:rsidRPr="007A2F4F" w:rsidRDefault="00FF338B" w:rsidP="00FF338B">
      <w:pPr>
        <w:pStyle w:val="a9"/>
        <w:numPr>
          <w:ilvl w:val="0"/>
          <w:numId w:val="1"/>
        </w:numPr>
        <w:spacing w:line="360" w:lineRule="auto"/>
        <w:jc w:val="both"/>
        <w:rPr>
          <w:rFonts w:ascii="Arial" w:hAnsi="Arial"/>
          <w:b/>
          <w:bCs/>
          <w:noProof w:val="0"/>
          <w:u w:val="single"/>
          <w:rtl/>
        </w:rPr>
      </w:pPr>
      <w:r w:rsidRPr="007A2F4F">
        <w:rPr>
          <w:rFonts w:ascii="Arial" w:hAnsi="Arial"/>
          <w:noProof w:val="0"/>
          <w:rtl/>
        </w:rPr>
        <w:lastRenderedPageBreak/>
        <w:t xml:space="preserve">על פי כתב האישום המתוקן, רימון הלם הוא כלי נשק שבכוחו להזיק לאדם עת הוא מופעל. </w:t>
      </w:r>
    </w:p>
    <w:p w14:paraId="34C214A9" w14:textId="77777777" w:rsidR="00FF338B" w:rsidRDefault="00FF338B" w:rsidP="00FF338B">
      <w:pPr>
        <w:spacing w:line="360" w:lineRule="auto"/>
        <w:jc w:val="both"/>
        <w:rPr>
          <w:rFonts w:ascii="Arial" w:hAnsi="Arial"/>
          <w:b/>
          <w:bCs/>
          <w:noProof w:val="0"/>
          <w:u w:val="single"/>
          <w:rtl/>
        </w:rPr>
      </w:pPr>
    </w:p>
    <w:p w14:paraId="149F6732" w14:textId="77777777" w:rsidR="00FF338B" w:rsidRDefault="00FF338B" w:rsidP="00FF338B">
      <w:pPr>
        <w:spacing w:line="360" w:lineRule="auto"/>
        <w:jc w:val="both"/>
        <w:rPr>
          <w:rFonts w:ascii="Arial" w:hAnsi="Arial"/>
          <w:b/>
          <w:bCs/>
          <w:noProof w:val="0"/>
          <w:u w:val="single"/>
          <w:rtl/>
        </w:rPr>
      </w:pPr>
    </w:p>
    <w:p w14:paraId="4246ADCC" w14:textId="77777777" w:rsidR="00FF338B" w:rsidRDefault="00FF338B" w:rsidP="00FF338B">
      <w:pPr>
        <w:spacing w:line="360" w:lineRule="auto"/>
        <w:jc w:val="both"/>
        <w:rPr>
          <w:rFonts w:ascii="Arial" w:hAnsi="Arial"/>
          <w:b/>
          <w:bCs/>
          <w:noProof w:val="0"/>
          <w:u w:val="single"/>
          <w:rtl/>
        </w:rPr>
      </w:pPr>
    </w:p>
    <w:p w14:paraId="2C8653A3" w14:textId="77777777" w:rsidR="00FF338B" w:rsidRPr="007A2F4F" w:rsidRDefault="00FF338B" w:rsidP="00FF338B">
      <w:pPr>
        <w:spacing w:line="360" w:lineRule="auto"/>
        <w:jc w:val="both"/>
        <w:rPr>
          <w:rFonts w:ascii="Arial" w:hAnsi="Arial"/>
          <w:b/>
          <w:bCs/>
          <w:noProof w:val="0"/>
          <w:u w:val="single"/>
          <w:rtl/>
        </w:rPr>
      </w:pPr>
      <w:r w:rsidRPr="007A2F4F">
        <w:rPr>
          <w:rFonts w:ascii="Arial" w:hAnsi="Arial"/>
          <w:b/>
          <w:bCs/>
          <w:noProof w:val="0"/>
          <w:u w:val="single"/>
          <w:rtl/>
        </w:rPr>
        <w:t>ראיות לעונש:</w:t>
      </w:r>
    </w:p>
    <w:p w14:paraId="3843569A" w14:textId="77777777" w:rsidR="00FF338B" w:rsidRDefault="00FF338B" w:rsidP="00FF338B">
      <w:pPr>
        <w:pStyle w:val="a9"/>
        <w:numPr>
          <w:ilvl w:val="0"/>
          <w:numId w:val="1"/>
        </w:numPr>
        <w:spacing w:line="360" w:lineRule="auto"/>
        <w:jc w:val="both"/>
        <w:rPr>
          <w:rFonts w:ascii="Arial" w:hAnsi="Arial"/>
          <w:noProof w:val="0"/>
        </w:rPr>
      </w:pPr>
      <w:r w:rsidRPr="007A2F4F">
        <w:rPr>
          <w:rFonts w:ascii="Arial" w:hAnsi="Arial"/>
          <w:noProof w:val="0"/>
          <w:rtl/>
        </w:rPr>
        <w:t xml:space="preserve">מטעם המאשימה הוגש גיליון הרשעות תעבורתי של הנאשם (ת/1) מעבר לכך לא הוגשו ראיות. אין חולק, שמעבר להרשעות בתחום התעבורה עברו הפלילי של הנאשם נקי עד להרשעה מושא גזר דין זה. </w:t>
      </w:r>
    </w:p>
    <w:p w14:paraId="0A5E293E" w14:textId="77777777" w:rsidR="00FF338B" w:rsidRPr="007A2F4F" w:rsidRDefault="00FF338B" w:rsidP="00FF338B">
      <w:pPr>
        <w:pStyle w:val="a9"/>
        <w:spacing w:line="360" w:lineRule="auto"/>
        <w:jc w:val="both"/>
        <w:rPr>
          <w:rFonts w:ascii="Arial" w:hAnsi="Arial"/>
          <w:noProof w:val="0"/>
          <w:rtl/>
        </w:rPr>
      </w:pPr>
    </w:p>
    <w:p w14:paraId="5960D416" w14:textId="77777777" w:rsidR="00FF338B" w:rsidRPr="007A2F4F" w:rsidRDefault="00FF338B" w:rsidP="00FF338B">
      <w:pPr>
        <w:pStyle w:val="a9"/>
        <w:numPr>
          <w:ilvl w:val="0"/>
          <w:numId w:val="1"/>
        </w:numPr>
        <w:spacing w:line="360" w:lineRule="auto"/>
        <w:jc w:val="both"/>
        <w:rPr>
          <w:rFonts w:ascii="Arial" w:hAnsi="Arial"/>
          <w:noProof w:val="0"/>
          <w:rtl/>
        </w:rPr>
      </w:pPr>
      <w:r w:rsidRPr="007A2F4F">
        <w:rPr>
          <w:rFonts w:ascii="Arial" w:hAnsi="Arial"/>
          <w:noProof w:val="0"/>
          <w:rtl/>
        </w:rPr>
        <w:t xml:space="preserve">לבקשת הנאשם, הוזמנה חוות דעת הממונה על עבודות השירות, על מנת לבחון התכנות נשיאת מאסרו בעבודות שירות. עת הוזמנה חוות דעת הממונה הובהר לנאשם, בהחלטה מיום 18.12.23, שאין לראות בכך כהתחייבות לקבל את עמדת הממונה ואל לנאשם לפתח ציפיות. </w:t>
      </w:r>
    </w:p>
    <w:p w14:paraId="72B54268" w14:textId="77777777" w:rsidR="00FF338B" w:rsidRDefault="00FF338B" w:rsidP="00FF338B">
      <w:pPr>
        <w:spacing w:line="360" w:lineRule="auto"/>
        <w:jc w:val="both"/>
        <w:rPr>
          <w:rFonts w:ascii="Arial" w:hAnsi="Arial"/>
          <w:noProof w:val="0"/>
          <w:rtl/>
        </w:rPr>
      </w:pPr>
    </w:p>
    <w:p w14:paraId="2EC177A2" w14:textId="77777777" w:rsidR="00FF338B" w:rsidRPr="007A2F4F" w:rsidRDefault="00FF338B" w:rsidP="00FF338B">
      <w:pPr>
        <w:spacing w:line="360" w:lineRule="auto"/>
        <w:ind w:left="720"/>
        <w:jc w:val="both"/>
        <w:rPr>
          <w:rFonts w:ascii="Arial" w:hAnsi="Arial"/>
          <w:noProof w:val="0"/>
          <w:rtl/>
        </w:rPr>
      </w:pPr>
      <w:r w:rsidRPr="007A2F4F">
        <w:rPr>
          <w:rFonts w:ascii="Arial" w:hAnsi="Arial"/>
          <w:noProof w:val="0"/>
          <w:rtl/>
        </w:rPr>
        <w:t xml:space="preserve">כעולה מחוות דעת הממונה על עבודת השירות, הנאשם כשיר לבצע עבודות שירות, תוך שמודגש שאין מניעה מבחינת גורמי המודיעין לכך. </w:t>
      </w:r>
    </w:p>
    <w:p w14:paraId="4F175266" w14:textId="77777777" w:rsidR="00FF338B" w:rsidRDefault="00FF338B" w:rsidP="00FF338B">
      <w:pPr>
        <w:spacing w:line="360" w:lineRule="auto"/>
        <w:jc w:val="both"/>
        <w:rPr>
          <w:rFonts w:ascii="Arial" w:hAnsi="Arial"/>
          <w:noProof w:val="0"/>
          <w:rtl/>
        </w:rPr>
      </w:pPr>
    </w:p>
    <w:p w14:paraId="4CC0F702" w14:textId="77777777" w:rsidR="00FF338B" w:rsidRPr="007A2F4F" w:rsidRDefault="00FF338B" w:rsidP="00FF338B">
      <w:pPr>
        <w:pStyle w:val="a9"/>
        <w:numPr>
          <w:ilvl w:val="0"/>
          <w:numId w:val="1"/>
        </w:numPr>
        <w:spacing w:line="360" w:lineRule="auto"/>
        <w:jc w:val="both"/>
        <w:rPr>
          <w:rFonts w:ascii="Arial" w:hAnsi="Arial"/>
          <w:noProof w:val="0"/>
          <w:rtl/>
        </w:rPr>
      </w:pPr>
      <w:r w:rsidRPr="007A2F4F">
        <w:rPr>
          <w:rFonts w:ascii="Arial" w:hAnsi="Arial"/>
          <w:noProof w:val="0"/>
          <w:rtl/>
        </w:rPr>
        <w:t xml:space="preserve">כמו כן, מוסכם על הצדדים שהנאשם שהה במעצר בין התאריכים 25.10.23 – 28.11.23 והוא שוחרר בתנאי מעצר בית מלא ופיקוח. </w:t>
      </w:r>
    </w:p>
    <w:p w14:paraId="21D0ED68" w14:textId="77777777" w:rsidR="00FF338B" w:rsidRDefault="00FF338B" w:rsidP="00FF338B">
      <w:pPr>
        <w:spacing w:line="360" w:lineRule="auto"/>
        <w:jc w:val="both"/>
        <w:rPr>
          <w:rFonts w:ascii="Arial" w:hAnsi="Arial"/>
          <w:noProof w:val="0"/>
          <w:rtl/>
        </w:rPr>
      </w:pPr>
      <w:r w:rsidRPr="007A2F4F">
        <w:rPr>
          <w:rFonts w:ascii="Arial" w:hAnsi="Arial"/>
          <w:noProof w:val="0"/>
          <w:rtl/>
        </w:rPr>
        <w:t xml:space="preserve"> </w:t>
      </w:r>
    </w:p>
    <w:p w14:paraId="673074E9" w14:textId="77777777" w:rsidR="00FF338B" w:rsidRPr="007A2F4F" w:rsidRDefault="00FF338B" w:rsidP="00FF338B">
      <w:pPr>
        <w:spacing w:line="360" w:lineRule="auto"/>
        <w:jc w:val="both"/>
        <w:rPr>
          <w:rFonts w:ascii="Arial" w:hAnsi="Arial"/>
          <w:b/>
          <w:bCs/>
          <w:noProof w:val="0"/>
          <w:u w:val="single"/>
          <w:rtl/>
        </w:rPr>
      </w:pPr>
      <w:r w:rsidRPr="007A2F4F">
        <w:rPr>
          <w:rFonts w:ascii="Arial" w:hAnsi="Arial"/>
          <w:b/>
          <w:bCs/>
          <w:noProof w:val="0"/>
          <w:u w:val="single"/>
          <w:rtl/>
        </w:rPr>
        <w:t>טענות המאשימה לעונש:</w:t>
      </w:r>
    </w:p>
    <w:p w14:paraId="49020F72" w14:textId="77777777" w:rsidR="00FF338B" w:rsidRPr="007A2F4F" w:rsidRDefault="00FF338B" w:rsidP="00FF338B">
      <w:pPr>
        <w:pStyle w:val="a9"/>
        <w:numPr>
          <w:ilvl w:val="0"/>
          <w:numId w:val="1"/>
        </w:numPr>
        <w:spacing w:line="360" w:lineRule="auto"/>
        <w:jc w:val="both"/>
        <w:rPr>
          <w:rFonts w:ascii="Arial" w:hAnsi="Arial"/>
          <w:noProof w:val="0"/>
          <w:rtl/>
        </w:rPr>
      </w:pPr>
      <w:r w:rsidRPr="007A2F4F">
        <w:rPr>
          <w:rFonts w:ascii="Arial" w:hAnsi="Arial"/>
          <w:noProof w:val="0"/>
          <w:rtl/>
        </w:rPr>
        <w:t xml:space="preserve">המאשימה מדגישה שהנאשם לא ביקש להפנותו לקבלת תסקיר שירות המבחן. לטעמה, הדבר עומד לו לרועץ. </w:t>
      </w:r>
    </w:p>
    <w:p w14:paraId="6F176B77" w14:textId="77777777" w:rsidR="00FF338B" w:rsidRDefault="00FF338B" w:rsidP="00FF338B">
      <w:pPr>
        <w:spacing w:line="360" w:lineRule="auto"/>
        <w:jc w:val="both"/>
        <w:rPr>
          <w:rFonts w:ascii="Arial" w:hAnsi="Arial"/>
          <w:noProof w:val="0"/>
          <w:rtl/>
        </w:rPr>
      </w:pPr>
    </w:p>
    <w:p w14:paraId="7082B960" w14:textId="77777777" w:rsidR="00FF338B" w:rsidRPr="007A2F4F" w:rsidRDefault="00FF338B" w:rsidP="00FF338B">
      <w:pPr>
        <w:spacing w:line="360" w:lineRule="auto"/>
        <w:ind w:left="720"/>
        <w:jc w:val="both"/>
        <w:rPr>
          <w:rFonts w:ascii="Arial" w:hAnsi="Arial"/>
          <w:noProof w:val="0"/>
          <w:rtl/>
        </w:rPr>
      </w:pPr>
      <w:r w:rsidRPr="007A2F4F">
        <w:rPr>
          <w:rFonts w:ascii="Arial" w:hAnsi="Arial"/>
          <w:noProof w:val="0"/>
          <w:rtl/>
        </w:rPr>
        <w:t xml:space="preserve">בטיעוניה, עמדה המאשימה על כך שהעונש המרבי בגין העבירה בה הורשע הנאשם הוא שבע שנות מאסר ומכוח </w:t>
      </w:r>
      <w:hyperlink r:id="rId15" w:history="1">
        <w:r w:rsidR="009643FF" w:rsidRPr="009643FF">
          <w:rPr>
            <w:rStyle w:val="Hyperlink"/>
            <w:rFonts w:ascii="Arial" w:hAnsi="Arial"/>
            <w:noProof w:val="0"/>
            <w:color w:val="0000FF"/>
            <w:rtl/>
          </w:rPr>
          <w:t>סעיף 144(ז)</w:t>
        </w:r>
      </w:hyperlink>
      <w:r w:rsidRPr="007A2F4F">
        <w:rPr>
          <w:rFonts w:ascii="Arial" w:hAnsi="Arial"/>
          <w:noProof w:val="0"/>
          <w:rtl/>
        </w:rPr>
        <w:t xml:space="preserve"> ל</w:t>
      </w:r>
      <w:hyperlink r:id="rId16" w:history="1">
        <w:r w:rsidR="00E371E2" w:rsidRPr="00E371E2">
          <w:rPr>
            <w:rFonts w:ascii="Arial" w:hAnsi="Arial"/>
            <w:noProof w:val="0"/>
            <w:color w:val="0000FF"/>
            <w:u w:val="single"/>
            <w:rtl/>
          </w:rPr>
          <w:t>חוק העונשין</w:t>
        </w:r>
      </w:hyperlink>
      <w:r w:rsidRPr="007A2F4F">
        <w:rPr>
          <w:rFonts w:ascii="Arial" w:hAnsi="Arial"/>
          <w:noProof w:val="0"/>
          <w:rtl/>
        </w:rPr>
        <w:t>, העונש שיושת על נאשם לא יפחת "</w:t>
      </w:r>
      <w:r w:rsidRPr="007A2F4F">
        <w:rPr>
          <w:rFonts w:ascii="Arial" w:hAnsi="Arial"/>
          <w:b/>
          <w:bCs/>
          <w:noProof w:val="0"/>
          <w:rtl/>
        </w:rPr>
        <w:t>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w:t>
      </w:r>
      <w:r w:rsidRPr="007A2F4F">
        <w:rPr>
          <w:rFonts w:ascii="Arial" w:hAnsi="Arial"/>
          <w:noProof w:val="0"/>
          <w:rtl/>
        </w:rPr>
        <w:t>."</w:t>
      </w:r>
    </w:p>
    <w:p w14:paraId="620E8F89" w14:textId="77777777" w:rsidR="00FF338B" w:rsidRDefault="00FF338B" w:rsidP="00FF338B">
      <w:pPr>
        <w:spacing w:line="360" w:lineRule="auto"/>
        <w:jc w:val="both"/>
        <w:rPr>
          <w:rFonts w:ascii="Arial" w:hAnsi="Arial"/>
          <w:noProof w:val="0"/>
          <w:rtl/>
        </w:rPr>
      </w:pPr>
    </w:p>
    <w:p w14:paraId="63A557C1" w14:textId="77777777" w:rsidR="00FF338B" w:rsidRPr="007A2F4F" w:rsidRDefault="00FF338B" w:rsidP="00FF338B">
      <w:pPr>
        <w:spacing w:line="360" w:lineRule="auto"/>
        <w:ind w:firstLine="720"/>
        <w:jc w:val="both"/>
        <w:rPr>
          <w:rFonts w:ascii="Arial" w:hAnsi="Arial"/>
          <w:noProof w:val="0"/>
          <w:rtl/>
        </w:rPr>
      </w:pPr>
      <w:r w:rsidRPr="007A2F4F">
        <w:rPr>
          <w:rFonts w:ascii="Arial" w:hAnsi="Arial"/>
          <w:noProof w:val="0"/>
          <w:rtl/>
        </w:rPr>
        <w:t xml:space="preserve">נוסף על כך מפנה המאשימה לחומרה המובנית בעבירות החזקת נשק. </w:t>
      </w:r>
    </w:p>
    <w:p w14:paraId="592470E9" w14:textId="77777777" w:rsidR="00FF338B" w:rsidRDefault="00FF338B" w:rsidP="00FF338B">
      <w:pPr>
        <w:spacing w:line="360" w:lineRule="auto"/>
        <w:jc w:val="both"/>
        <w:rPr>
          <w:rFonts w:ascii="Arial" w:hAnsi="Arial"/>
          <w:noProof w:val="0"/>
          <w:rtl/>
        </w:rPr>
      </w:pPr>
    </w:p>
    <w:p w14:paraId="660C86C4" w14:textId="77777777" w:rsidR="00FF338B" w:rsidRPr="00A140EB" w:rsidRDefault="00FF338B" w:rsidP="00FF338B">
      <w:pPr>
        <w:pStyle w:val="a9"/>
        <w:numPr>
          <w:ilvl w:val="0"/>
          <w:numId w:val="1"/>
        </w:numPr>
        <w:spacing w:line="360" w:lineRule="auto"/>
        <w:jc w:val="both"/>
        <w:rPr>
          <w:rFonts w:ascii="Arial" w:hAnsi="Arial"/>
          <w:noProof w:val="0"/>
          <w:rtl/>
        </w:rPr>
      </w:pPr>
      <w:r w:rsidRPr="007A2F4F">
        <w:rPr>
          <w:rFonts w:ascii="Arial" w:hAnsi="Arial"/>
          <w:noProof w:val="0"/>
          <w:rtl/>
        </w:rPr>
        <w:t xml:space="preserve">נוכח האמור לעיל, סבורה המאשימה שבהתאם לעקרון ההלימה בין חומרת העבירה והענישה, נוכח הערכים החברתיים שנפגעו למול גילו הצעיר של הנאשם, היעדר עבר פלילי והודאתו בהזדמנות הראשונה, מתחם הענישה הראוי נע בין 9 ל– 23 חודשי מאסר (ראו הטיעון הכתוב) מאחורי סורג ובריח. בד בבד, מבהירה המאשימה, בנסיבות המתוארות, שהעונש הראוי לנאשם הוא בשליש התחתון של מתחם הענישה המבוקש. </w:t>
      </w:r>
    </w:p>
    <w:p w14:paraId="099AEB2B" w14:textId="77777777" w:rsidR="00FF338B" w:rsidRPr="007A2F4F" w:rsidRDefault="00FF338B" w:rsidP="00FF338B">
      <w:pPr>
        <w:pStyle w:val="a9"/>
        <w:numPr>
          <w:ilvl w:val="0"/>
          <w:numId w:val="1"/>
        </w:numPr>
        <w:spacing w:line="360" w:lineRule="auto"/>
        <w:jc w:val="both"/>
        <w:rPr>
          <w:rFonts w:ascii="Arial" w:hAnsi="Arial"/>
          <w:noProof w:val="0"/>
          <w:rtl/>
        </w:rPr>
      </w:pPr>
      <w:r w:rsidRPr="007A2F4F">
        <w:rPr>
          <w:rFonts w:ascii="Arial" w:hAnsi="Arial"/>
          <w:noProof w:val="0"/>
          <w:rtl/>
        </w:rPr>
        <w:lastRenderedPageBreak/>
        <w:t xml:space="preserve">בכל הנוגע לערכים החברתיים שנפגעו מפנה המאשימה לצורך להגן על שלמות הגוף והרכוש, המלחמה בגורמים עבריינים והפגיעה בשלטון החוק. </w:t>
      </w:r>
    </w:p>
    <w:p w14:paraId="173C7B8F" w14:textId="77777777" w:rsidR="00FF338B" w:rsidRDefault="00FF338B" w:rsidP="00FF338B">
      <w:pPr>
        <w:spacing w:line="360" w:lineRule="auto"/>
        <w:ind w:left="720"/>
        <w:jc w:val="both"/>
        <w:rPr>
          <w:rFonts w:ascii="Arial" w:hAnsi="Arial"/>
          <w:noProof w:val="0"/>
          <w:rtl/>
        </w:rPr>
      </w:pPr>
    </w:p>
    <w:p w14:paraId="065CD380" w14:textId="77777777" w:rsidR="00FF338B" w:rsidRPr="007A2F4F" w:rsidRDefault="00FF338B" w:rsidP="00FF338B">
      <w:pPr>
        <w:spacing w:line="360" w:lineRule="auto"/>
        <w:ind w:left="720"/>
        <w:jc w:val="both"/>
        <w:rPr>
          <w:rFonts w:ascii="Arial" w:hAnsi="Arial"/>
          <w:b/>
          <w:bCs/>
          <w:noProof w:val="0"/>
          <w:u w:val="single"/>
          <w:rtl/>
        </w:rPr>
      </w:pPr>
      <w:r w:rsidRPr="007A2F4F">
        <w:rPr>
          <w:rFonts w:ascii="Arial" w:hAnsi="Arial"/>
          <w:noProof w:val="0"/>
          <w:rtl/>
        </w:rPr>
        <w:t xml:space="preserve">כמו כן, מפנה המאשימה לכך שהנאשם היה היחיד שביצע את העבירה ממנה צפוי נזק רב ועסקינן בנאשם בגיר שביכולתו להבין את חומרת העבירה. המאשימה אף מבהירה שנוכח גיל הנאשם הוא שלט במעשיו ויכול היה להימנע מביצוע העבירה. </w:t>
      </w:r>
    </w:p>
    <w:p w14:paraId="322A91F8" w14:textId="77777777" w:rsidR="00FF338B" w:rsidRDefault="00FF338B" w:rsidP="00FF338B">
      <w:pPr>
        <w:spacing w:line="360" w:lineRule="auto"/>
        <w:jc w:val="both"/>
        <w:rPr>
          <w:rFonts w:ascii="Arial" w:hAnsi="Arial"/>
          <w:b/>
          <w:bCs/>
          <w:noProof w:val="0"/>
          <w:u w:val="single"/>
          <w:rtl/>
        </w:rPr>
      </w:pPr>
    </w:p>
    <w:p w14:paraId="262EA0FA" w14:textId="77777777" w:rsidR="00FF338B" w:rsidRPr="007A2F4F" w:rsidRDefault="00FF338B" w:rsidP="00FF338B">
      <w:pPr>
        <w:spacing w:line="360" w:lineRule="auto"/>
        <w:jc w:val="both"/>
        <w:rPr>
          <w:rFonts w:ascii="Arial" w:hAnsi="Arial"/>
          <w:b/>
          <w:bCs/>
          <w:noProof w:val="0"/>
          <w:u w:val="single"/>
          <w:rtl/>
        </w:rPr>
      </w:pPr>
      <w:r w:rsidRPr="007A2F4F">
        <w:rPr>
          <w:rFonts w:ascii="Arial" w:hAnsi="Arial"/>
          <w:b/>
          <w:bCs/>
          <w:noProof w:val="0"/>
          <w:u w:val="single"/>
          <w:rtl/>
        </w:rPr>
        <w:t>טיעוני הנאשם לעונש:</w:t>
      </w:r>
    </w:p>
    <w:p w14:paraId="65E24E0A" w14:textId="77777777" w:rsidR="00FF338B" w:rsidRPr="007A2F4F" w:rsidRDefault="00FF338B" w:rsidP="00FF338B">
      <w:pPr>
        <w:pStyle w:val="a9"/>
        <w:numPr>
          <w:ilvl w:val="0"/>
          <w:numId w:val="1"/>
        </w:numPr>
        <w:spacing w:line="360" w:lineRule="auto"/>
        <w:jc w:val="both"/>
        <w:rPr>
          <w:rFonts w:ascii="Arial" w:hAnsi="Arial"/>
          <w:noProof w:val="0"/>
          <w:rtl/>
        </w:rPr>
      </w:pPr>
      <w:r w:rsidRPr="007A2F4F">
        <w:rPr>
          <w:rFonts w:ascii="Arial" w:hAnsi="Arial"/>
          <w:noProof w:val="0"/>
          <w:rtl/>
        </w:rPr>
        <w:t>הנאשם ביקש להדגיש את גילו הצעיר, היעדר עבר פלילי ואת הודאתו במיוחס לו בהזדמנות הראשונה. במיוחד הדגיש הנאשם את נטילת האחריות, רצונו לבנות חיים עצמאיים ופוריים וכן את העובדה ששהה 33 ימים במעצר. לטענת הנאשם, תקופת מעצרו שימשה גורם מרתיע משמעותי עבורו וגרמה לו להפנים את חומרת העבירה.</w:t>
      </w:r>
    </w:p>
    <w:p w14:paraId="35D8D0D1" w14:textId="77777777" w:rsidR="00FF338B" w:rsidRDefault="00FF338B" w:rsidP="00FF338B">
      <w:pPr>
        <w:spacing w:line="360" w:lineRule="auto"/>
        <w:jc w:val="both"/>
        <w:rPr>
          <w:rFonts w:ascii="Arial" w:hAnsi="Arial"/>
          <w:noProof w:val="0"/>
          <w:rtl/>
        </w:rPr>
      </w:pPr>
    </w:p>
    <w:p w14:paraId="59CFAD14" w14:textId="77777777" w:rsidR="00FF338B" w:rsidRPr="007A2F4F" w:rsidRDefault="00FF338B" w:rsidP="00FF338B">
      <w:pPr>
        <w:pStyle w:val="a9"/>
        <w:spacing w:line="360" w:lineRule="auto"/>
        <w:jc w:val="both"/>
        <w:rPr>
          <w:rFonts w:ascii="Arial" w:hAnsi="Arial"/>
          <w:noProof w:val="0"/>
          <w:rtl/>
        </w:rPr>
      </w:pPr>
      <w:r w:rsidRPr="007A2F4F">
        <w:rPr>
          <w:rFonts w:ascii="Arial" w:hAnsi="Arial"/>
          <w:noProof w:val="0"/>
          <w:rtl/>
        </w:rPr>
        <w:t>נוסף על כך, מפנה הנאשם לכך שבכל תקופת היותו משוחרר בתנאים, הוא קיימם קלה כחמורה.</w:t>
      </w:r>
    </w:p>
    <w:p w14:paraId="0F2FB93A" w14:textId="77777777" w:rsidR="00FF338B" w:rsidRDefault="00FF338B" w:rsidP="00FF338B">
      <w:pPr>
        <w:spacing w:line="360" w:lineRule="auto"/>
        <w:jc w:val="both"/>
        <w:rPr>
          <w:rFonts w:ascii="Arial" w:hAnsi="Arial"/>
          <w:noProof w:val="0"/>
          <w:rtl/>
        </w:rPr>
      </w:pPr>
    </w:p>
    <w:p w14:paraId="34E19B32" w14:textId="77777777" w:rsidR="00FF338B" w:rsidRPr="007A2F4F" w:rsidRDefault="00FF338B" w:rsidP="00FF338B">
      <w:pPr>
        <w:pStyle w:val="a9"/>
        <w:numPr>
          <w:ilvl w:val="0"/>
          <w:numId w:val="1"/>
        </w:numPr>
        <w:spacing w:line="360" w:lineRule="auto"/>
        <w:jc w:val="both"/>
        <w:rPr>
          <w:rFonts w:ascii="Arial" w:hAnsi="Arial"/>
          <w:noProof w:val="0"/>
          <w:rtl/>
        </w:rPr>
      </w:pPr>
      <w:r w:rsidRPr="007A2F4F">
        <w:rPr>
          <w:rFonts w:ascii="Arial" w:hAnsi="Arial"/>
          <w:noProof w:val="0"/>
          <w:rtl/>
        </w:rPr>
        <w:t>לא זאת אף זאת, הנאשם מפנה להחלטה בעניינו ב</w:t>
      </w:r>
      <w:hyperlink r:id="rId17" w:history="1">
        <w:r w:rsidR="00E371E2" w:rsidRPr="00E371E2">
          <w:rPr>
            <w:rFonts w:ascii="Arial" w:hAnsi="Arial"/>
            <w:noProof w:val="0"/>
            <w:color w:val="0000FF"/>
            <w:u w:val="single"/>
            <w:rtl/>
          </w:rPr>
          <w:t>מ"ת 22665-11-23</w:t>
        </w:r>
      </w:hyperlink>
      <w:r w:rsidRPr="007A2F4F">
        <w:rPr>
          <w:rFonts w:ascii="Arial" w:hAnsi="Arial"/>
          <w:noProof w:val="0"/>
          <w:rtl/>
        </w:rPr>
        <w:t xml:space="preserve"> (נ/1). באותה החלטה נקבע, כי מאחר וגם אם רימון ההלם יכול לפצוע אין בכוחו להמית ו"</w:t>
      </w:r>
      <w:r w:rsidRPr="007A2F4F">
        <w:rPr>
          <w:rFonts w:ascii="Arial" w:hAnsi="Arial"/>
          <w:b/>
          <w:bCs/>
          <w:noProof w:val="0"/>
          <w:rtl/>
        </w:rPr>
        <w:t>לא מן הנמנע כי יכול וההרשעה בכתב האישום המוסכם כמתוקן לא תביא למאסר מאחורי סורג ובריח...</w:t>
      </w:r>
      <w:r w:rsidRPr="007A2F4F">
        <w:rPr>
          <w:rFonts w:ascii="Arial" w:hAnsi="Arial"/>
          <w:noProof w:val="0"/>
          <w:rtl/>
        </w:rPr>
        <w:t xml:space="preserve">". כלומר, הנאשם טוען שנבנתה אצלו ציפייה, לפיה עונשו לא יכלול רכיב מאסר מאחורי סורג ובריח. </w:t>
      </w:r>
    </w:p>
    <w:p w14:paraId="4E0B9EAF" w14:textId="77777777" w:rsidR="00FF338B" w:rsidRDefault="00FF338B" w:rsidP="00FF338B">
      <w:pPr>
        <w:spacing w:line="360" w:lineRule="auto"/>
        <w:jc w:val="both"/>
        <w:rPr>
          <w:rFonts w:ascii="Arial" w:hAnsi="Arial"/>
          <w:noProof w:val="0"/>
          <w:rtl/>
        </w:rPr>
      </w:pPr>
    </w:p>
    <w:p w14:paraId="2ED39164" w14:textId="77777777" w:rsidR="00FF338B" w:rsidRPr="007A2F4F" w:rsidRDefault="00FF338B" w:rsidP="00FF338B">
      <w:pPr>
        <w:pStyle w:val="a9"/>
        <w:numPr>
          <w:ilvl w:val="0"/>
          <w:numId w:val="1"/>
        </w:numPr>
        <w:spacing w:line="360" w:lineRule="auto"/>
        <w:jc w:val="both"/>
        <w:rPr>
          <w:rFonts w:ascii="Arial" w:hAnsi="Arial"/>
          <w:noProof w:val="0"/>
          <w:rtl/>
        </w:rPr>
      </w:pPr>
      <w:r w:rsidRPr="007A2F4F">
        <w:rPr>
          <w:rFonts w:ascii="Arial" w:hAnsi="Arial"/>
          <w:noProof w:val="0"/>
          <w:rtl/>
        </w:rPr>
        <w:t xml:space="preserve">עוד הפנה ב"כ הנאשם לפסקי דין, מהם ניתן ללמוד שגם בעבירות נשק קיים מדרג, והחזקת רימון הלם, מצויה במדרג הנמוך. </w:t>
      </w:r>
    </w:p>
    <w:p w14:paraId="057D7FCD" w14:textId="77777777" w:rsidR="00FF338B" w:rsidRDefault="00FF338B" w:rsidP="00FF338B">
      <w:pPr>
        <w:spacing w:line="360" w:lineRule="auto"/>
        <w:jc w:val="both"/>
        <w:rPr>
          <w:rFonts w:ascii="Arial" w:hAnsi="Arial"/>
          <w:noProof w:val="0"/>
          <w:rtl/>
        </w:rPr>
      </w:pPr>
    </w:p>
    <w:p w14:paraId="3A9C801D" w14:textId="77777777" w:rsidR="00FF338B" w:rsidRPr="007A2F4F" w:rsidRDefault="00FF338B" w:rsidP="00FF338B">
      <w:pPr>
        <w:spacing w:line="360" w:lineRule="auto"/>
        <w:ind w:left="720"/>
        <w:jc w:val="both"/>
        <w:rPr>
          <w:rFonts w:ascii="Arial" w:hAnsi="Arial"/>
          <w:noProof w:val="0"/>
          <w:rtl/>
        </w:rPr>
      </w:pPr>
      <w:r w:rsidRPr="007A2F4F">
        <w:rPr>
          <w:rFonts w:ascii="Arial" w:hAnsi="Arial"/>
          <w:noProof w:val="0"/>
          <w:rtl/>
        </w:rPr>
        <w:t xml:space="preserve">יתרה מזאת, לשיטת ב"כ הנאשם אין להקיש מאסופת הפסיקה שהגישה המאשימה למקרה הנדון. ב"כ הנאשם הפנה לכך שבאותה אסופת פסיקה עסקינן במי שהורשע בעבירה לפי </w:t>
      </w:r>
      <w:hyperlink r:id="rId18" w:history="1">
        <w:r w:rsidR="009643FF" w:rsidRPr="009643FF">
          <w:rPr>
            <w:rStyle w:val="Hyperlink"/>
            <w:rFonts w:ascii="Arial" w:hAnsi="Arial"/>
            <w:noProof w:val="0"/>
            <w:color w:val="0000FF"/>
            <w:rtl/>
          </w:rPr>
          <w:t>סעיף 144(ב)</w:t>
        </w:r>
      </w:hyperlink>
      <w:r w:rsidRPr="007A2F4F">
        <w:rPr>
          <w:rFonts w:ascii="Arial" w:hAnsi="Arial"/>
          <w:noProof w:val="0"/>
          <w:rtl/>
        </w:rPr>
        <w:t xml:space="preserve"> ל</w:t>
      </w:r>
      <w:hyperlink r:id="rId19" w:history="1">
        <w:r w:rsidR="00E371E2" w:rsidRPr="00E371E2">
          <w:rPr>
            <w:rFonts w:ascii="Arial" w:hAnsi="Arial"/>
            <w:noProof w:val="0"/>
            <w:color w:val="0000FF"/>
            <w:u w:val="single"/>
            <w:rtl/>
          </w:rPr>
          <w:t>חוק העונשין</w:t>
        </w:r>
      </w:hyperlink>
      <w:r w:rsidRPr="007A2F4F">
        <w:rPr>
          <w:rFonts w:ascii="Arial" w:hAnsi="Arial"/>
          <w:noProof w:val="0"/>
          <w:rtl/>
        </w:rPr>
        <w:t xml:space="preserve">, במי שהחזיק כלי נשק בכמות גדולה יותר באופן משמעותי, ובמי שעברו הפלילי היה מכביד. </w:t>
      </w:r>
    </w:p>
    <w:p w14:paraId="20EBAB8F" w14:textId="77777777" w:rsidR="00FF338B" w:rsidRDefault="00FF338B" w:rsidP="00FF338B">
      <w:pPr>
        <w:spacing w:line="360" w:lineRule="auto"/>
        <w:jc w:val="both"/>
        <w:rPr>
          <w:rFonts w:ascii="Arial" w:hAnsi="Arial"/>
          <w:b/>
          <w:bCs/>
          <w:noProof w:val="0"/>
          <w:u w:val="single"/>
          <w:rtl/>
        </w:rPr>
      </w:pPr>
    </w:p>
    <w:p w14:paraId="0C214A52" w14:textId="77777777" w:rsidR="00FF338B" w:rsidRPr="007A2F4F" w:rsidRDefault="00FF338B" w:rsidP="00FF338B">
      <w:pPr>
        <w:spacing w:line="360" w:lineRule="auto"/>
        <w:jc w:val="both"/>
        <w:rPr>
          <w:rFonts w:ascii="Arial" w:hAnsi="Arial"/>
          <w:b/>
          <w:bCs/>
          <w:noProof w:val="0"/>
          <w:u w:val="single"/>
          <w:rtl/>
        </w:rPr>
      </w:pPr>
      <w:r w:rsidRPr="007A2F4F">
        <w:rPr>
          <w:rFonts w:ascii="Arial" w:hAnsi="Arial"/>
          <w:b/>
          <w:bCs/>
          <w:noProof w:val="0"/>
          <w:u w:val="single"/>
          <w:rtl/>
        </w:rPr>
        <w:t>דברי הנאשם:</w:t>
      </w:r>
    </w:p>
    <w:p w14:paraId="742CD632" w14:textId="77777777" w:rsidR="00FF338B" w:rsidRPr="007A2F4F" w:rsidRDefault="00FF338B" w:rsidP="00FF338B">
      <w:pPr>
        <w:pStyle w:val="a9"/>
        <w:numPr>
          <w:ilvl w:val="0"/>
          <w:numId w:val="1"/>
        </w:numPr>
        <w:spacing w:line="360" w:lineRule="auto"/>
        <w:jc w:val="both"/>
        <w:rPr>
          <w:rFonts w:ascii="Arial" w:hAnsi="Arial"/>
          <w:noProof w:val="0"/>
          <w:rtl/>
        </w:rPr>
      </w:pPr>
      <w:r w:rsidRPr="007A2F4F">
        <w:rPr>
          <w:rFonts w:ascii="Arial" w:hAnsi="Arial"/>
          <w:noProof w:val="0"/>
          <w:rtl/>
        </w:rPr>
        <w:t xml:space="preserve">בדבריו לבית המשפט הביע הנאשם חרטה מלאה, ביקש אפשרות לשקם את חייו, ולהקים לו בית וציין שעד למעצרו עבד בעבודת כפיים ופרנס את משפחתו המורחבת. </w:t>
      </w:r>
    </w:p>
    <w:p w14:paraId="77223505" w14:textId="77777777" w:rsidR="00FF338B" w:rsidRDefault="00FF338B" w:rsidP="00FF338B">
      <w:pPr>
        <w:spacing w:line="360" w:lineRule="auto"/>
        <w:jc w:val="both"/>
        <w:rPr>
          <w:rFonts w:ascii="Arial" w:hAnsi="Arial"/>
          <w:b/>
          <w:bCs/>
          <w:noProof w:val="0"/>
          <w:u w:val="single"/>
          <w:rtl/>
        </w:rPr>
      </w:pPr>
    </w:p>
    <w:p w14:paraId="76590091" w14:textId="77777777" w:rsidR="00FF338B" w:rsidRPr="007A2F4F" w:rsidRDefault="00FF338B" w:rsidP="00FF338B">
      <w:pPr>
        <w:spacing w:line="360" w:lineRule="auto"/>
        <w:jc w:val="both"/>
        <w:rPr>
          <w:rFonts w:ascii="Arial" w:hAnsi="Arial"/>
          <w:b/>
          <w:bCs/>
          <w:noProof w:val="0"/>
          <w:u w:val="single"/>
          <w:rtl/>
        </w:rPr>
      </w:pPr>
      <w:r w:rsidRPr="007A2F4F">
        <w:rPr>
          <w:rFonts w:ascii="Arial" w:hAnsi="Arial"/>
          <w:b/>
          <w:bCs/>
          <w:noProof w:val="0"/>
          <w:u w:val="single"/>
          <w:rtl/>
        </w:rPr>
        <w:t>דיון והכרעה:</w:t>
      </w:r>
    </w:p>
    <w:p w14:paraId="4F77AF57" w14:textId="77777777" w:rsidR="00FF338B" w:rsidRPr="007A2F4F" w:rsidRDefault="00FF338B" w:rsidP="00FF338B">
      <w:pPr>
        <w:pStyle w:val="a9"/>
        <w:numPr>
          <w:ilvl w:val="0"/>
          <w:numId w:val="1"/>
        </w:numPr>
        <w:spacing w:line="360" w:lineRule="auto"/>
        <w:jc w:val="both"/>
        <w:rPr>
          <w:rFonts w:ascii="Arial" w:hAnsi="Arial"/>
          <w:noProof w:val="0"/>
          <w:rtl/>
        </w:rPr>
      </w:pPr>
      <w:r w:rsidRPr="007A2F4F">
        <w:rPr>
          <w:rFonts w:ascii="Arial" w:hAnsi="Arial"/>
          <w:noProof w:val="0"/>
          <w:rtl/>
        </w:rPr>
        <w:t xml:space="preserve">כעולה מסעיפים </w:t>
      </w:r>
      <w:hyperlink r:id="rId20" w:history="1">
        <w:r w:rsidR="009643FF" w:rsidRPr="009643FF">
          <w:rPr>
            <w:rStyle w:val="Hyperlink"/>
            <w:rFonts w:ascii="Arial" w:hAnsi="Arial"/>
            <w:noProof w:val="0"/>
            <w:color w:val="0000FF"/>
            <w:rtl/>
          </w:rPr>
          <w:t>40א – טו</w:t>
        </w:r>
      </w:hyperlink>
      <w:r w:rsidRPr="007A2F4F">
        <w:rPr>
          <w:rFonts w:ascii="Arial" w:hAnsi="Arial"/>
          <w:noProof w:val="0"/>
          <w:rtl/>
        </w:rPr>
        <w:t xml:space="preserve"> ל</w:t>
      </w:r>
      <w:hyperlink r:id="rId21" w:history="1">
        <w:r w:rsidR="00E371E2" w:rsidRPr="00E371E2">
          <w:rPr>
            <w:rFonts w:ascii="Arial" w:hAnsi="Arial"/>
            <w:noProof w:val="0"/>
            <w:color w:val="0000FF"/>
            <w:u w:val="single"/>
            <w:rtl/>
          </w:rPr>
          <w:t>חוק העונשין</w:t>
        </w:r>
      </w:hyperlink>
      <w:r w:rsidRPr="007A2F4F">
        <w:rPr>
          <w:rFonts w:ascii="Arial" w:hAnsi="Arial"/>
          <w:noProof w:val="0"/>
          <w:rtl/>
        </w:rPr>
        <w:t xml:space="preserve">, שעה שבית משפט נדרש לגזור את דינו של נאשם, עליו לקבוע את מתחם העונש ההולם. קביעת מתחם העונש נעשית באופן שתחילה נקבע מתחם העונש ההולם, כאשר בעת גזירת הדין יש לבחון באם קיימים שיקולים המצדיקים סטייה ממנו. </w:t>
      </w:r>
    </w:p>
    <w:p w14:paraId="3D8E6F67" w14:textId="77777777" w:rsidR="00FF338B" w:rsidRDefault="00FF338B" w:rsidP="00FF338B">
      <w:pPr>
        <w:spacing w:line="360" w:lineRule="auto"/>
        <w:jc w:val="both"/>
        <w:rPr>
          <w:rFonts w:ascii="Arial" w:hAnsi="Arial"/>
          <w:b/>
          <w:bCs/>
          <w:noProof w:val="0"/>
          <w:u w:val="single"/>
          <w:rtl/>
        </w:rPr>
      </w:pPr>
    </w:p>
    <w:p w14:paraId="1C54913F" w14:textId="77777777" w:rsidR="00FF338B" w:rsidRPr="007A2F4F" w:rsidRDefault="00FF338B" w:rsidP="00FF338B">
      <w:pPr>
        <w:spacing w:line="360" w:lineRule="auto"/>
        <w:jc w:val="both"/>
        <w:rPr>
          <w:rFonts w:ascii="Arial" w:hAnsi="Arial"/>
          <w:b/>
          <w:bCs/>
          <w:noProof w:val="0"/>
          <w:u w:val="single"/>
          <w:rtl/>
        </w:rPr>
      </w:pPr>
      <w:r w:rsidRPr="007A2F4F">
        <w:rPr>
          <w:rFonts w:ascii="Arial" w:hAnsi="Arial"/>
          <w:b/>
          <w:bCs/>
          <w:noProof w:val="0"/>
          <w:u w:val="single"/>
          <w:rtl/>
        </w:rPr>
        <w:t>הערך החברתי שנפגע:</w:t>
      </w:r>
    </w:p>
    <w:p w14:paraId="7354D4A8" w14:textId="77777777" w:rsidR="00FF338B" w:rsidRPr="007A2F4F" w:rsidRDefault="00FF338B" w:rsidP="00FF338B">
      <w:pPr>
        <w:pStyle w:val="a9"/>
        <w:numPr>
          <w:ilvl w:val="0"/>
          <w:numId w:val="1"/>
        </w:numPr>
        <w:spacing w:line="360" w:lineRule="auto"/>
        <w:jc w:val="both"/>
        <w:rPr>
          <w:rFonts w:ascii="Arial" w:hAnsi="Arial"/>
          <w:noProof w:val="0"/>
          <w:rtl/>
        </w:rPr>
      </w:pPr>
      <w:r w:rsidRPr="007A2F4F">
        <w:rPr>
          <w:rFonts w:ascii="Arial" w:hAnsi="Arial"/>
          <w:noProof w:val="0"/>
          <w:rtl/>
        </w:rPr>
        <w:t xml:space="preserve">דומה שאין צורך להרחיב בפרק זה ודי לציין שנפגע הערך של חיי אדם ושלמות הגוף. כך גם נפגעה תחושת הציבור לביטחון. גם המחוקק רואה בעבירות נשק חומרה יתרה עת קבע בהוראת שעה </w:t>
      </w:r>
      <w:hyperlink r:id="rId22" w:history="1">
        <w:r w:rsidR="009643FF" w:rsidRPr="009643FF">
          <w:rPr>
            <w:rStyle w:val="Hyperlink"/>
            <w:rFonts w:ascii="Arial" w:hAnsi="Arial"/>
            <w:noProof w:val="0"/>
            <w:color w:val="0000FF"/>
            <w:rtl/>
          </w:rPr>
          <w:t>בסעיף 144(ז)</w:t>
        </w:r>
      </w:hyperlink>
      <w:r w:rsidRPr="007A2F4F">
        <w:rPr>
          <w:rFonts w:ascii="Arial" w:hAnsi="Arial"/>
          <w:noProof w:val="0"/>
          <w:rtl/>
        </w:rPr>
        <w:t xml:space="preserve"> ל</w:t>
      </w:r>
      <w:hyperlink r:id="rId23" w:history="1">
        <w:r w:rsidR="00E371E2" w:rsidRPr="00E371E2">
          <w:rPr>
            <w:rFonts w:ascii="Arial" w:hAnsi="Arial"/>
            <w:noProof w:val="0"/>
            <w:color w:val="0000FF"/>
            <w:u w:val="single"/>
            <w:rtl/>
          </w:rPr>
          <w:t>חוק העונשין</w:t>
        </w:r>
      </w:hyperlink>
      <w:r w:rsidRPr="007A2F4F">
        <w:rPr>
          <w:rFonts w:ascii="Arial" w:hAnsi="Arial"/>
          <w:noProof w:val="0"/>
          <w:rtl/>
        </w:rPr>
        <w:t xml:space="preserve"> עונש מינימום. </w:t>
      </w:r>
    </w:p>
    <w:p w14:paraId="186F28C5" w14:textId="77777777" w:rsidR="00FF338B" w:rsidRDefault="00FF338B" w:rsidP="00FF338B">
      <w:pPr>
        <w:spacing w:line="360" w:lineRule="auto"/>
        <w:jc w:val="both"/>
        <w:rPr>
          <w:rFonts w:ascii="Arial" w:hAnsi="Arial"/>
          <w:noProof w:val="0"/>
          <w:rtl/>
        </w:rPr>
      </w:pPr>
    </w:p>
    <w:p w14:paraId="7B7BCB3B" w14:textId="77777777" w:rsidR="00FF338B" w:rsidRPr="007A2F4F" w:rsidRDefault="00FF338B" w:rsidP="00FF338B">
      <w:pPr>
        <w:spacing w:line="360" w:lineRule="auto"/>
        <w:ind w:firstLine="720"/>
        <w:jc w:val="both"/>
        <w:rPr>
          <w:rFonts w:ascii="Arial" w:hAnsi="Arial"/>
          <w:noProof w:val="0"/>
          <w:rtl/>
        </w:rPr>
      </w:pPr>
      <w:r w:rsidRPr="007A2F4F">
        <w:rPr>
          <w:rFonts w:ascii="Arial" w:hAnsi="Arial"/>
          <w:noProof w:val="0"/>
          <w:rtl/>
        </w:rPr>
        <w:t xml:space="preserve">ראו לדוגמה </w:t>
      </w:r>
      <w:hyperlink r:id="rId24" w:history="1">
        <w:r w:rsidR="00E371E2" w:rsidRPr="00E371E2">
          <w:rPr>
            <w:rFonts w:ascii="Arial" w:hAnsi="Arial"/>
            <w:noProof w:val="0"/>
            <w:color w:val="0000FF"/>
            <w:u w:val="single"/>
            <w:rtl/>
          </w:rPr>
          <w:t>ע"פ 5681/23</w:t>
        </w:r>
      </w:hyperlink>
      <w:r w:rsidRPr="007A2F4F">
        <w:rPr>
          <w:rFonts w:ascii="Arial" w:hAnsi="Arial"/>
          <w:noProof w:val="0"/>
          <w:rtl/>
        </w:rPr>
        <w:t xml:space="preserve"> </w:t>
      </w:r>
      <w:r w:rsidRPr="007A2F4F">
        <w:rPr>
          <w:rFonts w:ascii="Arial" w:hAnsi="Arial"/>
          <w:b/>
          <w:bCs/>
          <w:noProof w:val="0"/>
          <w:rtl/>
        </w:rPr>
        <w:t>חווא נ' מדינת ישראל</w:t>
      </w:r>
      <w:r w:rsidRPr="007A2F4F">
        <w:rPr>
          <w:rFonts w:ascii="Arial" w:hAnsi="Arial"/>
          <w:noProof w:val="0"/>
          <w:rtl/>
        </w:rPr>
        <w:t xml:space="preserve"> (נבו, 20.12.2023) והאסמכתאות שם:</w:t>
      </w:r>
    </w:p>
    <w:p w14:paraId="57308314" w14:textId="77777777" w:rsidR="00FF338B" w:rsidRPr="00806CAB" w:rsidRDefault="00FF338B" w:rsidP="00FF338B">
      <w:pPr>
        <w:spacing w:line="360" w:lineRule="auto"/>
        <w:ind w:left="720"/>
        <w:jc w:val="both"/>
        <w:rPr>
          <w:rFonts w:ascii="Arial" w:hAnsi="Arial"/>
          <w:noProof w:val="0"/>
          <w:rtl/>
        </w:rPr>
      </w:pPr>
      <w:r w:rsidRPr="00806CAB">
        <w:rPr>
          <w:rFonts w:ascii="Arial" w:hAnsi="Arial"/>
          <w:noProof w:val="0"/>
          <w:rtl/>
        </w:rPr>
        <w:t>"</w:t>
      </w:r>
      <w:r w:rsidRPr="00806CAB">
        <w:rPr>
          <w:rFonts w:ascii="Arial" w:hAnsi="Arial"/>
          <w:b/>
          <w:bCs/>
          <w:noProof w:val="0"/>
          <w:rtl/>
        </w:rPr>
        <w:t>עבירות הנשק באשר הן הפכו למכת מדינה. חומרתן היתרה והשפעתן על תחושת הביטחון של כלל אזרחי המדינה מחייבות הטלת ענישה משמעותית, גם על נאשם נעדר עבר פלילי (שאינו מענייננו במקרה דנן). מדיניות ההחמרה ביחס לכלל עבירות הנשק, אשר ניכרת בפסיקתו של בית משפט זה, באה לידי ביטוי סטטוטורי</w:t>
      </w:r>
      <w:r w:rsidR="00E371E2">
        <w:rPr>
          <w:rFonts w:ascii="Arial" w:hAnsi="Arial"/>
          <w:b/>
          <w:bCs/>
          <w:noProof w:val="0"/>
          <w:rtl/>
        </w:rPr>
        <w:t xml:space="preserve"> </w:t>
      </w:r>
      <w:r w:rsidRPr="00E371E2">
        <w:rPr>
          <w:rFonts w:ascii="Arial" w:hAnsi="Arial"/>
          <w:b/>
          <w:bCs/>
          <w:noProof w:val="0"/>
          <w:color w:val="000000"/>
          <w:rtl/>
        </w:rPr>
        <w:t>בסעיף 144(ז)</w:t>
      </w:r>
      <w:r w:rsidR="00E371E2">
        <w:rPr>
          <w:rFonts w:ascii="Arial" w:hAnsi="Arial"/>
          <w:b/>
          <w:bCs/>
          <w:noProof w:val="0"/>
          <w:rtl/>
        </w:rPr>
        <w:t xml:space="preserve"> </w:t>
      </w:r>
      <w:r w:rsidRPr="00806CAB">
        <w:rPr>
          <w:rFonts w:ascii="Arial" w:hAnsi="Arial"/>
          <w:b/>
          <w:bCs/>
          <w:noProof w:val="0"/>
          <w:rtl/>
        </w:rPr>
        <w:t>ל</w:t>
      </w:r>
      <w:hyperlink r:id="rId25" w:history="1">
        <w:r w:rsidR="00E371E2" w:rsidRPr="00E371E2">
          <w:rPr>
            <w:rFonts w:ascii="Arial" w:hAnsi="Arial"/>
            <w:b/>
            <w:bCs/>
            <w:noProof w:val="0"/>
            <w:color w:val="0000FF"/>
            <w:u w:val="single"/>
            <w:rtl/>
          </w:rPr>
          <w:t>חוק העונשין</w:t>
        </w:r>
      </w:hyperlink>
      <w:r w:rsidR="00E371E2">
        <w:rPr>
          <w:rFonts w:ascii="Arial" w:hAnsi="Arial"/>
          <w:b/>
          <w:bCs/>
          <w:noProof w:val="0"/>
          <w:rtl/>
        </w:rPr>
        <w:t xml:space="preserve"> </w:t>
      </w:r>
      <w:r w:rsidRPr="00806CAB">
        <w:rPr>
          <w:rFonts w:ascii="Arial" w:hAnsi="Arial"/>
          <w:b/>
          <w:bCs/>
          <w:noProof w:val="0"/>
          <w:rtl/>
        </w:rPr>
        <w:t>אשר חוקק במסגרת תיקון מס' 140 לחוק (ראו: חוק העונשין (תיקון מס' 140 – הוראת שעה), התשפ"ב-2021, ס"ח 2938</w:t>
      </w:r>
      <w:r w:rsidRPr="00806CAB">
        <w:rPr>
          <w:rFonts w:ascii="Arial" w:hAnsi="Arial"/>
          <w:noProof w:val="0"/>
          <w:rtl/>
        </w:rPr>
        <w:t>)."</w:t>
      </w:r>
    </w:p>
    <w:p w14:paraId="7B217ECA" w14:textId="77777777" w:rsidR="00FF338B" w:rsidRDefault="00FF338B" w:rsidP="00FF338B">
      <w:pPr>
        <w:spacing w:line="360" w:lineRule="auto"/>
        <w:jc w:val="both"/>
        <w:rPr>
          <w:rFonts w:ascii="Arial" w:hAnsi="Arial"/>
          <w:noProof w:val="0"/>
          <w:rtl/>
        </w:rPr>
      </w:pPr>
    </w:p>
    <w:p w14:paraId="4F09F422" w14:textId="77777777" w:rsidR="00FF338B" w:rsidRPr="00C5089A" w:rsidRDefault="00FF338B" w:rsidP="00FF338B">
      <w:pPr>
        <w:pStyle w:val="a9"/>
        <w:numPr>
          <w:ilvl w:val="0"/>
          <w:numId w:val="1"/>
        </w:numPr>
        <w:spacing w:line="360" w:lineRule="auto"/>
        <w:jc w:val="both"/>
        <w:rPr>
          <w:rFonts w:ascii="Arial" w:hAnsi="Arial"/>
          <w:noProof w:val="0"/>
          <w:rtl/>
        </w:rPr>
      </w:pPr>
      <w:r w:rsidRPr="00C5089A">
        <w:rPr>
          <w:rFonts w:ascii="Arial" w:hAnsi="Arial"/>
          <w:noProof w:val="0"/>
          <w:rtl/>
        </w:rPr>
        <w:t>בענייננו, עסקינן ברימון הלם, שכפי שציינה המאשימה בכוחו לגרום נזק. מבלי להקל ראש, לא נטען על ידי המאשימה שבכוחו לקטול. כך נקבע ב</w:t>
      </w:r>
      <w:hyperlink r:id="rId26" w:history="1">
        <w:r w:rsidR="00E371E2" w:rsidRPr="00E371E2">
          <w:rPr>
            <w:rFonts w:ascii="Arial" w:hAnsi="Arial"/>
            <w:noProof w:val="0"/>
            <w:color w:val="0000FF"/>
            <w:u w:val="single"/>
            <w:rtl/>
          </w:rPr>
          <w:t>ע"פ 6327/17</w:t>
        </w:r>
      </w:hyperlink>
      <w:r w:rsidRPr="00C5089A">
        <w:rPr>
          <w:rFonts w:ascii="Arial" w:hAnsi="Arial"/>
          <w:noProof w:val="0"/>
          <w:rtl/>
        </w:rPr>
        <w:t xml:space="preserve"> </w:t>
      </w:r>
      <w:r w:rsidRPr="00C5089A">
        <w:rPr>
          <w:rFonts w:ascii="Arial" w:hAnsi="Arial"/>
          <w:b/>
          <w:bCs/>
          <w:noProof w:val="0"/>
          <w:rtl/>
        </w:rPr>
        <w:t>יוסבשוילי נ' מדינת ישראל</w:t>
      </w:r>
      <w:r w:rsidRPr="00C5089A">
        <w:rPr>
          <w:rFonts w:ascii="Arial" w:hAnsi="Arial"/>
          <w:noProof w:val="0"/>
          <w:rtl/>
        </w:rPr>
        <w:t xml:space="preserve"> (נבו, 23.3.2018) (להלן: "</w:t>
      </w:r>
      <w:r w:rsidRPr="00C5089A">
        <w:rPr>
          <w:rFonts w:ascii="Arial" w:hAnsi="Arial"/>
          <w:b/>
          <w:bCs/>
          <w:noProof w:val="0"/>
          <w:rtl/>
        </w:rPr>
        <w:t>עניין יוסבאשוילי</w:t>
      </w:r>
      <w:r w:rsidRPr="00C5089A">
        <w:rPr>
          <w:rFonts w:ascii="Arial" w:hAnsi="Arial"/>
          <w:noProof w:val="0"/>
          <w:rtl/>
        </w:rPr>
        <w:t>"):</w:t>
      </w:r>
    </w:p>
    <w:p w14:paraId="4BE793CB" w14:textId="77777777" w:rsidR="00FF338B" w:rsidRPr="00806CAB" w:rsidRDefault="00FF338B" w:rsidP="00FF338B">
      <w:pPr>
        <w:spacing w:line="360" w:lineRule="auto"/>
        <w:ind w:left="720"/>
        <w:jc w:val="both"/>
        <w:rPr>
          <w:rFonts w:ascii="Arial" w:hAnsi="Arial"/>
          <w:noProof w:val="0"/>
          <w:rtl/>
        </w:rPr>
      </w:pPr>
      <w:r w:rsidRPr="00806CAB">
        <w:rPr>
          <w:rFonts w:ascii="Arial" w:hAnsi="Arial"/>
          <w:noProof w:val="0"/>
          <w:rtl/>
        </w:rPr>
        <w:t>"</w:t>
      </w:r>
      <w:r w:rsidRPr="00806CAB">
        <w:rPr>
          <w:rFonts w:ascii="Arial" w:hAnsi="Arial"/>
          <w:b/>
          <w:bCs/>
          <w:noProof w:val="0"/>
          <w:rtl/>
        </w:rPr>
        <w:t>עדיין, הבחינה הפסיקה בכל הנוגע למידת הענישה בין החזקת נשק קטלני, רימוני רסס, לבין החזקת רימונים "רגילים". "דרגת החומרה הנעוצה בהחזקת רימונים כאלה פחותה מדרגת החומרה שבהחזקת רימונים 'רגילים'. ענין זה נוגע לענין העונש ולא להרשעה" (</w:t>
      </w:r>
      <w:hyperlink r:id="rId27" w:history="1">
        <w:r w:rsidR="00E371E2" w:rsidRPr="00E371E2">
          <w:rPr>
            <w:rFonts w:ascii="Arial" w:hAnsi="Arial"/>
            <w:b/>
            <w:bCs/>
            <w:noProof w:val="0"/>
            <w:color w:val="0000FF"/>
            <w:u w:val="single"/>
            <w:rtl/>
          </w:rPr>
          <w:t>ע"פ 7124/06</w:t>
        </w:r>
      </w:hyperlink>
      <w:r w:rsidR="00E371E2">
        <w:rPr>
          <w:rFonts w:ascii="Arial" w:hAnsi="Arial"/>
          <w:b/>
          <w:bCs/>
          <w:noProof w:val="0"/>
          <w:rtl/>
        </w:rPr>
        <w:t xml:space="preserve"> </w:t>
      </w:r>
      <w:r w:rsidRPr="00806CAB">
        <w:rPr>
          <w:rFonts w:ascii="Arial" w:hAnsi="Arial"/>
          <w:b/>
          <w:bCs/>
          <w:noProof w:val="0"/>
          <w:rtl/>
        </w:rPr>
        <w:t>דרורי נ' מדינת ישראל</w:t>
      </w:r>
      <w:r w:rsidR="00E371E2">
        <w:rPr>
          <w:rFonts w:ascii="Arial" w:hAnsi="Arial"/>
          <w:b/>
          <w:bCs/>
          <w:noProof w:val="0"/>
          <w:rtl/>
        </w:rPr>
        <w:t xml:space="preserve"> </w:t>
      </w:r>
      <w:r w:rsidRPr="00806CAB">
        <w:rPr>
          <w:rFonts w:ascii="Arial" w:hAnsi="Arial"/>
          <w:b/>
          <w:bCs/>
          <w:noProof w:val="0"/>
          <w:rtl/>
        </w:rPr>
        <w:t>[פורסם בנבו]</w:t>
      </w:r>
      <w:r w:rsidR="00E371E2">
        <w:rPr>
          <w:rFonts w:ascii="Arial" w:hAnsi="Arial"/>
          <w:b/>
          <w:bCs/>
          <w:noProof w:val="0"/>
          <w:rtl/>
        </w:rPr>
        <w:t xml:space="preserve"> </w:t>
      </w:r>
      <w:r w:rsidRPr="00806CAB">
        <w:rPr>
          <w:rFonts w:ascii="Arial" w:hAnsi="Arial"/>
          <w:b/>
          <w:bCs/>
          <w:noProof w:val="0"/>
          <w:rtl/>
        </w:rPr>
        <w:t>(9.5.2007)).</w:t>
      </w:r>
      <w:r w:rsidRPr="00806CAB">
        <w:rPr>
          <w:rFonts w:ascii="Arial" w:hAnsi="Arial"/>
          <w:noProof w:val="0"/>
          <w:rtl/>
        </w:rPr>
        <w:t>"</w:t>
      </w:r>
    </w:p>
    <w:p w14:paraId="0E1DAB9D" w14:textId="77777777" w:rsidR="00FF338B" w:rsidRDefault="00FF338B" w:rsidP="00FF338B">
      <w:pPr>
        <w:spacing w:line="360" w:lineRule="auto"/>
        <w:jc w:val="both"/>
        <w:rPr>
          <w:rFonts w:ascii="Arial" w:hAnsi="Arial"/>
          <w:noProof w:val="0"/>
          <w:rtl/>
        </w:rPr>
      </w:pPr>
    </w:p>
    <w:p w14:paraId="234D69D9" w14:textId="77777777" w:rsidR="00FF338B" w:rsidRDefault="00FF338B" w:rsidP="00FF338B">
      <w:pPr>
        <w:spacing w:line="360" w:lineRule="auto"/>
        <w:ind w:left="720"/>
        <w:jc w:val="both"/>
        <w:rPr>
          <w:rFonts w:ascii="Arial" w:hAnsi="Arial"/>
          <w:noProof w:val="0"/>
          <w:rtl/>
        </w:rPr>
      </w:pPr>
      <w:r w:rsidRPr="007A2F4F">
        <w:rPr>
          <w:rFonts w:ascii="Arial" w:hAnsi="Arial"/>
          <w:noProof w:val="0"/>
          <w:rtl/>
        </w:rPr>
        <w:t xml:space="preserve">כלומר, עם כל החומרה הטמונה בעבירה של החזקת רימון הלם, לפנינו עבירה ברף הנמוך במתחם עבירות נשק. </w:t>
      </w:r>
    </w:p>
    <w:p w14:paraId="6BE26C11" w14:textId="77777777" w:rsidR="00FF338B" w:rsidRDefault="00FF338B" w:rsidP="00FF338B">
      <w:pPr>
        <w:spacing w:line="360" w:lineRule="auto"/>
        <w:ind w:left="720"/>
        <w:jc w:val="both"/>
        <w:rPr>
          <w:rFonts w:ascii="Arial" w:hAnsi="Arial"/>
          <w:noProof w:val="0"/>
          <w:rtl/>
        </w:rPr>
      </w:pPr>
    </w:p>
    <w:p w14:paraId="6858B7E4" w14:textId="77777777" w:rsidR="00FF338B" w:rsidRDefault="00FF338B" w:rsidP="00FF338B">
      <w:pPr>
        <w:spacing w:line="360" w:lineRule="auto"/>
        <w:ind w:left="720"/>
        <w:jc w:val="both"/>
        <w:rPr>
          <w:rFonts w:ascii="Arial" w:hAnsi="Arial"/>
          <w:noProof w:val="0"/>
          <w:rtl/>
        </w:rPr>
      </w:pPr>
    </w:p>
    <w:p w14:paraId="2E939F70" w14:textId="77777777" w:rsidR="00FF338B" w:rsidRDefault="00FF338B" w:rsidP="00FF338B">
      <w:pPr>
        <w:spacing w:line="360" w:lineRule="auto"/>
        <w:ind w:left="720"/>
        <w:jc w:val="both"/>
        <w:rPr>
          <w:rFonts w:ascii="Arial" w:hAnsi="Arial"/>
          <w:noProof w:val="0"/>
          <w:rtl/>
        </w:rPr>
      </w:pPr>
    </w:p>
    <w:p w14:paraId="70585DF5" w14:textId="77777777" w:rsidR="00FF338B" w:rsidRPr="00A140EB" w:rsidRDefault="00FF338B" w:rsidP="00FF338B">
      <w:pPr>
        <w:spacing w:line="360" w:lineRule="auto"/>
        <w:ind w:left="720"/>
        <w:jc w:val="both"/>
        <w:rPr>
          <w:rFonts w:ascii="Arial" w:hAnsi="Arial"/>
          <w:noProof w:val="0"/>
          <w:rtl/>
        </w:rPr>
      </w:pPr>
    </w:p>
    <w:p w14:paraId="09196AC8" w14:textId="77777777" w:rsidR="00FF338B" w:rsidRPr="007A2F4F" w:rsidRDefault="00FF338B" w:rsidP="00FF338B">
      <w:pPr>
        <w:spacing w:line="360" w:lineRule="auto"/>
        <w:jc w:val="both"/>
        <w:rPr>
          <w:rFonts w:ascii="Arial" w:hAnsi="Arial"/>
          <w:noProof w:val="0"/>
          <w:rtl/>
        </w:rPr>
      </w:pPr>
      <w:r w:rsidRPr="007A2F4F">
        <w:rPr>
          <w:rFonts w:ascii="Arial" w:hAnsi="Arial"/>
          <w:b/>
          <w:bCs/>
          <w:noProof w:val="0"/>
          <w:u w:val="single"/>
          <w:rtl/>
        </w:rPr>
        <w:t>נסיבות ביצוע העבירה:</w:t>
      </w:r>
    </w:p>
    <w:p w14:paraId="2F2227FD" w14:textId="77777777" w:rsidR="00FF338B" w:rsidRPr="00C5089A" w:rsidRDefault="00FF338B" w:rsidP="00FF338B">
      <w:pPr>
        <w:pStyle w:val="a9"/>
        <w:numPr>
          <w:ilvl w:val="0"/>
          <w:numId w:val="1"/>
        </w:numPr>
        <w:spacing w:line="360" w:lineRule="auto"/>
        <w:jc w:val="both"/>
        <w:rPr>
          <w:rFonts w:ascii="Arial" w:hAnsi="Arial"/>
          <w:noProof w:val="0"/>
          <w:rtl/>
        </w:rPr>
      </w:pPr>
      <w:r w:rsidRPr="00C5089A">
        <w:rPr>
          <w:rFonts w:ascii="Arial" w:hAnsi="Arial"/>
          <w:noProof w:val="0"/>
          <w:rtl/>
        </w:rPr>
        <w:t>עיון בכתב האישום מעלה שמעבר לעבירת החזקת הנשק, לא</w:t>
      </w:r>
      <w:r>
        <w:rPr>
          <w:rFonts w:ascii="Arial" w:hAnsi="Arial" w:hint="cs"/>
          <w:noProof w:val="0"/>
          <w:rtl/>
        </w:rPr>
        <w:t xml:space="preserve"> נטען</w:t>
      </w:r>
      <w:r w:rsidRPr="00C5089A">
        <w:rPr>
          <w:rFonts w:ascii="Arial" w:hAnsi="Arial"/>
          <w:noProof w:val="0"/>
          <w:rtl/>
        </w:rPr>
        <w:t xml:space="preserve"> </w:t>
      </w:r>
      <w:r>
        <w:rPr>
          <w:rFonts w:ascii="Arial" w:hAnsi="Arial" w:hint="cs"/>
          <w:noProof w:val="0"/>
          <w:rtl/>
        </w:rPr>
        <w:t>ש</w:t>
      </w:r>
      <w:r w:rsidRPr="00C5089A">
        <w:rPr>
          <w:rFonts w:ascii="Arial" w:hAnsi="Arial"/>
          <w:noProof w:val="0"/>
          <w:rtl/>
        </w:rPr>
        <w:t>הייתה טמונה כל כו</w:t>
      </w:r>
      <w:r>
        <w:rPr>
          <w:rFonts w:ascii="Arial" w:hAnsi="Arial"/>
          <w:noProof w:val="0"/>
          <w:rtl/>
        </w:rPr>
        <w:t>ונה נוספ</w:t>
      </w:r>
      <w:r>
        <w:rPr>
          <w:rFonts w:ascii="Arial" w:hAnsi="Arial" w:hint="cs"/>
          <w:noProof w:val="0"/>
          <w:rtl/>
        </w:rPr>
        <w:t>ת</w:t>
      </w:r>
      <w:r w:rsidRPr="00C5089A">
        <w:rPr>
          <w:rFonts w:ascii="Arial" w:hAnsi="Arial"/>
          <w:noProof w:val="0"/>
          <w:rtl/>
        </w:rPr>
        <w:t xml:space="preserve">. זאת ועוד, לא נטען, לא הובאו ראיות ולא הוכח שהנאשם החזיק ברימון ההלם למטרה פלילית. </w:t>
      </w:r>
    </w:p>
    <w:p w14:paraId="4C64EAA1" w14:textId="77777777" w:rsidR="00FF338B" w:rsidRDefault="00FF338B" w:rsidP="00FF338B">
      <w:pPr>
        <w:spacing w:line="360" w:lineRule="auto"/>
        <w:jc w:val="both"/>
        <w:rPr>
          <w:rFonts w:ascii="Arial" w:hAnsi="Arial"/>
          <w:noProof w:val="0"/>
          <w:rtl/>
        </w:rPr>
      </w:pPr>
    </w:p>
    <w:p w14:paraId="5689F489" w14:textId="77777777" w:rsidR="00FF338B" w:rsidRPr="007A2F4F" w:rsidRDefault="00FF338B" w:rsidP="00FF338B">
      <w:pPr>
        <w:spacing w:line="360" w:lineRule="auto"/>
        <w:ind w:firstLine="720"/>
        <w:jc w:val="both"/>
        <w:rPr>
          <w:rFonts w:ascii="Arial" w:hAnsi="Arial"/>
          <w:noProof w:val="0"/>
          <w:rtl/>
        </w:rPr>
      </w:pPr>
      <w:r w:rsidRPr="007A2F4F">
        <w:rPr>
          <w:rFonts w:ascii="Arial" w:hAnsi="Arial"/>
          <w:noProof w:val="0"/>
          <w:rtl/>
        </w:rPr>
        <w:t xml:space="preserve">משכך, יש מקום לסווג את נסיבות ביצוע העבירה ככאלה שאינן חמורות. </w:t>
      </w:r>
    </w:p>
    <w:p w14:paraId="057701A4" w14:textId="77777777" w:rsidR="00FF338B" w:rsidRDefault="00FF338B" w:rsidP="00FF338B">
      <w:pPr>
        <w:spacing w:line="360" w:lineRule="auto"/>
        <w:jc w:val="both"/>
        <w:rPr>
          <w:rFonts w:ascii="Arial" w:hAnsi="Arial"/>
          <w:b/>
          <w:bCs/>
          <w:noProof w:val="0"/>
          <w:u w:val="single"/>
          <w:rtl/>
        </w:rPr>
      </w:pPr>
    </w:p>
    <w:p w14:paraId="4186AA33" w14:textId="77777777" w:rsidR="00FF338B" w:rsidRPr="007A2F4F" w:rsidRDefault="00FF338B" w:rsidP="00FF338B">
      <w:pPr>
        <w:spacing w:line="360" w:lineRule="auto"/>
        <w:jc w:val="both"/>
        <w:rPr>
          <w:rFonts w:ascii="Arial" w:hAnsi="Arial"/>
          <w:b/>
          <w:bCs/>
          <w:noProof w:val="0"/>
          <w:u w:val="single"/>
          <w:rtl/>
        </w:rPr>
      </w:pPr>
      <w:r w:rsidRPr="007A2F4F">
        <w:rPr>
          <w:rFonts w:ascii="Arial" w:hAnsi="Arial"/>
          <w:b/>
          <w:bCs/>
          <w:noProof w:val="0"/>
          <w:u w:val="single"/>
          <w:rtl/>
        </w:rPr>
        <w:t>מדיניות הענישה וההלכה הפסוקה:</w:t>
      </w:r>
    </w:p>
    <w:p w14:paraId="663C3427" w14:textId="77777777" w:rsidR="00FF338B" w:rsidRPr="00C5089A" w:rsidRDefault="00FF338B" w:rsidP="00FF338B">
      <w:pPr>
        <w:pStyle w:val="a9"/>
        <w:numPr>
          <w:ilvl w:val="0"/>
          <w:numId w:val="1"/>
        </w:numPr>
        <w:spacing w:line="360" w:lineRule="auto"/>
        <w:jc w:val="both"/>
        <w:rPr>
          <w:rFonts w:ascii="Arial" w:hAnsi="Arial"/>
          <w:noProof w:val="0"/>
          <w:rtl/>
        </w:rPr>
      </w:pPr>
      <w:r w:rsidRPr="00C5089A">
        <w:rPr>
          <w:rFonts w:ascii="Arial" w:hAnsi="Arial"/>
          <w:noProof w:val="0"/>
          <w:rtl/>
        </w:rPr>
        <w:t>בשורה של פסקי דין עמד בית המשפט העליון על החומרה הטמונה בעבירות נשק והסיכון הממשי לשלום הציבור והחשש להסלמה. על כן, ככלל, קבע בית המשפט העליון שדינם של מבצעי עבירות בנשק הוא מאסר ממשי מאחורי סורג ובריח, על מנת להגן על הציבור, להרתיעם מפני החזקת כלי נשק למיניהם ולהרחיקם מהחברה.</w:t>
      </w:r>
    </w:p>
    <w:p w14:paraId="2EA99CE7" w14:textId="77777777" w:rsidR="00FF338B" w:rsidRDefault="00FF338B" w:rsidP="00FF338B">
      <w:pPr>
        <w:spacing w:line="360" w:lineRule="auto"/>
        <w:jc w:val="both"/>
        <w:rPr>
          <w:rFonts w:ascii="Arial" w:hAnsi="Arial"/>
          <w:noProof w:val="0"/>
          <w:rtl/>
        </w:rPr>
      </w:pPr>
    </w:p>
    <w:p w14:paraId="3BF51080" w14:textId="77777777" w:rsidR="00FF338B" w:rsidRPr="007A2F4F" w:rsidRDefault="00FF338B" w:rsidP="00FF338B">
      <w:pPr>
        <w:spacing w:line="360" w:lineRule="auto"/>
        <w:ind w:left="720"/>
        <w:jc w:val="both"/>
        <w:rPr>
          <w:rFonts w:ascii="Arial" w:hAnsi="Arial"/>
          <w:noProof w:val="0"/>
          <w:rtl/>
        </w:rPr>
      </w:pPr>
      <w:r w:rsidRPr="007A2F4F">
        <w:rPr>
          <w:rFonts w:ascii="Arial" w:hAnsi="Arial"/>
          <w:noProof w:val="0"/>
          <w:rtl/>
        </w:rPr>
        <w:t xml:space="preserve">ראו לדוגמה </w:t>
      </w:r>
      <w:hyperlink r:id="rId28" w:history="1">
        <w:r w:rsidR="00E371E2" w:rsidRPr="00E371E2">
          <w:rPr>
            <w:rFonts w:ascii="Arial" w:hAnsi="Arial"/>
            <w:noProof w:val="0"/>
            <w:color w:val="0000FF"/>
            <w:u w:val="single"/>
            <w:rtl/>
          </w:rPr>
          <w:t>ע"פ 1693/23</w:t>
        </w:r>
      </w:hyperlink>
      <w:r w:rsidRPr="007A2F4F">
        <w:rPr>
          <w:rFonts w:ascii="Arial" w:hAnsi="Arial"/>
          <w:noProof w:val="0"/>
          <w:rtl/>
        </w:rPr>
        <w:t xml:space="preserve"> </w:t>
      </w:r>
      <w:r w:rsidRPr="007A2F4F">
        <w:rPr>
          <w:rFonts w:ascii="Arial" w:hAnsi="Arial"/>
          <w:b/>
          <w:bCs/>
          <w:noProof w:val="0"/>
          <w:rtl/>
        </w:rPr>
        <w:t>אסלאם אבו אחמד נ' מדינת ישראל</w:t>
      </w:r>
      <w:r w:rsidRPr="007A2F4F">
        <w:rPr>
          <w:rFonts w:ascii="Arial" w:hAnsi="Arial"/>
          <w:noProof w:val="0"/>
          <w:rtl/>
        </w:rPr>
        <w:t xml:space="preserve"> (נבו, 3.12.2023) והאסמכתאות שם, (להלן: "</w:t>
      </w:r>
      <w:r w:rsidRPr="007A2F4F">
        <w:rPr>
          <w:rFonts w:ascii="Arial" w:hAnsi="Arial"/>
          <w:b/>
          <w:bCs/>
          <w:noProof w:val="0"/>
          <w:rtl/>
        </w:rPr>
        <w:t>עניין אבו אחמד</w:t>
      </w:r>
      <w:r w:rsidRPr="007A2F4F">
        <w:rPr>
          <w:rFonts w:ascii="Arial" w:hAnsi="Arial"/>
          <w:noProof w:val="0"/>
          <w:rtl/>
        </w:rPr>
        <w:t xml:space="preserve">"). בעניין אבו אחמד, הדגיש בית המשפט העליון שעבירות נשק הפכו מכת מדינה, המצדיקות ומצריכות ענישה הולמת ומחמירה, שכן אנו מצויים במצב חרום בעניין עבירות נשק. עוד הדגיש בית המשפט העליון בעניין אבו אחמד, את הסכנה הטמונה לחפים מפשע כתוצאה מהחזקת נשק שלא כדין, בין אם הם נפגעים כתוצאה מהשימוש בו ובין אם הם נתקלים בו במקרה ונפגעים. </w:t>
      </w:r>
    </w:p>
    <w:p w14:paraId="4386DC63" w14:textId="77777777" w:rsidR="00FF338B" w:rsidRDefault="00FF338B" w:rsidP="00FF338B">
      <w:pPr>
        <w:spacing w:line="360" w:lineRule="auto"/>
        <w:jc w:val="both"/>
        <w:rPr>
          <w:rFonts w:ascii="Arial" w:hAnsi="Arial"/>
          <w:noProof w:val="0"/>
          <w:rtl/>
        </w:rPr>
      </w:pPr>
    </w:p>
    <w:p w14:paraId="27C18C4C" w14:textId="77777777" w:rsidR="00FF338B" w:rsidRPr="007A2F4F" w:rsidRDefault="00FF338B" w:rsidP="00FF338B">
      <w:pPr>
        <w:spacing w:line="360" w:lineRule="auto"/>
        <w:ind w:firstLine="720"/>
        <w:jc w:val="both"/>
        <w:rPr>
          <w:rFonts w:ascii="Arial" w:hAnsi="Arial"/>
          <w:noProof w:val="0"/>
          <w:rtl/>
        </w:rPr>
      </w:pPr>
      <w:r>
        <w:rPr>
          <w:rFonts w:ascii="Arial" w:hAnsi="Arial" w:hint="cs"/>
          <w:noProof w:val="0"/>
          <w:rtl/>
        </w:rPr>
        <w:t xml:space="preserve">כן </w:t>
      </w:r>
      <w:r w:rsidRPr="007A2F4F">
        <w:rPr>
          <w:rFonts w:ascii="Arial" w:hAnsi="Arial"/>
          <w:noProof w:val="0"/>
          <w:rtl/>
        </w:rPr>
        <w:t>ראו את שנאמר ב</w:t>
      </w:r>
      <w:hyperlink r:id="rId29" w:history="1">
        <w:r w:rsidR="00E371E2" w:rsidRPr="00E371E2">
          <w:rPr>
            <w:rFonts w:ascii="Arial" w:hAnsi="Arial"/>
            <w:noProof w:val="0"/>
            <w:color w:val="0000FF"/>
            <w:u w:val="single"/>
            <w:rtl/>
          </w:rPr>
          <w:t>ע"פ 2165/23</w:t>
        </w:r>
      </w:hyperlink>
      <w:r w:rsidRPr="007A2F4F">
        <w:rPr>
          <w:rFonts w:ascii="Arial" w:hAnsi="Arial"/>
          <w:noProof w:val="0"/>
          <w:rtl/>
        </w:rPr>
        <w:t xml:space="preserve"> </w:t>
      </w:r>
      <w:r w:rsidRPr="007A2F4F">
        <w:rPr>
          <w:rFonts w:ascii="Arial" w:hAnsi="Arial"/>
          <w:b/>
          <w:bCs/>
          <w:noProof w:val="0"/>
          <w:rtl/>
        </w:rPr>
        <w:t xml:space="preserve">מדינת ישראל נ' פלאח בלאל </w:t>
      </w:r>
      <w:r w:rsidRPr="007A2F4F">
        <w:rPr>
          <w:rFonts w:ascii="Arial" w:hAnsi="Arial"/>
          <w:noProof w:val="0"/>
          <w:rtl/>
        </w:rPr>
        <w:t>(נבו, 4.5.2023).</w:t>
      </w:r>
    </w:p>
    <w:p w14:paraId="472FFA47" w14:textId="77777777" w:rsidR="00FF338B" w:rsidRDefault="00FF338B" w:rsidP="00FF338B">
      <w:pPr>
        <w:spacing w:line="360" w:lineRule="auto"/>
        <w:jc w:val="both"/>
        <w:rPr>
          <w:rFonts w:ascii="Arial" w:hAnsi="Arial"/>
          <w:noProof w:val="0"/>
          <w:rtl/>
        </w:rPr>
      </w:pPr>
    </w:p>
    <w:p w14:paraId="16A15840" w14:textId="77777777" w:rsidR="00FF338B" w:rsidRPr="00C5089A" w:rsidRDefault="00FF338B" w:rsidP="00FF338B">
      <w:pPr>
        <w:pStyle w:val="a9"/>
        <w:numPr>
          <w:ilvl w:val="0"/>
          <w:numId w:val="1"/>
        </w:numPr>
        <w:spacing w:line="360" w:lineRule="auto"/>
        <w:jc w:val="both"/>
        <w:rPr>
          <w:rFonts w:ascii="Arial" w:hAnsi="Arial"/>
          <w:noProof w:val="0"/>
          <w:rtl/>
        </w:rPr>
      </w:pPr>
      <w:r w:rsidRPr="00C5089A">
        <w:rPr>
          <w:rFonts w:ascii="Arial" w:hAnsi="Arial"/>
          <w:noProof w:val="0"/>
          <w:rtl/>
        </w:rPr>
        <w:t xml:space="preserve">עם זאת, כידוע, יש להפנות ולהסתמך על גזרי דין בהם נדונו מקרים דומים, כמו כאן. ויוזכר: הנאשם הוא כבן 22 שנים, נעדר עבר פלילי, אשר עד לביצוע העבירה מושא גזר הדין עבד למחייתו ופרנס את משפחתו המורחבת. כך יש לזכור שעסקינן בעבירת החזקה של רימון הלם שכאמור נמנה על המדרג הנמוך של עבירות נשק. </w:t>
      </w:r>
    </w:p>
    <w:p w14:paraId="46C35CA7" w14:textId="77777777" w:rsidR="00FF338B" w:rsidRDefault="00FF338B" w:rsidP="00FF338B">
      <w:pPr>
        <w:spacing w:line="360" w:lineRule="auto"/>
        <w:jc w:val="both"/>
        <w:rPr>
          <w:rFonts w:ascii="Arial" w:hAnsi="Arial"/>
          <w:noProof w:val="0"/>
          <w:rtl/>
        </w:rPr>
      </w:pPr>
    </w:p>
    <w:p w14:paraId="4FC63E7F" w14:textId="77777777" w:rsidR="00FF338B" w:rsidRPr="007A2F4F" w:rsidRDefault="00E371E2" w:rsidP="00FF338B">
      <w:pPr>
        <w:spacing w:line="360" w:lineRule="auto"/>
        <w:ind w:left="720"/>
        <w:jc w:val="both"/>
        <w:rPr>
          <w:rFonts w:ascii="Arial" w:hAnsi="Arial"/>
          <w:noProof w:val="0"/>
          <w:rtl/>
        </w:rPr>
      </w:pPr>
      <w:hyperlink r:id="rId30" w:history="1">
        <w:r w:rsidRPr="00E371E2">
          <w:rPr>
            <w:rFonts w:ascii="Arial" w:hAnsi="Arial"/>
            <w:noProof w:val="0"/>
            <w:color w:val="0000FF"/>
            <w:u w:val="single"/>
            <w:rtl/>
          </w:rPr>
          <w:t>ת"פ 16779-09-22</w:t>
        </w:r>
      </w:hyperlink>
      <w:r w:rsidR="00FF338B" w:rsidRPr="007A2F4F">
        <w:rPr>
          <w:rFonts w:ascii="Arial" w:hAnsi="Arial"/>
          <w:noProof w:val="0"/>
          <w:rtl/>
        </w:rPr>
        <w:t xml:space="preserve"> </w:t>
      </w:r>
      <w:r w:rsidR="00FF338B" w:rsidRPr="007A2F4F">
        <w:rPr>
          <w:rFonts w:ascii="Arial" w:hAnsi="Arial"/>
          <w:b/>
          <w:bCs/>
          <w:noProof w:val="0"/>
          <w:rtl/>
        </w:rPr>
        <w:t>מדינת ישראל נ' ליאור אלבז</w:t>
      </w:r>
      <w:r w:rsidR="00FF338B" w:rsidRPr="007A2F4F">
        <w:rPr>
          <w:rFonts w:ascii="Arial" w:hAnsi="Arial"/>
          <w:noProof w:val="0"/>
          <w:rtl/>
        </w:rPr>
        <w:t xml:space="preserve"> (נבו, 25.1.2024) (להלן: "</w:t>
      </w:r>
      <w:r w:rsidR="00FF338B" w:rsidRPr="007A2F4F">
        <w:rPr>
          <w:rFonts w:ascii="Arial" w:hAnsi="Arial"/>
          <w:b/>
          <w:bCs/>
          <w:noProof w:val="0"/>
          <w:rtl/>
        </w:rPr>
        <w:t>עניין אלבז</w:t>
      </w:r>
      <w:r w:rsidR="00FF338B" w:rsidRPr="007A2F4F">
        <w:rPr>
          <w:rFonts w:ascii="Arial" w:hAnsi="Arial"/>
          <w:noProof w:val="0"/>
          <w:rtl/>
        </w:rPr>
        <w:t xml:space="preserve">"). בעניין אלבז התברר עניינו של נאשם שהורשע על פי הודאתו בעבירות של החזקה, נשיאה והובלת נשק. הנאשם, בעניין אלבז, קיבל מאחר רימון הלם לשם אחזקתו ושמירתו. בהמשך הנאשם והאחר נסעו לבית המתלונן ושם זרק הנאשם את רימון ההלם לעבר בית האחר. </w:t>
      </w:r>
    </w:p>
    <w:p w14:paraId="03586116" w14:textId="77777777" w:rsidR="00FF338B" w:rsidRPr="007A2F4F" w:rsidRDefault="00FF338B" w:rsidP="00FF338B">
      <w:pPr>
        <w:spacing w:line="360" w:lineRule="auto"/>
        <w:ind w:left="720"/>
        <w:jc w:val="both"/>
        <w:rPr>
          <w:rFonts w:ascii="Arial" w:hAnsi="Arial"/>
          <w:noProof w:val="0"/>
          <w:rtl/>
        </w:rPr>
      </w:pPr>
      <w:r w:rsidRPr="007A2F4F">
        <w:rPr>
          <w:rFonts w:ascii="Arial" w:hAnsi="Arial"/>
          <w:noProof w:val="0"/>
          <w:rtl/>
        </w:rPr>
        <w:t xml:space="preserve">בעניין אלבז נקבע מתחם ענישה שנע בין 16 ל- 36 חודשי מאסר בפועל. אולם, נוכח ההודאה בהזדמנות הראשונה, החרטה הכנה ותסקיר חיובי של שירות המבחן, החליט בית משפט לסטות ממתחם הענישה והורה על מאסר של 9 חודשים שירוצו בעבודות שירות. </w:t>
      </w:r>
    </w:p>
    <w:p w14:paraId="70913F63" w14:textId="77777777" w:rsidR="00FF338B" w:rsidRDefault="00FF338B" w:rsidP="00FF338B">
      <w:pPr>
        <w:spacing w:line="360" w:lineRule="auto"/>
        <w:jc w:val="both"/>
        <w:rPr>
          <w:rFonts w:ascii="Arial" w:hAnsi="Arial"/>
          <w:noProof w:val="0"/>
          <w:rtl/>
        </w:rPr>
      </w:pPr>
    </w:p>
    <w:p w14:paraId="0F39B43A" w14:textId="77777777" w:rsidR="00FF338B" w:rsidRPr="007A2F4F" w:rsidRDefault="00FF338B" w:rsidP="00FF338B">
      <w:pPr>
        <w:spacing w:line="360" w:lineRule="auto"/>
        <w:ind w:left="720"/>
        <w:jc w:val="both"/>
        <w:rPr>
          <w:rFonts w:ascii="Arial" w:hAnsi="Arial"/>
          <w:noProof w:val="0"/>
          <w:rtl/>
        </w:rPr>
      </w:pPr>
      <w:r w:rsidRPr="007A2F4F">
        <w:rPr>
          <w:rFonts w:ascii="Arial" w:hAnsi="Arial"/>
          <w:noProof w:val="0"/>
          <w:rtl/>
        </w:rPr>
        <w:t>בעניין יוסבאשוילי, הורשע הנאשם על פי הודאתו בעבירות של גניבה, נשיאה והובלה של ארבעה רימוני יד ושלושה רימוני הלם מבסיס צבאי בו שירת, במטרה למכור אותם לשם עשיית רווח. בהינתן גילו הצעיר של הנאשם, המלצות שירות המבחן, הבעת החרטה, נסיבותיו האישיות</w:t>
      </w:r>
      <w:r w:rsidRPr="007A2F4F">
        <w:rPr>
          <w:rFonts w:ascii="Arial" w:hAnsi="Arial"/>
          <w:b/>
          <w:bCs/>
          <w:noProof w:val="0"/>
          <w:rtl/>
        </w:rPr>
        <w:t xml:space="preserve"> וסוג הנשק, </w:t>
      </w:r>
      <w:r w:rsidRPr="007A2F4F">
        <w:rPr>
          <w:rFonts w:ascii="Arial" w:hAnsi="Arial"/>
          <w:noProof w:val="0"/>
          <w:rtl/>
        </w:rPr>
        <w:t>הומתק עונשו של הנאשם והועמד על 12 חודשי מאסר.</w:t>
      </w:r>
    </w:p>
    <w:p w14:paraId="33C3C0E8" w14:textId="77777777" w:rsidR="00FF338B" w:rsidRDefault="00FF338B" w:rsidP="00FF338B">
      <w:pPr>
        <w:spacing w:line="360" w:lineRule="auto"/>
        <w:jc w:val="both"/>
        <w:rPr>
          <w:rFonts w:ascii="Arial" w:hAnsi="Arial"/>
          <w:noProof w:val="0"/>
          <w:rtl/>
        </w:rPr>
      </w:pPr>
    </w:p>
    <w:p w14:paraId="77CC41B8" w14:textId="77777777" w:rsidR="00FF338B" w:rsidRPr="007A2F4F" w:rsidRDefault="00E371E2" w:rsidP="00FF338B">
      <w:pPr>
        <w:spacing w:line="360" w:lineRule="auto"/>
        <w:ind w:left="720"/>
        <w:jc w:val="both"/>
        <w:rPr>
          <w:rFonts w:ascii="Arial" w:hAnsi="Arial"/>
          <w:noProof w:val="0"/>
          <w:rtl/>
        </w:rPr>
      </w:pPr>
      <w:hyperlink r:id="rId31" w:history="1">
        <w:r w:rsidRPr="00E371E2">
          <w:rPr>
            <w:rFonts w:ascii="Arial" w:hAnsi="Arial"/>
            <w:noProof w:val="0"/>
            <w:color w:val="0000FF"/>
            <w:u w:val="single"/>
            <w:rtl/>
          </w:rPr>
          <w:t>ע"פ 6332/22</w:t>
        </w:r>
      </w:hyperlink>
      <w:r w:rsidR="00FF338B" w:rsidRPr="007A2F4F">
        <w:rPr>
          <w:rFonts w:ascii="Arial" w:hAnsi="Arial"/>
          <w:noProof w:val="0"/>
          <w:rtl/>
        </w:rPr>
        <w:t xml:space="preserve"> </w:t>
      </w:r>
      <w:r w:rsidR="00FF338B" w:rsidRPr="007A2F4F">
        <w:rPr>
          <w:rFonts w:ascii="Arial" w:hAnsi="Arial"/>
          <w:b/>
          <w:bCs/>
          <w:noProof w:val="0"/>
          <w:rtl/>
        </w:rPr>
        <w:t xml:space="preserve">אסף פדידה נ' מדינת ישראל </w:t>
      </w:r>
      <w:r w:rsidR="00FF338B" w:rsidRPr="007A2F4F">
        <w:rPr>
          <w:rFonts w:ascii="Arial" w:hAnsi="Arial"/>
          <w:noProof w:val="0"/>
          <w:rtl/>
        </w:rPr>
        <w:t>(נבו, 16.2.2023) (להלן: "</w:t>
      </w:r>
      <w:r w:rsidR="00FF338B" w:rsidRPr="007A2F4F">
        <w:rPr>
          <w:rFonts w:ascii="Arial" w:hAnsi="Arial"/>
          <w:b/>
          <w:bCs/>
          <w:noProof w:val="0"/>
          <w:rtl/>
        </w:rPr>
        <w:t>עניין פדידה</w:t>
      </w:r>
      <w:r w:rsidR="00FF338B" w:rsidRPr="007A2F4F">
        <w:rPr>
          <w:rFonts w:ascii="Arial" w:hAnsi="Arial"/>
          <w:noProof w:val="0"/>
          <w:rtl/>
        </w:rPr>
        <w:t>"). בעניין פדידה, הנאשם הודה הורשע בביצוע עבירות של החזקת ונשיאת נשק מסוג אקדח הזנקה שהוסב לירי תחמושת ולו מחסנית ובה שמונה כדורים.</w:t>
      </w:r>
    </w:p>
    <w:p w14:paraId="72022DF2" w14:textId="77777777" w:rsidR="00FF338B" w:rsidRDefault="00FF338B" w:rsidP="00FF338B">
      <w:pPr>
        <w:spacing w:line="360" w:lineRule="auto"/>
        <w:jc w:val="both"/>
        <w:rPr>
          <w:rFonts w:ascii="Arial" w:hAnsi="Arial"/>
          <w:noProof w:val="0"/>
          <w:rtl/>
        </w:rPr>
      </w:pPr>
    </w:p>
    <w:p w14:paraId="58A991BA" w14:textId="77777777" w:rsidR="00FF338B" w:rsidRPr="007A2F4F" w:rsidRDefault="00FF338B" w:rsidP="00FF338B">
      <w:pPr>
        <w:spacing w:line="360" w:lineRule="auto"/>
        <w:ind w:left="720"/>
        <w:jc w:val="both"/>
        <w:rPr>
          <w:rFonts w:ascii="Arial" w:hAnsi="Arial"/>
          <w:noProof w:val="0"/>
          <w:rtl/>
        </w:rPr>
      </w:pPr>
      <w:r w:rsidRPr="007A2F4F">
        <w:rPr>
          <w:rFonts w:ascii="Arial" w:hAnsi="Arial"/>
          <w:noProof w:val="0"/>
          <w:rtl/>
        </w:rPr>
        <w:t>בעניין פדידה, קבע בית המשפט העליון שנכון הדבר שאקדח ההזנקה מסוגל להמית, אך מתקיימות נסיבות המצדיקות עונש של מאסר אשר ירוצה בדרך של עבודות שירות. בית המשפט העליון קבע זאת, בהסתמך על תסקיר חיובי של שירות המבחן ונסיבות חיים קשות של הנאשם אשר הצליח לבנות לעצמו חיים נורמטיביים.</w:t>
      </w:r>
    </w:p>
    <w:p w14:paraId="7C486D4D" w14:textId="77777777" w:rsidR="00FF338B" w:rsidRDefault="00FF338B" w:rsidP="00FF338B">
      <w:pPr>
        <w:spacing w:line="360" w:lineRule="auto"/>
        <w:jc w:val="both"/>
        <w:rPr>
          <w:rFonts w:ascii="Arial" w:hAnsi="Arial"/>
          <w:noProof w:val="0"/>
          <w:rtl/>
        </w:rPr>
      </w:pPr>
    </w:p>
    <w:p w14:paraId="01960FEC" w14:textId="77777777" w:rsidR="00FF338B" w:rsidRPr="007A2F4F" w:rsidRDefault="00E371E2" w:rsidP="00FF338B">
      <w:pPr>
        <w:spacing w:line="360" w:lineRule="auto"/>
        <w:ind w:left="720"/>
        <w:jc w:val="both"/>
        <w:rPr>
          <w:rFonts w:ascii="Arial" w:hAnsi="Arial"/>
          <w:noProof w:val="0"/>
          <w:rtl/>
        </w:rPr>
      </w:pPr>
      <w:hyperlink r:id="rId32" w:history="1">
        <w:r w:rsidRPr="00E371E2">
          <w:rPr>
            <w:rFonts w:ascii="Arial" w:hAnsi="Arial"/>
            <w:noProof w:val="0"/>
            <w:color w:val="0000FF"/>
            <w:u w:val="single"/>
            <w:rtl/>
          </w:rPr>
          <w:t>ע"פ 4059/17</w:t>
        </w:r>
      </w:hyperlink>
      <w:r w:rsidR="00FF338B" w:rsidRPr="007A2F4F">
        <w:rPr>
          <w:rFonts w:ascii="Arial" w:hAnsi="Arial"/>
          <w:noProof w:val="0"/>
          <w:rtl/>
        </w:rPr>
        <w:t xml:space="preserve"> </w:t>
      </w:r>
      <w:r w:rsidR="00FF338B" w:rsidRPr="007A2F4F">
        <w:rPr>
          <w:rFonts w:ascii="Arial" w:hAnsi="Arial"/>
          <w:b/>
          <w:bCs/>
          <w:noProof w:val="0"/>
          <w:rtl/>
        </w:rPr>
        <w:t>אמיר סלמה נ' מדינת ישראל</w:t>
      </w:r>
      <w:r w:rsidR="00FF338B" w:rsidRPr="007A2F4F">
        <w:rPr>
          <w:rFonts w:ascii="Arial" w:hAnsi="Arial"/>
          <w:noProof w:val="0"/>
          <w:rtl/>
        </w:rPr>
        <w:t xml:space="preserve"> (נבו, 24.4.2018) (להלן: "</w:t>
      </w:r>
      <w:r w:rsidR="00FF338B" w:rsidRPr="007A2F4F">
        <w:rPr>
          <w:rFonts w:ascii="Arial" w:hAnsi="Arial"/>
          <w:b/>
          <w:bCs/>
          <w:noProof w:val="0"/>
          <w:rtl/>
        </w:rPr>
        <w:t>עניין סלמה</w:t>
      </w:r>
      <w:r w:rsidR="00FF338B" w:rsidRPr="007A2F4F">
        <w:rPr>
          <w:rFonts w:ascii="Arial" w:hAnsi="Arial"/>
          <w:noProof w:val="0"/>
          <w:rtl/>
        </w:rPr>
        <w:t>"). בעניין סלמה הורשע הנאשם על פי הודאתו בעבירות של החזקת ונשיאת נשק וכן עבירה של סיוע לניסיון תקיפה. הנשק בעניין סלמה היה שני רימוני יד ורימון גז. בית המשפט העליון עמד על כך שהנשק נמסר על ידי הנאשם לאחר בידיעה שזה אמור לפגוע באחרים, תוך שהנאשם מתדרך את מקבל הנשק כיצד לתפעלו. כמו כן, עמד בית המשפט על כך שתסקיר</w:t>
      </w:r>
      <w:r w:rsidR="00FF338B" w:rsidRPr="007A2F4F">
        <w:rPr>
          <w:rFonts w:ascii="Arial" w:hAnsi="Arial"/>
          <w:noProof w:val="0"/>
        </w:rPr>
        <w:t xml:space="preserve"> </w:t>
      </w:r>
      <w:r w:rsidR="00FF338B" w:rsidRPr="007A2F4F">
        <w:rPr>
          <w:rFonts w:ascii="Arial" w:hAnsi="Arial"/>
          <w:noProof w:val="0"/>
          <w:rtl/>
        </w:rPr>
        <w:t xml:space="preserve">שירות המבחן בעניין סלמה לא היה חיובי. עם זאת, אושר גזר הדין לפיו נדון הנאשם לריצוי שמונה חודשי מאסר. </w:t>
      </w:r>
    </w:p>
    <w:p w14:paraId="74ED8867" w14:textId="77777777" w:rsidR="00FF338B" w:rsidRDefault="00FF338B" w:rsidP="00FF338B">
      <w:pPr>
        <w:spacing w:line="360" w:lineRule="auto"/>
        <w:jc w:val="both"/>
        <w:rPr>
          <w:rFonts w:ascii="Arial" w:hAnsi="Arial"/>
          <w:noProof w:val="0"/>
          <w:rtl/>
        </w:rPr>
      </w:pPr>
    </w:p>
    <w:p w14:paraId="5796D60C" w14:textId="77777777" w:rsidR="00FF338B" w:rsidRPr="007A2F4F" w:rsidRDefault="00E371E2" w:rsidP="00FF338B">
      <w:pPr>
        <w:spacing w:line="360" w:lineRule="auto"/>
        <w:ind w:left="720"/>
        <w:jc w:val="both"/>
        <w:rPr>
          <w:rFonts w:ascii="Arial" w:hAnsi="Arial"/>
          <w:noProof w:val="0"/>
          <w:rtl/>
        </w:rPr>
      </w:pPr>
      <w:hyperlink r:id="rId33" w:history="1">
        <w:r w:rsidRPr="00E371E2">
          <w:rPr>
            <w:rFonts w:ascii="Arial" w:hAnsi="Arial"/>
            <w:noProof w:val="0"/>
            <w:color w:val="0000FF"/>
            <w:u w:val="single"/>
            <w:rtl/>
          </w:rPr>
          <w:t>ע"פ 1505/14</w:t>
        </w:r>
      </w:hyperlink>
      <w:r w:rsidR="00FF338B" w:rsidRPr="007A2F4F">
        <w:rPr>
          <w:rFonts w:ascii="Arial" w:hAnsi="Arial"/>
          <w:noProof w:val="0"/>
          <w:rtl/>
        </w:rPr>
        <w:t xml:space="preserve"> </w:t>
      </w:r>
      <w:r w:rsidR="00FF338B" w:rsidRPr="007A2F4F">
        <w:rPr>
          <w:rFonts w:ascii="Arial" w:hAnsi="Arial"/>
          <w:b/>
          <w:bCs/>
          <w:noProof w:val="0"/>
          <w:rtl/>
        </w:rPr>
        <w:t xml:space="preserve">לידאוי נ' מדינת ישראל </w:t>
      </w:r>
      <w:r w:rsidR="00FF338B" w:rsidRPr="007A2F4F">
        <w:rPr>
          <w:rFonts w:ascii="Arial" w:hAnsi="Arial"/>
          <w:noProof w:val="0"/>
          <w:rtl/>
        </w:rPr>
        <w:t>(נבו, 4.11.2014) (להלן: "</w:t>
      </w:r>
      <w:r w:rsidR="00FF338B" w:rsidRPr="007A2F4F">
        <w:rPr>
          <w:rFonts w:ascii="Arial" w:hAnsi="Arial"/>
          <w:b/>
          <w:bCs/>
          <w:noProof w:val="0"/>
          <w:rtl/>
        </w:rPr>
        <w:t>עניין לידאו</w:t>
      </w:r>
      <w:r w:rsidR="00FF338B" w:rsidRPr="007A2F4F">
        <w:rPr>
          <w:rFonts w:ascii="Arial" w:hAnsi="Arial"/>
          <w:noProof w:val="0"/>
          <w:rtl/>
        </w:rPr>
        <w:t xml:space="preserve">י"). בעניין לידאוי הורשע הנאשם, על פי הודאתו, בעבירות של החזקה ונשיאת נשק, מעשה פזיזות ורשלנות, הפרעה לשוטר במילוי תפקידו והחזקת רכוש החשוד כגנוב. הנשק בעניין לידאוי היה אקדח ומחסנית שבה כדורים. </w:t>
      </w:r>
    </w:p>
    <w:p w14:paraId="509E6EB0" w14:textId="77777777" w:rsidR="00FF338B" w:rsidRDefault="00FF338B" w:rsidP="00FF338B">
      <w:pPr>
        <w:spacing w:line="360" w:lineRule="auto"/>
        <w:jc w:val="both"/>
        <w:rPr>
          <w:rFonts w:ascii="Arial" w:hAnsi="Arial"/>
          <w:noProof w:val="0"/>
          <w:rtl/>
        </w:rPr>
      </w:pPr>
    </w:p>
    <w:p w14:paraId="69093817" w14:textId="77777777" w:rsidR="00FF338B" w:rsidRPr="007A2F4F" w:rsidRDefault="00FF338B" w:rsidP="00FF338B">
      <w:pPr>
        <w:spacing w:line="360" w:lineRule="auto"/>
        <w:ind w:left="720"/>
        <w:jc w:val="both"/>
        <w:rPr>
          <w:rFonts w:ascii="Arial" w:hAnsi="Arial"/>
          <w:noProof w:val="0"/>
          <w:rtl/>
        </w:rPr>
      </w:pPr>
      <w:r w:rsidRPr="007A2F4F">
        <w:rPr>
          <w:rFonts w:ascii="Arial" w:hAnsi="Arial"/>
          <w:noProof w:val="0"/>
          <w:rtl/>
        </w:rPr>
        <w:t>גם בהינתן בחומרת עבירות הנשק, קבע בית המשפט העליון שיש להמתיק את עונשו של הנאשם ולהעמידו על שישה חודשי מאסר שירוצו בעבודות שירות. בית המשפט העליון לא התעלם מעברו הפלילי של הנאשם, אך התחשב בגילו (60 שנה), העובדה שלא הפר את תנאי השחרור ונטילת האחריות.</w:t>
      </w:r>
    </w:p>
    <w:p w14:paraId="21B9C89D" w14:textId="77777777" w:rsidR="00FF338B" w:rsidRDefault="00FF338B" w:rsidP="00FF338B">
      <w:pPr>
        <w:spacing w:line="360" w:lineRule="auto"/>
        <w:jc w:val="both"/>
        <w:rPr>
          <w:rFonts w:ascii="Arial" w:hAnsi="Arial"/>
          <w:noProof w:val="0"/>
          <w:rtl/>
        </w:rPr>
      </w:pPr>
    </w:p>
    <w:p w14:paraId="6F51E4FB" w14:textId="77777777" w:rsidR="00FF338B" w:rsidRPr="007A2F4F" w:rsidRDefault="00FF338B" w:rsidP="00FF338B">
      <w:pPr>
        <w:spacing w:line="360" w:lineRule="auto"/>
        <w:ind w:left="720"/>
        <w:jc w:val="both"/>
        <w:rPr>
          <w:rFonts w:ascii="Arial" w:hAnsi="Arial"/>
          <w:noProof w:val="0"/>
          <w:rtl/>
        </w:rPr>
      </w:pPr>
      <w:r w:rsidRPr="007A2F4F">
        <w:rPr>
          <w:rFonts w:ascii="Arial" w:hAnsi="Arial"/>
          <w:noProof w:val="0"/>
          <w:rtl/>
        </w:rPr>
        <w:t xml:space="preserve">ת"פ (מחוזי חיפה) 51415-02-23 מדינת ישראל נ' </w:t>
      </w:r>
      <w:r w:rsidRPr="007A2F4F">
        <w:rPr>
          <w:rFonts w:ascii="Arial" w:hAnsi="Arial"/>
          <w:b/>
          <w:bCs/>
          <w:noProof w:val="0"/>
          <w:rtl/>
        </w:rPr>
        <w:t xml:space="preserve">חנאן כרג'ה </w:t>
      </w:r>
      <w:r w:rsidRPr="007A2F4F">
        <w:rPr>
          <w:rFonts w:ascii="Arial" w:hAnsi="Arial"/>
          <w:noProof w:val="0"/>
          <w:rtl/>
        </w:rPr>
        <w:t>(לא פורסם) (להלן: "</w:t>
      </w:r>
      <w:r w:rsidRPr="007A2F4F">
        <w:rPr>
          <w:rFonts w:ascii="Arial" w:hAnsi="Arial"/>
          <w:b/>
          <w:bCs/>
          <w:noProof w:val="0"/>
          <w:rtl/>
        </w:rPr>
        <w:t>עניין כרג'ה</w:t>
      </w:r>
      <w:r w:rsidRPr="007A2F4F">
        <w:rPr>
          <w:rFonts w:ascii="Arial" w:hAnsi="Arial"/>
          <w:noProof w:val="0"/>
          <w:rtl/>
        </w:rPr>
        <w:t>"). בעניין כרג'ה התברר עניינו של נאשם כאשר נסיבות המקרה דומות לענייננו. שם הוטל עליו עונש מאסר לריצוי בעבודות שירות לתקופה של שמונה חודשים.</w:t>
      </w:r>
    </w:p>
    <w:p w14:paraId="33CA68FF" w14:textId="77777777" w:rsidR="00FF338B" w:rsidRDefault="00FF338B" w:rsidP="00FF338B">
      <w:pPr>
        <w:spacing w:line="360" w:lineRule="auto"/>
        <w:jc w:val="both"/>
        <w:rPr>
          <w:rFonts w:ascii="Arial" w:hAnsi="Arial"/>
          <w:noProof w:val="0"/>
          <w:rtl/>
        </w:rPr>
      </w:pPr>
    </w:p>
    <w:p w14:paraId="772AC331" w14:textId="77777777" w:rsidR="00FF338B" w:rsidRPr="00C5089A" w:rsidRDefault="00FF338B" w:rsidP="00FF338B">
      <w:pPr>
        <w:pStyle w:val="a9"/>
        <w:numPr>
          <w:ilvl w:val="0"/>
          <w:numId w:val="1"/>
        </w:numPr>
        <w:spacing w:line="360" w:lineRule="auto"/>
        <w:jc w:val="both"/>
        <w:rPr>
          <w:rFonts w:ascii="Arial" w:hAnsi="Arial"/>
          <w:noProof w:val="0"/>
          <w:rtl/>
        </w:rPr>
      </w:pPr>
      <w:r w:rsidRPr="00C5089A">
        <w:rPr>
          <w:rFonts w:ascii="Arial" w:hAnsi="Arial"/>
          <w:noProof w:val="0"/>
          <w:rtl/>
        </w:rPr>
        <w:t>בהינתן האמור לעיל, כאשר עסקינן בעבירת החזקה בלבד ללא עבירות נלוות, לל</w:t>
      </w:r>
      <w:r>
        <w:rPr>
          <w:rFonts w:ascii="Arial" w:hAnsi="Arial"/>
          <w:noProof w:val="0"/>
          <w:rtl/>
        </w:rPr>
        <w:t>א שימוש ברימון ההלם, מתחם הע</w:t>
      </w:r>
      <w:r>
        <w:rPr>
          <w:rFonts w:ascii="Arial" w:hAnsi="Arial" w:hint="cs"/>
          <w:noProof w:val="0"/>
          <w:rtl/>
        </w:rPr>
        <w:t>ונש</w:t>
      </w:r>
      <w:r w:rsidRPr="00C5089A">
        <w:rPr>
          <w:rFonts w:ascii="Arial" w:hAnsi="Arial"/>
          <w:noProof w:val="0"/>
          <w:rtl/>
        </w:rPr>
        <w:t xml:space="preserve"> ההולם נא בין 8  ל- 20 חודשי מאסר, שיכול שירוצו בעבודות שירות, בצירוף ענישה נלווית.</w:t>
      </w:r>
    </w:p>
    <w:p w14:paraId="3E8F36B9" w14:textId="77777777" w:rsidR="00FF338B" w:rsidRDefault="00FF338B" w:rsidP="00FF338B">
      <w:pPr>
        <w:spacing w:line="360" w:lineRule="auto"/>
        <w:jc w:val="both"/>
        <w:rPr>
          <w:rFonts w:ascii="Arial" w:hAnsi="Arial"/>
          <w:b/>
          <w:bCs/>
          <w:noProof w:val="0"/>
          <w:u w:val="single"/>
          <w:rtl/>
        </w:rPr>
      </w:pPr>
    </w:p>
    <w:p w14:paraId="17331DDE" w14:textId="77777777" w:rsidR="00FF338B" w:rsidRPr="007A2F4F" w:rsidRDefault="00FF338B" w:rsidP="00FF338B">
      <w:pPr>
        <w:spacing w:line="360" w:lineRule="auto"/>
        <w:jc w:val="both"/>
        <w:rPr>
          <w:rFonts w:ascii="Arial" w:hAnsi="Arial"/>
          <w:b/>
          <w:bCs/>
          <w:noProof w:val="0"/>
          <w:u w:val="single"/>
          <w:rtl/>
        </w:rPr>
      </w:pPr>
      <w:r w:rsidRPr="007A2F4F">
        <w:rPr>
          <w:rFonts w:ascii="Arial" w:hAnsi="Arial"/>
          <w:b/>
          <w:bCs/>
          <w:noProof w:val="0"/>
          <w:u w:val="single"/>
          <w:rtl/>
        </w:rPr>
        <w:t>נסיבות שאינן קשורות בביצוע העבירה:</w:t>
      </w:r>
    </w:p>
    <w:p w14:paraId="1F0D8C24" w14:textId="77777777" w:rsidR="00FF338B" w:rsidRPr="00C5089A" w:rsidRDefault="00FF338B" w:rsidP="00FF338B">
      <w:pPr>
        <w:pStyle w:val="a9"/>
        <w:numPr>
          <w:ilvl w:val="0"/>
          <w:numId w:val="1"/>
        </w:numPr>
        <w:spacing w:line="360" w:lineRule="auto"/>
        <w:jc w:val="both"/>
        <w:rPr>
          <w:rFonts w:ascii="Arial" w:hAnsi="Arial"/>
          <w:noProof w:val="0"/>
        </w:rPr>
      </w:pPr>
      <w:r w:rsidRPr="00C5089A">
        <w:rPr>
          <w:rFonts w:ascii="Arial" w:hAnsi="Arial"/>
          <w:noProof w:val="0"/>
          <w:rtl/>
        </w:rPr>
        <w:t xml:space="preserve">יש להביא בחשבון את הודאתו של הנאשם בהזדמנות הראשונה בכתב האישום המתוקן, את החיסכון בזמן השיפוטי והחיסכון בזמן למאשימה עצמה, שהרי כתב האישום המתוקן מונה 37 עדים. </w:t>
      </w:r>
    </w:p>
    <w:p w14:paraId="65C60749" w14:textId="77777777" w:rsidR="00FF338B" w:rsidRDefault="00FF338B" w:rsidP="00FF338B">
      <w:pPr>
        <w:spacing w:line="360" w:lineRule="auto"/>
        <w:jc w:val="both"/>
        <w:rPr>
          <w:rFonts w:ascii="Arial" w:hAnsi="Arial"/>
          <w:noProof w:val="0"/>
          <w:rtl/>
        </w:rPr>
      </w:pPr>
    </w:p>
    <w:p w14:paraId="79125CEC" w14:textId="77777777" w:rsidR="00FF338B" w:rsidRPr="00C5089A" w:rsidRDefault="00FF338B" w:rsidP="00FF338B">
      <w:pPr>
        <w:pStyle w:val="a9"/>
        <w:numPr>
          <w:ilvl w:val="0"/>
          <w:numId w:val="1"/>
        </w:numPr>
        <w:spacing w:line="360" w:lineRule="auto"/>
        <w:jc w:val="both"/>
        <w:rPr>
          <w:rFonts w:ascii="Arial" w:hAnsi="Arial"/>
          <w:noProof w:val="0"/>
          <w:rtl/>
        </w:rPr>
      </w:pPr>
      <w:r w:rsidRPr="00C5089A">
        <w:rPr>
          <w:rFonts w:ascii="Arial" w:hAnsi="Arial"/>
          <w:noProof w:val="0"/>
          <w:rtl/>
        </w:rPr>
        <w:t xml:space="preserve">הנאשם הביע לפני בית המשפט חרטה כנה ותקווה לשוב ולפרנס את משפחתו המורחבת ולהקים לעצמו בית. בית המשפט התרשם שהמדובר בחרטה כנה והנאשם הפנים את חומרת העבירה ותוצאותיה. </w:t>
      </w:r>
    </w:p>
    <w:p w14:paraId="5083CF08" w14:textId="77777777" w:rsidR="00FF338B" w:rsidRDefault="00FF338B" w:rsidP="00FF338B">
      <w:pPr>
        <w:spacing w:line="360" w:lineRule="auto"/>
        <w:jc w:val="both"/>
        <w:rPr>
          <w:rFonts w:ascii="Arial" w:hAnsi="Arial"/>
          <w:noProof w:val="0"/>
          <w:rtl/>
        </w:rPr>
      </w:pPr>
    </w:p>
    <w:p w14:paraId="6BAA4523" w14:textId="77777777" w:rsidR="00FF338B" w:rsidRPr="007A2F4F" w:rsidRDefault="00FF338B" w:rsidP="00FF338B">
      <w:pPr>
        <w:spacing w:line="360" w:lineRule="auto"/>
        <w:ind w:left="720"/>
        <w:jc w:val="both"/>
        <w:rPr>
          <w:rFonts w:ascii="Arial" w:hAnsi="Arial"/>
          <w:noProof w:val="0"/>
          <w:rtl/>
        </w:rPr>
      </w:pPr>
      <w:r w:rsidRPr="007A2F4F">
        <w:rPr>
          <w:rFonts w:ascii="Arial" w:hAnsi="Arial"/>
          <w:noProof w:val="0"/>
          <w:rtl/>
        </w:rPr>
        <w:t>נוסף על כך, יש לשקול את גילו הצעיר של הנאשם, היעדר עבר פלילי ותקופת מעצרו</w:t>
      </w:r>
      <w:r w:rsidRPr="007A2F4F">
        <w:rPr>
          <w:rFonts w:ascii="Arial" w:hAnsi="Arial"/>
          <w:noProof w:val="0"/>
        </w:rPr>
        <w:t xml:space="preserve"> </w:t>
      </w:r>
      <w:r w:rsidRPr="007A2F4F">
        <w:rPr>
          <w:rFonts w:ascii="Arial" w:hAnsi="Arial"/>
          <w:noProof w:val="0"/>
          <w:rtl/>
        </w:rPr>
        <w:t>(33</w:t>
      </w:r>
      <w:r w:rsidRPr="007A2F4F">
        <w:rPr>
          <w:rFonts w:ascii="Arial" w:hAnsi="Arial"/>
          <w:noProof w:val="0"/>
        </w:rPr>
        <w:t xml:space="preserve"> </w:t>
      </w:r>
      <w:r w:rsidRPr="007A2F4F">
        <w:rPr>
          <w:rFonts w:ascii="Arial" w:hAnsi="Arial"/>
          <w:noProof w:val="0"/>
          <w:rtl/>
        </w:rPr>
        <w:t xml:space="preserve">ימים) שהותירה עליו חותם משמעותי ותקופת שחרורו בתנאים מגבילים. יצויין שלא נטען שהנאשם הפר את תנאי שחרורו. </w:t>
      </w:r>
    </w:p>
    <w:p w14:paraId="7E2B4ABE" w14:textId="77777777" w:rsidR="00FF338B" w:rsidRDefault="00FF338B" w:rsidP="00FF338B">
      <w:pPr>
        <w:spacing w:line="360" w:lineRule="auto"/>
        <w:jc w:val="both"/>
        <w:rPr>
          <w:rFonts w:ascii="Arial" w:hAnsi="Arial"/>
          <w:noProof w:val="0"/>
          <w:rtl/>
        </w:rPr>
      </w:pPr>
    </w:p>
    <w:p w14:paraId="5DDF651D" w14:textId="77777777" w:rsidR="00FF338B" w:rsidRPr="007A2F4F" w:rsidRDefault="00FF338B" w:rsidP="00FF338B">
      <w:pPr>
        <w:spacing w:line="360" w:lineRule="auto"/>
        <w:ind w:left="720"/>
        <w:jc w:val="both"/>
        <w:rPr>
          <w:rFonts w:ascii="Arial" w:hAnsi="Arial"/>
          <w:noProof w:val="0"/>
          <w:rtl/>
        </w:rPr>
      </w:pPr>
      <w:r w:rsidRPr="007A2F4F">
        <w:rPr>
          <w:rFonts w:ascii="Arial" w:hAnsi="Arial"/>
          <w:noProof w:val="0"/>
          <w:rtl/>
        </w:rPr>
        <w:t xml:space="preserve">עוד יש לזכור שעד לביצוע העבירה דנן, קיים הנאשם אורח חיים נורמטיבי בכל תחום. הוא עבד לפרנסתו ופרנס את משפחתו המורחבת. </w:t>
      </w:r>
    </w:p>
    <w:p w14:paraId="5E3700BF" w14:textId="77777777" w:rsidR="00FF338B" w:rsidRDefault="00FF338B" w:rsidP="00FF338B">
      <w:pPr>
        <w:spacing w:line="360" w:lineRule="auto"/>
        <w:jc w:val="both"/>
        <w:rPr>
          <w:rFonts w:ascii="Arial" w:hAnsi="Arial"/>
          <w:noProof w:val="0"/>
          <w:rtl/>
        </w:rPr>
      </w:pPr>
    </w:p>
    <w:p w14:paraId="7F2478D9" w14:textId="77777777" w:rsidR="00FF338B" w:rsidRPr="00C5089A" w:rsidRDefault="00FF338B" w:rsidP="00FF338B">
      <w:pPr>
        <w:pStyle w:val="a9"/>
        <w:numPr>
          <w:ilvl w:val="0"/>
          <w:numId w:val="1"/>
        </w:numPr>
        <w:spacing w:line="360" w:lineRule="auto"/>
        <w:jc w:val="both"/>
        <w:rPr>
          <w:rFonts w:ascii="Arial" w:hAnsi="Arial"/>
          <w:noProof w:val="0"/>
          <w:rtl/>
        </w:rPr>
      </w:pPr>
      <w:r w:rsidRPr="00C5089A">
        <w:rPr>
          <w:rFonts w:ascii="Arial" w:hAnsi="Arial"/>
          <w:noProof w:val="0"/>
          <w:rtl/>
        </w:rPr>
        <w:t xml:space="preserve">בענייננו, לא עתר הנאשם לתסקיר שירות המבחן. אולם, עומדים לפני בית המשפט נתונים בכמות נכבדה המלמדים שיש מקום לסטות מהעונש המזערי אותו קבע המחוקק. יש לזכור שגם המאשימה בטיעוניה הכתובים ביקשה להעמיד את מתחם הענישה לתקופה שבין 9 ל- 23 חודשים, תוך שעמדתה היא למאסר מאחורי סורג ובריח. </w:t>
      </w:r>
    </w:p>
    <w:p w14:paraId="353D1864" w14:textId="77777777" w:rsidR="00FF338B" w:rsidRDefault="00FF338B" w:rsidP="00FF338B">
      <w:pPr>
        <w:spacing w:line="360" w:lineRule="auto"/>
        <w:jc w:val="both"/>
        <w:rPr>
          <w:rFonts w:ascii="Arial" w:hAnsi="Arial"/>
          <w:noProof w:val="0"/>
          <w:rtl/>
        </w:rPr>
      </w:pPr>
    </w:p>
    <w:p w14:paraId="03DD7C0A" w14:textId="77777777" w:rsidR="00FF338B" w:rsidRPr="007A2F4F" w:rsidRDefault="00FF338B" w:rsidP="00FF338B">
      <w:pPr>
        <w:spacing w:line="360" w:lineRule="auto"/>
        <w:ind w:left="720"/>
        <w:jc w:val="both"/>
        <w:rPr>
          <w:rFonts w:ascii="Arial" w:hAnsi="Arial"/>
          <w:noProof w:val="0"/>
          <w:rtl/>
        </w:rPr>
      </w:pPr>
      <w:r w:rsidRPr="007A2F4F">
        <w:rPr>
          <w:rFonts w:ascii="Arial" w:hAnsi="Arial"/>
          <w:noProof w:val="0"/>
          <w:rtl/>
        </w:rPr>
        <w:t>דומה שאין מקום בכל מקרה ומקרה לבקש תסקיר משירות המבחן העמוס ממילא. מקרה זה נמנה על אותם מקרים שיש בידי בית המשפט נתונים מספקים.</w:t>
      </w:r>
    </w:p>
    <w:p w14:paraId="62EC3897" w14:textId="77777777" w:rsidR="00FF338B" w:rsidRDefault="00FF338B" w:rsidP="00FF338B">
      <w:pPr>
        <w:spacing w:line="360" w:lineRule="auto"/>
        <w:jc w:val="both"/>
        <w:rPr>
          <w:rFonts w:ascii="Arial" w:hAnsi="Arial"/>
          <w:noProof w:val="0"/>
          <w:rtl/>
        </w:rPr>
      </w:pPr>
    </w:p>
    <w:p w14:paraId="1B43D219" w14:textId="77777777" w:rsidR="00FF338B" w:rsidRPr="007A2F4F" w:rsidRDefault="00FF338B" w:rsidP="00FF338B">
      <w:pPr>
        <w:spacing w:line="360" w:lineRule="auto"/>
        <w:ind w:left="720"/>
        <w:jc w:val="both"/>
        <w:rPr>
          <w:rFonts w:ascii="Arial" w:hAnsi="Arial"/>
          <w:noProof w:val="0"/>
          <w:rtl/>
        </w:rPr>
      </w:pPr>
      <w:r>
        <w:rPr>
          <w:rFonts w:ascii="Arial" w:hAnsi="Arial"/>
          <w:noProof w:val="0"/>
          <w:rtl/>
        </w:rPr>
        <w:t xml:space="preserve">זאת ועוד, </w:t>
      </w:r>
      <w:r w:rsidRPr="007A2F4F">
        <w:rPr>
          <w:rFonts w:ascii="Arial" w:hAnsi="Arial"/>
          <w:noProof w:val="0"/>
          <w:rtl/>
        </w:rPr>
        <w:t xml:space="preserve">ריצוי מאסר בדרך של עבודות שירות הוא בפיקוח. אם הנאשם יפר את תנאי עבודות השירות, ניתן יהיה להפסיק את ריצוי עבודות השירות ולהורות על ריצוי יתרת תקופת המאסר מאחורי סורג ובריח. </w:t>
      </w:r>
    </w:p>
    <w:p w14:paraId="13DFC960" w14:textId="77777777" w:rsidR="00FF338B" w:rsidRDefault="00FF338B" w:rsidP="00FF338B">
      <w:pPr>
        <w:spacing w:line="360" w:lineRule="auto"/>
        <w:jc w:val="both"/>
        <w:rPr>
          <w:rFonts w:ascii="Arial" w:hAnsi="Arial"/>
          <w:noProof w:val="0"/>
          <w:rtl/>
        </w:rPr>
      </w:pPr>
    </w:p>
    <w:p w14:paraId="0B3D1583" w14:textId="77777777" w:rsidR="00FF338B" w:rsidRPr="00C5089A" w:rsidRDefault="00FF338B" w:rsidP="00FF338B">
      <w:pPr>
        <w:pStyle w:val="a9"/>
        <w:numPr>
          <w:ilvl w:val="0"/>
          <w:numId w:val="1"/>
        </w:numPr>
        <w:spacing w:line="360" w:lineRule="auto"/>
        <w:jc w:val="both"/>
        <w:rPr>
          <w:rFonts w:ascii="Arial" w:hAnsi="Arial"/>
          <w:noProof w:val="0"/>
          <w:rtl/>
        </w:rPr>
      </w:pPr>
      <w:r w:rsidRPr="00C5089A">
        <w:rPr>
          <w:rFonts w:ascii="Arial" w:hAnsi="Arial"/>
          <w:noProof w:val="0"/>
          <w:rtl/>
        </w:rPr>
        <w:t>נוכח הענישה שתוטל על הנאשם לא יילקחו בחשבון תקופ</w:t>
      </w:r>
      <w:r>
        <w:rPr>
          <w:rFonts w:ascii="Arial" w:hAnsi="Arial"/>
          <w:noProof w:val="0"/>
          <w:rtl/>
        </w:rPr>
        <w:t>ת המעצר ותקופת השחרור בתנאים</w:t>
      </w:r>
      <w:r>
        <w:rPr>
          <w:rFonts w:ascii="Arial" w:hAnsi="Arial" w:hint="cs"/>
          <w:noProof w:val="0"/>
          <w:rtl/>
        </w:rPr>
        <w:t xml:space="preserve">. </w:t>
      </w:r>
      <w:r w:rsidRPr="00C5089A">
        <w:rPr>
          <w:rFonts w:ascii="Arial" w:hAnsi="Arial"/>
          <w:noProof w:val="0"/>
          <w:rtl/>
        </w:rPr>
        <w:t xml:space="preserve">כמו כן, לא נמצא לנכון לסטות ממתחם העונש שנקבע לעיל. בד בבד, נסיבות העניין מטות את הכף לגזירת העונש ברף הנמוך של מתחם העונש שנקבע. </w:t>
      </w:r>
    </w:p>
    <w:p w14:paraId="416EE774" w14:textId="77777777" w:rsidR="00FF338B" w:rsidRDefault="00FF338B" w:rsidP="00FF338B">
      <w:pPr>
        <w:spacing w:line="360" w:lineRule="auto"/>
        <w:jc w:val="both"/>
        <w:rPr>
          <w:rFonts w:ascii="Arial" w:hAnsi="Arial"/>
          <w:noProof w:val="0"/>
          <w:rtl/>
        </w:rPr>
      </w:pPr>
    </w:p>
    <w:p w14:paraId="56B23511" w14:textId="77777777" w:rsidR="00FF338B" w:rsidRPr="007A2F4F" w:rsidRDefault="00FF338B" w:rsidP="00FF338B">
      <w:pPr>
        <w:spacing w:line="360" w:lineRule="auto"/>
        <w:ind w:left="720"/>
        <w:jc w:val="both"/>
        <w:rPr>
          <w:rFonts w:ascii="Arial" w:hAnsi="Arial"/>
          <w:noProof w:val="0"/>
          <w:rtl/>
        </w:rPr>
      </w:pPr>
      <w:r w:rsidRPr="007A2F4F">
        <w:rPr>
          <w:rFonts w:ascii="Arial" w:hAnsi="Arial"/>
          <w:noProof w:val="0"/>
          <w:rtl/>
        </w:rPr>
        <w:t xml:space="preserve">נוסף על כך, הנסיבות המתוארות לעיל מצדיקות סטייה מהעונש המזערי אותו קבע המחוקק </w:t>
      </w:r>
      <w:hyperlink r:id="rId34" w:history="1">
        <w:r w:rsidR="009643FF" w:rsidRPr="009643FF">
          <w:rPr>
            <w:rStyle w:val="Hyperlink"/>
            <w:rFonts w:ascii="Arial" w:hAnsi="Arial"/>
            <w:noProof w:val="0"/>
            <w:color w:val="0000FF"/>
            <w:rtl/>
          </w:rPr>
          <w:t>בסעיף 144(ז)</w:t>
        </w:r>
      </w:hyperlink>
      <w:r w:rsidRPr="007A2F4F">
        <w:rPr>
          <w:rFonts w:ascii="Arial" w:hAnsi="Arial"/>
          <w:noProof w:val="0"/>
          <w:rtl/>
        </w:rPr>
        <w:t xml:space="preserve"> ל</w:t>
      </w:r>
      <w:hyperlink r:id="rId35" w:history="1">
        <w:r w:rsidR="00E371E2" w:rsidRPr="00E371E2">
          <w:rPr>
            <w:rFonts w:ascii="Arial" w:hAnsi="Arial"/>
            <w:noProof w:val="0"/>
            <w:color w:val="0000FF"/>
            <w:u w:val="single"/>
            <w:rtl/>
          </w:rPr>
          <w:t>חוק העונשין</w:t>
        </w:r>
      </w:hyperlink>
      <w:r w:rsidRPr="007A2F4F">
        <w:rPr>
          <w:rFonts w:ascii="Arial" w:hAnsi="Arial"/>
          <w:noProof w:val="0"/>
          <w:rtl/>
        </w:rPr>
        <w:t xml:space="preserve">. כך גם סברה המאשימה בטיעוניה. </w:t>
      </w:r>
    </w:p>
    <w:p w14:paraId="0DAAA48C" w14:textId="77777777" w:rsidR="00FF338B" w:rsidRDefault="00FF338B" w:rsidP="00FF338B">
      <w:pPr>
        <w:spacing w:line="360" w:lineRule="auto"/>
        <w:jc w:val="both"/>
        <w:rPr>
          <w:rFonts w:ascii="Arial" w:hAnsi="Arial"/>
          <w:b/>
          <w:bCs/>
          <w:noProof w:val="0"/>
          <w:u w:val="single"/>
          <w:rtl/>
        </w:rPr>
      </w:pPr>
    </w:p>
    <w:p w14:paraId="66773A64" w14:textId="77777777" w:rsidR="00FF338B" w:rsidRPr="007A2F4F" w:rsidRDefault="00FF338B" w:rsidP="00FF338B">
      <w:pPr>
        <w:spacing w:line="360" w:lineRule="auto"/>
        <w:jc w:val="both"/>
        <w:rPr>
          <w:rFonts w:ascii="Arial" w:hAnsi="Arial"/>
          <w:b/>
          <w:bCs/>
          <w:noProof w:val="0"/>
          <w:u w:val="single"/>
          <w:rtl/>
        </w:rPr>
      </w:pPr>
      <w:r w:rsidRPr="007A2F4F">
        <w:rPr>
          <w:rFonts w:ascii="Arial" w:hAnsi="Arial"/>
          <w:b/>
          <w:bCs/>
          <w:noProof w:val="0"/>
          <w:u w:val="single"/>
          <w:rtl/>
        </w:rPr>
        <w:t>התוצאה:</w:t>
      </w:r>
    </w:p>
    <w:p w14:paraId="0707FCA0" w14:textId="77777777" w:rsidR="00FF338B" w:rsidRPr="007A2F4F" w:rsidRDefault="00FF338B" w:rsidP="00FF338B">
      <w:pPr>
        <w:spacing w:line="360" w:lineRule="auto"/>
        <w:ind w:left="720" w:hanging="720"/>
        <w:jc w:val="both"/>
        <w:rPr>
          <w:rFonts w:ascii="Arial" w:hAnsi="Arial"/>
          <w:noProof w:val="0"/>
        </w:rPr>
      </w:pPr>
      <w:r>
        <w:rPr>
          <w:rFonts w:ascii="Arial" w:hAnsi="Arial" w:hint="cs"/>
          <w:noProof w:val="0"/>
          <w:rtl/>
        </w:rPr>
        <w:t>25.</w:t>
      </w:r>
      <w:r>
        <w:rPr>
          <w:rFonts w:ascii="Arial" w:hAnsi="Arial"/>
          <w:noProof w:val="0"/>
          <w:rtl/>
        </w:rPr>
        <w:tab/>
      </w:r>
      <w:r>
        <w:rPr>
          <w:rFonts w:ascii="Arial" w:hAnsi="Arial" w:hint="cs"/>
          <w:noProof w:val="0"/>
          <w:rtl/>
        </w:rPr>
        <w:t>8</w:t>
      </w:r>
      <w:r w:rsidRPr="007A2F4F">
        <w:rPr>
          <w:rFonts w:ascii="Arial" w:hAnsi="Arial"/>
          <w:noProof w:val="0"/>
          <w:rtl/>
        </w:rPr>
        <w:t xml:space="preserve"> חודשי מאסר בפועל אותם ירצה הנאשם בעבודות שירות במועצה המקומית כאבול, חמישה ימים בשבוע. המאשימה ביקשה שככל שיוטל על הנאשם עונש לריצוי בדרך של עבודות שירות, זה יושהה לצורך בחינת הגשת ערעור. בהינתן האמור</w:t>
      </w:r>
      <w:r>
        <w:rPr>
          <w:rFonts w:ascii="Arial" w:hAnsi="Arial" w:hint="cs"/>
          <w:noProof w:val="0"/>
          <w:rtl/>
        </w:rPr>
        <w:t>,</w:t>
      </w:r>
      <w:r w:rsidRPr="007A2F4F">
        <w:rPr>
          <w:rFonts w:ascii="Arial" w:hAnsi="Arial"/>
          <w:noProof w:val="0"/>
          <w:rtl/>
        </w:rPr>
        <w:t xml:space="preserve"> הנאשם יתייצב ביום </w:t>
      </w:r>
      <w:r>
        <w:rPr>
          <w:rFonts w:ascii="Arial" w:hAnsi="Arial" w:hint="cs"/>
          <w:noProof w:val="0"/>
          <w:rtl/>
        </w:rPr>
        <w:t>20.3.24</w:t>
      </w:r>
      <w:r>
        <w:rPr>
          <w:rFonts w:ascii="Arial" w:hAnsi="Arial"/>
          <w:noProof w:val="0"/>
          <w:rtl/>
        </w:rPr>
        <w:t xml:space="preserve"> </w:t>
      </w:r>
      <w:r w:rsidRPr="007A2F4F">
        <w:rPr>
          <w:rFonts w:ascii="Arial" w:hAnsi="Arial"/>
          <w:noProof w:val="0"/>
          <w:rtl/>
        </w:rPr>
        <w:t>במשרדי הממונה על עבודות השירות בשעה 8:00, יחידת ברקאי, עבודות שירות, שלוחת צפון, ליד בית הסוהר מגידו.</w:t>
      </w:r>
      <w:r>
        <w:rPr>
          <w:rFonts w:ascii="Arial" w:hAnsi="Arial" w:hint="cs"/>
          <w:noProof w:val="0"/>
          <w:rtl/>
        </w:rPr>
        <w:t xml:space="preserve"> המועד נקבע לבקשת המאשימה על מנת לאפשר לשקול הגשת ערעור.</w:t>
      </w:r>
    </w:p>
    <w:p w14:paraId="587347FC" w14:textId="77777777" w:rsidR="00FF338B" w:rsidRDefault="00FF338B" w:rsidP="00FF338B">
      <w:pPr>
        <w:spacing w:line="360" w:lineRule="auto"/>
        <w:jc w:val="both"/>
        <w:rPr>
          <w:rFonts w:ascii="Arial" w:hAnsi="Arial"/>
          <w:noProof w:val="0"/>
          <w:rtl/>
        </w:rPr>
      </w:pPr>
    </w:p>
    <w:p w14:paraId="599D81C9" w14:textId="77777777" w:rsidR="00FF338B" w:rsidRPr="007A2F4F" w:rsidRDefault="00FF338B" w:rsidP="00FF338B">
      <w:pPr>
        <w:spacing w:line="360" w:lineRule="auto"/>
        <w:ind w:left="720"/>
        <w:jc w:val="both"/>
        <w:rPr>
          <w:rFonts w:ascii="Arial" w:hAnsi="Arial"/>
          <w:noProof w:val="0"/>
          <w:rtl/>
        </w:rPr>
      </w:pPr>
      <w:r w:rsidRPr="007A2F4F">
        <w:rPr>
          <w:rFonts w:ascii="Arial" w:hAnsi="Arial"/>
          <w:noProof w:val="0"/>
          <w:rtl/>
        </w:rPr>
        <w:t>היה והנאשם לא יקיים את תנאי עבודות השירות, ניתן יהיה להפסיקן והנאשם ירצה את יתרת העונש בבית כלא. על הנאשם לדעת כי מדובר בתנאי העסקה קפדניים וכל חריגה מן הכללים, עלולה להביא להפסקה מנהלית של עבודת השירות וריצוי יתרת העונש במאסר ממש.</w:t>
      </w:r>
    </w:p>
    <w:p w14:paraId="0A88E3CC" w14:textId="77777777" w:rsidR="00FF338B" w:rsidRDefault="00FF338B" w:rsidP="00FF338B">
      <w:pPr>
        <w:spacing w:line="360" w:lineRule="auto"/>
        <w:ind w:firstLine="720"/>
        <w:jc w:val="both"/>
        <w:rPr>
          <w:rFonts w:ascii="Arial" w:hAnsi="Arial"/>
          <w:noProof w:val="0"/>
          <w:rtl/>
        </w:rPr>
      </w:pPr>
    </w:p>
    <w:p w14:paraId="4097D28A" w14:textId="77777777" w:rsidR="00FF338B" w:rsidRPr="007A2F4F" w:rsidRDefault="00FF338B" w:rsidP="00FF338B">
      <w:pPr>
        <w:spacing w:line="360" w:lineRule="auto"/>
        <w:ind w:firstLine="720"/>
        <w:jc w:val="both"/>
        <w:rPr>
          <w:rFonts w:ascii="Arial" w:hAnsi="Arial"/>
          <w:noProof w:val="0"/>
          <w:rtl/>
        </w:rPr>
      </w:pPr>
      <w:r w:rsidRPr="007A2F4F">
        <w:rPr>
          <w:rFonts w:ascii="Arial" w:hAnsi="Arial"/>
          <w:noProof w:val="0"/>
          <w:rtl/>
        </w:rPr>
        <w:t xml:space="preserve">לא נמצא לנכון לנכות את תקופת ימי מעצרו של הנאשם. </w:t>
      </w:r>
    </w:p>
    <w:p w14:paraId="1B74D246" w14:textId="77777777" w:rsidR="00FF338B" w:rsidRDefault="00FF338B" w:rsidP="00FF338B">
      <w:pPr>
        <w:spacing w:line="360" w:lineRule="auto"/>
        <w:jc w:val="both"/>
        <w:rPr>
          <w:rFonts w:ascii="Arial" w:hAnsi="Arial"/>
          <w:noProof w:val="0"/>
          <w:rtl/>
        </w:rPr>
      </w:pPr>
    </w:p>
    <w:p w14:paraId="6BB38E9C" w14:textId="77777777" w:rsidR="00FF338B" w:rsidRPr="007A2F4F" w:rsidRDefault="00FF338B" w:rsidP="00FF338B">
      <w:pPr>
        <w:spacing w:line="360" w:lineRule="auto"/>
        <w:ind w:left="720"/>
        <w:jc w:val="both"/>
        <w:rPr>
          <w:rFonts w:ascii="Arial" w:hAnsi="Arial"/>
          <w:noProof w:val="0"/>
          <w:rtl/>
        </w:rPr>
      </w:pPr>
      <w:r>
        <w:rPr>
          <w:rFonts w:ascii="Arial" w:hAnsi="Arial" w:hint="cs"/>
          <w:noProof w:val="0"/>
          <w:rtl/>
        </w:rPr>
        <w:t xml:space="preserve">10 </w:t>
      </w:r>
      <w:r w:rsidRPr="007A2F4F">
        <w:rPr>
          <w:rFonts w:ascii="Arial" w:hAnsi="Arial"/>
          <w:noProof w:val="0"/>
          <w:rtl/>
        </w:rPr>
        <w:t xml:space="preserve">חודשי מאסר על תנאי, והתנאי שהנאשם לא יעבור בתוך 3 שנים עבירת נשק מסוג פשע ויורשע בגינה. </w:t>
      </w:r>
    </w:p>
    <w:p w14:paraId="6272E5F0" w14:textId="77777777" w:rsidR="00FF338B" w:rsidRDefault="00FF338B" w:rsidP="00FF338B">
      <w:pPr>
        <w:spacing w:line="360" w:lineRule="auto"/>
        <w:jc w:val="both"/>
        <w:rPr>
          <w:rFonts w:ascii="Arial" w:hAnsi="Arial"/>
          <w:noProof w:val="0"/>
          <w:rtl/>
        </w:rPr>
      </w:pPr>
    </w:p>
    <w:p w14:paraId="6CEC1E59" w14:textId="77777777" w:rsidR="00FF338B" w:rsidRPr="007A2F4F" w:rsidRDefault="00FF338B" w:rsidP="00FF338B">
      <w:pPr>
        <w:spacing w:line="360" w:lineRule="auto"/>
        <w:ind w:left="720"/>
        <w:jc w:val="both"/>
        <w:rPr>
          <w:rFonts w:ascii="Arial" w:hAnsi="Arial"/>
          <w:noProof w:val="0"/>
          <w:rtl/>
        </w:rPr>
      </w:pPr>
      <w:r w:rsidRPr="007A2F4F">
        <w:rPr>
          <w:rFonts w:ascii="Arial" w:hAnsi="Arial"/>
          <w:noProof w:val="0"/>
          <w:rtl/>
        </w:rPr>
        <w:t xml:space="preserve">קנס בסך של 3,000 ₪ או 30 ימי מאסר חלף הקנס. הקנס ישולם ב- 10 תשלומים שווים ועוקבים החל מיום 10.4.24. לא ישלם הנאשם אחד התשלומים במועד, תעמוד יתרת הקנס לתשלום מיידי. </w:t>
      </w:r>
    </w:p>
    <w:p w14:paraId="39552755" w14:textId="77777777" w:rsidR="00FF338B" w:rsidRPr="007A2F4F" w:rsidRDefault="00FF338B" w:rsidP="00FF338B">
      <w:pPr>
        <w:spacing w:line="360" w:lineRule="auto"/>
        <w:jc w:val="both"/>
        <w:rPr>
          <w:rFonts w:ascii="Arial" w:hAnsi="Arial"/>
          <w:noProof w:val="0"/>
          <w:rtl/>
        </w:rPr>
      </w:pPr>
    </w:p>
    <w:p w14:paraId="12D2AA0B" w14:textId="77777777" w:rsidR="00FF338B" w:rsidRPr="007A2F4F" w:rsidRDefault="00FF338B" w:rsidP="00FF338B">
      <w:pPr>
        <w:spacing w:line="360" w:lineRule="auto"/>
        <w:ind w:firstLine="720"/>
        <w:jc w:val="both"/>
        <w:rPr>
          <w:rFonts w:ascii="Arial" w:hAnsi="Arial"/>
          <w:noProof w:val="0"/>
          <w:rtl/>
        </w:rPr>
      </w:pPr>
      <w:r w:rsidRPr="007A2F4F">
        <w:rPr>
          <w:rFonts w:ascii="Arial" w:hAnsi="Arial"/>
          <w:noProof w:val="0"/>
          <w:rtl/>
        </w:rPr>
        <w:t>זכות ערעור תוך 45 יום לבית המשפט העליון.</w:t>
      </w:r>
    </w:p>
    <w:p w14:paraId="36D22A62" w14:textId="77777777" w:rsidR="00FF338B" w:rsidRPr="00B95D6E" w:rsidRDefault="00FF338B" w:rsidP="00FF338B">
      <w:pPr>
        <w:spacing w:line="360" w:lineRule="auto"/>
        <w:jc w:val="both"/>
        <w:rPr>
          <w:rFonts w:ascii="Arial" w:hAnsi="Arial"/>
          <w:noProof w:val="0"/>
          <w:rtl/>
        </w:rPr>
      </w:pPr>
    </w:p>
    <w:p w14:paraId="37B0C8E5" w14:textId="77777777" w:rsidR="00FF338B" w:rsidRPr="00E371E2" w:rsidRDefault="00E371E2" w:rsidP="00FF338B">
      <w:pPr>
        <w:spacing w:line="360" w:lineRule="auto"/>
        <w:jc w:val="both"/>
        <w:rPr>
          <w:rFonts w:ascii="Arial" w:hAnsi="Arial"/>
          <w:noProof w:val="0"/>
          <w:color w:val="FFFFFF"/>
          <w:sz w:val="2"/>
          <w:szCs w:val="2"/>
          <w:rtl/>
        </w:rPr>
      </w:pPr>
      <w:r w:rsidRPr="00E371E2">
        <w:rPr>
          <w:rFonts w:ascii="Arial" w:hAnsi="Arial"/>
          <w:noProof w:val="0"/>
          <w:color w:val="FFFFFF"/>
          <w:sz w:val="2"/>
          <w:szCs w:val="2"/>
          <w:rtl/>
        </w:rPr>
        <w:t>5129371</w:t>
      </w:r>
    </w:p>
    <w:p w14:paraId="1417C41F" w14:textId="77777777" w:rsidR="00FF338B" w:rsidRPr="00E371E2" w:rsidRDefault="00E371E2" w:rsidP="00FF338B">
      <w:pPr>
        <w:spacing w:line="360" w:lineRule="auto"/>
        <w:jc w:val="both"/>
        <w:rPr>
          <w:rFonts w:ascii="Arial" w:hAnsi="Arial"/>
          <w:noProof w:val="0"/>
          <w:color w:val="FFFFFF"/>
          <w:sz w:val="2"/>
          <w:szCs w:val="2"/>
          <w:rtl/>
        </w:rPr>
      </w:pPr>
      <w:r w:rsidRPr="00E371E2">
        <w:rPr>
          <w:rFonts w:ascii="Arial" w:hAnsi="Arial"/>
          <w:noProof w:val="0"/>
          <w:color w:val="FFFFFF"/>
          <w:sz w:val="2"/>
          <w:szCs w:val="2"/>
          <w:rtl/>
        </w:rPr>
        <w:t>54678313</w:t>
      </w:r>
    </w:p>
    <w:p w14:paraId="6ECBA550" w14:textId="77777777" w:rsidR="00FF338B" w:rsidRPr="00B95D6E" w:rsidRDefault="00FF338B" w:rsidP="00FF338B">
      <w:pPr>
        <w:spacing w:line="360" w:lineRule="auto"/>
        <w:jc w:val="both"/>
        <w:rPr>
          <w:rFonts w:ascii="Arial" w:hAnsi="Arial"/>
          <w:noProof w:val="0"/>
          <w:rtl/>
        </w:rPr>
      </w:pPr>
    </w:p>
    <w:p w14:paraId="1591D5EB" w14:textId="77777777" w:rsidR="00FF338B" w:rsidRDefault="00E371E2" w:rsidP="00FF338B">
      <w:pPr>
        <w:tabs>
          <w:tab w:val="left" w:pos="2553"/>
        </w:tabs>
        <w:ind w:left="5040"/>
        <w:rPr>
          <w:rtl/>
        </w:rPr>
      </w:pPr>
      <w:bookmarkStart w:id="9" w:name="Nitan"/>
      <w:r>
        <w:rPr>
          <w:rFonts w:ascii="Arial" w:hAnsi="Arial"/>
          <w:noProof w:val="0"/>
          <w:rtl/>
        </w:rPr>
        <w:t xml:space="preserve">ניתן היום, כ"ו שבט תשפ"ד, 05 פברואר 2024, במעמד הצדדים. </w:t>
      </w:r>
      <w:bookmarkEnd w:id="9"/>
      <w:r w:rsidR="00FF338B">
        <w:rPr>
          <w:rFonts w:hint="cs"/>
          <w:rtl/>
        </w:rPr>
        <w:t xml:space="preserve">     </w:t>
      </w:r>
    </w:p>
    <w:p w14:paraId="16C8428F" w14:textId="77777777" w:rsidR="00E371E2" w:rsidRDefault="00E371E2" w:rsidP="00E371E2">
      <w:pPr>
        <w:rPr>
          <w:rtl/>
        </w:rPr>
      </w:pPr>
    </w:p>
    <w:p w14:paraId="1BAE258B" w14:textId="77777777" w:rsidR="00E371E2" w:rsidRDefault="00E371E2" w:rsidP="00E371E2">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02E304D1" w14:textId="77777777" w:rsidR="009643FF" w:rsidRPr="009643FF" w:rsidRDefault="009643FF" w:rsidP="009643FF">
      <w:pPr>
        <w:keepNext/>
        <w:rPr>
          <w:rFonts w:ascii="David" w:hAnsi="David"/>
          <w:color w:val="000000"/>
          <w:sz w:val="22"/>
          <w:szCs w:val="22"/>
          <w:rtl/>
        </w:rPr>
      </w:pPr>
    </w:p>
    <w:p w14:paraId="5A3C65B2" w14:textId="77777777" w:rsidR="009643FF" w:rsidRPr="009643FF" w:rsidRDefault="009643FF" w:rsidP="009643FF">
      <w:pPr>
        <w:keepNext/>
        <w:rPr>
          <w:rFonts w:ascii="David" w:hAnsi="David"/>
          <w:color w:val="000000"/>
          <w:sz w:val="22"/>
          <w:szCs w:val="22"/>
          <w:rtl/>
        </w:rPr>
      </w:pPr>
      <w:r w:rsidRPr="009643FF">
        <w:rPr>
          <w:rFonts w:ascii="David" w:hAnsi="David"/>
          <w:color w:val="000000"/>
          <w:sz w:val="22"/>
          <w:szCs w:val="22"/>
          <w:rtl/>
        </w:rPr>
        <w:t>איל באומגרט 54678313-/</w:t>
      </w:r>
    </w:p>
    <w:p w14:paraId="5A16381B" w14:textId="77777777" w:rsidR="00E371E2" w:rsidRPr="00E371E2" w:rsidRDefault="009643FF" w:rsidP="009643FF">
      <w:pPr>
        <w:rPr>
          <w:color w:val="0000FF"/>
          <w:u w:val="single"/>
        </w:rPr>
      </w:pPr>
      <w:r w:rsidRPr="009643FF">
        <w:rPr>
          <w:color w:val="000000"/>
          <w:u w:val="single"/>
          <w:rtl/>
        </w:rPr>
        <w:t>נוסח מסמך זה כפוף לשינויי ניסוח ועריכה</w:t>
      </w:r>
    </w:p>
    <w:sectPr w:rsidR="00E371E2" w:rsidRPr="00E371E2" w:rsidSect="009643FF">
      <w:headerReference w:type="even" r:id="rId37"/>
      <w:headerReference w:type="default" r:id="rId38"/>
      <w:footerReference w:type="even" r:id="rId39"/>
      <w:footerReference w:type="default" r:id="rId40"/>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4815B" w14:textId="77777777" w:rsidR="00F91309" w:rsidRDefault="00F91309" w:rsidP="000A192C">
      <w:r>
        <w:separator/>
      </w:r>
    </w:p>
  </w:endnote>
  <w:endnote w:type="continuationSeparator" w:id="0">
    <w:p w14:paraId="06651255" w14:textId="77777777" w:rsidR="00F91309" w:rsidRDefault="00F91309" w:rsidP="000A1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BD27F" w14:textId="77777777" w:rsidR="009643FF" w:rsidRDefault="009643FF" w:rsidP="009643F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10870278" w14:textId="77777777" w:rsidR="00E371E2" w:rsidRPr="009643FF" w:rsidRDefault="009643FF" w:rsidP="009643FF">
    <w:pPr>
      <w:pStyle w:val="a5"/>
      <w:pBdr>
        <w:top w:val="single" w:sz="4" w:space="1" w:color="auto"/>
        <w:between w:val="single" w:sz="4" w:space="0" w:color="auto"/>
      </w:pBdr>
      <w:spacing w:after="60"/>
      <w:jc w:val="center"/>
      <w:rPr>
        <w:rFonts w:ascii="FrankRuehl" w:hAnsi="FrankRuehl" w:cs="FrankRuehl"/>
        <w:color w:val="000000"/>
      </w:rPr>
    </w:pPr>
    <w:r w:rsidRPr="009643F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27EBD" w14:textId="77777777" w:rsidR="009643FF" w:rsidRDefault="009643FF" w:rsidP="009643FF">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B206EE">
      <w:rPr>
        <w:rStyle w:val="a8"/>
        <w:rFonts w:ascii="FrankRuehl" w:hAnsi="FrankRuehl" w:cs="FrankRuehl"/>
        <w:rtl/>
      </w:rPr>
      <w:t>1</w:t>
    </w:r>
    <w:r>
      <w:rPr>
        <w:rStyle w:val="a8"/>
        <w:rFonts w:ascii="FrankRuehl" w:hAnsi="FrankRuehl" w:cs="FrankRuehl"/>
        <w:rtl/>
      </w:rPr>
      <w:fldChar w:fldCharType="end"/>
    </w:r>
  </w:p>
  <w:p w14:paraId="1714D727" w14:textId="77777777" w:rsidR="002F306D" w:rsidRPr="009643FF" w:rsidRDefault="009643FF" w:rsidP="009643FF">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9643FF">
      <w:rPr>
        <w:rStyle w:val="a8"/>
        <w:rFonts w:ascii="FrankRuehl" w:hAnsi="FrankRuehl" w:cs="FrankRuehl" w:hint="cs"/>
        <w:color w:val="000000"/>
      </w:rPr>
      <w:pict w14:anchorId="52BB9E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52594" w14:textId="77777777" w:rsidR="00F91309" w:rsidRDefault="00F91309" w:rsidP="000A192C">
      <w:r>
        <w:separator/>
      </w:r>
    </w:p>
  </w:footnote>
  <w:footnote w:type="continuationSeparator" w:id="0">
    <w:p w14:paraId="0EF76F38" w14:textId="77777777" w:rsidR="00F91309" w:rsidRDefault="00F91309" w:rsidP="000A1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E3F7D" w14:textId="77777777" w:rsidR="00E371E2" w:rsidRPr="009643FF" w:rsidRDefault="009643FF" w:rsidP="009643F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22642-11-23</w:t>
    </w:r>
    <w:r>
      <w:rPr>
        <w:rFonts w:ascii="David" w:hAnsi="David"/>
        <w:color w:val="000000"/>
        <w:sz w:val="22"/>
        <w:szCs w:val="22"/>
        <w:rtl/>
      </w:rPr>
      <w:tab/>
      <w:t xml:space="preserve"> מדינת ישראל נ' זידאן טאהא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D8278" w14:textId="77777777" w:rsidR="00E371E2" w:rsidRPr="009643FF" w:rsidRDefault="009643FF" w:rsidP="009643F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22642-11-23</w:t>
    </w:r>
    <w:r>
      <w:rPr>
        <w:rFonts w:ascii="David" w:hAnsi="David"/>
        <w:color w:val="000000"/>
        <w:sz w:val="22"/>
        <w:szCs w:val="22"/>
        <w:rtl/>
      </w:rPr>
      <w:tab/>
      <w:t xml:space="preserve"> מדינת ישראל נ' זידאן טאהא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26D58"/>
    <w:multiLevelType w:val="hybridMultilevel"/>
    <w:tmpl w:val="0E08A714"/>
    <w:lvl w:ilvl="0" w:tplc="4648ACC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3628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F338B"/>
    <w:rsid w:val="000A192C"/>
    <w:rsid w:val="00123D18"/>
    <w:rsid w:val="00152572"/>
    <w:rsid w:val="001B5A3B"/>
    <w:rsid w:val="002F306D"/>
    <w:rsid w:val="009643FF"/>
    <w:rsid w:val="00B206EE"/>
    <w:rsid w:val="00E371E2"/>
    <w:rsid w:val="00F91309"/>
    <w:rsid w:val="00FF33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0910A8"/>
  <w15:chartTrackingRefBased/>
  <w15:docId w15:val="{1256D908-ECB4-4152-8EC2-65E9FDE4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338B"/>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F338B"/>
    <w:pPr>
      <w:tabs>
        <w:tab w:val="center" w:pos="4153"/>
        <w:tab w:val="right" w:pos="8306"/>
      </w:tabs>
    </w:pPr>
  </w:style>
  <w:style w:type="character" w:customStyle="1" w:styleId="a4">
    <w:name w:val="כותרת עליונה תו"/>
    <w:link w:val="a3"/>
    <w:rsid w:val="00FF338B"/>
    <w:rPr>
      <w:rFonts w:ascii="Times New Roman" w:eastAsia="Times New Roman" w:hAnsi="Times New Roman" w:cs="David"/>
      <w:noProof/>
      <w:sz w:val="24"/>
      <w:szCs w:val="24"/>
    </w:rPr>
  </w:style>
  <w:style w:type="paragraph" w:styleId="a5">
    <w:name w:val="footer"/>
    <w:basedOn w:val="a"/>
    <w:link w:val="a6"/>
    <w:rsid w:val="00FF338B"/>
    <w:pPr>
      <w:tabs>
        <w:tab w:val="center" w:pos="4153"/>
        <w:tab w:val="right" w:pos="8306"/>
      </w:tabs>
    </w:pPr>
  </w:style>
  <w:style w:type="character" w:customStyle="1" w:styleId="a6">
    <w:name w:val="כותרת תחתונה תו"/>
    <w:link w:val="a5"/>
    <w:rsid w:val="00FF338B"/>
    <w:rPr>
      <w:rFonts w:ascii="Times New Roman" w:eastAsia="Times New Roman" w:hAnsi="Times New Roman" w:cs="David"/>
      <w:noProof/>
      <w:sz w:val="24"/>
      <w:szCs w:val="24"/>
    </w:rPr>
  </w:style>
  <w:style w:type="table" w:styleId="a7">
    <w:name w:val="Table Grid"/>
    <w:basedOn w:val="a1"/>
    <w:rsid w:val="00FF338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F338B"/>
  </w:style>
  <w:style w:type="character" w:styleId="Hyperlink">
    <w:name w:val="Hyperlink"/>
    <w:rsid w:val="00FF338B"/>
    <w:rPr>
      <w:color w:val="0563C1"/>
      <w:u w:val="single"/>
    </w:rPr>
  </w:style>
  <w:style w:type="paragraph" w:styleId="a9">
    <w:name w:val="List Paragraph"/>
    <w:basedOn w:val="a"/>
    <w:qFormat/>
    <w:rsid w:val="00FF338B"/>
    <w:pPr>
      <w:ind w:left="720"/>
      <w:contextualSpacing/>
    </w:pPr>
  </w:style>
  <w:style w:type="character" w:styleId="aa">
    <w:name w:val="line number"/>
    <w:rsid w:val="00FF3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22908758" TargetMode="External"/><Relationship Id="rId39" Type="http://schemas.openxmlformats.org/officeDocument/2006/relationships/footer" Target="footer1.xml"/><Relationship Id="rId21" Type="http://schemas.openxmlformats.org/officeDocument/2006/relationships/hyperlink" Target="http://www.nevo.co.il/law/70301" TargetMode="External"/><Relationship Id="rId34" Type="http://schemas.openxmlformats.org/officeDocument/2006/relationships/hyperlink" Target="http://www.nevo.co.il/law/70301/144.g"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40.a.;40if" TargetMode="External"/><Relationship Id="rId29" Type="http://schemas.openxmlformats.org/officeDocument/2006/relationships/hyperlink" Target="http://www.nevo.co.il/case/2948673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g" TargetMode="External"/><Relationship Id="rId24" Type="http://schemas.openxmlformats.org/officeDocument/2006/relationships/hyperlink" Target="http://www.nevo.co.il/case/29867910" TargetMode="External"/><Relationship Id="rId32" Type="http://schemas.openxmlformats.org/officeDocument/2006/relationships/hyperlink" Target="http://www.nevo.co.il/case/22690203"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144.g"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9445473"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8963593"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144.g" TargetMode="External"/><Relationship Id="rId27" Type="http://schemas.openxmlformats.org/officeDocument/2006/relationships/hyperlink" Target="http://www.nevo.co.il/case/5865581" TargetMode="External"/><Relationship Id="rId30" Type="http://schemas.openxmlformats.org/officeDocument/2006/relationships/hyperlink" Target="http://www.nevo.co.il/case/28926209" TargetMode="External"/><Relationship Id="rId35" Type="http://schemas.openxmlformats.org/officeDocument/2006/relationships/hyperlink" Target="http://www.nevo.co.il/law/70301" TargetMode="External"/><Relationship Id="rId8" Type="http://schemas.openxmlformats.org/officeDocument/2006/relationships/hyperlink" Target="http://www.nevo.co.il/law/70301/40.a." TargetMode="External"/><Relationship Id="rId3" Type="http://schemas.openxmlformats.org/officeDocument/2006/relationships/settings" Target="settings.xml"/><Relationship Id="rId12" Type="http://schemas.openxmlformats.org/officeDocument/2006/relationships/hyperlink" Target="http://www.nevo.co.il/law/70301/40if" TargetMode="External"/><Relationship Id="rId17" Type="http://schemas.openxmlformats.org/officeDocument/2006/relationships/hyperlink" Target="http://www.nevo.co.il/case/30185244"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13015506"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2373</Words>
  <Characters>11866</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14211</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5177424</vt:i4>
      </vt:variant>
      <vt:variant>
        <vt:i4>81</vt:i4>
      </vt:variant>
      <vt:variant>
        <vt:i4>0</vt:i4>
      </vt:variant>
      <vt:variant>
        <vt:i4>5</vt:i4>
      </vt:variant>
      <vt:variant>
        <vt:lpwstr>http://www.nevo.co.il/law/70301/144.g</vt:lpwstr>
      </vt:variant>
      <vt:variant>
        <vt:lpwstr/>
      </vt:variant>
      <vt:variant>
        <vt:i4>3407987</vt:i4>
      </vt:variant>
      <vt:variant>
        <vt:i4>78</vt:i4>
      </vt:variant>
      <vt:variant>
        <vt:i4>0</vt:i4>
      </vt:variant>
      <vt:variant>
        <vt:i4>5</vt:i4>
      </vt:variant>
      <vt:variant>
        <vt:lpwstr>http://www.nevo.co.il/case/13015506</vt:lpwstr>
      </vt:variant>
      <vt:variant>
        <vt:lpwstr/>
      </vt:variant>
      <vt:variant>
        <vt:i4>3407997</vt:i4>
      </vt:variant>
      <vt:variant>
        <vt:i4>75</vt:i4>
      </vt:variant>
      <vt:variant>
        <vt:i4>0</vt:i4>
      </vt:variant>
      <vt:variant>
        <vt:i4>5</vt:i4>
      </vt:variant>
      <vt:variant>
        <vt:lpwstr>http://www.nevo.co.il/case/22690203</vt:lpwstr>
      </vt:variant>
      <vt:variant>
        <vt:lpwstr/>
      </vt:variant>
      <vt:variant>
        <vt:i4>3211391</vt:i4>
      </vt:variant>
      <vt:variant>
        <vt:i4>72</vt:i4>
      </vt:variant>
      <vt:variant>
        <vt:i4>0</vt:i4>
      </vt:variant>
      <vt:variant>
        <vt:i4>5</vt:i4>
      </vt:variant>
      <vt:variant>
        <vt:lpwstr>http://www.nevo.co.il/case/28963593</vt:lpwstr>
      </vt:variant>
      <vt:variant>
        <vt:lpwstr/>
      </vt:variant>
      <vt:variant>
        <vt:i4>3997820</vt:i4>
      </vt:variant>
      <vt:variant>
        <vt:i4>69</vt:i4>
      </vt:variant>
      <vt:variant>
        <vt:i4>0</vt:i4>
      </vt:variant>
      <vt:variant>
        <vt:i4>5</vt:i4>
      </vt:variant>
      <vt:variant>
        <vt:lpwstr>http://www.nevo.co.il/case/28926209</vt:lpwstr>
      </vt:variant>
      <vt:variant>
        <vt:lpwstr/>
      </vt:variant>
      <vt:variant>
        <vt:i4>3342450</vt:i4>
      </vt:variant>
      <vt:variant>
        <vt:i4>66</vt:i4>
      </vt:variant>
      <vt:variant>
        <vt:i4>0</vt:i4>
      </vt:variant>
      <vt:variant>
        <vt:i4>5</vt:i4>
      </vt:variant>
      <vt:variant>
        <vt:lpwstr>http://www.nevo.co.il/case/29486731</vt:lpwstr>
      </vt:variant>
      <vt:variant>
        <vt:lpwstr/>
      </vt:variant>
      <vt:variant>
        <vt:i4>3407997</vt:i4>
      </vt:variant>
      <vt:variant>
        <vt:i4>63</vt:i4>
      </vt:variant>
      <vt:variant>
        <vt:i4>0</vt:i4>
      </vt:variant>
      <vt:variant>
        <vt:i4>5</vt:i4>
      </vt:variant>
      <vt:variant>
        <vt:lpwstr>http://www.nevo.co.il/case/29445473</vt:lpwstr>
      </vt:variant>
      <vt:variant>
        <vt:lpwstr/>
      </vt:variant>
      <vt:variant>
        <vt:i4>3604593</vt:i4>
      </vt:variant>
      <vt:variant>
        <vt:i4>60</vt:i4>
      </vt:variant>
      <vt:variant>
        <vt:i4>0</vt:i4>
      </vt:variant>
      <vt:variant>
        <vt:i4>5</vt:i4>
      </vt:variant>
      <vt:variant>
        <vt:lpwstr>http://www.nevo.co.il/case/5865581</vt:lpwstr>
      </vt:variant>
      <vt:variant>
        <vt:lpwstr/>
      </vt:variant>
      <vt:variant>
        <vt:i4>3539057</vt:i4>
      </vt:variant>
      <vt:variant>
        <vt:i4>57</vt:i4>
      </vt:variant>
      <vt:variant>
        <vt:i4>0</vt:i4>
      </vt:variant>
      <vt:variant>
        <vt:i4>5</vt:i4>
      </vt:variant>
      <vt:variant>
        <vt:lpwstr>http://www.nevo.co.il/case/22908758</vt:lpwstr>
      </vt:variant>
      <vt:variant>
        <vt:lpwstr/>
      </vt:variant>
      <vt:variant>
        <vt:i4>7995492</vt:i4>
      </vt:variant>
      <vt:variant>
        <vt:i4>54</vt:i4>
      </vt:variant>
      <vt:variant>
        <vt:i4>0</vt:i4>
      </vt:variant>
      <vt:variant>
        <vt:i4>5</vt:i4>
      </vt:variant>
      <vt:variant>
        <vt:lpwstr>http://www.nevo.co.il/law/70301</vt:lpwstr>
      </vt:variant>
      <vt:variant>
        <vt:lpwstr/>
      </vt:variant>
      <vt:variant>
        <vt:i4>3932274</vt:i4>
      </vt:variant>
      <vt:variant>
        <vt:i4>51</vt:i4>
      </vt:variant>
      <vt:variant>
        <vt:i4>0</vt:i4>
      </vt:variant>
      <vt:variant>
        <vt:i4>5</vt:i4>
      </vt:variant>
      <vt:variant>
        <vt:lpwstr>http://www.nevo.co.il/case/29867910</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http://www.nevo.co.il/law/70301/144.g</vt:lpwstr>
      </vt:variant>
      <vt:variant>
        <vt:lpwstr/>
      </vt:variant>
      <vt:variant>
        <vt:i4>7995492</vt:i4>
      </vt:variant>
      <vt:variant>
        <vt:i4>42</vt:i4>
      </vt:variant>
      <vt:variant>
        <vt:i4>0</vt:i4>
      </vt:variant>
      <vt:variant>
        <vt:i4>5</vt:i4>
      </vt:variant>
      <vt:variant>
        <vt:lpwstr>http://www.nevo.co.il/law/70301</vt:lpwstr>
      </vt:variant>
      <vt:variant>
        <vt:lpwstr/>
      </vt:variant>
      <vt:variant>
        <vt:i4>6881340</vt:i4>
      </vt:variant>
      <vt:variant>
        <vt:i4>39</vt:i4>
      </vt:variant>
      <vt:variant>
        <vt:i4>0</vt:i4>
      </vt:variant>
      <vt:variant>
        <vt:i4>5</vt:i4>
      </vt:variant>
      <vt:variant>
        <vt:lpwstr>http://www.nevo.co.il/law/70301/40.a.;40if</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3342462</vt:i4>
      </vt:variant>
      <vt:variant>
        <vt:i4>30</vt:i4>
      </vt:variant>
      <vt:variant>
        <vt:i4>0</vt:i4>
      </vt:variant>
      <vt:variant>
        <vt:i4>5</vt:i4>
      </vt:variant>
      <vt:variant>
        <vt:lpwstr>http://www.nevo.co.il/case/30185244</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http://www.nevo.co.il/law/70301/144.g</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196616</vt:i4>
      </vt:variant>
      <vt:variant>
        <vt:i4>15</vt:i4>
      </vt:variant>
      <vt:variant>
        <vt:i4>0</vt:i4>
      </vt:variant>
      <vt:variant>
        <vt:i4>5</vt:i4>
      </vt:variant>
      <vt:variant>
        <vt:lpwstr>http://www.nevo.co.il/law/70301/40if</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262223</vt:i4>
      </vt:variant>
      <vt:variant>
        <vt:i4>3</vt:i4>
      </vt:variant>
      <vt:variant>
        <vt:i4>0</vt:i4>
      </vt:variant>
      <vt:variant>
        <vt:i4>5</vt:i4>
      </vt:variant>
      <vt:variant>
        <vt:lpwstr>http://www.nevo.co.il/law/70301/40.a.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2025-01-19T17:07:00Z</dcterms:created>
  <dcterms:modified xsi:type="dcterms:W3CDTF">2025-01-19T17:07:00Z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22642</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זידאן טאהא</vt:lpwstr>
  </property>
  <property fmtid="{D5CDD505-2E9C-101B-9397-08002B2CF9AE}" pid="10" name="LAWYER">
    <vt:lpwstr>עו#'ד מוחמד מולא;עו #ד ריאד טאהא</vt:lpwstr>
  </property>
  <property fmtid="{D5CDD505-2E9C-101B-9397-08002B2CF9AE}" pid="11" name="JUDGE">
    <vt:lpwstr>איל באומגרט</vt:lpwstr>
  </property>
  <property fmtid="{D5CDD505-2E9C-101B-9397-08002B2CF9AE}" pid="12" name="CITY">
    <vt:lpwstr>חי'</vt:lpwstr>
  </property>
  <property fmtid="{D5CDD505-2E9C-101B-9397-08002B2CF9AE}" pid="13" name="DATE">
    <vt:lpwstr>20240205</vt:lpwstr>
  </property>
  <property fmtid="{D5CDD505-2E9C-101B-9397-08002B2CF9AE}" pid="14" name="TYPE_N_DATE">
    <vt:lpwstr>39020240205</vt:lpwstr>
  </property>
  <property fmtid="{D5CDD505-2E9C-101B-9397-08002B2CF9AE}" pid="15" name="CASESLISTTMP1">
    <vt:lpwstr>30185244;29867910;22908758;5865581;29445473;29486731;28926209;28963593;22690203;13015506</vt:lpwstr>
  </property>
  <property fmtid="{D5CDD505-2E9C-101B-9397-08002B2CF9AE}" pid="16" name="CASENOTES1">
    <vt:lpwstr>ProcID=209&amp;PartA=51415&amp;PartB=02&amp;PartC=23</vt:lpwstr>
  </property>
  <property fmtid="{D5CDD505-2E9C-101B-9397-08002B2CF9AE}" pid="17" name="WORDNUMPAGES">
    <vt:lpwstr>1</vt:lpwstr>
  </property>
  <property fmtid="{D5CDD505-2E9C-101B-9397-08002B2CF9AE}" pid="18" name="TYPE_ABS_DATE">
    <vt:lpwstr>390020240205</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70301/144.a;144.g:3;144.b;040.a;40if</vt:lpwstr>
  </property>
</Properties>
</file>