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C30ED" w:rsidRPr="00F8787E" w14:paraId="7C0486DC" w14:textId="77777777" w:rsidTr="00715E04">
        <w:trPr>
          <w:trHeight w:hRule="exact" w:val="418"/>
          <w:jc w:val="center"/>
        </w:trPr>
        <w:tc>
          <w:tcPr>
            <w:tcW w:w="8721" w:type="dxa"/>
            <w:gridSpan w:val="2"/>
          </w:tcPr>
          <w:p w14:paraId="7BE42FA3" w14:textId="77777777" w:rsidR="007C30ED" w:rsidRPr="00F8787E" w:rsidRDefault="007C30ED" w:rsidP="008E1EED">
            <w:pPr>
              <w:pStyle w:val="a3"/>
              <w:jc w:val="center"/>
              <w:rPr>
                <w:rFonts w:ascii="Tahoma" w:hAnsi="Tahoma" w:cs="Tahoma"/>
                <w:color w:val="000080"/>
                <w:rtl/>
              </w:rPr>
            </w:pPr>
            <w:bookmarkStart w:id="0" w:name="LastJudge"/>
            <w:r w:rsidRPr="00F8787E">
              <w:rPr>
                <w:rFonts w:ascii="Tahoma" w:hAnsi="Tahoma" w:cs="Tahoma"/>
                <w:b/>
                <w:bCs/>
                <w:color w:val="000080"/>
                <w:rtl/>
              </w:rPr>
              <w:t>בית המשפט המחוזי בחיפה</w:t>
            </w:r>
          </w:p>
        </w:tc>
      </w:tr>
      <w:tr w:rsidR="007C30ED" w:rsidRPr="00F8787E" w14:paraId="262746E2" w14:textId="77777777" w:rsidTr="00715E04">
        <w:trPr>
          <w:trHeight w:val="337"/>
          <w:jc w:val="center"/>
        </w:trPr>
        <w:tc>
          <w:tcPr>
            <w:tcW w:w="5054" w:type="dxa"/>
          </w:tcPr>
          <w:p w14:paraId="54B68F7F" w14:textId="77777777" w:rsidR="007C30ED" w:rsidRPr="00F8787E" w:rsidRDefault="007C30ED" w:rsidP="008E1EED">
            <w:pPr>
              <w:rPr>
                <w:rFonts w:cs="FrankRuehl"/>
                <w:sz w:val="28"/>
                <w:szCs w:val="28"/>
                <w:rtl/>
              </w:rPr>
            </w:pPr>
            <w:r w:rsidRPr="00F8787E">
              <w:rPr>
                <w:rFonts w:cs="FrankRuehl"/>
                <w:sz w:val="28"/>
                <w:szCs w:val="28"/>
                <w:rtl/>
              </w:rPr>
              <w:t>ת"פ</w:t>
            </w:r>
            <w:r w:rsidRPr="00F8787E">
              <w:rPr>
                <w:rFonts w:cs="FrankRuehl" w:hint="cs"/>
                <w:sz w:val="28"/>
                <w:szCs w:val="28"/>
                <w:rtl/>
              </w:rPr>
              <w:t xml:space="preserve"> </w:t>
            </w:r>
            <w:r w:rsidRPr="00F8787E">
              <w:rPr>
                <w:rFonts w:cs="FrankRuehl"/>
                <w:sz w:val="28"/>
                <w:szCs w:val="28"/>
                <w:rtl/>
              </w:rPr>
              <w:t>31728-11-23</w:t>
            </w:r>
            <w:r w:rsidRPr="00F8787E">
              <w:rPr>
                <w:rFonts w:cs="FrankRuehl" w:hint="cs"/>
                <w:sz w:val="28"/>
                <w:szCs w:val="28"/>
                <w:rtl/>
              </w:rPr>
              <w:t xml:space="preserve"> </w:t>
            </w:r>
            <w:r w:rsidRPr="00F8787E">
              <w:rPr>
                <w:rFonts w:cs="FrankRuehl"/>
                <w:sz w:val="28"/>
                <w:szCs w:val="28"/>
                <w:rtl/>
              </w:rPr>
              <w:t>מדינת ישראל נ' טורוק</w:t>
            </w:r>
          </w:p>
          <w:p w14:paraId="7AABD26D" w14:textId="77777777" w:rsidR="007C30ED" w:rsidRPr="00F8787E" w:rsidRDefault="007C30ED" w:rsidP="008E1EED">
            <w:pPr>
              <w:pStyle w:val="a3"/>
              <w:rPr>
                <w:rFonts w:cs="FrankRuehl"/>
                <w:sz w:val="28"/>
                <w:szCs w:val="28"/>
                <w:rtl/>
              </w:rPr>
            </w:pPr>
          </w:p>
        </w:tc>
        <w:tc>
          <w:tcPr>
            <w:tcW w:w="3667" w:type="dxa"/>
          </w:tcPr>
          <w:p w14:paraId="2CB490E4" w14:textId="77777777" w:rsidR="007C30ED" w:rsidRPr="00F8787E" w:rsidRDefault="007C30ED" w:rsidP="008E1EED">
            <w:pPr>
              <w:pStyle w:val="a3"/>
              <w:jc w:val="right"/>
              <w:rPr>
                <w:rFonts w:cs="FrankRuehl"/>
                <w:sz w:val="28"/>
                <w:szCs w:val="28"/>
                <w:rtl/>
              </w:rPr>
            </w:pPr>
          </w:p>
        </w:tc>
      </w:tr>
    </w:tbl>
    <w:p w14:paraId="4BD70D97" w14:textId="77777777" w:rsidR="007C30ED" w:rsidRPr="00F8787E" w:rsidRDefault="007C30ED" w:rsidP="007C30ED">
      <w:pPr>
        <w:pStyle w:val="a3"/>
        <w:rPr>
          <w:rtl/>
        </w:rPr>
      </w:pPr>
      <w:r w:rsidRPr="00F8787E">
        <w:rPr>
          <w:rFonts w:hint="cs"/>
          <w:rtl/>
        </w:rPr>
        <w:t xml:space="preserve"> </w:t>
      </w:r>
    </w:p>
    <w:p w14:paraId="14312A42" w14:textId="77777777" w:rsidR="007C30ED" w:rsidRPr="00F8787E" w:rsidRDefault="007C30ED" w:rsidP="007C30ED">
      <w:pPr>
        <w:pStyle w:val="12"/>
        <w:rPr>
          <w:b w:val="0"/>
          <w:bCs w:val="0"/>
          <w:u w:val="none"/>
          <w:rtl/>
        </w:rPr>
      </w:pPr>
    </w:p>
    <w:p w14:paraId="3D2ED5A2" w14:textId="77777777" w:rsidR="007C30ED" w:rsidRPr="00F8787E" w:rsidRDefault="007C30ED" w:rsidP="007C30ED">
      <w:pPr>
        <w:pStyle w:val="12"/>
        <w:rPr>
          <w:b w:val="0"/>
          <w:bCs w:val="0"/>
          <w:u w:val="none"/>
          <w:rtl/>
        </w:rPr>
      </w:pPr>
    </w:p>
    <w:tbl>
      <w:tblPr>
        <w:bidiVisual/>
        <w:tblW w:w="8802" w:type="dxa"/>
        <w:tblInd w:w="-28" w:type="dxa"/>
        <w:tblLook w:val="01E0" w:firstRow="1" w:lastRow="1" w:firstColumn="1" w:lastColumn="1" w:noHBand="0" w:noVBand="0"/>
      </w:tblPr>
      <w:tblGrid>
        <w:gridCol w:w="2880"/>
        <w:gridCol w:w="5838"/>
        <w:gridCol w:w="84"/>
      </w:tblGrid>
      <w:tr w:rsidR="007C30ED" w:rsidRPr="00F8787E" w14:paraId="7FACD486" w14:textId="77777777" w:rsidTr="007C30ED">
        <w:trPr>
          <w:gridAfter w:val="1"/>
          <w:wAfter w:w="56" w:type="dxa"/>
        </w:trPr>
        <w:tc>
          <w:tcPr>
            <w:tcW w:w="8718" w:type="dxa"/>
            <w:gridSpan w:val="2"/>
            <w:shd w:val="clear" w:color="auto" w:fill="auto"/>
          </w:tcPr>
          <w:p w14:paraId="48C66F68" w14:textId="77777777" w:rsidR="007C30ED" w:rsidRPr="00F8787E" w:rsidRDefault="007C30ED" w:rsidP="008E1EED">
            <w:pPr>
              <w:rPr>
                <w:b/>
                <w:bCs/>
                <w:sz w:val="26"/>
                <w:szCs w:val="26"/>
                <w:rtl/>
              </w:rPr>
            </w:pPr>
            <w:r w:rsidRPr="00F8787E">
              <w:rPr>
                <w:rFonts w:hint="cs"/>
                <w:b/>
                <w:bCs/>
                <w:sz w:val="26"/>
                <w:szCs w:val="26"/>
                <w:rtl/>
              </w:rPr>
              <w:t>לפני כבוד ה</w:t>
            </w:r>
            <w:r w:rsidRPr="00F8787E">
              <w:rPr>
                <w:b/>
                <w:bCs/>
                <w:sz w:val="26"/>
                <w:szCs w:val="26"/>
                <w:rtl/>
              </w:rPr>
              <w:t>שופט דניאל פיש</w:t>
            </w:r>
            <w:r w:rsidRPr="00F8787E">
              <w:rPr>
                <w:rStyle w:val="TimesNewRomanTimesNewRoman"/>
                <w:rtl/>
              </w:rPr>
              <w:t xml:space="preserve"> </w:t>
            </w:r>
          </w:p>
        </w:tc>
      </w:tr>
      <w:tr w:rsidR="007C30ED" w:rsidRPr="00F8787E" w14:paraId="310FAD0C" w14:textId="77777777" w:rsidTr="007C30ED">
        <w:trPr>
          <w:cantSplit/>
          <w:trHeight w:val="724"/>
        </w:trPr>
        <w:tc>
          <w:tcPr>
            <w:tcW w:w="2880" w:type="dxa"/>
            <w:shd w:val="clear" w:color="auto" w:fill="auto"/>
          </w:tcPr>
          <w:p w14:paraId="24622087" w14:textId="77777777" w:rsidR="007C30ED" w:rsidRPr="00F8787E" w:rsidRDefault="007C30ED" w:rsidP="007C30ED">
            <w:pPr>
              <w:ind w:left="26"/>
              <w:rPr>
                <w:b/>
                <w:bCs/>
                <w:sz w:val="26"/>
                <w:szCs w:val="26"/>
                <w:rtl/>
              </w:rPr>
            </w:pPr>
            <w:bookmarkStart w:id="1" w:name="FirstAppellant"/>
          </w:p>
          <w:p w14:paraId="63869AA8" w14:textId="77777777" w:rsidR="007C30ED" w:rsidRPr="00F8787E" w:rsidRDefault="007C30ED" w:rsidP="007C30ED">
            <w:pPr>
              <w:ind w:left="26"/>
              <w:rPr>
                <w:b/>
                <w:bCs/>
                <w:sz w:val="26"/>
                <w:szCs w:val="26"/>
                <w:rtl/>
              </w:rPr>
            </w:pPr>
            <w:r w:rsidRPr="00F8787E">
              <w:rPr>
                <w:rFonts w:hint="cs"/>
                <w:b/>
                <w:bCs/>
                <w:sz w:val="26"/>
                <w:szCs w:val="26"/>
                <w:rtl/>
              </w:rPr>
              <w:t>ה</w:t>
            </w:r>
            <w:r w:rsidRPr="00F8787E">
              <w:rPr>
                <w:b/>
                <w:bCs/>
                <w:sz w:val="26"/>
                <w:szCs w:val="26"/>
                <w:rtl/>
              </w:rPr>
              <w:t>מאשימה</w:t>
            </w:r>
          </w:p>
        </w:tc>
        <w:tc>
          <w:tcPr>
            <w:tcW w:w="5922" w:type="dxa"/>
            <w:gridSpan w:val="2"/>
            <w:shd w:val="clear" w:color="auto" w:fill="auto"/>
          </w:tcPr>
          <w:p w14:paraId="3DE8010A" w14:textId="77777777" w:rsidR="007C30ED" w:rsidRPr="00F8787E" w:rsidRDefault="007C30ED" w:rsidP="008E1EED">
            <w:pPr>
              <w:rPr>
                <w:rFonts w:cs="Times New Roman"/>
                <w:rtl/>
              </w:rPr>
            </w:pPr>
          </w:p>
          <w:p w14:paraId="087CA697" w14:textId="77777777" w:rsidR="007C30ED" w:rsidRPr="00F8787E" w:rsidRDefault="007C30ED" w:rsidP="008E1EED">
            <w:pPr>
              <w:rPr>
                <w:b/>
                <w:bCs/>
                <w:sz w:val="26"/>
                <w:szCs w:val="26"/>
                <w:rtl/>
              </w:rPr>
            </w:pPr>
            <w:r w:rsidRPr="00F8787E">
              <w:rPr>
                <w:rtl/>
              </w:rPr>
              <w:t xml:space="preserve"> </w:t>
            </w:r>
            <w:r w:rsidRPr="00F8787E">
              <w:rPr>
                <w:b/>
                <w:bCs/>
                <w:sz w:val="26"/>
                <w:szCs w:val="26"/>
                <w:rtl/>
              </w:rPr>
              <w:t>מדינת ישראל</w:t>
            </w:r>
            <w:r w:rsidRPr="00F8787E">
              <w:rPr>
                <w:rFonts w:hint="cs"/>
                <w:b/>
                <w:bCs/>
                <w:sz w:val="26"/>
                <w:szCs w:val="26"/>
                <w:rtl/>
              </w:rPr>
              <w:t xml:space="preserve">  </w:t>
            </w:r>
          </w:p>
        </w:tc>
      </w:tr>
      <w:bookmarkEnd w:id="1"/>
      <w:tr w:rsidR="007C30ED" w:rsidRPr="00F8787E" w14:paraId="196056DD" w14:textId="77777777" w:rsidTr="007C30ED">
        <w:tc>
          <w:tcPr>
            <w:tcW w:w="8802" w:type="dxa"/>
            <w:gridSpan w:val="3"/>
            <w:shd w:val="clear" w:color="auto" w:fill="auto"/>
            <w:vAlign w:val="center"/>
          </w:tcPr>
          <w:p w14:paraId="416E760F" w14:textId="77777777" w:rsidR="007C30ED" w:rsidRPr="00F8787E" w:rsidRDefault="007C30ED" w:rsidP="007C30ED">
            <w:pPr>
              <w:jc w:val="center"/>
              <w:rPr>
                <w:rFonts w:ascii="Arial" w:hAnsi="Arial"/>
                <w:b/>
                <w:bCs/>
                <w:sz w:val="26"/>
                <w:szCs w:val="26"/>
                <w:rtl/>
              </w:rPr>
            </w:pPr>
          </w:p>
          <w:p w14:paraId="45B3E8FA" w14:textId="77777777" w:rsidR="007C30ED" w:rsidRPr="00F8787E" w:rsidRDefault="007C30ED" w:rsidP="007C30ED">
            <w:pPr>
              <w:jc w:val="center"/>
              <w:rPr>
                <w:rFonts w:ascii="Arial" w:hAnsi="Arial"/>
                <w:b/>
                <w:bCs/>
                <w:sz w:val="26"/>
                <w:szCs w:val="26"/>
                <w:rtl/>
              </w:rPr>
            </w:pPr>
            <w:r w:rsidRPr="00F8787E">
              <w:rPr>
                <w:rFonts w:ascii="Arial" w:hAnsi="Arial" w:hint="cs"/>
                <w:b/>
                <w:bCs/>
                <w:sz w:val="26"/>
                <w:szCs w:val="26"/>
                <w:rtl/>
              </w:rPr>
              <w:t>נגד</w:t>
            </w:r>
          </w:p>
          <w:p w14:paraId="21FD9C42" w14:textId="77777777" w:rsidR="007C30ED" w:rsidRPr="00F8787E" w:rsidRDefault="007C30ED" w:rsidP="008E1EED">
            <w:pPr>
              <w:rPr>
                <w:rFonts w:ascii="Arial" w:hAnsi="Arial"/>
                <w:b/>
                <w:bCs/>
                <w:sz w:val="26"/>
                <w:szCs w:val="26"/>
                <w:rtl/>
              </w:rPr>
            </w:pPr>
          </w:p>
        </w:tc>
      </w:tr>
      <w:tr w:rsidR="007C30ED" w:rsidRPr="00F8787E" w14:paraId="5048F10C" w14:textId="77777777" w:rsidTr="007C30ED">
        <w:tc>
          <w:tcPr>
            <w:tcW w:w="2880" w:type="dxa"/>
            <w:shd w:val="clear" w:color="auto" w:fill="auto"/>
          </w:tcPr>
          <w:p w14:paraId="1FF10952" w14:textId="77777777" w:rsidR="007C30ED" w:rsidRPr="00F8787E" w:rsidRDefault="007C30ED" w:rsidP="007C30ED">
            <w:pPr>
              <w:ind w:left="26"/>
              <w:rPr>
                <w:b/>
                <w:bCs/>
                <w:sz w:val="26"/>
                <w:szCs w:val="26"/>
              </w:rPr>
            </w:pPr>
            <w:r w:rsidRPr="00F8787E">
              <w:rPr>
                <w:rFonts w:hint="cs"/>
                <w:b/>
                <w:bCs/>
                <w:sz w:val="26"/>
                <w:szCs w:val="26"/>
                <w:rtl/>
              </w:rPr>
              <w:t>ה</w:t>
            </w:r>
            <w:r w:rsidRPr="00F8787E">
              <w:rPr>
                <w:b/>
                <w:bCs/>
                <w:sz w:val="26"/>
                <w:szCs w:val="26"/>
                <w:rtl/>
              </w:rPr>
              <w:t>נאשם</w:t>
            </w:r>
          </w:p>
        </w:tc>
        <w:tc>
          <w:tcPr>
            <w:tcW w:w="5922" w:type="dxa"/>
            <w:gridSpan w:val="2"/>
            <w:shd w:val="clear" w:color="auto" w:fill="auto"/>
          </w:tcPr>
          <w:p w14:paraId="7CFF48A1" w14:textId="77777777" w:rsidR="007C30ED" w:rsidRPr="00F8787E" w:rsidRDefault="007C30ED" w:rsidP="008E1EED">
            <w:pPr>
              <w:rPr>
                <w:b/>
                <w:bCs/>
                <w:sz w:val="26"/>
                <w:szCs w:val="26"/>
                <w:rtl/>
              </w:rPr>
            </w:pPr>
            <w:r w:rsidRPr="00F8787E">
              <w:rPr>
                <w:rtl/>
              </w:rPr>
              <w:t xml:space="preserve"> </w:t>
            </w:r>
            <w:r w:rsidRPr="00F8787E">
              <w:rPr>
                <w:b/>
                <w:bCs/>
                <w:sz w:val="26"/>
                <w:szCs w:val="26"/>
                <w:rtl/>
              </w:rPr>
              <w:t>מירוסלב טורוק</w:t>
            </w:r>
            <w:r w:rsidRPr="00F8787E">
              <w:rPr>
                <w:rFonts w:cs="Times New Roman"/>
                <w:rtl/>
              </w:rPr>
              <w:t xml:space="preserve"> </w:t>
            </w:r>
            <w:r w:rsidRPr="00F8787E">
              <w:rPr>
                <w:b/>
                <w:bCs/>
                <w:sz w:val="26"/>
                <w:szCs w:val="26"/>
                <w:rtl/>
              </w:rPr>
              <w:t>ת"ז</w:t>
            </w:r>
            <w:r w:rsidRPr="00F8787E">
              <w:rPr>
                <w:rFonts w:hint="cs"/>
                <w:b/>
                <w:bCs/>
                <w:sz w:val="26"/>
                <w:szCs w:val="26"/>
                <w:rtl/>
              </w:rPr>
              <w:t xml:space="preserve">  </w:t>
            </w:r>
            <w:r w:rsidR="00F8787E">
              <w:rPr>
                <w:b/>
                <w:bCs/>
                <w:sz w:val="26"/>
                <w:szCs w:val="26"/>
              </w:rPr>
              <w:t>xxxxxxxxxx</w:t>
            </w:r>
          </w:p>
          <w:p w14:paraId="68925161" w14:textId="77777777" w:rsidR="007C30ED" w:rsidRPr="00F8787E" w:rsidRDefault="007C30ED" w:rsidP="008E1EED">
            <w:pPr>
              <w:rPr>
                <w:b/>
                <w:bCs/>
                <w:sz w:val="26"/>
                <w:szCs w:val="26"/>
                <w:rtl/>
              </w:rPr>
            </w:pPr>
          </w:p>
        </w:tc>
      </w:tr>
    </w:tbl>
    <w:p w14:paraId="19542809" w14:textId="77777777" w:rsidR="007C30ED" w:rsidRPr="00F8787E" w:rsidRDefault="007C30ED" w:rsidP="007C30ED">
      <w:pPr>
        <w:pStyle w:val="12"/>
        <w:rPr>
          <w:b w:val="0"/>
          <w:bCs w:val="0"/>
          <w:u w:val="none"/>
          <w:rtl/>
        </w:rPr>
      </w:pPr>
    </w:p>
    <w:p w14:paraId="4C90B078" w14:textId="77777777" w:rsidR="007C30ED" w:rsidRPr="00F8787E" w:rsidRDefault="007C30ED" w:rsidP="007C30ED">
      <w:pPr>
        <w:pStyle w:val="12"/>
        <w:rPr>
          <w:b w:val="0"/>
          <w:bCs w:val="0"/>
          <w:u w:val="none"/>
          <w:rtl/>
        </w:rPr>
      </w:pPr>
      <w:r w:rsidRPr="00F8787E">
        <w:rPr>
          <w:rFonts w:hint="cs"/>
          <w:b w:val="0"/>
          <w:bCs w:val="0"/>
          <w:u w:val="none"/>
          <w:rtl/>
        </w:rPr>
        <w:t>בשם</w:t>
      </w:r>
      <w:r w:rsidRPr="00F8787E">
        <w:rPr>
          <w:b w:val="0"/>
          <w:bCs w:val="0"/>
          <w:u w:val="none"/>
          <w:rtl/>
        </w:rPr>
        <w:t xml:space="preserve"> המאשימה: עו"ד </w:t>
      </w:r>
      <w:r w:rsidRPr="00F8787E">
        <w:rPr>
          <w:rFonts w:hint="cs"/>
          <w:b w:val="0"/>
          <w:bCs w:val="0"/>
          <w:u w:val="none"/>
          <w:rtl/>
        </w:rPr>
        <w:t>אמיר אליאל</w:t>
      </w:r>
    </w:p>
    <w:p w14:paraId="65CEC535" w14:textId="77777777" w:rsidR="007C30ED" w:rsidRPr="00F8787E" w:rsidRDefault="007C30ED" w:rsidP="007C30ED">
      <w:pPr>
        <w:rPr>
          <w:sz w:val="26"/>
          <w:szCs w:val="26"/>
          <w:rtl/>
        </w:rPr>
      </w:pPr>
      <w:bookmarkStart w:id="2" w:name="FirstLawyer"/>
      <w:r w:rsidRPr="00F8787E">
        <w:rPr>
          <w:rtl/>
        </w:rPr>
        <w:t>ב"כ</w:t>
      </w:r>
      <w:bookmarkEnd w:id="2"/>
      <w:r w:rsidRPr="00F8787E">
        <w:rPr>
          <w:rtl/>
        </w:rPr>
        <w:t xml:space="preserve"> הנאשם: עו"ד שגיא מלח</w:t>
      </w:r>
      <w:r w:rsidRPr="00F8787E">
        <w:rPr>
          <w:rFonts w:hint="cs"/>
          <w:sz w:val="26"/>
          <w:szCs w:val="26"/>
          <w:rtl/>
        </w:rPr>
        <w:t xml:space="preserve"> ועו"ד טליה גולדשטיין </w:t>
      </w:r>
      <w:r w:rsidRPr="00F8787E">
        <w:rPr>
          <w:sz w:val="26"/>
          <w:szCs w:val="26"/>
          <w:rtl/>
        </w:rPr>
        <w:t>–</w:t>
      </w:r>
      <w:r w:rsidRPr="00F8787E">
        <w:rPr>
          <w:rFonts w:hint="cs"/>
          <w:sz w:val="26"/>
          <w:szCs w:val="26"/>
          <w:rtl/>
        </w:rPr>
        <w:t xml:space="preserve"> סנגוריה ציבורית</w:t>
      </w:r>
    </w:p>
    <w:p w14:paraId="48706562" w14:textId="77777777" w:rsidR="007C30ED" w:rsidRPr="00F8787E" w:rsidRDefault="007C30ED" w:rsidP="007C30ED">
      <w:pPr>
        <w:rPr>
          <w:sz w:val="26"/>
          <w:szCs w:val="26"/>
        </w:rPr>
      </w:pPr>
    </w:p>
    <w:p w14:paraId="1AEE465B" w14:textId="77777777" w:rsidR="00715E04" w:rsidRPr="00715E04" w:rsidRDefault="00715E04" w:rsidP="00715E04">
      <w:pPr>
        <w:spacing w:before="120" w:after="120" w:line="240" w:lineRule="exact"/>
        <w:ind w:left="283" w:hanging="283"/>
        <w:jc w:val="both"/>
        <w:rPr>
          <w:rFonts w:ascii="FrankRuehl" w:hAnsi="FrankRuehl" w:cs="FrankRuehl"/>
          <w:rtl/>
        </w:rPr>
      </w:pPr>
      <w:bookmarkStart w:id="3" w:name="LawTable"/>
      <w:bookmarkEnd w:id="3"/>
      <w:r w:rsidRPr="00715E04">
        <w:rPr>
          <w:rFonts w:ascii="FrankRuehl" w:hAnsi="FrankRuehl" w:cs="FrankRuehl"/>
          <w:rtl/>
        </w:rPr>
        <w:t xml:space="preserve">חקיקה שאוזכרה: </w:t>
      </w:r>
    </w:p>
    <w:p w14:paraId="420DDE29" w14:textId="77777777" w:rsidR="00715E04" w:rsidRPr="00715E04" w:rsidRDefault="00715E04" w:rsidP="00715E04">
      <w:pPr>
        <w:spacing w:before="120" w:after="120" w:line="240" w:lineRule="exact"/>
        <w:ind w:left="283" w:hanging="283"/>
        <w:jc w:val="both"/>
        <w:rPr>
          <w:rFonts w:ascii="FrankRuehl" w:hAnsi="FrankRuehl" w:cs="FrankRuehl"/>
          <w:color w:val="0000FF"/>
          <w:rtl/>
        </w:rPr>
      </w:pPr>
      <w:hyperlink r:id="rId7" w:history="1">
        <w:r w:rsidRPr="00715E04">
          <w:rPr>
            <w:rStyle w:val="Hyperlink"/>
            <w:rFonts w:ascii="FrankRuehl" w:hAnsi="FrankRuehl" w:cs="FrankRuehl"/>
            <w:u w:val="none"/>
            <w:rtl/>
          </w:rPr>
          <w:t>חוק העונשין, תשל"ז-</w:t>
        </w:r>
        <w:r w:rsidRPr="00715E04">
          <w:rPr>
            <w:rStyle w:val="Hyperlink"/>
            <w:rFonts w:ascii="FrankRuehl" w:hAnsi="FrankRuehl" w:cs="FrankRuehl"/>
            <w:color w:val="auto"/>
            <w:u w:val="none"/>
            <w:rtl/>
          </w:rPr>
          <w:t>1977</w:t>
        </w:r>
      </w:hyperlink>
      <w:r w:rsidRPr="00715E04">
        <w:rPr>
          <w:rFonts w:ascii="FrankRuehl" w:hAnsi="FrankRuehl" w:cs="FrankRuehl"/>
          <w:rtl/>
        </w:rPr>
        <w:t xml:space="preserve">: סע'  </w:t>
      </w:r>
      <w:hyperlink r:id="rId8" w:history="1">
        <w:r w:rsidRPr="00715E04">
          <w:rPr>
            <w:rStyle w:val="Hyperlink"/>
            <w:rFonts w:ascii="FrankRuehl" w:hAnsi="FrankRuehl" w:cs="FrankRuehl"/>
            <w:color w:val="0000FF"/>
            <w:u w:val="none"/>
          </w:rPr>
          <w:t>31</w:t>
        </w:r>
      </w:hyperlink>
      <w:r w:rsidRPr="00715E04">
        <w:rPr>
          <w:rFonts w:ascii="FrankRuehl" w:hAnsi="FrankRuehl" w:cs="FrankRuehl"/>
          <w:color w:val="0000FF"/>
          <w:rtl/>
        </w:rPr>
        <w:t xml:space="preserve">, </w:t>
      </w:r>
      <w:hyperlink r:id="rId9" w:history="1">
        <w:r w:rsidRPr="00715E04">
          <w:rPr>
            <w:rStyle w:val="Hyperlink"/>
            <w:rFonts w:ascii="FrankRuehl" w:hAnsi="FrankRuehl" w:cs="FrankRuehl"/>
            <w:color w:val="0000FF"/>
            <w:u w:val="none"/>
          </w:rPr>
          <w:t>40</w:t>
        </w:r>
        <w:r w:rsidRPr="00715E04">
          <w:rPr>
            <w:rStyle w:val="Hyperlink"/>
            <w:rFonts w:ascii="FrankRuehl" w:hAnsi="FrankRuehl" w:cs="FrankRuehl"/>
            <w:color w:val="0000FF"/>
            <w:u w:val="none"/>
            <w:rtl/>
          </w:rPr>
          <w:t>ט</w:t>
        </w:r>
      </w:hyperlink>
      <w:r w:rsidRPr="00715E04">
        <w:rPr>
          <w:rFonts w:ascii="FrankRuehl" w:hAnsi="FrankRuehl" w:cs="FrankRuehl"/>
          <w:color w:val="0000FF"/>
          <w:rtl/>
        </w:rPr>
        <w:t xml:space="preserve">, </w:t>
      </w:r>
      <w:hyperlink r:id="rId10" w:history="1">
        <w:r w:rsidRPr="00715E04">
          <w:rPr>
            <w:rStyle w:val="Hyperlink"/>
            <w:rFonts w:ascii="FrankRuehl" w:hAnsi="FrankRuehl" w:cs="FrankRuehl"/>
            <w:u w:val="none"/>
          </w:rPr>
          <w:t>144</w:t>
        </w:r>
      </w:hyperlink>
      <w:r w:rsidRPr="00715E04">
        <w:rPr>
          <w:rFonts w:ascii="FrankRuehl" w:hAnsi="FrankRuehl" w:cs="FrankRuehl"/>
          <w:color w:val="0000FF"/>
          <w:rtl/>
        </w:rPr>
        <w:t>(ב2)</w:t>
      </w:r>
    </w:p>
    <w:p w14:paraId="2910A137" w14:textId="77777777" w:rsidR="00715E04" w:rsidRPr="00715E04" w:rsidRDefault="00715E04" w:rsidP="00715E04">
      <w:pPr>
        <w:jc w:val="center"/>
        <w:rPr>
          <w:rFonts w:ascii="David" w:hAnsi="David"/>
          <w:b/>
          <w:bCs/>
          <w:sz w:val="32"/>
          <w:szCs w:val="32"/>
          <w:u w:val="single"/>
          <w:rtl/>
        </w:rPr>
      </w:pPr>
      <w:bookmarkStart w:id="4" w:name="LawTable_End"/>
      <w:bookmarkStart w:id="5" w:name="PsakDin"/>
      <w:bookmarkEnd w:id="4"/>
      <w:r w:rsidRPr="00715E04">
        <w:rPr>
          <w:rFonts w:ascii="David" w:hAnsi="David"/>
          <w:b/>
          <w:bCs/>
          <w:sz w:val="32"/>
          <w:szCs w:val="32"/>
          <w:u w:val="single"/>
          <w:rtl/>
        </w:rPr>
        <w:t>גזר דין</w:t>
      </w:r>
    </w:p>
    <w:bookmarkEnd w:id="5"/>
    <w:p w14:paraId="7E05780B" w14:textId="77777777" w:rsidR="00715E04" w:rsidRPr="007C30ED" w:rsidRDefault="00715E04" w:rsidP="007C30ED">
      <w:pPr>
        <w:jc w:val="center"/>
        <w:rPr>
          <w:rFonts w:ascii="David" w:hAnsi="David"/>
          <w:sz w:val="32"/>
          <w:szCs w:val="32"/>
          <w:u w:val="single"/>
          <w:rtl/>
        </w:rPr>
      </w:pPr>
    </w:p>
    <w:p w14:paraId="32DB3FA0" w14:textId="77777777" w:rsidR="007C30ED" w:rsidRDefault="007C30ED" w:rsidP="007C30ED">
      <w:pPr>
        <w:pStyle w:val="a9"/>
        <w:numPr>
          <w:ilvl w:val="0"/>
          <w:numId w:val="1"/>
        </w:numPr>
        <w:spacing w:line="360" w:lineRule="auto"/>
        <w:jc w:val="both"/>
        <w:rPr>
          <w:rFonts w:ascii="Arial" w:hAnsi="Arial"/>
        </w:rPr>
      </w:pPr>
      <w:bookmarkStart w:id="6" w:name="ABSTRACT_START"/>
      <w:bookmarkEnd w:id="0"/>
      <w:bookmarkEnd w:id="6"/>
      <w:r>
        <w:rPr>
          <w:rFonts w:ascii="Arial" w:hAnsi="Arial" w:hint="cs"/>
          <w:rtl/>
        </w:rPr>
        <w:t xml:space="preserve">הנאשם הורשע על פי הודאתו בעובדות כתב אישום מתוקן בעבירת סיוע לעבירות נשק (ייצור), לפי </w:t>
      </w:r>
      <w:hyperlink r:id="rId11" w:history="1">
        <w:r w:rsidR="00715E04" w:rsidRPr="00715E04">
          <w:rPr>
            <w:rStyle w:val="Hyperlink"/>
            <w:rFonts w:ascii="Arial" w:hAnsi="Arial" w:hint="eastAsia"/>
            <w:color w:val="0000FF"/>
            <w:rtl/>
          </w:rPr>
          <w:t>סעיף</w:t>
        </w:r>
        <w:r w:rsidR="00715E04" w:rsidRPr="00715E04">
          <w:rPr>
            <w:rStyle w:val="Hyperlink"/>
            <w:rFonts w:ascii="Arial" w:hAnsi="Arial"/>
            <w:color w:val="0000FF"/>
            <w:rtl/>
          </w:rPr>
          <w:t xml:space="preserve"> 144(ב2)</w:t>
        </w:r>
      </w:hyperlink>
      <w:r>
        <w:rPr>
          <w:rFonts w:ascii="Arial" w:hAnsi="Arial" w:hint="cs"/>
          <w:rtl/>
        </w:rPr>
        <w:t xml:space="preserve"> + </w:t>
      </w:r>
      <w:hyperlink r:id="rId12" w:history="1">
        <w:r w:rsidR="00715E04" w:rsidRPr="00715E04">
          <w:rPr>
            <w:rStyle w:val="Hyperlink"/>
            <w:rFonts w:ascii="Arial" w:hAnsi="Arial"/>
            <w:color w:val="0000FF"/>
            <w:rtl/>
          </w:rPr>
          <w:t>31</w:t>
        </w:r>
      </w:hyperlink>
      <w:r>
        <w:rPr>
          <w:rFonts w:ascii="Arial" w:hAnsi="Arial" w:hint="cs"/>
          <w:rtl/>
        </w:rPr>
        <w:t xml:space="preserve"> ל</w:t>
      </w:r>
      <w:hyperlink r:id="rId13" w:history="1">
        <w:r w:rsidR="00F8787E" w:rsidRPr="00F8787E">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bookmarkStart w:id="7" w:name="ABSTRACT_END"/>
      <w:bookmarkEnd w:id="7"/>
      <w:r>
        <w:rPr>
          <w:rFonts w:ascii="Arial" w:hAnsi="Arial" w:hint="cs"/>
          <w:rtl/>
        </w:rPr>
        <w:t xml:space="preserve">להלן : </w:t>
      </w:r>
      <w:r>
        <w:rPr>
          <w:rFonts w:ascii="Arial" w:hAnsi="Arial" w:hint="cs"/>
          <w:b/>
          <w:bCs/>
          <w:rtl/>
        </w:rPr>
        <w:t>"חוק העונשין"</w:t>
      </w:r>
      <w:r>
        <w:rPr>
          <w:rFonts w:ascii="Arial" w:hAnsi="Arial" w:hint="cs"/>
          <w:rtl/>
        </w:rPr>
        <w:t xml:space="preserve">). </w:t>
      </w:r>
    </w:p>
    <w:p w14:paraId="202499E5" w14:textId="77777777" w:rsidR="007C30ED" w:rsidRDefault="007C30ED" w:rsidP="007C30ED">
      <w:pPr>
        <w:pStyle w:val="a9"/>
        <w:spacing w:line="360" w:lineRule="auto"/>
        <w:jc w:val="both"/>
        <w:rPr>
          <w:rFonts w:ascii="Arial" w:hAnsi="Arial"/>
        </w:rPr>
      </w:pPr>
    </w:p>
    <w:p w14:paraId="3730A595" w14:textId="77777777" w:rsidR="007C30ED" w:rsidRPr="007D260F" w:rsidRDefault="007C30ED" w:rsidP="007C30ED">
      <w:pPr>
        <w:pStyle w:val="a9"/>
        <w:numPr>
          <w:ilvl w:val="0"/>
          <w:numId w:val="1"/>
        </w:numPr>
        <w:spacing w:line="360" w:lineRule="auto"/>
        <w:jc w:val="both"/>
        <w:rPr>
          <w:rFonts w:ascii="Arial" w:hAnsi="Arial"/>
          <w:rtl/>
        </w:rPr>
      </w:pPr>
      <w:r w:rsidRPr="007D260F">
        <w:rPr>
          <w:rFonts w:ascii="Arial" w:hAnsi="Arial" w:hint="cs"/>
          <w:rtl/>
        </w:rPr>
        <w:t xml:space="preserve">על פי עובדות כתב האישום המתוקן, </w:t>
      </w:r>
      <w:r>
        <w:rPr>
          <w:rFonts w:ascii="Arial" w:hAnsi="Arial" w:hint="cs"/>
          <w:rtl/>
        </w:rPr>
        <w:t>בין הנאשם ונתנאל כהן לא היתה היכרות מוקדמת</w:t>
      </w:r>
      <w:r w:rsidRPr="007D260F">
        <w:rPr>
          <w:rFonts w:ascii="Arial" w:hAnsi="Arial"/>
          <w:rtl/>
        </w:rPr>
        <w:t xml:space="preserve"> טרם הצטרפותם לקבוצה המכונה "</w:t>
      </w:r>
      <w:r w:rsidRPr="007D260F">
        <w:rPr>
          <w:rFonts w:ascii="Arial" w:hAnsi="Arial"/>
        </w:rPr>
        <w:t>INF</w:t>
      </w:r>
      <w:r w:rsidRPr="007D260F">
        <w:rPr>
          <w:rFonts w:ascii="Arial" w:hAnsi="Arial"/>
          <w:rtl/>
        </w:rPr>
        <w:t>" אשר פעלה במחוז צפון החל מיום 7.10.2023, בתקופת מלחמת חרבות ברזל. הקבוצה, המונה כ-300 חברים, עסקה בין היתר בגיוס משתתפים, איסוף תרומות וקיום אימונים.</w:t>
      </w:r>
      <w:r w:rsidRPr="007D260F">
        <w:rPr>
          <w:rFonts w:ascii="Arial" w:hAnsi="Arial" w:hint="cs"/>
          <w:rtl/>
        </w:rPr>
        <w:t xml:space="preserve"> </w:t>
      </w:r>
      <w:r w:rsidRPr="007D260F">
        <w:rPr>
          <w:rFonts w:ascii="Arial" w:hAnsi="Arial"/>
          <w:rtl/>
        </w:rPr>
        <w:t xml:space="preserve">בסמוך ליום 20.10.2023, גיבש נתנאל תכנית לייצור בלתי חוקי של </w:t>
      </w:r>
      <w:r w:rsidRPr="007D260F">
        <w:rPr>
          <w:rFonts w:ascii="Arial" w:hAnsi="Arial" w:hint="cs"/>
          <w:rtl/>
        </w:rPr>
        <w:t>בקבוקי</w:t>
      </w:r>
      <w:r w:rsidRPr="007D260F">
        <w:rPr>
          <w:rFonts w:ascii="Arial" w:hAnsi="Arial"/>
          <w:rtl/>
        </w:rPr>
        <w:t xml:space="preserve"> תבערה, תוך קבלת סיוע והדרכה מאת הנאשם. התכנית כללה מילוי מכלי זכוכית בחומר דליק מסוג בנזין והחדרת אריג לתוכם.</w:t>
      </w:r>
      <w:r>
        <w:rPr>
          <w:rFonts w:ascii="Arial" w:hAnsi="Arial" w:hint="cs"/>
          <w:rtl/>
        </w:rPr>
        <w:t xml:space="preserve"> </w:t>
      </w:r>
      <w:r w:rsidRPr="007D260F">
        <w:rPr>
          <w:rFonts w:ascii="Arial" w:hAnsi="Arial"/>
          <w:rtl/>
        </w:rPr>
        <w:t>ביום 20.10.2023 בשעות הצהריים, נפגשו הנאשם ונתנאל בדירת</w:t>
      </w:r>
      <w:r>
        <w:rPr>
          <w:rFonts w:ascii="Arial" w:hAnsi="Arial" w:hint="cs"/>
          <w:rtl/>
        </w:rPr>
        <w:t>ו של</w:t>
      </w:r>
      <w:r w:rsidRPr="007D260F">
        <w:rPr>
          <w:rFonts w:ascii="Arial" w:hAnsi="Arial"/>
          <w:rtl/>
        </w:rPr>
        <w:t xml:space="preserve"> האחרון, הממוקמת ברחוב שער יישוב 5 בקריית חיים. במהלך המפגש, ובהדרכת הנאשם, ייצר נתנאל ללא היתר כדין מספר בקבוקי תבערה בהתאם לשיטה המתוארת לעיל.</w:t>
      </w:r>
      <w:r>
        <w:rPr>
          <w:rFonts w:ascii="Arial" w:hAnsi="Arial" w:hint="cs"/>
          <w:rtl/>
        </w:rPr>
        <w:t xml:space="preserve"> </w:t>
      </w:r>
      <w:r>
        <w:rPr>
          <w:rFonts w:ascii="Arial" w:hAnsi="Arial"/>
          <w:rtl/>
        </w:rPr>
        <w:t>בסך הכ</w:t>
      </w:r>
      <w:r w:rsidRPr="007D260F">
        <w:rPr>
          <w:rFonts w:ascii="Arial" w:hAnsi="Arial"/>
          <w:rtl/>
        </w:rPr>
        <w:t xml:space="preserve">ל ייצר נתנאל, בחלקו בסיוע הנאשם ובחלקו באופן עצמאי, 62 בקבוקי תבערה ללא היתר כדין. נתנאל החזיק </w:t>
      </w:r>
      <w:r>
        <w:rPr>
          <w:rFonts w:ascii="Arial" w:hAnsi="Arial" w:hint="cs"/>
          <w:rtl/>
        </w:rPr>
        <w:t xml:space="preserve">בהם </w:t>
      </w:r>
      <w:r w:rsidRPr="007D260F">
        <w:rPr>
          <w:rFonts w:ascii="Arial" w:hAnsi="Arial"/>
          <w:rtl/>
        </w:rPr>
        <w:t>ללא היתר כדין מיום 20.10.2023 ועד למועד מעצרו ביום 25.10.2023.</w:t>
      </w:r>
    </w:p>
    <w:p w14:paraId="604D123A" w14:textId="77777777" w:rsidR="007C30ED" w:rsidRDefault="007C30ED" w:rsidP="007C30ED">
      <w:pPr>
        <w:pStyle w:val="a9"/>
        <w:spacing w:line="360" w:lineRule="auto"/>
        <w:jc w:val="both"/>
        <w:rPr>
          <w:rFonts w:ascii="Arial" w:hAnsi="Arial"/>
          <w:rtl/>
        </w:rPr>
      </w:pPr>
      <w:r w:rsidRPr="007D260F">
        <w:rPr>
          <w:rFonts w:ascii="Arial" w:hAnsi="Arial"/>
          <w:rtl/>
        </w:rPr>
        <w:t>במעשיו המתוארים לעיל, סייע הנאשם לנתנאל בייצור בלתי חוקי של מספר בקבוקי תבערה, המוגדרים כנשק, וזאת ללא היתר על פי דין.</w:t>
      </w:r>
    </w:p>
    <w:p w14:paraId="07C137C1" w14:textId="77777777" w:rsidR="007C30ED" w:rsidRDefault="007C30ED" w:rsidP="007C30ED">
      <w:pPr>
        <w:pStyle w:val="a9"/>
        <w:spacing w:line="360" w:lineRule="auto"/>
        <w:jc w:val="both"/>
        <w:rPr>
          <w:rFonts w:ascii="Arial" w:hAnsi="Arial"/>
          <w:rtl/>
        </w:rPr>
      </w:pPr>
    </w:p>
    <w:p w14:paraId="1A84A42F" w14:textId="77777777" w:rsidR="007C30ED" w:rsidRDefault="007C30ED" w:rsidP="007C30ED">
      <w:pPr>
        <w:spacing w:line="360" w:lineRule="auto"/>
        <w:jc w:val="both"/>
        <w:rPr>
          <w:rFonts w:ascii="Arial" w:hAnsi="Arial"/>
          <w:rtl/>
        </w:rPr>
      </w:pPr>
      <w:r>
        <w:rPr>
          <w:rFonts w:ascii="Arial" w:hAnsi="Arial" w:hint="cs"/>
          <w:b/>
          <w:bCs/>
          <w:u w:val="single"/>
          <w:rtl/>
        </w:rPr>
        <w:t>תסקיר שירות המבחן</w:t>
      </w:r>
      <w:r>
        <w:rPr>
          <w:rFonts w:ascii="Arial" w:hAnsi="Arial" w:hint="cs"/>
          <w:rtl/>
        </w:rPr>
        <w:t>:</w:t>
      </w:r>
    </w:p>
    <w:p w14:paraId="6D9B53F9" w14:textId="77777777" w:rsidR="007C30ED" w:rsidRPr="008B176C" w:rsidRDefault="007C30ED" w:rsidP="007C30ED">
      <w:pPr>
        <w:spacing w:line="360" w:lineRule="auto"/>
        <w:jc w:val="both"/>
        <w:rPr>
          <w:rFonts w:ascii="Arial" w:hAnsi="Arial"/>
          <w:rtl/>
        </w:rPr>
      </w:pPr>
    </w:p>
    <w:p w14:paraId="7AF15A6F" w14:textId="77777777" w:rsidR="007C30ED" w:rsidRDefault="007C30ED" w:rsidP="007C30ED">
      <w:pPr>
        <w:pStyle w:val="a9"/>
        <w:numPr>
          <w:ilvl w:val="0"/>
          <w:numId w:val="1"/>
        </w:numPr>
        <w:spacing w:line="360" w:lineRule="auto"/>
        <w:jc w:val="both"/>
        <w:rPr>
          <w:rFonts w:ascii="Arial" w:hAnsi="Arial"/>
        </w:rPr>
      </w:pPr>
      <w:r w:rsidRPr="00524698">
        <w:rPr>
          <w:rFonts w:ascii="Arial" w:hAnsi="Arial" w:hint="cs"/>
          <w:rtl/>
        </w:rPr>
        <w:t>צוין כי הנאשם</w:t>
      </w:r>
      <w:r w:rsidRPr="00524698">
        <w:rPr>
          <w:rFonts w:ascii="Arial" w:hAnsi="Arial"/>
          <w:rtl/>
        </w:rPr>
        <w:t xml:space="preserve"> בן </w:t>
      </w:r>
      <w:r>
        <w:rPr>
          <w:rFonts w:ascii="Arial" w:hAnsi="Arial" w:hint="cs"/>
          <w:rtl/>
        </w:rPr>
        <w:t>25</w:t>
      </w:r>
      <w:r w:rsidRPr="00524698">
        <w:rPr>
          <w:rFonts w:ascii="Arial" w:hAnsi="Arial"/>
          <w:rtl/>
        </w:rPr>
        <w:t>, נעדר עבר פלילי,</w:t>
      </w:r>
      <w:r>
        <w:rPr>
          <w:rFonts w:ascii="Arial" w:hAnsi="Arial" w:hint="cs"/>
          <w:rtl/>
        </w:rPr>
        <w:t xml:space="preserve"> רווק יליד אוקראינה שעלה לארץ בשנת 2015.</w:t>
      </w:r>
      <w:r w:rsidRPr="00524698">
        <w:rPr>
          <w:rFonts w:ascii="Arial" w:hAnsi="Arial"/>
          <w:rtl/>
        </w:rPr>
        <w:t xml:space="preserve"> </w:t>
      </w:r>
      <w:r>
        <w:rPr>
          <w:rFonts w:ascii="Arial" w:hAnsi="Arial" w:hint="cs"/>
          <w:rtl/>
        </w:rPr>
        <w:t>הנאשם</w:t>
      </w:r>
      <w:r w:rsidRPr="00524698">
        <w:rPr>
          <w:rFonts w:ascii="Arial" w:hAnsi="Arial"/>
          <w:rtl/>
        </w:rPr>
        <w:t xml:space="preserve"> השלים 12 שנות לימוד ומחזיק בתעודת בגרות</w:t>
      </w:r>
      <w:r>
        <w:rPr>
          <w:rFonts w:ascii="Arial" w:hAnsi="Arial" w:hint="cs"/>
          <w:rtl/>
        </w:rPr>
        <w:t xml:space="preserve"> חלקית</w:t>
      </w:r>
      <w:r w:rsidRPr="00524698">
        <w:rPr>
          <w:rFonts w:ascii="Arial" w:hAnsi="Arial"/>
          <w:rtl/>
        </w:rPr>
        <w:t xml:space="preserve">. </w:t>
      </w:r>
      <w:r>
        <w:rPr>
          <w:rFonts w:ascii="Arial" w:hAnsi="Arial" w:hint="cs"/>
          <w:rtl/>
        </w:rPr>
        <w:t>עוד צוין כי הנאשם אובחן כסובל מהפרעות נפשיות ונמצא במעקב פסיכיאטרי ומטופל תרופתית.</w:t>
      </w:r>
      <w:r>
        <w:rPr>
          <w:rFonts w:ascii="David" w:hAnsi="David" w:hint="cs"/>
          <w:rtl/>
        </w:rPr>
        <w:t xml:space="preserve"> </w:t>
      </w:r>
      <w:r w:rsidRPr="00524698">
        <w:rPr>
          <w:rFonts w:ascii="David" w:hAnsi="David" w:hint="cs"/>
          <w:rtl/>
        </w:rPr>
        <w:t>עוד תוארו נסיבותיו המשפחתיות ו</w:t>
      </w:r>
      <w:r w:rsidRPr="00524698">
        <w:rPr>
          <w:rFonts w:ascii="David" w:hAnsi="David"/>
          <w:rtl/>
        </w:rPr>
        <w:t>נסיבותיו האישיות שמחמת צנעת הפרט לא יפורטו</w:t>
      </w:r>
      <w:r w:rsidRPr="00524698">
        <w:rPr>
          <w:rFonts w:ascii="David" w:hAnsi="David" w:hint="cs"/>
          <w:rtl/>
        </w:rPr>
        <w:t>.</w:t>
      </w:r>
      <w:r>
        <w:rPr>
          <w:rFonts w:ascii="Arial" w:hAnsi="Arial" w:hint="cs"/>
          <w:rtl/>
        </w:rPr>
        <w:t xml:space="preserve"> </w:t>
      </w:r>
      <w:r w:rsidRPr="00524698">
        <w:rPr>
          <w:rFonts w:ascii="Arial" w:hAnsi="Arial" w:hint="cs"/>
          <w:rtl/>
        </w:rPr>
        <w:t xml:space="preserve">צוין כי </w:t>
      </w:r>
      <w:r w:rsidRPr="00524698">
        <w:rPr>
          <w:rFonts w:ascii="Arial" w:hAnsi="Arial"/>
          <w:rtl/>
        </w:rPr>
        <w:t xml:space="preserve">בשנים האחרונות </w:t>
      </w:r>
      <w:r>
        <w:rPr>
          <w:rFonts w:ascii="Arial" w:hAnsi="Arial" w:hint="cs"/>
          <w:rtl/>
        </w:rPr>
        <w:t xml:space="preserve">הנאשם שמר על רצף תעסוקתי ותואר כאדם אחראי יסודי ומקצועי בעבודתו כרתך. </w:t>
      </w:r>
      <w:r w:rsidRPr="00524698">
        <w:rPr>
          <w:rFonts w:ascii="Arial" w:hAnsi="Arial"/>
          <w:rtl/>
        </w:rPr>
        <w:t xml:space="preserve"> </w:t>
      </w:r>
    </w:p>
    <w:p w14:paraId="18275295" w14:textId="77777777" w:rsidR="007C30ED" w:rsidRDefault="007C30ED" w:rsidP="007C30ED">
      <w:pPr>
        <w:pStyle w:val="a9"/>
        <w:spacing w:line="360" w:lineRule="auto"/>
        <w:jc w:val="both"/>
        <w:rPr>
          <w:rFonts w:ascii="Arial" w:hAnsi="Arial"/>
        </w:rPr>
      </w:pPr>
    </w:p>
    <w:p w14:paraId="3797D427" w14:textId="77777777" w:rsidR="007C30ED" w:rsidRDefault="007C30ED" w:rsidP="007C30ED">
      <w:pPr>
        <w:pStyle w:val="a9"/>
        <w:numPr>
          <w:ilvl w:val="0"/>
          <w:numId w:val="1"/>
        </w:numPr>
        <w:spacing w:line="360" w:lineRule="auto"/>
        <w:jc w:val="both"/>
        <w:rPr>
          <w:rFonts w:ascii="Arial" w:hAnsi="Arial"/>
        </w:rPr>
      </w:pPr>
      <w:r>
        <w:rPr>
          <w:rFonts w:ascii="Arial" w:hAnsi="Arial"/>
          <w:rtl/>
        </w:rPr>
        <w:t>בבוא</w:t>
      </w:r>
      <w:r>
        <w:rPr>
          <w:rFonts w:ascii="Arial" w:hAnsi="Arial" w:hint="cs"/>
          <w:rtl/>
        </w:rPr>
        <w:t>ם</w:t>
      </w:r>
      <w:r w:rsidRPr="008E6298">
        <w:rPr>
          <w:rFonts w:ascii="Arial" w:hAnsi="Arial"/>
          <w:rtl/>
        </w:rPr>
        <w:t xml:space="preserve"> לבחון את נסיבות מעשיו של </w:t>
      </w:r>
      <w:r>
        <w:rPr>
          <w:rFonts w:ascii="Arial" w:hAnsi="Arial" w:hint="cs"/>
          <w:rtl/>
        </w:rPr>
        <w:t>הנאשם</w:t>
      </w:r>
      <w:r w:rsidRPr="008E6298">
        <w:rPr>
          <w:rFonts w:ascii="Arial" w:hAnsi="Arial"/>
          <w:rtl/>
        </w:rPr>
        <w:t xml:space="preserve"> בגדרי האירוע הפלילי המיוחס לו </w:t>
      </w:r>
      <w:r>
        <w:rPr>
          <w:rFonts w:ascii="Arial" w:hAnsi="Arial" w:hint="cs"/>
          <w:rtl/>
        </w:rPr>
        <w:t>מצא שירות המבחן</w:t>
      </w:r>
      <w:r w:rsidRPr="008E6298">
        <w:rPr>
          <w:rFonts w:ascii="Arial" w:hAnsi="Arial"/>
          <w:rtl/>
        </w:rPr>
        <w:t xml:space="preserve"> כי מדובר בנאשם הנושא בעיות נפשיות מורכבות אשר השפיעו באופן מהותי על שיקול דעתו ויכולת הבחינה שלו בעת ביצוע המעשים. בהתחשב בממצאים המקצועיים</w:t>
      </w:r>
      <w:r>
        <w:rPr>
          <w:rFonts w:ascii="Arial" w:hAnsi="Arial" w:hint="cs"/>
          <w:rtl/>
        </w:rPr>
        <w:t>, בלקיחת האחריות</w:t>
      </w:r>
      <w:r w:rsidRPr="008E6298">
        <w:rPr>
          <w:rFonts w:ascii="Arial" w:hAnsi="Arial"/>
          <w:rtl/>
        </w:rPr>
        <w:t xml:space="preserve"> והסיכון הנמוך להישנות עבירות </w:t>
      </w:r>
      <w:r>
        <w:rPr>
          <w:rFonts w:ascii="Arial" w:hAnsi="Arial" w:hint="cs"/>
          <w:rtl/>
        </w:rPr>
        <w:t>הוצעה</w:t>
      </w:r>
      <w:r w:rsidRPr="008E6298">
        <w:rPr>
          <w:rFonts w:ascii="Arial" w:hAnsi="Arial"/>
          <w:rtl/>
        </w:rPr>
        <w:t xml:space="preserve"> תכנית שיקום כוללנית אשר תאזן בין הצורך בענישה לבין הצורך בטיפול שיקומי. ההמלצה העיקרית הינה הטלת צו מבחן הכולל טיפול פסיכיאטרי מתמשך, מאסר מותנה, קנס והתחייבות כספית וכן צו שירות לתועלת הציבור בהיקף של 250 שעות, זאת במטרה לאפשר </w:t>
      </w:r>
      <w:r>
        <w:rPr>
          <w:rFonts w:ascii="Arial" w:hAnsi="Arial" w:hint="cs"/>
          <w:rtl/>
        </w:rPr>
        <w:t>לנאשם</w:t>
      </w:r>
      <w:r w:rsidRPr="008E6298">
        <w:rPr>
          <w:rFonts w:ascii="Arial" w:hAnsi="Arial"/>
          <w:rtl/>
        </w:rPr>
        <w:t xml:space="preserve"> הזדמנות לשיקום תוך הגנה על האינטרס הציבורי ותוך מתן מענה טיפולי הוליסטי למכלול צרכיו הנפשיים והחברתיים.</w:t>
      </w:r>
    </w:p>
    <w:p w14:paraId="56B2B495" w14:textId="77777777" w:rsidR="007C30ED" w:rsidRPr="008B176C" w:rsidRDefault="007C30ED" w:rsidP="007C30ED">
      <w:pPr>
        <w:spacing w:line="360" w:lineRule="auto"/>
        <w:jc w:val="both"/>
        <w:rPr>
          <w:rFonts w:ascii="Arial" w:hAnsi="Arial"/>
        </w:rPr>
      </w:pPr>
    </w:p>
    <w:p w14:paraId="20C69EDC" w14:textId="77777777" w:rsidR="007C30ED" w:rsidRDefault="007C30ED" w:rsidP="007C30ED">
      <w:pPr>
        <w:spacing w:line="360" w:lineRule="auto"/>
        <w:jc w:val="both"/>
        <w:rPr>
          <w:rFonts w:ascii="Arial" w:hAnsi="Arial"/>
          <w:rtl/>
        </w:rPr>
      </w:pPr>
      <w:r>
        <w:rPr>
          <w:rFonts w:ascii="Arial" w:hAnsi="Arial" w:hint="cs"/>
          <w:b/>
          <w:bCs/>
          <w:u w:val="single"/>
          <w:rtl/>
        </w:rPr>
        <w:t>טענות ב"כ המאשימה לעונש</w:t>
      </w:r>
      <w:r>
        <w:rPr>
          <w:rFonts w:ascii="Arial" w:hAnsi="Arial" w:hint="cs"/>
          <w:rtl/>
        </w:rPr>
        <w:t>:</w:t>
      </w:r>
    </w:p>
    <w:p w14:paraId="7EC91285" w14:textId="77777777" w:rsidR="007C30ED" w:rsidRPr="008B176C" w:rsidRDefault="007C30ED" w:rsidP="007C30ED">
      <w:pPr>
        <w:spacing w:line="360" w:lineRule="auto"/>
        <w:jc w:val="both"/>
        <w:rPr>
          <w:rFonts w:ascii="Arial" w:hAnsi="Arial"/>
          <w:rtl/>
        </w:rPr>
      </w:pPr>
    </w:p>
    <w:p w14:paraId="02D865CA" w14:textId="77777777" w:rsidR="007C30ED" w:rsidRPr="006A0427" w:rsidRDefault="007C30ED" w:rsidP="007C30ED">
      <w:pPr>
        <w:pStyle w:val="a9"/>
        <w:numPr>
          <w:ilvl w:val="0"/>
          <w:numId w:val="1"/>
        </w:numPr>
        <w:spacing w:line="360" w:lineRule="auto"/>
        <w:jc w:val="both"/>
        <w:rPr>
          <w:rFonts w:ascii="Arial" w:hAnsi="Arial"/>
          <w:rtl/>
        </w:rPr>
      </w:pPr>
      <w:r w:rsidRPr="006A0427">
        <w:rPr>
          <w:rFonts w:ascii="Arial" w:hAnsi="Arial"/>
          <w:rtl/>
        </w:rPr>
        <w:t xml:space="preserve">ב"כ המאשימה </w:t>
      </w:r>
      <w:r w:rsidRPr="006A0427">
        <w:rPr>
          <w:rFonts w:ascii="Arial" w:hAnsi="Arial" w:hint="cs"/>
          <w:rtl/>
        </w:rPr>
        <w:t>טען כי</w:t>
      </w:r>
      <w:r>
        <w:rPr>
          <w:rFonts w:ascii="Arial" w:hAnsi="Arial" w:hint="cs"/>
          <w:rtl/>
        </w:rPr>
        <w:t xml:space="preserve"> </w:t>
      </w:r>
      <w:r w:rsidRPr="006A0427">
        <w:rPr>
          <w:rFonts w:ascii="Arial" w:hAnsi="Arial"/>
          <w:rtl/>
        </w:rPr>
        <w:t xml:space="preserve">הנאשם הודה בכתב אישום מתוקן ביום 23.7.24 והורשע בסיוע של עבירות נשק לפי </w:t>
      </w:r>
      <w:hyperlink r:id="rId14" w:history="1">
        <w:r w:rsidR="00715E04" w:rsidRPr="00715E04">
          <w:rPr>
            <w:rStyle w:val="Hyperlink"/>
            <w:rFonts w:ascii="Arial" w:hAnsi="Arial"/>
            <w:color w:val="0000FF"/>
            <w:rtl/>
          </w:rPr>
          <w:t>סעיף 144(ב2)</w:t>
        </w:r>
      </w:hyperlink>
      <w:r w:rsidRPr="006A0427">
        <w:rPr>
          <w:rFonts w:ascii="Arial" w:hAnsi="Arial"/>
          <w:rtl/>
        </w:rPr>
        <w:t xml:space="preserve"> </w:t>
      </w:r>
      <w:hyperlink r:id="rId15" w:history="1">
        <w:r w:rsidR="00715E04" w:rsidRPr="00715E04">
          <w:rPr>
            <w:rStyle w:val="Hyperlink"/>
            <w:rFonts w:ascii="Arial" w:hAnsi="Arial"/>
            <w:color w:val="0000FF"/>
            <w:rtl/>
          </w:rPr>
          <w:t>וסעיף 31</w:t>
        </w:r>
      </w:hyperlink>
      <w:r w:rsidRPr="006A0427">
        <w:rPr>
          <w:rFonts w:ascii="Arial" w:hAnsi="Arial"/>
          <w:rtl/>
        </w:rPr>
        <w:t xml:space="preserve"> ל</w:t>
      </w:r>
      <w:hyperlink r:id="rId16" w:history="1">
        <w:r w:rsidR="00F8787E" w:rsidRPr="00F8787E">
          <w:rPr>
            <w:rFonts w:ascii="Arial" w:hAnsi="Arial"/>
            <w:color w:val="0000FF"/>
            <w:u w:val="single"/>
            <w:rtl/>
          </w:rPr>
          <w:t>חוק העונשין</w:t>
        </w:r>
      </w:hyperlink>
      <w:r w:rsidRPr="006A0427">
        <w:rPr>
          <w:rFonts w:ascii="Arial" w:hAnsi="Arial"/>
          <w:rtl/>
        </w:rPr>
        <w:t>. הוגש נגדו כתב אישום נוסף שנדון בפני מותב אחר וטרם ניתנה בו הכרעת דין. מדובר בעבירה ברף הגבוה של עבירות נשק, שהעונש המקסימלי בצדה הוא 15 שנות מאסר, ומחצית העונש ביחס למסייע.</w:t>
      </w:r>
    </w:p>
    <w:p w14:paraId="42C5B865" w14:textId="77777777" w:rsidR="007C30ED" w:rsidRPr="006A0427" w:rsidRDefault="007C30ED" w:rsidP="007C30ED">
      <w:pPr>
        <w:pStyle w:val="a9"/>
        <w:spacing w:line="360" w:lineRule="auto"/>
        <w:jc w:val="both"/>
        <w:rPr>
          <w:rFonts w:ascii="Arial" w:hAnsi="Arial"/>
          <w:rtl/>
        </w:rPr>
      </w:pPr>
    </w:p>
    <w:p w14:paraId="363FD582" w14:textId="77777777" w:rsidR="007C30ED" w:rsidRPr="006A0427" w:rsidRDefault="007C30ED" w:rsidP="007C30ED">
      <w:pPr>
        <w:pStyle w:val="a9"/>
        <w:numPr>
          <w:ilvl w:val="0"/>
          <w:numId w:val="1"/>
        </w:numPr>
        <w:spacing w:line="360" w:lineRule="auto"/>
        <w:jc w:val="both"/>
        <w:rPr>
          <w:rFonts w:ascii="Arial" w:hAnsi="Arial"/>
          <w:rtl/>
        </w:rPr>
      </w:pPr>
      <w:r>
        <w:rPr>
          <w:rFonts w:ascii="Arial" w:hAnsi="Arial" w:hint="cs"/>
          <w:rtl/>
        </w:rPr>
        <w:t xml:space="preserve">נטען כי </w:t>
      </w:r>
      <w:r w:rsidRPr="006A0427">
        <w:rPr>
          <w:rFonts w:ascii="Arial" w:hAnsi="Arial"/>
          <w:rtl/>
        </w:rPr>
        <w:t>על פי עובדות כתב האישום, הנאשם היה חלק מקבוצה שכללה מאות אנשים שיכלה להיות חיובית לאחר אירועי 7 באוקטובר ופתיחת מלחמת חרבות ברזל. אולם, הנאשם יחד עם נאשם נוסף בשם נתנאל כהן תכננו לייצר בקבוקי תבערה. ביום 20.10.23 נערכה פגישה בין השניים בביתו של השותף, ובהדרכת הנאשם ייצר נתנאל מספר בקבוקי תבערה. בסך הכל ייצר נתנאל עשרות בקבוקי תבערה ובמועד המעצר נתפסו בחזקתו 62 בקבוקים.</w:t>
      </w:r>
    </w:p>
    <w:p w14:paraId="49EEAC66" w14:textId="77777777" w:rsidR="007C30ED" w:rsidRPr="006A0427" w:rsidRDefault="007C30ED" w:rsidP="007C30ED">
      <w:pPr>
        <w:pStyle w:val="a9"/>
        <w:spacing w:line="360" w:lineRule="auto"/>
        <w:jc w:val="both"/>
        <w:rPr>
          <w:rFonts w:ascii="Arial" w:hAnsi="Arial"/>
          <w:rtl/>
        </w:rPr>
      </w:pPr>
    </w:p>
    <w:p w14:paraId="6458AC87" w14:textId="77777777" w:rsidR="007C30ED" w:rsidRPr="00D62309" w:rsidRDefault="007C30ED" w:rsidP="007C30ED">
      <w:pPr>
        <w:pStyle w:val="a9"/>
        <w:numPr>
          <w:ilvl w:val="0"/>
          <w:numId w:val="1"/>
        </w:numPr>
        <w:spacing w:line="360" w:lineRule="auto"/>
        <w:jc w:val="both"/>
        <w:rPr>
          <w:rFonts w:ascii="Arial" w:hAnsi="Arial"/>
          <w:rtl/>
        </w:rPr>
      </w:pPr>
      <w:r>
        <w:rPr>
          <w:rFonts w:ascii="Arial" w:hAnsi="Arial" w:hint="cs"/>
          <w:rtl/>
        </w:rPr>
        <w:lastRenderedPageBreak/>
        <w:t xml:space="preserve">עוד נטען כי </w:t>
      </w:r>
      <w:r w:rsidRPr="006A0427">
        <w:rPr>
          <w:rFonts w:ascii="Arial" w:hAnsi="Arial"/>
          <w:rtl/>
        </w:rPr>
        <w:t>הנאשם נעדר עבר פלילי. הוא היה במעצר מאחורי סורג ובריח בין התאריכים 27.10.23 ועד 31.12.23, ולאחר מכן במעצר בית עם איזוק אלקטרוני בבית הוריו בחיפה. בהדרגה הוקלו תנאי מעצר הבית שלו עד להסרת האיזוק ב-18.8.24.</w:t>
      </w:r>
      <w:r w:rsidRPr="00D62309">
        <w:rPr>
          <w:rFonts w:ascii="Arial" w:hAnsi="Arial" w:hint="cs"/>
          <w:rtl/>
        </w:rPr>
        <w:t xml:space="preserve">                                                                                                                                                                                                                                                                                                                                                                                                                                                                                                                                                                                                                                                                                                                                                                                                                                                                                                                                                                                                                                                                                                                                                         </w:t>
      </w:r>
    </w:p>
    <w:p w14:paraId="38DFB154" w14:textId="77777777" w:rsidR="007C30ED" w:rsidRPr="006A0427" w:rsidRDefault="007C30ED" w:rsidP="007C30ED">
      <w:pPr>
        <w:pStyle w:val="a9"/>
        <w:spacing w:line="360" w:lineRule="auto"/>
        <w:jc w:val="both"/>
        <w:rPr>
          <w:rFonts w:ascii="Arial" w:hAnsi="Arial"/>
          <w:rtl/>
        </w:rPr>
      </w:pPr>
    </w:p>
    <w:p w14:paraId="78A2A7C6" w14:textId="77777777" w:rsidR="007C30ED" w:rsidRPr="006A0427" w:rsidRDefault="007C30ED" w:rsidP="007C30ED">
      <w:pPr>
        <w:pStyle w:val="a9"/>
        <w:numPr>
          <w:ilvl w:val="0"/>
          <w:numId w:val="1"/>
        </w:numPr>
        <w:spacing w:line="360" w:lineRule="auto"/>
        <w:jc w:val="both"/>
        <w:rPr>
          <w:rFonts w:ascii="Arial" w:hAnsi="Arial"/>
          <w:rtl/>
        </w:rPr>
      </w:pPr>
      <w:r>
        <w:rPr>
          <w:rFonts w:ascii="Arial" w:hAnsi="Arial"/>
          <w:rtl/>
        </w:rPr>
        <w:t>ב"כ המאשימה</w:t>
      </w:r>
      <w:r>
        <w:rPr>
          <w:rFonts w:ascii="Arial" w:hAnsi="Arial" w:hint="cs"/>
          <w:rtl/>
        </w:rPr>
        <w:t xml:space="preserve"> </w:t>
      </w:r>
      <w:r>
        <w:rPr>
          <w:rFonts w:ascii="Arial" w:hAnsi="Arial"/>
          <w:rtl/>
        </w:rPr>
        <w:t xml:space="preserve"> סב</w:t>
      </w:r>
      <w:r>
        <w:rPr>
          <w:rFonts w:ascii="Arial" w:hAnsi="Arial" w:hint="cs"/>
          <w:rtl/>
        </w:rPr>
        <w:t>ר</w:t>
      </w:r>
      <w:r w:rsidRPr="006A0427">
        <w:rPr>
          <w:rFonts w:ascii="Arial" w:hAnsi="Arial"/>
          <w:rtl/>
        </w:rPr>
        <w:t xml:space="preserve"> כי המלצת שירות המבחן להשית צו מבחן, של"צ בהיקף של 250 שעות, עונשי מאסר על תנאי וקנס והתחייבות, סוטה במידה ניכרת מהעונש הראוי. זאת נוכח אופי העבירות והעובדה שהנאשם לא נקט בהליכי טיפול או שיקום במהלך תקופת הפיקוח.</w:t>
      </w:r>
    </w:p>
    <w:p w14:paraId="130B42FB" w14:textId="77777777" w:rsidR="007C30ED" w:rsidRPr="006A0427" w:rsidRDefault="007C30ED" w:rsidP="007C30ED">
      <w:pPr>
        <w:pStyle w:val="a9"/>
        <w:spacing w:line="360" w:lineRule="auto"/>
        <w:jc w:val="both"/>
        <w:rPr>
          <w:rFonts w:ascii="Arial" w:hAnsi="Arial"/>
          <w:rtl/>
        </w:rPr>
      </w:pPr>
    </w:p>
    <w:p w14:paraId="321547F7" w14:textId="77777777" w:rsidR="007C30ED" w:rsidRPr="006A0427" w:rsidRDefault="007C30ED" w:rsidP="007C30ED">
      <w:pPr>
        <w:pStyle w:val="a9"/>
        <w:numPr>
          <w:ilvl w:val="0"/>
          <w:numId w:val="1"/>
        </w:numPr>
        <w:spacing w:line="360" w:lineRule="auto"/>
        <w:jc w:val="both"/>
        <w:rPr>
          <w:rFonts w:ascii="Arial" w:hAnsi="Arial"/>
          <w:rtl/>
        </w:rPr>
      </w:pPr>
      <w:r w:rsidRPr="006A0427">
        <w:rPr>
          <w:rFonts w:ascii="Arial" w:hAnsi="Arial"/>
          <w:rtl/>
        </w:rPr>
        <w:t>המאשימה מדגישה כי המחוקק קבע עונשי מינימום במסגרת תיקון 140 ל</w:t>
      </w:r>
      <w:hyperlink r:id="rId17" w:history="1">
        <w:r w:rsidR="00F8787E" w:rsidRPr="00F8787E">
          <w:rPr>
            <w:rFonts w:ascii="Arial" w:hAnsi="Arial"/>
            <w:color w:val="0000FF"/>
            <w:u w:val="single"/>
            <w:rtl/>
          </w:rPr>
          <w:t>חוק העונשין</w:t>
        </w:r>
      </w:hyperlink>
      <w:r w:rsidRPr="006A0427">
        <w:rPr>
          <w:rFonts w:ascii="Arial" w:hAnsi="Arial"/>
          <w:rtl/>
        </w:rPr>
        <w:t xml:space="preserve">, כאשר ביחס לעבירה לפי </w:t>
      </w:r>
      <w:hyperlink r:id="rId18" w:history="1">
        <w:r w:rsidR="00715E04" w:rsidRPr="00715E04">
          <w:rPr>
            <w:rStyle w:val="Hyperlink"/>
            <w:rFonts w:ascii="Arial" w:hAnsi="Arial"/>
            <w:color w:val="0000FF"/>
            <w:rtl/>
          </w:rPr>
          <w:t>סעיף 144(ב2)</w:t>
        </w:r>
      </w:hyperlink>
      <w:r w:rsidRPr="006A0427">
        <w:rPr>
          <w:rFonts w:ascii="Arial" w:hAnsi="Arial"/>
          <w:rtl/>
        </w:rPr>
        <w:t xml:space="preserve"> עונש המינימום עומד על 45 חודשי מאסר. לפי הנחיית פרקליט המדינה 9.16, מתחם העונש המוצע לעבירת ייצור בקבוקי תבערה נע בין 36-54 חודשי מאסר, ובהתאמה לכך ביחס למסייע המתחם נע בין 18-27 חודשי מאסר.</w:t>
      </w:r>
    </w:p>
    <w:p w14:paraId="75768BB8" w14:textId="77777777" w:rsidR="007C30ED" w:rsidRPr="006A0427" w:rsidRDefault="007C30ED" w:rsidP="007C30ED">
      <w:pPr>
        <w:pStyle w:val="a9"/>
        <w:spacing w:line="360" w:lineRule="auto"/>
        <w:jc w:val="both"/>
        <w:rPr>
          <w:rFonts w:ascii="Arial" w:hAnsi="Arial"/>
          <w:rtl/>
        </w:rPr>
      </w:pPr>
    </w:p>
    <w:p w14:paraId="5FDB0C80" w14:textId="77777777" w:rsidR="007C30ED" w:rsidRPr="006A0427" w:rsidRDefault="007C30ED" w:rsidP="007C30ED">
      <w:pPr>
        <w:pStyle w:val="a9"/>
        <w:numPr>
          <w:ilvl w:val="0"/>
          <w:numId w:val="1"/>
        </w:numPr>
        <w:spacing w:line="360" w:lineRule="auto"/>
        <w:jc w:val="both"/>
        <w:rPr>
          <w:rFonts w:ascii="Arial" w:hAnsi="Arial"/>
          <w:rtl/>
        </w:rPr>
      </w:pPr>
      <w:r>
        <w:rPr>
          <w:rFonts w:ascii="Arial" w:hAnsi="Arial"/>
          <w:rtl/>
        </w:rPr>
        <w:t>ב"כ המאשימה הדגיש</w:t>
      </w:r>
      <w:r w:rsidRPr="006A0427">
        <w:rPr>
          <w:rFonts w:ascii="Arial" w:hAnsi="Arial"/>
          <w:rtl/>
        </w:rPr>
        <w:t xml:space="preserve"> את חומרת הפגיעה בערכים החברתיים המוגנים, את הסכנה לביטחון הציבור ושלומו, ואת העובדה שמדובר בהיקף לא מבוטל של בקבוקי תבערה. </w:t>
      </w:r>
      <w:r>
        <w:rPr>
          <w:rFonts w:ascii="Arial" w:hAnsi="Arial" w:hint="cs"/>
          <w:rtl/>
        </w:rPr>
        <w:t>צוין</w:t>
      </w:r>
      <w:r w:rsidRPr="006A0427">
        <w:rPr>
          <w:rFonts w:ascii="Arial" w:hAnsi="Arial"/>
          <w:rtl/>
        </w:rPr>
        <w:t xml:space="preserve"> כי האירוע כלל תכנון ולא היה ספונטני, והנזק הפוטנציאלי שיכול היה להיגרם הוא חמור ביותר.</w:t>
      </w:r>
    </w:p>
    <w:p w14:paraId="717B71AC" w14:textId="77777777" w:rsidR="007C30ED" w:rsidRPr="006A0427" w:rsidRDefault="007C30ED" w:rsidP="007C30ED">
      <w:pPr>
        <w:pStyle w:val="a9"/>
        <w:spacing w:line="360" w:lineRule="auto"/>
        <w:jc w:val="both"/>
        <w:rPr>
          <w:rFonts w:ascii="Arial" w:hAnsi="Arial"/>
          <w:rtl/>
        </w:rPr>
      </w:pPr>
    </w:p>
    <w:p w14:paraId="27C4D842" w14:textId="77777777" w:rsidR="007C30ED" w:rsidRPr="005A49D4" w:rsidRDefault="007C30ED" w:rsidP="007C30ED">
      <w:pPr>
        <w:pStyle w:val="a9"/>
        <w:numPr>
          <w:ilvl w:val="0"/>
          <w:numId w:val="1"/>
        </w:numPr>
        <w:spacing w:line="360" w:lineRule="auto"/>
        <w:jc w:val="both"/>
        <w:rPr>
          <w:rFonts w:ascii="Arial" w:hAnsi="Arial"/>
        </w:rPr>
      </w:pPr>
      <w:r w:rsidRPr="005A49D4">
        <w:rPr>
          <w:rFonts w:ascii="Arial" w:hAnsi="Arial"/>
          <w:rtl/>
        </w:rPr>
        <w:t>ב"כ המאשימה הציג פסיקה רלוונטית המדגישה את חומרת העבירות ואת מדיניות הענישה המחמירה בעבירות מסוג זה, גם במקרים של נאשמים צעירים וללא עבר פלילי</w:t>
      </w:r>
      <w:r w:rsidRPr="005A49D4">
        <w:rPr>
          <w:rFonts w:ascii="Arial" w:hAnsi="Arial" w:hint="cs"/>
          <w:rtl/>
        </w:rPr>
        <w:t xml:space="preserve"> וזאת כדלקמן:</w:t>
      </w:r>
    </w:p>
    <w:p w14:paraId="45A930B8" w14:textId="77777777" w:rsidR="007C30ED" w:rsidRPr="00D71141" w:rsidRDefault="007C30ED" w:rsidP="007C30ED">
      <w:pPr>
        <w:pStyle w:val="a9"/>
        <w:spacing w:line="360" w:lineRule="auto"/>
        <w:rPr>
          <w:rFonts w:ascii="Arial" w:hAnsi="Arial"/>
          <w:rtl/>
        </w:rPr>
      </w:pPr>
    </w:p>
    <w:p w14:paraId="06BEED65" w14:textId="77777777" w:rsidR="007C30ED" w:rsidRDefault="00F8787E" w:rsidP="007C30ED">
      <w:pPr>
        <w:pStyle w:val="a9"/>
        <w:numPr>
          <w:ilvl w:val="0"/>
          <w:numId w:val="2"/>
        </w:numPr>
        <w:spacing w:line="360" w:lineRule="auto"/>
        <w:jc w:val="both"/>
        <w:rPr>
          <w:rFonts w:ascii="Arial" w:hAnsi="Arial"/>
        </w:rPr>
      </w:pPr>
      <w:hyperlink r:id="rId19" w:history="1">
        <w:r w:rsidRPr="00F8787E">
          <w:rPr>
            <w:rFonts w:ascii="Arial" w:hAnsi="Arial"/>
            <w:color w:val="0000FF"/>
            <w:u w:val="single"/>
            <w:rtl/>
          </w:rPr>
          <w:t>ע"פ 3511/17</w:t>
        </w:r>
      </w:hyperlink>
      <w:r w:rsidR="007C30ED">
        <w:rPr>
          <w:rFonts w:ascii="Arial" w:hAnsi="Arial" w:hint="cs"/>
          <w:rtl/>
        </w:rPr>
        <w:t xml:space="preserve"> </w:t>
      </w:r>
      <w:r w:rsidR="007C30ED">
        <w:rPr>
          <w:rFonts w:ascii="Arial" w:hAnsi="Arial" w:hint="cs"/>
          <w:b/>
          <w:bCs/>
          <w:rtl/>
        </w:rPr>
        <w:t xml:space="preserve">מדינת ישראל נ' עומר אבו ריא </w:t>
      </w:r>
      <w:r w:rsidR="007C30ED">
        <w:rPr>
          <w:rFonts w:ascii="Arial" w:hAnsi="Arial" w:hint="cs"/>
          <w:rtl/>
        </w:rPr>
        <w:t>(17.09.2017),  שם</w:t>
      </w:r>
      <w:r w:rsidR="007C30ED" w:rsidRPr="00EA6C56">
        <w:rPr>
          <w:rFonts w:ascii="Arial" w:hAnsi="Arial"/>
          <w:rtl/>
        </w:rPr>
        <w:t xml:space="preserve"> בית המשפט העליון קיבל את ערעור המדינה על קולת העונש שהוטל על </w:t>
      </w:r>
      <w:r w:rsidR="007C30ED">
        <w:rPr>
          <w:rFonts w:ascii="Arial" w:hAnsi="Arial" w:hint="cs"/>
          <w:rtl/>
        </w:rPr>
        <w:t>הנאשמים</w:t>
      </w:r>
      <w:r w:rsidR="007C30ED" w:rsidRPr="00EA6C56">
        <w:rPr>
          <w:rFonts w:ascii="Arial" w:hAnsi="Arial"/>
          <w:rtl/>
        </w:rPr>
        <w:t xml:space="preserve">. </w:t>
      </w:r>
      <w:r w:rsidR="007C30ED">
        <w:rPr>
          <w:rFonts w:ascii="Arial" w:hAnsi="Arial" w:hint="cs"/>
          <w:rtl/>
        </w:rPr>
        <w:t>הנאשמים</w:t>
      </w:r>
      <w:r w:rsidR="007C30ED" w:rsidRPr="00EA6C56">
        <w:rPr>
          <w:rFonts w:ascii="Arial" w:hAnsi="Arial"/>
          <w:rtl/>
        </w:rPr>
        <w:t xml:space="preserve"> הורשעו בעבירות של ייצור נשק, נשיאה והובלת נשק, ניסיון הצתה והיזק בזדון, על יסוד הודאתם בכתב אישום מתוקן. בית המשפט העליון קבע כי עונש 6 חודשי עבודות שירות שהושת על </w:t>
      </w:r>
      <w:r w:rsidR="007C30ED">
        <w:rPr>
          <w:rFonts w:ascii="Arial" w:hAnsi="Arial" w:hint="cs"/>
          <w:rtl/>
        </w:rPr>
        <w:t>הנאשמים</w:t>
      </w:r>
      <w:r w:rsidR="007C30ED" w:rsidRPr="00EA6C56">
        <w:rPr>
          <w:rFonts w:ascii="Arial" w:hAnsi="Arial"/>
          <w:rtl/>
        </w:rPr>
        <w:t xml:space="preserve"> אינו משקף כראוי את חומרת המעשים, שכללו ביצוע עבירות חמורות ביותר, ובפרט עבירת ההצתה שנושאת עונש של 15 שנות מאסר</w:t>
      </w:r>
      <w:r w:rsidR="007C30ED">
        <w:rPr>
          <w:rFonts w:ascii="Arial" w:hAnsi="Arial" w:hint="cs"/>
          <w:rtl/>
        </w:rPr>
        <w:t>.</w:t>
      </w:r>
      <w:r w:rsidR="007C30ED" w:rsidRPr="00EA6C56">
        <w:rPr>
          <w:rFonts w:ascii="Arial" w:hAnsi="Arial"/>
          <w:rtl/>
        </w:rPr>
        <w:t xml:space="preserve"> בית המשפט העליון קבע כי יוטל על כל אחד מהמשיבים עונש של 12 חודשי מאסר בפועל.</w:t>
      </w:r>
    </w:p>
    <w:p w14:paraId="65A5FA68" w14:textId="77777777" w:rsidR="007C30ED" w:rsidRDefault="007C30ED" w:rsidP="007C30ED">
      <w:pPr>
        <w:pStyle w:val="a9"/>
        <w:spacing w:line="360" w:lineRule="auto"/>
        <w:ind w:left="1080"/>
        <w:jc w:val="both"/>
        <w:rPr>
          <w:rFonts w:ascii="Arial" w:hAnsi="Arial"/>
        </w:rPr>
      </w:pPr>
    </w:p>
    <w:p w14:paraId="2B8442E5" w14:textId="77777777" w:rsidR="007C30ED" w:rsidRDefault="00F8787E" w:rsidP="007C30ED">
      <w:pPr>
        <w:pStyle w:val="a9"/>
        <w:numPr>
          <w:ilvl w:val="0"/>
          <w:numId w:val="2"/>
        </w:numPr>
        <w:spacing w:line="360" w:lineRule="auto"/>
        <w:jc w:val="both"/>
      </w:pPr>
      <w:hyperlink r:id="rId20" w:history="1">
        <w:r w:rsidRPr="00F8787E">
          <w:rPr>
            <w:rFonts w:ascii="Arial" w:hAnsi="Arial"/>
            <w:color w:val="0000FF"/>
            <w:u w:val="single"/>
            <w:rtl/>
          </w:rPr>
          <w:t>ת"פ 56374-05-19</w:t>
        </w:r>
      </w:hyperlink>
      <w:r w:rsidR="007C30ED" w:rsidRPr="00EF1505">
        <w:rPr>
          <w:rFonts w:ascii="Arial" w:hAnsi="Arial" w:hint="cs"/>
          <w:rtl/>
        </w:rPr>
        <w:t xml:space="preserve"> </w:t>
      </w:r>
      <w:r w:rsidR="007C30ED" w:rsidRPr="00EF1505">
        <w:rPr>
          <w:rFonts w:ascii="Arial" w:hAnsi="Arial" w:hint="cs"/>
          <w:b/>
          <w:bCs/>
          <w:rtl/>
        </w:rPr>
        <w:t xml:space="preserve">מדינת ישראל נ' סולטאן אבו דיאב </w:t>
      </w:r>
      <w:r w:rsidR="007C30ED" w:rsidRPr="00EF1505">
        <w:rPr>
          <w:rFonts w:ascii="Arial" w:hAnsi="Arial" w:hint="cs"/>
          <w:rtl/>
        </w:rPr>
        <w:t xml:space="preserve">(15.05.2019), </w:t>
      </w:r>
      <w:r w:rsidR="007C30ED">
        <w:rPr>
          <w:rFonts w:hint="cs"/>
          <w:rtl/>
        </w:rPr>
        <w:t>שם הורשע</w:t>
      </w:r>
      <w:r w:rsidR="007C30ED">
        <w:rPr>
          <w:rtl/>
        </w:rPr>
        <w:t xml:space="preserve"> הנאשם</w:t>
      </w:r>
      <w:r w:rsidR="007C30ED">
        <w:rPr>
          <w:rFonts w:hint="cs"/>
          <w:rtl/>
        </w:rPr>
        <w:t xml:space="preserve">, צעיר, </w:t>
      </w:r>
      <w:r w:rsidR="007C30ED" w:rsidRPr="00EF1505">
        <w:rPr>
          <w:rtl/>
        </w:rPr>
        <w:t>בהתאם להודאתו בעבירה של ייצור ייבוא וסחר בנשק</w:t>
      </w:r>
      <w:r w:rsidR="007C30ED" w:rsidRPr="00EF1505">
        <w:rPr>
          <w:rFonts w:ascii="Arial" w:hAnsi="Arial" w:hint="cs"/>
          <w:rtl/>
        </w:rPr>
        <w:t xml:space="preserve"> וזאת לאחר שהנאשם הכין בקבוקי תבערה בביתו ורק לאחר שאחיו הבחין בו וביקש ממנו להוציא </w:t>
      </w:r>
      <w:r w:rsidR="007C30ED" w:rsidRPr="00EF1505">
        <w:rPr>
          <w:rtl/>
        </w:rPr>
        <w:t xml:space="preserve">אותם מהבית. הנאשם לקח את הבקבוקים, יצא מהבית וזרק אותם לפח אשפה המצוי סמוך לביתו. </w:t>
      </w:r>
      <w:r w:rsidR="007C30ED" w:rsidRPr="00EF1505">
        <w:rPr>
          <w:rFonts w:hint="cs"/>
          <w:rtl/>
        </w:rPr>
        <w:t xml:space="preserve">נקבע </w:t>
      </w:r>
      <w:r w:rsidR="007C30ED" w:rsidRPr="00EF1505">
        <w:rPr>
          <w:rtl/>
        </w:rPr>
        <w:t xml:space="preserve">מתחם עונש ההולם </w:t>
      </w:r>
      <w:r w:rsidR="007C30ED" w:rsidRPr="00EF1505">
        <w:rPr>
          <w:rFonts w:hint="cs"/>
          <w:rtl/>
        </w:rPr>
        <w:t>ש</w:t>
      </w:r>
      <w:r w:rsidR="007C30ED" w:rsidRPr="00EF1505">
        <w:rPr>
          <w:rtl/>
        </w:rPr>
        <w:t xml:space="preserve">נע בין מספר חודשי מאסר בפועל, לבין </w:t>
      </w:r>
      <w:r w:rsidR="007C30ED" w:rsidRPr="00EF1505">
        <w:rPr>
          <w:rFonts w:hint="cs"/>
          <w:rtl/>
        </w:rPr>
        <w:t xml:space="preserve">24 </w:t>
      </w:r>
      <w:r w:rsidR="007C30ED" w:rsidRPr="00EF1505">
        <w:rPr>
          <w:rtl/>
        </w:rPr>
        <w:t xml:space="preserve"> חודשי מאסר</w:t>
      </w:r>
      <w:r w:rsidR="007C30ED">
        <w:rPr>
          <w:rFonts w:hint="cs"/>
          <w:rtl/>
        </w:rPr>
        <w:t xml:space="preserve"> והושתו עליו 5 חודשי מאסר בפועל. </w:t>
      </w:r>
    </w:p>
    <w:p w14:paraId="0C07203D" w14:textId="77777777" w:rsidR="007C30ED" w:rsidRDefault="007C30ED" w:rsidP="007C30ED">
      <w:pPr>
        <w:pStyle w:val="a9"/>
        <w:spacing w:line="360" w:lineRule="auto"/>
        <w:rPr>
          <w:rtl/>
        </w:rPr>
      </w:pPr>
    </w:p>
    <w:p w14:paraId="086C7DDC" w14:textId="77777777" w:rsidR="007C30ED" w:rsidRPr="00504213" w:rsidRDefault="00F8787E" w:rsidP="007C30ED">
      <w:pPr>
        <w:pStyle w:val="a9"/>
        <w:numPr>
          <w:ilvl w:val="0"/>
          <w:numId w:val="2"/>
        </w:numPr>
        <w:spacing w:line="360" w:lineRule="auto"/>
        <w:jc w:val="both"/>
        <w:rPr>
          <w:rFonts w:ascii="Arial" w:hAnsi="Arial"/>
        </w:rPr>
      </w:pPr>
      <w:hyperlink r:id="rId21" w:history="1">
        <w:r w:rsidRPr="00F8787E">
          <w:rPr>
            <w:color w:val="0000FF"/>
            <w:u w:val="single"/>
            <w:rtl/>
          </w:rPr>
          <w:t>ע"פ 5974/13</w:t>
        </w:r>
      </w:hyperlink>
      <w:r w:rsidR="007C30ED">
        <w:rPr>
          <w:rFonts w:hint="cs"/>
          <w:rtl/>
        </w:rPr>
        <w:t xml:space="preserve"> </w:t>
      </w:r>
      <w:r w:rsidR="007C30ED" w:rsidRPr="00AB1533">
        <w:rPr>
          <w:rFonts w:hint="cs"/>
          <w:b/>
          <w:bCs/>
          <w:rtl/>
        </w:rPr>
        <w:t xml:space="preserve">מחמד מוחמד עודה נ' מדינת ישראל </w:t>
      </w:r>
      <w:r w:rsidR="007C30ED">
        <w:rPr>
          <w:rFonts w:hint="cs"/>
          <w:rtl/>
        </w:rPr>
        <w:t xml:space="preserve">(16.01.2014), שם הורשע הנאשם בעבירת סיוע לייצור נשק </w:t>
      </w:r>
      <w:r w:rsidR="007C30ED" w:rsidRPr="00DA7101">
        <w:rPr>
          <w:rtl/>
        </w:rPr>
        <w:t>בגין אספקת בנזין לקטין אשר שימש להכנת בקבוקי תבערה, ונגזרו עליו 15 חודשי מאסר בפועל לצד הפעלה במצטבר של מאסר על תנאי בן 12 חודשים מהרשעה קודמת. בית המשפט העלי</w:t>
      </w:r>
      <w:r w:rsidR="007C30ED">
        <w:rPr>
          <w:rtl/>
        </w:rPr>
        <w:t>ון דחה את הערעור על חומרת העונש</w:t>
      </w:r>
      <w:r w:rsidR="007C30ED">
        <w:rPr>
          <w:rFonts w:hint="cs"/>
          <w:rtl/>
        </w:rPr>
        <w:t>.</w:t>
      </w:r>
    </w:p>
    <w:p w14:paraId="45250F27" w14:textId="77777777" w:rsidR="007C30ED" w:rsidRDefault="007C30ED" w:rsidP="007C30ED">
      <w:pPr>
        <w:pStyle w:val="a9"/>
        <w:spacing w:line="360" w:lineRule="auto"/>
        <w:ind w:left="1080"/>
        <w:jc w:val="both"/>
        <w:rPr>
          <w:rFonts w:ascii="Arial" w:hAnsi="Arial"/>
          <w:rtl/>
        </w:rPr>
      </w:pPr>
    </w:p>
    <w:p w14:paraId="39C327C8" w14:textId="77777777" w:rsidR="007C30ED" w:rsidRDefault="007C30ED" w:rsidP="007C30ED">
      <w:pPr>
        <w:pStyle w:val="a9"/>
        <w:spacing w:line="360" w:lineRule="auto"/>
        <w:ind w:left="1080"/>
        <w:jc w:val="both"/>
        <w:rPr>
          <w:rFonts w:ascii="Arial" w:hAnsi="Arial"/>
          <w:rtl/>
        </w:rPr>
      </w:pPr>
    </w:p>
    <w:p w14:paraId="0ED9EA9E" w14:textId="77777777" w:rsidR="007C30ED" w:rsidRDefault="007C30ED" w:rsidP="007C30ED">
      <w:pPr>
        <w:pStyle w:val="a9"/>
        <w:spacing w:line="360" w:lineRule="auto"/>
        <w:ind w:left="1080"/>
        <w:jc w:val="both"/>
        <w:rPr>
          <w:rFonts w:ascii="Arial" w:hAnsi="Arial"/>
          <w:rtl/>
        </w:rPr>
      </w:pPr>
    </w:p>
    <w:p w14:paraId="590A6366" w14:textId="77777777" w:rsidR="007C30ED" w:rsidRDefault="007C30ED" w:rsidP="007C30ED">
      <w:pPr>
        <w:spacing w:line="360" w:lineRule="auto"/>
        <w:jc w:val="both"/>
        <w:rPr>
          <w:rFonts w:ascii="Arial" w:hAnsi="Arial"/>
          <w:rtl/>
        </w:rPr>
      </w:pPr>
      <w:r>
        <w:rPr>
          <w:rFonts w:ascii="Arial" w:hAnsi="Arial" w:hint="cs"/>
          <w:b/>
          <w:bCs/>
          <w:u w:val="single"/>
          <w:rtl/>
        </w:rPr>
        <w:t>טענות ההגנה לעונש</w:t>
      </w:r>
      <w:r>
        <w:rPr>
          <w:rFonts w:ascii="Arial" w:hAnsi="Arial" w:hint="cs"/>
          <w:rtl/>
        </w:rPr>
        <w:t>:</w:t>
      </w:r>
    </w:p>
    <w:p w14:paraId="7E941C23" w14:textId="77777777" w:rsidR="007C30ED" w:rsidRPr="008B176C" w:rsidRDefault="007C30ED" w:rsidP="007C30ED">
      <w:pPr>
        <w:spacing w:line="360" w:lineRule="auto"/>
        <w:jc w:val="both"/>
        <w:rPr>
          <w:rFonts w:ascii="Arial" w:hAnsi="Arial"/>
          <w:rtl/>
        </w:rPr>
      </w:pPr>
    </w:p>
    <w:p w14:paraId="130873FD" w14:textId="77777777" w:rsidR="007C30ED" w:rsidRDefault="007C30ED" w:rsidP="007C30ED">
      <w:pPr>
        <w:pStyle w:val="a9"/>
        <w:numPr>
          <w:ilvl w:val="0"/>
          <w:numId w:val="1"/>
        </w:numPr>
        <w:spacing w:line="360" w:lineRule="auto"/>
        <w:jc w:val="both"/>
        <w:rPr>
          <w:rFonts w:ascii="Arial" w:hAnsi="Arial"/>
        </w:rPr>
      </w:pPr>
      <w:r w:rsidRPr="00963AF5">
        <w:rPr>
          <w:rFonts w:ascii="Arial" w:hAnsi="Arial"/>
          <w:rtl/>
        </w:rPr>
        <w:t>ב"כ הנאשם טוענת כי הפרשנות ב</w:t>
      </w:r>
      <w:r>
        <w:rPr>
          <w:rFonts w:ascii="Arial" w:hAnsi="Arial"/>
          <w:rtl/>
        </w:rPr>
        <w:t>מקרה זה צריכה להיות לטובת ה</w:t>
      </w:r>
      <w:r>
        <w:rPr>
          <w:rFonts w:ascii="Arial" w:hAnsi="Arial" w:hint="cs"/>
          <w:rtl/>
        </w:rPr>
        <w:t>נאשם</w:t>
      </w:r>
      <w:r w:rsidRPr="00963AF5">
        <w:rPr>
          <w:rFonts w:ascii="Arial" w:hAnsi="Arial"/>
          <w:rtl/>
        </w:rPr>
        <w:t>, שכן העובדות מלמדות שהנאשם חשש לחייו ולביטחון משפחתו ונקט בפעולות של סיוע ליצירת הבקת"בים מתוך חשש זה, ולא מתוך כוונה לפגוע. היא מדגישה כי הנאשם לא ייצר את הבקת"בים בפועל אלא רק סייע בצורה ספונטנית ולא מכוונת, ולכן הפרשנות צריכה להיות לטובתו ואין מדובר בקשירת קשר.</w:t>
      </w:r>
    </w:p>
    <w:p w14:paraId="46565B65" w14:textId="77777777" w:rsidR="007C30ED" w:rsidRPr="00963AF5" w:rsidRDefault="007C30ED" w:rsidP="007C30ED">
      <w:pPr>
        <w:pStyle w:val="a9"/>
        <w:spacing w:line="360" w:lineRule="auto"/>
        <w:jc w:val="both"/>
        <w:rPr>
          <w:rFonts w:ascii="Arial" w:hAnsi="Arial"/>
          <w:rtl/>
        </w:rPr>
      </w:pPr>
    </w:p>
    <w:p w14:paraId="79FD0B27" w14:textId="77777777" w:rsidR="007C30ED" w:rsidRDefault="007C30ED" w:rsidP="007C30ED">
      <w:pPr>
        <w:pStyle w:val="a9"/>
        <w:numPr>
          <w:ilvl w:val="0"/>
          <w:numId w:val="1"/>
        </w:numPr>
        <w:spacing w:line="360" w:lineRule="auto"/>
        <w:jc w:val="both"/>
        <w:rPr>
          <w:rFonts w:ascii="Arial" w:hAnsi="Arial"/>
        </w:rPr>
      </w:pPr>
      <w:r w:rsidRPr="00963AF5">
        <w:rPr>
          <w:rFonts w:ascii="Arial" w:hAnsi="Arial"/>
          <w:rtl/>
        </w:rPr>
        <w:t>לטענת ב"כ הנאשם, רף העבירה במקרה זה הוא נמוך, שכן מדובר בנשק ברמה נמוכה יותר של עבירות נשק. כמו כן, היא טוענת כי חלקו של הנאשם היה שולי ולא נגרם נזק כתוצאה ממעשיו.</w:t>
      </w:r>
    </w:p>
    <w:p w14:paraId="7BA1D2B9" w14:textId="77777777" w:rsidR="007C30ED" w:rsidRPr="00403959" w:rsidRDefault="007C30ED" w:rsidP="007C30ED">
      <w:pPr>
        <w:pStyle w:val="a9"/>
        <w:spacing w:line="360" w:lineRule="auto"/>
        <w:rPr>
          <w:rFonts w:ascii="Arial" w:hAnsi="Arial"/>
          <w:rtl/>
        </w:rPr>
      </w:pPr>
    </w:p>
    <w:p w14:paraId="0A1DF148" w14:textId="77777777" w:rsidR="007C30ED" w:rsidRPr="00403959" w:rsidRDefault="007C30ED" w:rsidP="007C30ED">
      <w:pPr>
        <w:pStyle w:val="a9"/>
        <w:spacing w:line="360" w:lineRule="auto"/>
        <w:jc w:val="both"/>
        <w:rPr>
          <w:rFonts w:ascii="Arial" w:hAnsi="Arial"/>
          <w:rtl/>
        </w:rPr>
      </w:pPr>
    </w:p>
    <w:p w14:paraId="39BE0430" w14:textId="77777777" w:rsidR="007C30ED" w:rsidRDefault="007C30ED" w:rsidP="007C30ED">
      <w:pPr>
        <w:pStyle w:val="a9"/>
        <w:numPr>
          <w:ilvl w:val="0"/>
          <w:numId w:val="1"/>
        </w:numPr>
        <w:spacing w:line="360" w:lineRule="auto"/>
        <w:jc w:val="both"/>
        <w:rPr>
          <w:rFonts w:ascii="Arial" w:hAnsi="Arial"/>
        </w:rPr>
      </w:pPr>
      <w:r w:rsidRPr="00963AF5">
        <w:rPr>
          <w:rFonts w:ascii="Arial" w:hAnsi="Arial"/>
          <w:rtl/>
        </w:rPr>
        <w:t xml:space="preserve">ב"כ הנאשם מפנה </w:t>
      </w:r>
      <w:hyperlink r:id="rId22" w:history="1">
        <w:r w:rsidR="00715E04" w:rsidRPr="00715E04">
          <w:rPr>
            <w:rStyle w:val="Hyperlink"/>
            <w:rFonts w:ascii="Arial" w:hAnsi="Arial"/>
            <w:color w:val="0000FF"/>
            <w:rtl/>
          </w:rPr>
          <w:t>לסעיף 40ט</w:t>
        </w:r>
      </w:hyperlink>
      <w:r w:rsidRPr="00963AF5">
        <w:rPr>
          <w:rFonts w:ascii="Arial" w:hAnsi="Arial"/>
          <w:rtl/>
        </w:rPr>
        <w:t xml:space="preserve"> ל</w:t>
      </w:r>
      <w:hyperlink r:id="rId23" w:history="1">
        <w:r w:rsidR="00F8787E" w:rsidRPr="00F8787E">
          <w:rPr>
            <w:rFonts w:ascii="Arial" w:hAnsi="Arial"/>
            <w:color w:val="0000FF"/>
            <w:u w:val="single"/>
            <w:rtl/>
          </w:rPr>
          <w:t>חוק העונשין</w:t>
        </w:r>
      </w:hyperlink>
      <w:r w:rsidRPr="00963AF5">
        <w:rPr>
          <w:rFonts w:ascii="Arial" w:hAnsi="Arial"/>
          <w:rtl/>
        </w:rPr>
        <w:t>, המורה לשקול לא רק את המעשה עצמו אלא גם את הנסיבות הקיצוניות שהובילו אליו ואת יכולת הנאשם להבין את פסול מעשיו. בהקשר זה, היא מציינת את אבחונו של הנאשם כחולה סכיזופרניה עם הפרעה קוגניטיבית מגיל 15</w:t>
      </w:r>
      <w:r>
        <w:rPr>
          <w:rFonts w:ascii="Arial" w:hAnsi="Arial" w:hint="cs"/>
          <w:rtl/>
        </w:rPr>
        <w:t>.</w:t>
      </w:r>
    </w:p>
    <w:p w14:paraId="49B385A5" w14:textId="77777777" w:rsidR="007C30ED" w:rsidRPr="00403959" w:rsidRDefault="007C30ED" w:rsidP="007C30ED">
      <w:pPr>
        <w:pStyle w:val="a9"/>
        <w:spacing w:line="360" w:lineRule="auto"/>
        <w:rPr>
          <w:rFonts w:ascii="Arial" w:hAnsi="Arial"/>
          <w:rtl/>
        </w:rPr>
      </w:pPr>
    </w:p>
    <w:p w14:paraId="071AED7A" w14:textId="77777777" w:rsidR="007C30ED" w:rsidRPr="00AC78FE" w:rsidRDefault="007C30ED" w:rsidP="007C30ED">
      <w:pPr>
        <w:pStyle w:val="a9"/>
        <w:numPr>
          <w:ilvl w:val="0"/>
          <w:numId w:val="1"/>
        </w:numPr>
        <w:spacing w:line="360" w:lineRule="auto"/>
        <w:jc w:val="both"/>
        <w:rPr>
          <w:rFonts w:ascii="Arial" w:hAnsi="Arial"/>
        </w:rPr>
      </w:pPr>
      <w:r w:rsidRPr="00963AF5">
        <w:rPr>
          <w:rFonts w:ascii="Arial" w:hAnsi="Arial"/>
          <w:rtl/>
        </w:rPr>
        <w:t>ב"</w:t>
      </w:r>
      <w:r w:rsidRPr="00AC78FE">
        <w:rPr>
          <w:rFonts w:ascii="Arial" w:hAnsi="Arial"/>
          <w:rtl/>
        </w:rPr>
        <w:t>כ הנאשם טוענת כי הנאשם מתפקד כיום בצורה ראויה להערכה, הוא עובד ומקבל קצבת נכות. כמו כן, היא מציינת את העובדה שהנאשם הודה בהזדמנות הראשונה ונמצא תחת צו פיקוח מזה מספר חודשים, מבלי להפר אף הפרה קלה של התנאים. לטענתה, התסקיר ופסיקת בית המשפט העליון מצביעים על עבודה כאחד הקריטריונים החזקים לשיקום, ולכן ממליצה על עונש של שירות לציבור כדי שלא יצטרך להפסיק את עבודתו.</w:t>
      </w:r>
    </w:p>
    <w:p w14:paraId="2F150F54" w14:textId="77777777" w:rsidR="007C30ED" w:rsidRPr="00AC78FE" w:rsidRDefault="007C30ED" w:rsidP="007C30ED">
      <w:pPr>
        <w:pStyle w:val="a9"/>
        <w:spacing w:line="360" w:lineRule="auto"/>
        <w:rPr>
          <w:rFonts w:ascii="Arial" w:hAnsi="Arial"/>
          <w:rtl/>
        </w:rPr>
      </w:pPr>
    </w:p>
    <w:p w14:paraId="55F9D139" w14:textId="77777777" w:rsidR="007C30ED" w:rsidRPr="00AC78FE" w:rsidRDefault="007C30ED" w:rsidP="007C30ED">
      <w:pPr>
        <w:pStyle w:val="a9"/>
        <w:numPr>
          <w:ilvl w:val="0"/>
          <w:numId w:val="1"/>
        </w:numPr>
        <w:spacing w:line="360" w:lineRule="auto"/>
        <w:jc w:val="both"/>
        <w:rPr>
          <w:rFonts w:ascii="Arial" w:hAnsi="Arial"/>
        </w:rPr>
      </w:pPr>
      <w:r w:rsidRPr="00AC78FE">
        <w:rPr>
          <w:rFonts w:ascii="Arial" w:hAnsi="Arial"/>
          <w:rtl/>
        </w:rPr>
        <w:t>ב"כ הנאשם טוענת כי בהתאם לפסיקה בעבירות נשק, אף בעבירות חמורות יותר, המתחם הוא ממספר חודשים בודדים של עבודות שירות.</w:t>
      </w:r>
      <w:r w:rsidRPr="00AC78FE">
        <w:rPr>
          <w:rFonts w:ascii="Arial" w:hAnsi="Arial" w:hint="cs"/>
          <w:rtl/>
        </w:rPr>
        <w:t xml:space="preserve"> </w:t>
      </w:r>
    </w:p>
    <w:p w14:paraId="6BDC4B06" w14:textId="77777777" w:rsidR="007C30ED" w:rsidRPr="00AC78FE" w:rsidRDefault="007C30ED" w:rsidP="007C30ED">
      <w:pPr>
        <w:pStyle w:val="a9"/>
        <w:spacing w:line="360" w:lineRule="auto"/>
        <w:rPr>
          <w:rFonts w:ascii="Arial" w:hAnsi="Arial"/>
          <w:rtl/>
        </w:rPr>
      </w:pPr>
    </w:p>
    <w:p w14:paraId="7D3724C7" w14:textId="77777777" w:rsidR="007C30ED" w:rsidRPr="00AC78FE" w:rsidRDefault="007C30ED" w:rsidP="007C30ED">
      <w:pPr>
        <w:pStyle w:val="a9"/>
        <w:numPr>
          <w:ilvl w:val="0"/>
          <w:numId w:val="1"/>
        </w:numPr>
        <w:spacing w:line="360" w:lineRule="auto"/>
        <w:jc w:val="both"/>
        <w:rPr>
          <w:rFonts w:ascii="Arial" w:hAnsi="Arial"/>
        </w:rPr>
      </w:pPr>
      <w:r w:rsidRPr="00AC78FE">
        <w:rPr>
          <w:rFonts w:ascii="Arial" w:hAnsi="Arial" w:hint="cs"/>
          <w:rtl/>
        </w:rPr>
        <w:t>ב"כ הנאשם הפנתה לפסיקה שלהלן:</w:t>
      </w:r>
    </w:p>
    <w:p w14:paraId="478AF362" w14:textId="77777777" w:rsidR="007C30ED" w:rsidRPr="00AC78FE" w:rsidRDefault="007C30ED" w:rsidP="007C30ED">
      <w:pPr>
        <w:pStyle w:val="a9"/>
        <w:spacing w:line="360" w:lineRule="auto"/>
        <w:rPr>
          <w:rFonts w:ascii="Arial" w:hAnsi="Arial"/>
          <w:rtl/>
        </w:rPr>
      </w:pPr>
    </w:p>
    <w:p w14:paraId="38A7D1A4" w14:textId="77777777" w:rsidR="007C30ED" w:rsidRDefault="00F8787E" w:rsidP="007C30ED">
      <w:pPr>
        <w:pStyle w:val="a9"/>
        <w:numPr>
          <w:ilvl w:val="0"/>
          <w:numId w:val="2"/>
        </w:numPr>
        <w:spacing w:line="360" w:lineRule="auto"/>
        <w:jc w:val="both"/>
      </w:pPr>
      <w:hyperlink r:id="rId24" w:history="1">
        <w:r w:rsidRPr="00F8787E">
          <w:rPr>
            <w:rFonts w:ascii="Arial" w:hAnsi="Arial"/>
            <w:color w:val="0000FF"/>
            <w:u w:val="single"/>
            <w:rtl/>
          </w:rPr>
          <w:t>ת"פ 39990-12-18</w:t>
        </w:r>
      </w:hyperlink>
      <w:r w:rsidR="007C30ED" w:rsidRPr="0043663F">
        <w:rPr>
          <w:rFonts w:ascii="Arial" w:hAnsi="Arial" w:hint="cs"/>
          <w:rtl/>
        </w:rPr>
        <w:t xml:space="preserve"> </w:t>
      </w:r>
      <w:r w:rsidR="007C30ED" w:rsidRPr="0043663F">
        <w:rPr>
          <w:rFonts w:ascii="Arial" w:hAnsi="Arial" w:hint="cs"/>
          <w:b/>
          <w:bCs/>
          <w:rtl/>
        </w:rPr>
        <w:t xml:space="preserve">מדינת ישראל נ' טאהא זידאן </w:t>
      </w:r>
      <w:r w:rsidR="007C30ED" w:rsidRPr="0043663F">
        <w:rPr>
          <w:rFonts w:ascii="Arial" w:hAnsi="Arial" w:hint="cs"/>
          <w:rtl/>
        </w:rPr>
        <w:t xml:space="preserve">(01.06.2020), </w:t>
      </w:r>
      <w:r w:rsidR="007C30ED">
        <w:rPr>
          <w:rFonts w:hint="cs"/>
          <w:rtl/>
        </w:rPr>
        <w:t xml:space="preserve">שם </w:t>
      </w:r>
      <w:r w:rsidR="007C30ED">
        <w:rPr>
          <w:rtl/>
        </w:rPr>
        <w:t xml:space="preserve">הנאשמים </w:t>
      </w:r>
      <w:r w:rsidR="007C30ED">
        <w:rPr>
          <w:rFonts w:hint="cs"/>
          <w:rtl/>
        </w:rPr>
        <w:t>הורשעו</w:t>
      </w:r>
      <w:r w:rsidR="007C30ED">
        <w:rPr>
          <w:rtl/>
        </w:rPr>
        <w:t xml:space="preserve"> בהתאם ל</w:t>
      </w:r>
      <w:r w:rsidR="007C30ED">
        <w:rPr>
          <w:rFonts w:hint="cs"/>
          <w:rtl/>
        </w:rPr>
        <w:t>הודאתם ב</w:t>
      </w:r>
      <w:r w:rsidR="007C30ED">
        <w:rPr>
          <w:rtl/>
        </w:rPr>
        <w:t xml:space="preserve">עבירות </w:t>
      </w:r>
      <w:r w:rsidR="007C30ED">
        <w:rPr>
          <w:rFonts w:hint="cs"/>
          <w:rtl/>
        </w:rPr>
        <w:t>של</w:t>
      </w:r>
      <w:r w:rsidR="007C30ED">
        <w:rPr>
          <w:rtl/>
        </w:rPr>
        <w:t xml:space="preserve"> סיוע לעבירות בנשק</w:t>
      </w:r>
      <w:r w:rsidR="007C30ED">
        <w:rPr>
          <w:rFonts w:hint="cs"/>
          <w:rtl/>
        </w:rPr>
        <w:t xml:space="preserve">, </w:t>
      </w:r>
      <w:r w:rsidR="007C30ED">
        <w:rPr>
          <w:rtl/>
        </w:rPr>
        <w:t xml:space="preserve">מעשה פזיזות ורשלנות </w:t>
      </w:r>
      <w:r w:rsidR="007C30ED">
        <w:rPr>
          <w:rFonts w:hint="cs"/>
          <w:rtl/>
        </w:rPr>
        <w:t>ו</w:t>
      </w:r>
      <w:r w:rsidR="007C30ED">
        <w:rPr>
          <w:rtl/>
        </w:rPr>
        <w:t xml:space="preserve">סיוע למעשה פזיזות ורשלנות </w:t>
      </w:r>
      <w:r w:rsidR="007C30ED">
        <w:rPr>
          <w:rFonts w:hint="cs"/>
          <w:rtl/>
        </w:rPr>
        <w:t>וכן עבירת</w:t>
      </w:r>
      <w:r w:rsidR="007C30ED">
        <w:rPr>
          <w:rtl/>
        </w:rPr>
        <w:t xml:space="preserve"> איומים. </w:t>
      </w:r>
      <w:r w:rsidR="007C30ED" w:rsidRPr="0043663F">
        <w:rPr>
          <w:rFonts w:ascii="Arial" w:hAnsi="Arial" w:hint="cs"/>
          <w:rtl/>
        </w:rPr>
        <w:t xml:space="preserve">וזאת </w:t>
      </w:r>
      <w:r w:rsidR="007C30ED" w:rsidRPr="0043663F">
        <w:rPr>
          <w:rFonts w:ascii="Arial" w:hAnsi="Arial"/>
          <w:rtl/>
        </w:rPr>
        <w:t xml:space="preserve">על רקע בחירות בכפר מנדא, הנאשם 1, אחיו מוסטפא ושני קרובי משפחה נוספים תכננו והוציאו לפועל </w:t>
      </w:r>
      <w:r w:rsidR="007C30ED" w:rsidRPr="0043663F">
        <w:rPr>
          <w:rFonts w:ascii="Arial" w:hAnsi="Arial" w:hint="cs"/>
          <w:rtl/>
        </w:rPr>
        <w:t>פגיעה</w:t>
      </w:r>
      <w:r w:rsidR="007C30ED" w:rsidRPr="0043663F">
        <w:rPr>
          <w:rFonts w:ascii="Arial" w:hAnsi="Arial"/>
          <w:rtl/>
        </w:rPr>
        <w:t xml:space="preserve"> כנגד גזבר המועצה, במהלכו השליכו מטען נפץ מאולתר לעבר ביתו. המטען התפוצץ בשער הכניסה, והנאשמים נמלטו מהמקום ברכב שהמתין במקום.</w:t>
      </w:r>
      <w:r w:rsidR="007C30ED">
        <w:rPr>
          <w:rFonts w:hint="cs"/>
          <w:rtl/>
        </w:rPr>
        <w:t xml:space="preserve"> נקבע</w:t>
      </w:r>
      <w:r w:rsidR="007C30ED">
        <w:rPr>
          <w:rtl/>
        </w:rPr>
        <w:t xml:space="preserve"> מתחם הולם ביחס לנאשם 1 עומד על בין 6 חודשי מאסר לבין 18 חודשי מאסר. וביחס לנאשמים האחרים, בין 3-9 חודשי מאסר. </w:t>
      </w:r>
      <w:r w:rsidR="007C30ED">
        <w:rPr>
          <w:rFonts w:hint="cs"/>
          <w:rtl/>
        </w:rPr>
        <w:t xml:space="preserve">ובית המשפט גזר על נאשם 1- 9 חודשי עבודות שירות ונאשמים 2-3 4.5 חודשי עבודות שירות לצד ענישה נלווית. </w:t>
      </w:r>
    </w:p>
    <w:p w14:paraId="19224EA8" w14:textId="77777777" w:rsidR="007C30ED" w:rsidRDefault="007C30ED" w:rsidP="007C30ED">
      <w:pPr>
        <w:pStyle w:val="a9"/>
        <w:spacing w:line="360" w:lineRule="auto"/>
        <w:ind w:left="1080"/>
        <w:jc w:val="both"/>
      </w:pPr>
    </w:p>
    <w:p w14:paraId="543040D9" w14:textId="77777777" w:rsidR="007C30ED" w:rsidRDefault="00F8787E" w:rsidP="007C30ED">
      <w:pPr>
        <w:pStyle w:val="a9"/>
        <w:numPr>
          <w:ilvl w:val="0"/>
          <w:numId w:val="2"/>
        </w:numPr>
        <w:spacing w:line="360" w:lineRule="auto"/>
        <w:jc w:val="both"/>
      </w:pPr>
      <w:hyperlink r:id="rId25" w:history="1">
        <w:r w:rsidRPr="00F8787E">
          <w:rPr>
            <w:color w:val="0000FF"/>
            <w:u w:val="single"/>
            <w:rtl/>
          </w:rPr>
          <w:t>ת"פ 49995-09-17</w:t>
        </w:r>
      </w:hyperlink>
      <w:r w:rsidR="007C30ED">
        <w:rPr>
          <w:rFonts w:hint="cs"/>
          <w:rtl/>
        </w:rPr>
        <w:t xml:space="preserve"> </w:t>
      </w:r>
      <w:r w:rsidR="007C30ED">
        <w:rPr>
          <w:rFonts w:hint="cs"/>
          <w:b/>
          <w:bCs/>
          <w:rtl/>
        </w:rPr>
        <w:t xml:space="preserve">מדינת ישראל נ' סאמי עלי </w:t>
      </w:r>
      <w:r w:rsidR="007C30ED">
        <w:rPr>
          <w:rFonts w:hint="cs"/>
          <w:rtl/>
        </w:rPr>
        <w:t xml:space="preserve">(04.11.2018), שם </w:t>
      </w:r>
      <w:r w:rsidR="007C30ED" w:rsidRPr="00640B81">
        <w:rPr>
          <w:rtl/>
        </w:rPr>
        <w:t>הנאשם הורשע על פי הודאתו במסגרת הסדר טיעון  בעבירות של ייצור נשק, החזקת נשק והחזקת סכין שלא כדין</w:t>
      </w:r>
      <w:r w:rsidR="007C30ED">
        <w:rPr>
          <w:rFonts w:hint="cs"/>
          <w:rtl/>
        </w:rPr>
        <w:t xml:space="preserve"> בגין ייצור מטען חבלה מאולתר, הסתיר את המטען שהכין ברכבו בעת נסיעתו</w:t>
      </w:r>
      <w:r w:rsidR="007C30ED" w:rsidRPr="00640B81">
        <w:rPr>
          <w:rtl/>
        </w:rPr>
        <w:t>. בית המשפט</w:t>
      </w:r>
      <w:r w:rsidR="007C30ED">
        <w:rPr>
          <w:rFonts w:hint="cs"/>
          <w:rtl/>
        </w:rPr>
        <w:t xml:space="preserve"> </w:t>
      </w:r>
      <w:r w:rsidR="007C30ED" w:rsidRPr="00640B81">
        <w:rPr>
          <w:rtl/>
        </w:rPr>
        <w:t>קבע מתחם ענישה של 6-18 חודשי מאסר בפועל, וגזר על הנאשם 6 חודשי מאסר שירוצו בעבודות שירות.</w:t>
      </w:r>
    </w:p>
    <w:p w14:paraId="5A34990D" w14:textId="77777777" w:rsidR="007C30ED" w:rsidRPr="00AC78FE" w:rsidRDefault="007C30ED" w:rsidP="007C30ED">
      <w:pPr>
        <w:pStyle w:val="a9"/>
        <w:spacing w:line="360" w:lineRule="auto"/>
        <w:ind w:left="1080"/>
        <w:jc w:val="both"/>
        <w:rPr>
          <w:rFonts w:ascii="Arial" w:hAnsi="Arial"/>
          <w:rtl/>
        </w:rPr>
      </w:pPr>
    </w:p>
    <w:p w14:paraId="2EE067DB" w14:textId="77777777" w:rsidR="007C30ED" w:rsidRDefault="007C30ED" w:rsidP="007C30ED">
      <w:pPr>
        <w:pStyle w:val="a9"/>
        <w:numPr>
          <w:ilvl w:val="0"/>
          <w:numId w:val="1"/>
        </w:numPr>
        <w:spacing w:line="360" w:lineRule="auto"/>
        <w:jc w:val="both"/>
        <w:rPr>
          <w:rFonts w:ascii="Arial" w:hAnsi="Arial"/>
        </w:rPr>
      </w:pPr>
      <w:r w:rsidRPr="005B73E4">
        <w:rPr>
          <w:rFonts w:ascii="Arial" w:hAnsi="Arial"/>
          <w:rtl/>
        </w:rPr>
        <w:t xml:space="preserve"> לאור </w:t>
      </w:r>
      <w:r w:rsidRPr="005B73E4">
        <w:rPr>
          <w:rFonts w:ascii="Arial" w:hAnsi="Arial" w:hint="cs"/>
          <w:rtl/>
        </w:rPr>
        <w:t>האמור ובעקבות הערות של בית המשפט, ב"כ הנאשם טענה</w:t>
      </w:r>
      <w:r w:rsidRPr="005B73E4">
        <w:rPr>
          <w:rFonts w:ascii="Arial" w:hAnsi="Arial"/>
          <w:rtl/>
        </w:rPr>
        <w:t xml:space="preserve"> כי המתחם המתאים במקרה </w:t>
      </w:r>
      <w:r>
        <w:rPr>
          <w:rFonts w:ascii="Arial" w:hAnsi="Arial" w:hint="cs"/>
          <w:rtl/>
        </w:rPr>
        <w:t>מתחיל</w:t>
      </w:r>
      <w:r>
        <w:rPr>
          <w:rFonts w:ascii="Arial" w:hAnsi="Arial"/>
          <w:rtl/>
        </w:rPr>
        <w:t xml:space="preserve"> </w:t>
      </w:r>
      <w:r>
        <w:rPr>
          <w:rFonts w:ascii="Arial" w:hAnsi="Arial" w:hint="cs"/>
          <w:rtl/>
        </w:rPr>
        <w:t>מ</w:t>
      </w:r>
      <w:r w:rsidRPr="005B73E4">
        <w:rPr>
          <w:rFonts w:ascii="Arial" w:hAnsi="Arial"/>
          <w:rtl/>
        </w:rPr>
        <w:t>עבודות שירות</w:t>
      </w:r>
      <w:r>
        <w:rPr>
          <w:rFonts w:ascii="Arial" w:hAnsi="Arial" w:hint="cs"/>
          <w:rtl/>
        </w:rPr>
        <w:t xml:space="preserve"> ולאור התסקיר החיובי והמלצת בית המשפט ביקשה הסנגורית לחרוג ממתחם הענישה. </w:t>
      </w:r>
    </w:p>
    <w:p w14:paraId="71FD181E" w14:textId="77777777" w:rsidR="007C30ED" w:rsidRPr="005B73E4" w:rsidRDefault="007C30ED" w:rsidP="007C30ED">
      <w:pPr>
        <w:pStyle w:val="a9"/>
        <w:spacing w:line="360" w:lineRule="auto"/>
        <w:jc w:val="both"/>
        <w:rPr>
          <w:rFonts w:ascii="Arial" w:hAnsi="Arial"/>
          <w:rtl/>
        </w:rPr>
      </w:pPr>
    </w:p>
    <w:p w14:paraId="159335C1" w14:textId="77777777" w:rsidR="007C30ED" w:rsidRDefault="007C30ED" w:rsidP="007C30ED">
      <w:pPr>
        <w:pStyle w:val="a9"/>
        <w:numPr>
          <w:ilvl w:val="0"/>
          <w:numId w:val="1"/>
        </w:numPr>
        <w:spacing w:line="360" w:lineRule="auto"/>
        <w:jc w:val="both"/>
        <w:rPr>
          <w:rFonts w:ascii="Arial" w:hAnsi="Arial"/>
        </w:rPr>
      </w:pPr>
      <w:r w:rsidRPr="00963AF5">
        <w:rPr>
          <w:rFonts w:ascii="Arial" w:hAnsi="Arial"/>
          <w:rtl/>
        </w:rPr>
        <w:t xml:space="preserve">ב"כ הנאשם מבקשת להטיל על </w:t>
      </w:r>
      <w:r>
        <w:rPr>
          <w:rFonts w:ascii="Arial" w:hAnsi="Arial" w:hint="cs"/>
          <w:rtl/>
        </w:rPr>
        <w:t>שעות של"צ וצו מבחן כהמלצת שירות המבחן כאמור</w:t>
      </w:r>
      <w:r w:rsidRPr="00963AF5">
        <w:rPr>
          <w:rFonts w:ascii="Arial" w:hAnsi="Arial"/>
          <w:rtl/>
        </w:rPr>
        <w:t xml:space="preserve">, בהתחשב בנסיבותיו האישיות, בהתנהגותו, בעבודתו </w:t>
      </w:r>
      <w:r>
        <w:rPr>
          <w:rFonts w:ascii="Arial" w:hAnsi="Arial"/>
          <w:rtl/>
        </w:rPr>
        <w:t>וב</w:t>
      </w:r>
      <w:r>
        <w:rPr>
          <w:rFonts w:ascii="Arial" w:hAnsi="Arial" w:hint="cs"/>
          <w:rtl/>
        </w:rPr>
        <w:t>טיפול בשירות המבחן</w:t>
      </w:r>
      <w:r w:rsidRPr="00963AF5">
        <w:rPr>
          <w:rFonts w:ascii="Arial" w:hAnsi="Arial"/>
          <w:rtl/>
        </w:rPr>
        <w:t>. היא מדגישה כי גזירת דין מאסר ממשי או אפילו עבודות שירות יפגעו בנאשם באופן משמעותי, לאור מצבו הנפשי והקוגניטיבי המורכב וכן בשל הפגיעה במשפחתו שבה הוא עמוד התווך.</w:t>
      </w:r>
    </w:p>
    <w:p w14:paraId="4B81F485" w14:textId="77777777" w:rsidR="007C30ED" w:rsidRPr="00484D2F" w:rsidRDefault="007C30ED" w:rsidP="007C30ED">
      <w:pPr>
        <w:pStyle w:val="a9"/>
        <w:spacing w:line="360" w:lineRule="auto"/>
        <w:rPr>
          <w:rFonts w:ascii="Arial" w:hAnsi="Arial"/>
          <w:rtl/>
        </w:rPr>
      </w:pPr>
    </w:p>
    <w:p w14:paraId="538E7020" w14:textId="77777777" w:rsidR="007C30ED" w:rsidRDefault="007C30ED" w:rsidP="007C30ED">
      <w:pPr>
        <w:spacing w:line="360" w:lineRule="auto"/>
        <w:jc w:val="both"/>
        <w:rPr>
          <w:rFonts w:ascii="Arial" w:hAnsi="Arial"/>
          <w:b/>
          <w:bCs/>
          <w:u w:val="single"/>
          <w:rtl/>
        </w:rPr>
      </w:pPr>
      <w:r>
        <w:rPr>
          <w:rFonts w:ascii="Arial" w:hAnsi="Arial" w:hint="cs"/>
          <w:b/>
          <w:bCs/>
          <w:u w:val="single"/>
          <w:rtl/>
        </w:rPr>
        <w:t>דברי הנאשם</w:t>
      </w:r>
    </w:p>
    <w:p w14:paraId="1A70655A" w14:textId="77777777" w:rsidR="007C30ED" w:rsidRDefault="007C30ED" w:rsidP="007C30ED">
      <w:pPr>
        <w:spacing w:line="360" w:lineRule="auto"/>
        <w:jc w:val="both"/>
        <w:rPr>
          <w:rFonts w:ascii="Arial" w:hAnsi="Arial"/>
          <w:b/>
          <w:bCs/>
          <w:u w:val="single"/>
          <w:rtl/>
        </w:rPr>
      </w:pPr>
    </w:p>
    <w:p w14:paraId="64ECEC7C" w14:textId="77777777" w:rsidR="007C30ED" w:rsidRDefault="007C30ED" w:rsidP="007C30ED">
      <w:pPr>
        <w:pStyle w:val="a9"/>
        <w:numPr>
          <w:ilvl w:val="0"/>
          <w:numId w:val="1"/>
        </w:numPr>
        <w:spacing w:line="360" w:lineRule="auto"/>
        <w:jc w:val="both"/>
        <w:rPr>
          <w:rFonts w:ascii="Arial" w:hAnsi="Arial"/>
        </w:rPr>
      </w:pPr>
      <w:r>
        <w:rPr>
          <w:rFonts w:ascii="Arial" w:hAnsi="Arial" w:hint="cs"/>
          <w:rtl/>
        </w:rPr>
        <w:t xml:space="preserve">הנאשם התחרט ולקח אחריות פעם נוספת על מעשיו וביקש התחשבות מבית המשפט. </w:t>
      </w:r>
    </w:p>
    <w:p w14:paraId="70393320" w14:textId="77777777" w:rsidR="007C30ED" w:rsidRDefault="007C30ED" w:rsidP="007C30ED">
      <w:pPr>
        <w:pStyle w:val="a9"/>
        <w:spacing w:line="360" w:lineRule="auto"/>
        <w:jc w:val="both"/>
        <w:rPr>
          <w:rFonts w:ascii="Arial" w:hAnsi="Arial"/>
        </w:rPr>
      </w:pPr>
    </w:p>
    <w:p w14:paraId="5D6B49E9" w14:textId="77777777" w:rsidR="007C30ED" w:rsidRDefault="007C30ED" w:rsidP="007C30ED">
      <w:pPr>
        <w:spacing w:line="360" w:lineRule="auto"/>
        <w:jc w:val="both"/>
        <w:rPr>
          <w:rFonts w:ascii="Arial" w:hAnsi="Arial"/>
          <w:rtl/>
        </w:rPr>
      </w:pPr>
      <w:r>
        <w:rPr>
          <w:rFonts w:ascii="Arial" w:hAnsi="Arial"/>
          <w:b/>
          <w:bCs/>
          <w:u w:val="single"/>
          <w:rtl/>
        </w:rPr>
        <w:t>דיון והכרעה</w:t>
      </w:r>
      <w:r>
        <w:rPr>
          <w:rFonts w:ascii="Arial" w:hAnsi="Arial"/>
          <w:rtl/>
        </w:rPr>
        <w:t>:</w:t>
      </w:r>
    </w:p>
    <w:p w14:paraId="77FF5013" w14:textId="77777777" w:rsidR="007C30ED" w:rsidRDefault="007C30ED" w:rsidP="007C30ED">
      <w:pPr>
        <w:spacing w:line="360" w:lineRule="auto"/>
        <w:jc w:val="both"/>
        <w:rPr>
          <w:rFonts w:ascii="Arial" w:hAnsi="Arial"/>
          <w:b/>
          <w:bCs/>
          <w:u w:val="single"/>
          <w:rtl/>
        </w:rPr>
      </w:pPr>
    </w:p>
    <w:p w14:paraId="18AFE057" w14:textId="77777777" w:rsidR="007C30ED" w:rsidRDefault="007C30ED" w:rsidP="007C30ED">
      <w:pPr>
        <w:pStyle w:val="a9"/>
        <w:numPr>
          <w:ilvl w:val="0"/>
          <w:numId w:val="1"/>
        </w:numPr>
        <w:spacing w:line="360" w:lineRule="auto"/>
        <w:jc w:val="both"/>
        <w:rPr>
          <w:rFonts w:ascii="David" w:hAnsi="David"/>
          <w:color w:val="000000"/>
          <w:rtl/>
        </w:rPr>
      </w:pPr>
      <w:r>
        <w:rPr>
          <w:rFonts w:ascii="David" w:hAnsi="David"/>
          <w:color w:val="000000"/>
          <w:rtl/>
        </w:rPr>
        <w:t>במקרה זה מעשיו של הנאשם פגעו הערכים החברתיים המוגנים של בטחון הפרט והציבור והשמירה על הסדר הציבורי. בנסיבות ביצוע העבירות, ובהינתן העובדה שהנאשם לא היה דומיננטי בביצוע העבירות,  מידת הפגיעה בערכים האמורים הייתה נמוכה יחסית.</w:t>
      </w:r>
    </w:p>
    <w:p w14:paraId="2E3E31C3" w14:textId="77777777" w:rsidR="007C30ED" w:rsidRDefault="007C30ED" w:rsidP="007C30ED">
      <w:pPr>
        <w:pStyle w:val="a9"/>
        <w:spacing w:line="360" w:lineRule="auto"/>
        <w:jc w:val="both"/>
        <w:rPr>
          <w:rFonts w:ascii="Arial" w:hAnsi="Arial"/>
        </w:rPr>
      </w:pPr>
    </w:p>
    <w:p w14:paraId="2307DC9C" w14:textId="77777777" w:rsidR="007C30ED" w:rsidRDefault="007C30ED" w:rsidP="007C30ED">
      <w:pPr>
        <w:pStyle w:val="a9"/>
        <w:numPr>
          <w:ilvl w:val="0"/>
          <w:numId w:val="1"/>
        </w:numPr>
        <w:spacing w:line="360" w:lineRule="auto"/>
        <w:jc w:val="both"/>
        <w:rPr>
          <w:rFonts w:ascii="Arial" w:hAnsi="Arial"/>
        </w:rPr>
      </w:pPr>
      <w:r>
        <w:rPr>
          <w:rFonts w:ascii="Arial" w:hAnsi="Arial"/>
          <w:rtl/>
        </w:rPr>
        <w:t>לאור האמור, אני קובע כי מתחם הענישה ההולם לעבירת הסיוע בה הורשע הנאשם נע בין 9</w:t>
      </w:r>
      <w:r>
        <w:rPr>
          <w:rFonts w:ascii="Arial" w:hAnsi="Arial" w:hint="cs"/>
          <w:rtl/>
        </w:rPr>
        <w:t xml:space="preserve"> חודשי מאסר בפועל שירוצו בעבודות שירות ועד </w:t>
      </w:r>
      <w:r>
        <w:rPr>
          <w:rFonts w:ascii="Arial" w:hAnsi="Arial"/>
          <w:rtl/>
        </w:rPr>
        <w:t>24 חודשי מאסר</w:t>
      </w:r>
      <w:r>
        <w:rPr>
          <w:rFonts w:ascii="Arial" w:hAnsi="Arial" w:hint="cs"/>
          <w:rtl/>
        </w:rPr>
        <w:t xml:space="preserve"> בפועל. </w:t>
      </w:r>
    </w:p>
    <w:p w14:paraId="7FA70D2E" w14:textId="77777777" w:rsidR="007C30ED" w:rsidRDefault="007C30ED" w:rsidP="007C30ED">
      <w:pPr>
        <w:pStyle w:val="a9"/>
        <w:numPr>
          <w:ilvl w:val="0"/>
          <w:numId w:val="1"/>
        </w:numPr>
        <w:spacing w:line="360" w:lineRule="auto"/>
        <w:jc w:val="both"/>
        <w:rPr>
          <w:rFonts w:ascii="David" w:hAnsi="David"/>
        </w:rPr>
      </w:pPr>
      <w:r w:rsidRPr="00F76C3B">
        <w:rPr>
          <w:rFonts w:ascii="David" w:hAnsi="David"/>
          <w:rtl/>
        </w:rPr>
        <w:t xml:space="preserve">לאחר בחינה של טענות ההגנה, אין בידי לקבל את עמדת הסניגוריה בדבר חריגה ממתחם הענישה ההולם. הטלת עונש של </w:t>
      </w:r>
      <w:r>
        <w:rPr>
          <w:rFonts w:ascii="David" w:hAnsi="David" w:hint="cs"/>
          <w:rtl/>
        </w:rPr>
        <w:t>של"צ</w:t>
      </w:r>
      <w:r w:rsidRPr="00F76C3B">
        <w:rPr>
          <w:rFonts w:ascii="David" w:hAnsi="David"/>
          <w:rtl/>
        </w:rPr>
        <w:t xml:space="preserve"> בנסיבות המקרה דנן תהווה סטייה בלתי מידתית מעקרונות הענישה המקובלים, ואינה עולה בקנה אחד עם חומרת העבירה ונסיבות ביצועה. יתרה מזאת, ענישה מקלה שכזו אינה משקפת כראוי את הערכים המוגנים שנפגעו ואת ה</w:t>
      </w:r>
      <w:r>
        <w:rPr>
          <w:rFonts w:ascii="David" w:hAnsi="David"/>
          <w:rtl/>
        </w:rPr>
        <w:t>אינטרס הציבורי בהרתעה אפקטיבית.</w:t>
      </w:r>
    </w:p>
    <w:p w14:paraId="46B1ACF9" w14:textId="77777777" w:rsidR="007C30ED" w:rsidRDefault="007C30ED" w:rsidP="007C30ED">
      <w:pPr>
        <w:pStyle w:val="a9"/>
        <w:spacing w:line="360" w:lineRule="auto"/>
        <w:jc w:val="both"/>
        <w:rPr>
          <w:rFonts w:ascii="David" w:hAnsi="David"/>
        </w:rPr>
      </w:pPr>
    </w:p>
    <w:p w14:paraId="2945B1B0" w14:textId="77777777" w:rsidR="007C30ED" w:rsidRDefault="007C30ED" w:rsidP="007C30ED">
      <w:pPr>
        <w:pStyle w:val="a9"/>
        <w:numPr>
          <w:ilvl w:val="0"/>
          <w:numId w:val="1"/>
        </w:numPr>
        <w:spacing w:line="360" w:lineRule="auto"/>
        <w:jc w:val="both"/>
        <w:rPr>
          <w:rFonts w:ascii="David" w:hAnsi="David"/>
        </w:rPr>
      </w:pPr>
      <w:r>
        <w:rPr>
          <w:rFonts w:ascii="David" w:hAnsi="David"/>
          <w:color w:val="000000"/>
          <w:rtl/>
        </w:rPr>
        <w:t>באשר לגזירת עונשו של הנאשם בתוך המתחם, נתתי משקל לעובדה כי מדובר בנאשם צעיר, שזוהי הסתבכותו הראשונה עם החוק, ושעד למקרה ניהל אורח חיים נורמטיבי. עוד נתתי משקל להודאתו בכתב האישום המתוקן, לקיחת האחריות מצדו והחיסכון בזמן השיפוטי. בהתאם</w:t>
      </w:r>
      <w:r>
        <w:rPr>
          <w:rFonts w:ascii="David" w:hAnsi="David" w:hint="cs"/>
          <w:color w:val="000000"/>
          <w:rtl/>
        </w:rPr>
        <w:t xml:space="preserve"> לאמור וכן בהתאם</w:t>
      </w:r>
      <w:r>
        <w:rPr>
          <w:rFonts w:ascii="David" w:hAnsi="David"/>
          <w:color w:val="000000"/>
          <w:rtl/>
        </w:rPr>
        <w:t xml:space="preserve"> </w:t>
      </w:r>
      <w:r>
        <w:rPr>
          <w:rFonts w:ascii="David" w:hAnsi="David" w:hint="cs"/>
          <w:color w:val="000000"/>
          <w:rtl/>
        </w:rPr>
        <w:t>לתסקיר שהוגש בעניינו של הנאשם</w:t>
      </w:r>
      <w:r>
        <w:rPr>
          <w:rFonts w:ascii="David" w:hAnsi="David"/>
          <w:color w:val="000000"/>
          <w:rtl/>
        </w:rPr>
        <w:t xml:space="preserve"> </w:t>
      </w:r>
      <w:r>
        <w:rPr>
          <w:rFonts w:ascii="Arial" w:hAnsi="Arial" w:hint="cs"/>
          <w:rtl/>
        </w:rPr>
        <w:t>מ</w:t>
      </w:r>
      <w:r>
        <w:rPr>
          <w:rFonts w:ascii="David" w:hAnsi="David"/>
          <w:color w:val="000000"/>
          <w:rtl/>
        </w:rPr>
        <w:t>צאתי שיש למקם את עונשו של ברף התחתון של מתחם העונש ההולם</w:t>
      </w:r>
      <w:r>
        <w:rPr>
          <w:rFonts w:ascii="David" w:hAnsi="David" w:hint="cs"/>
          <w:color w:val="000000"/>
          <w:rtl/>
        </w:rPr>
        <w:t xml:space="preserve"> שקבעתי. </w:t>
      </w:r>
    </w:p>
    <w:p w14:paraId="71BE6F9F" w14:textId="77777777" w:rsidR="007C30ED" w:rsidRDefault="007C30ED" w:rsidP="007C30ED">
      <w:pPr>
        <w:pStyle w:val="a9"/>
        <w:spacing w:line="360" w:lineRule="auto"/>
        <w:jc w:val="both"/>
        <w:rPr>
          <w:rFonts w:ascii="Arial" w:hAnsi="Arial"/>
        </w:rPr>
      </w:pPr>
    </w:p>
    <w:p w14:paraId="31CD19ED" w14:textId="77777777" w:rsidR="007C30ED" w:rsidRDefault="007C30ED" w:rsidP="007C30ED">
      <w:pPr>
        <w:pStyle w:val="a9"/>
        <w:numPr>
          <w:ilvl w:val="0"/>
          <w:numId w:val="1"/>
        </w:numPr>
        <w:spacing w:line="360" w:lineRule="auto"/>
        <w:jc w:val="both"/>
        <w:rPr>
          <w:rFonts w:ascii="David" w:hAnsi="David"/>
          <w:rtl/>
        </w:rPr>
      </w:pPr>
      <w:r>
        <w:rPr>
          <w:rFonts w:ascii="David" w:hAnsi="David"/>
          <w:color w:val="000000"/>
          <w:rtl/>
        </w:rPr>
        <w:t>אשר על כן, הנני מטיל על הנאשם עונשים כדלקמן:</w:t>
      </w:r>
    </w:p>
    <w:p w14:paraId="246879FB" w14:textId="77777777" w:rsidR="007C30ED" w:rsidRDefault="007C30ED" w:rsidP="007C30ED">
      <w:pPr>
        <w:pStyle w:val="a9"/>
        <w:spacing w:line="360" w:lineRule="auto"/>
        <w:jc w:val="both"/>
        <w:rPr>
          <w:rFonts w:ascii="Arial" w:hAnsi="Arial"/>
        </w:rPr>
      </w:pPr>
    </w:p>
    <w:p w14:paraId="571C66B4" w14:textId="77777777" w:rsidR="007C30ED" w:rsidRDefault="007C30ED" w:rsidP="007C30ED">
      <w:pPr>
        <w:pStyle w:val="a9"/>
        <w:numPr>
          <w:ilvl w:val="0"/>
          <w:numId w:val="3"/>
        </w:numPr>
        <w:spacing w:line="360" w:lineRule="auto"/>
        <w:jc w:val="both"/>
        <w:rPr>
          <w:rFonts w:ascii="Arial" w:hAnsi="Arial"/>
          <w:rtl/>
        </w:rPr>
      </w:pPr>
      <w:r>
        <w:rPr>
          <w:rFonts w:ascii="Arial" w:hAnsi="Arial"/>
          <w:rtl/>
        </w:rPr>
        <w:t xml:space="preserve">9 חודשי מאסר לריצוי בעבודות שירות בהתאם לחוות דעת הממונה. </w:t>
      </w:r>
    </w:p>
    <w:p w14:paraId="779CDD08" w14:textId="77777777" w:rsidR="007C30ED" w:rsidRDefault="007C30ED" w:rsidP="007C30ED">
      <w:pPr>
        <w:pStyle w:val="a9"/>
        <w:numPr>
          <w:ilvl w:val="0"/>
          <w:numId w:val="3"/>
        </w:numPr>
        <w:spacing w:line="360" w:lineRule="auto"/>
        <w:jc w:val="both"/>
        <w:rPr>
          <w:color w:val="000000"/>
        </w:rPr>
      </w:pPr>
      <w:r>
        <w:rPr>
          <w:color w:val="000000"/>
          <w:sz w:val="12"/>
          <w:szCs w:val="12"/>
          <w:rtl/>
        </w:rPr>
        <w:t xml:space="preserve"> </w:t>
      </w:r>
      <w:r>
        <w:rPr>
          <w:rFonts w:ascii="David" w:hAnsi="David"/>
          <w:color w:val="000000"/>
          <w:rtl/>
        </w:rPr>
        <w:t>12 חודשי מאסר על תנאי למשך 3 שנים כאשר התנאי יופעל במידה ויעבור עבירות נשק מסוג פשע.</w:t>
      </w:r>
    </w:p>
    <w:p w14:paraId="57D86D59" w14:textId="77777777" w:rsidR="007C30ED" w:rsidRDefault="007C30ED" w:rsidP="007C30ED">
      <w:pPr>
        <w:pStyle w:val="a9"/>
        <w:numPr>
          <w:ilvl w:val="0"/>
          <w:numId w:val="3"/>
        </w:numPr>
        <w:spacing w:line="360" w:lineRule="auto"/>
        <w:jc w:val="both"/>
        <w:rPr>
          <w:color w:val="000000"/>
        </w:rPr>
      </w:pPr>
      <w:r>
        <w:rPr>
          <w:rFonts w:ascii="David" w:hAnsi="David"/>
          <w:color w:val="000000"/>
          <w:rtl/>
        </w:rPr>
        <w:t xml:space="preserve">קנס של 5,000 ₪, </w:t>
      </w:r>
      <w:r>
        <w:rPr>
          <w:rFonts w:ascii="David" w:hAnsi="David" w:hint="cs"/>
          <w:color w:val="000000"/>
          <w:rtl/>
        </w:rPr>
        <w:t>שישולם ב-5 תשלומים שווים החל מחודש 1.2.2025 ובכל 1 לחודש שאחריו עד לתשלום המלא בפועל. אי תשלום אחד מהתשלומים בזמן יביא לפירעון של הסכום הכולל באופן מידי.</w:t>
      </w:r>
    </w:p>
    <w:p w14:paraId="24E7C979" w14:textId="77777777" w:rsidR="007C30ED" w:rsidRDefault="007C30ED" w:rsidP="007C30ED">
      <w:pPr>
        <w:spacing w:line="360" w:lineRule="auto"/>
        <w:jc w:val="both"/>
        <w:rPr>
          <w:color w:val="000000"/>
        </w:rPr>
      </w:pPr>
    </w:p>
    <w:p w14:paraId="6B28EE23" w14:textId="77777777" w:rsidR="007C30ED" w:rsidRDefault="00F8787E" w:rsidP="007C30ED">
      <w:pPr>
        <w:pStyle w:val="a9"/>
        <w:numPr>
          <w:ilvl w:val="0"/>
          <w:numId w:val="3"/>
        </w:numPr>
        <w:spacing w:line="360" w:lineRule="auto"/>
        <w:jc w:val="both"/>
        <w:rPr>
          <w:color w:val="FFFFFF"/>
          <w:sz w:val="2"/>
          <w:szCs w:val="2"/>
          <w:rtl/>
        </w:rPr>
      </w:pPr>
      <w:r w:rsidRPr="00F8787E">
        <w:rPr>
          <w:color w:val="FFFFFF"/>
          <w:sz w:val="2"/>
          <w:szCs w:val="2"/>
          <w:rtl/>
        </w:rPr>
        <w:t>5129371</w:t>
      </w:r>
      <w:r w:rsidR="007C30ED">
        <w:rPr>
          <w:color w:val="FFFFFF"/>
          <w:sz w:val="2"/>
          <w:szCs w:val="2"/>
          <w:rtl/>
        </w:rPr>
        <w:t>5129371</w:t>
      </w:r>
    </w:p>
    <w:p w14:paraId="1C44A3FC" w14:textId="77777777" w:rsidR="007C30ED" w:rsidRDefault="00F8787E" w:rsidP="007C30ED">
      <w:pPr>
        <w:spacing w:line="360" w:lineRule="auto"/>
        <w:ind w:left="360"/>
        <w:jc w:val="both"/>
        <w:rPr>
          <w:rFonts w:ascii="Arial" w:hAnsi="Arial"/>
          <w:sz w:val="26"/>
          <w:szCs w:val="26"/>
          <w:rtl/>
        </w:rPr>
      </w:pPr>
      <w:r w:rsidRPr="00F8787E">
        <w:rPr>
          <w:rFonts w:ascii="Arial" w:hAnsi="Arial"/>
          <w:b/>
          <w:bCs/>
          <w:color w:val="FFFFFF"/>
          <w:sz w:val="2"/>
          <w:szCs w:val="2"/>
          <w:u w:val="single"/>
          <w:rtl/>
        </w:rPr>
        <w:t>54678313</w:t>
      </w:r>
      <w:r w:rsidR="007C30ED">
        <w:rPr>
          <w:rFonts w:ascii="Arial" w:hAnsi="Arial"/>
          <w:b/>
          <w:bCs/>
          <w:sz w:val="26"/>
          <w:szCs w:val="26"/>
          <w:u w:val="single"/>
          <w:rtl/>
        </w:rPr>
        <w:t>זכות ערעור תוך 45 ימים</w:t>
      </w:r>
      <w:r w:rsidR="007C30ED">
        <w:rPr>
          <w:rFonts w:ascii="Arial" w:hAnsi="Arial"/>
          <w:sz w:val="26"/>
          <w:szCs w:val="26"/>
          <w:rtl/>
        </w:rPr>
        <w:t>.</w:t>
      </w:r>
    </w:p>
    <w:p w14:paraId="1053CA59" w14:textId="77777777" w:rsidR="007C30ED" w:rsidRPr="00C91EF6" w:rsidRDefault="007C30ED" w:rsidP="007C30ED">
      <w:pPr>
        <w:spacing w:line="360" w:lineRule="auto"/>
        <w:jc w:val="both"/>
        <w:rPr>
          <w:rFonts w:ascii="Arial" w:hAnsi="Arial"/>
          <w:rtl/>
        </w:rPr>
      </w:pPr>
      <w:r w:rsidRPr="00026FEE">
        <w:rPr>
          <w:rFonts w:ascii="Arial" w:hAnsi="Arial" w:hint="cs"/>
          <w:rtl/>
        </w:rPr>
        <w:t xml:space="preserve"> </w:t>
      </w:r>
    </w:p>
    <w:p w14:paraId="79867CF7" w14:textId="77777777" w:rsidR="007C30ED" w:rsidRPr="00715E04" w:rsidRDefault="00F8787E" w:rsidP="007C30ED">
      <w:pPr>
        <w:jc w:val="center"/>
        <w:rPr>
          <w:rFonts w:ascii="Arial" w:hAnsi="Arial"/>
          <w:b/>
          <w:bCs/>
          <w:color w:val="FFFFFF"/>
          <w:sz w:val="2"/>
          <w:szCs w:val="2"/>
          <w:rtl/>
        </w:rPr>
      </w:pPr>
      <w:bookmarkStart w:id="8" w:name="Nitan"/>
      <w:r>
        <w:rPr>
          <w:rFonts w:ascii="Arial" w:hAnsi="Arial"/>
          <w:b/>
          <w:bCs/>
          <w:sz w:val="26"/>
          <w:szCs w:val="26"/>
          <w:rtl/>
        </w:rPr>
        <w:t xml:space="preserve">ניתן היום,  י"ז כסלו תשפ"ה, 18 דצמבר 2024, בהעדר הצדדים. </w:t>
      </w:r>
      <w:bookmarkEnd w:id="8"/>
      <w:r w:rsidR="007C30ED">
        <w:rPr>
          <w:rFonts w:ascii="Arial" w:hAnsi="Arial"/>
          <w:b/>
          <w:bCs/>
          <w:sz w:val="26"/>
          <w:szCs w:val="26"/>
          <w:rtl/>
        </w:rPr>
        <w:tab/>
      </w:r>
      <w:r w:rsidR="007C30ED">
        <w:rPr>
          <w:rFonts w:ascii="Arial" w:hAnsi="Arial"/>
          <w:b/>
          <w:bCs/>
          <w:sz w:val="26"/>
          <w:szCs w:val="26"/>
          <w:rtl/>
        </w:rPr>
        <w:tab/>
      </w:r>
      <w:r w:rsidR="007C30ED">
        <w:rPr>
          <w:rFonts w:ascii="Arial" w:hAnsi="Arial"/>
          <w:b/>
          <w:bCs/>
          <w:sz w:val="26"/>
          <w:szCs w:val="26"/>
          <w:rtl/>
        </w:rPr>
        <w:tab/>
      </w:r>
    </w:p>
    <w:p w14:paraId="3774F842" w14:textId="77777777" w:rsidR="00A6198F" w:rsidRPr="00715E04" w:rsidRDefault="00715E04" w:rsidP="00F8787E">
      <w:pPr>
        <w:keepNext/>
        <w:rPr>
          <w:rFonts w:ascii="David" w:hAnsi="David"/>
          <w:color w:val="FFFFFF"/>
          <w:sz w:val="2"/>
          <w:szCs w:val="2"/>
          <w:rtl/>
        </w:rPr>
      </w:pPr>
      <w:r w:rsidRPr="00715E04">
        <w:rPr>
          <w:rFonts w:ascii="David" w:hAnsi="David"/>
          <w:color w:val="FFFFFF"/>
          <w:sz w:val="2"/>
          <w:szCs w:val="2"/>
          <w:rtl/>
        </w:rPr>
        <w:t>54678313</w:t>
      </w:r>
    </w:p>
    <w:p w14:paraId="1D64BE71" w14:textId="77777777" w:rsidR="00F8787E" w:rsidRPr="00F8787E" w:rsidRDefault="00F8787E" w:rsidP="00F8787E">
      <w:pPr>
        <w:keepNext/>
        <w:rPr>
          <w:rFonts w:ascii="David" w:hAnsi="David"/>
          <w:color w:val="000000"/>
          <w:sz w:val="22"/>
          <w:szCs w:val="22"/>
          <w:rtl/>
        </w:rPr>
      </w:pPr>
      <w:r w:rsidRPr="00F8787E">
        <w:rPr>
          <w:rFonts w:ascii="David" w:hAnsi="David"/>
          <w:color w:val="000000"/>
          <w:sz w:val="22"/>
          <w:szCs w:val="22"/>
          <w:rtl/>
        </w:rPr>
        <w:t>דניאל פיש 54678313</w:t>
      </w:r>
    </w:p>
    <w:p w14:paraId="3CEAACF3" w14:textId="77777777" w:rsidR="00F8787E" w:rsidRDefault="00F8787E" w:rsidP="00F8787E">
      <w:r w:rsidRPr="00F8787E">
        <w:rPr>
          <w:color w:val="000000"/>
          <w:rtl/>
        </w:rPr>
        <w:t>נוסח מסמך זה כפוף לשינויי ניסוח ועריכה</w:t>
      </w:r>
    </w:p>
    <w:p w14:paraId="11F9AD16" w14:textId="77777777" w:rsidR="00F8787E" w:rsidRDefault="00F8787E" w:rsidP="00F8787E">
      <w:pPr>
        <w:rPr>
          <w:rtl/>
        </w:rPr>
      </w:pPr>
    </w:p>
    <w:p w14:paraId="3271F16C" w14:textId="77777777" w:rsidR="00F8787E" w:rsidRDefault="00F8787E" w:rsidP="00F8787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sectPr w:rsidR="00F8787E" w:rsidSect="00715E04">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89F66" w14:textId="77777777" w:rsidR="00756CB2" w:rsidRDefault="00756CB2" w:rsidP="00026A46">
      <w:r>
        <w:separator/>
      </w:r>
    </w:p>
  </w:endnote>
  <w:endnote w:type="continuationSeparator" w:id="0">
    <w:p w14:paraId="30DDD250" w14:textId="77777777" w:rsidR="00756CB2" w:rsidRDefault="00756CB2" w:rsidP="00026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A3928" w14:textId="77777777" w:rsidR="00715E04" w:rsidRDefault="00715E04" w:rsidP="00715E0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AFA739" w14:textId="77777777" w:rsidR="008E1EED" w:rsidRPr="00715E04" w:rsidRDefault="00715E04" w:rsidP="00715E04">
    <w:pPr>
      <w:pStyle w:val="a5"/>
      <w:pBdr>
        <w:top w:val="single" w:sz="4" w:space="1" w:color="auto"/>
        <w:between w:val="single" w:sz="4" w:space="0" w:color="auto"/>
      </w:pBdr>
      <w:spacing w:after="60"/>
      <w:jc w:val="center"/>
      <w:rPr>
        <w:rFonts w:ascii="FrankRuehl" w:hAnsi="FrankRuehl" w:cs="FrankRuehl"/>
        <w:color w:val="000000"/>
      </w:rPr>
    </w:pPr>
    <w:r w:rsidRPr="00715E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F63BE" w14:textId="77777777" w:rsidR="00715E04" w:rsidRDefault="00715E04" w:rsidP="00715E0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71C0">
      <w:rPr>
        <w:rFonts w:ascii="FrankRuehl" w:hAnsi="FrankRuehl" w:cs="FrankRuehl"/>
        <w:noProof/>
        <w:rtl/>
      </w:rPr>
      <w:t>1</w:t>
    </w:r>
    <w:r>
      <w:rPr>
        <w:rFonts w:ascii="FrankRuehl" w:hAnsi="FrankRuehl" w:cs="FrankRuehl"/>
        <w:rtl/>
      </w:rPr>
      <w:fldChar w:fldCharType="end"/>
    </w:r>
  </w:p>
  <w:p w14:paraId="33324C90" w14:textId="77777777" w:rsidR="008E1EED" w:rsidRPr="00715E04" w:rsidRDefault="00715E04" w:rsidP="00715E04">
    <w:pPr>
      <w:pStyle w:val="a5"/>
      <w:pBdr>
        <w:top w:val="single" w:sz="4" w:space="1" w:color="auto"/>
        <w:between w:val="single" w:sz="4" w:space="0" w:color="auto"/>
      </w:pBdr>
      <w:spacing w:after="60"/>
      <w:jc w:val="center"/>
      <w:rPr>
        <w:rFonts w:ascii="FrankRuehl" w:hAnsi="FrankRuehl" w:cs="FrankRuehl"/>
        <w:color w:val="000000"/>
      </w:rPr>
    </w:pPr>
    <w:r w:rsidRPr="00715E04">
      <w:rPr>
        <w:rFonts w:ascii="FrankRuehl" w:hAnsi="FrankRuehl" w:cs="FrankRuehl"/>
        <w:color w:val="000000"/>
      </w:rPr>
      <w:pict w14:anchorId="53BF9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7D8AF" w14:textId="77777777" w:rsidR="00756CB2" w:rsidRDefault="00756CB2" w:rsidP="00026A46">
      <w:r>
        <w:separator/>
      </w:r>
    </w:p>
  </w:footnote>
  <w:footnote w:type="continuationSeparator" w:id="0">
    <w:p w14:paraId="4796768B" w14:textId="77777777" w:rsidR="00756CB2" w:rsidRDefault="00756CB2" w:rsidP="00026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26381" w14:textId="77777777" w:rsidR="00F8787E" w:rsidRPr="00715E04" w:rsidRDefault="00715E04" w:rsidP="00715E0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31728-11-23</w:t>
    </w:r>
    <w:r>
      <w:rPr>
        <w:rFonts w:ascii="David" w:hAnsi="David"/>
        <w:color w:val="000000"/>
        <w:sz w:val="22"/>
        <w:szCs w:val="22"/>
        <w:rtl/>
      </w:rPr>
      <w:tab/>
      <w:t xml:space="preserve"> מדינת ישראל נ' מירוסלב טורוק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118F6" w14:textId="77777777" w:rsidR="00F8787E" w:rsidRPr="00715E04" w:rsidRDefault="00715E04" w:rsidP="00715E0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31728-11-23</w:t>
    </w:r>
    <w:r>
      <w:rPr>
        <w:rFonts w:ascii="David" w:hAnsi="David"/>
        <w:color w:val="000000"/>
        <w:sz w:val="22"/>
        <w:szCs w:val="22"/>
        <w:rtl/>
      </w:rPr>
      <w:tab/>
      <w:t xml:space="preserve"> מדינת ישראל נ' מירוסלב טורוק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4EA5"/>
    <w:multiLevelType w:val="hybridMultilevel"/>
    <w:tmpl w:val="8D84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7116A"/>
    <w:multiLevelType w:val="hybridMultilevel"/>
    <w:tmpl w:val="FD3EF320"/>
    <w:lvl w:ilvl="0" w:tplc="9E7439F6">
      <w:start w:val="7"/>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7A4DA4"/>
    <w:multiLevelType w:val="hybridMultilevel"/>
    <w:tmpl w:val="25D003EE"/>
    <w:lvl w:ilvl="0" w:tplc="E30CD398">
      <w:start w:val="24"/>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0609037">
    <w:abstractNumId w:val="0"/>
  </w:num>
  <w:num w:numId="2" w16cid:durableId="372384172">
    <w:abstractNumId w:val="2"/>
  </w:num>
  <w:num w:numId="3" w16cid:durableId="3940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30ED"/>
    <w:rsid w:val="00026A46"/>
    <w:rsid w:val="00715E04"/>
    <w:rsid w:val="00756CB2"/>
    <w:rsid w:val="007C30ED"/>
    <w:rsid w:val="008E1EED"/>
    <w:rsid w:val="009259DE"/>
    <w:rsid w:val="00974110"/>
    <w:rsid w:val="00A245DF"/>
    <w:rsid w:val="00A6198F"/>
    <w:rsid w:val="00AC71C0"/>
    <w:rsid w:val="00F878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00B3C"/>
  <w15:chartTrackingRefBased/>
  <w15:docId w15:val="{027BBBFF-5138-4B69-B6DF-7A05B968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30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30ED"/>
    <w:pPr>
      <w:tabs>
        <w:tab w:val="center" w:pos="4153"/>
        <w:tab w:val="right" w:pos="8306"/>
      </w:tabs>
    </w:pPr>
  </w:style>
  <w:style w:type="character" w:customStyle="1" w:styleId="a4">
    <w:name w:val="כותרת עליונה תו"/>
    <w:link w:val="a3"/>
    <w:rsid w:val="007C30ED"/>
    <w:rPr>
      <w:rFonts w:ascii="Times New Roman" w:eastAsia="Times New Roman" w:hAnsi="Times New Roman" w:cs="David"/>
      <w:sz w:val="24"/>
      <w:szCs w:val="24"/>
    </w:rPr>
  </w:style>
  <w:style w:type="paragraph" w:styleId="a5">
    <w:name w:val="footer"/>
    <w:basedOn w:val="a"/>
    <w:link w:val="a6"/>
    <w:rsid w:val="007C30ED"/>
    <w:pPr>
      <w:tabs>
        <w:tab w:val="center" w:pos="4153"/>
        <w:tab w:val="right" w:pos="8306"/>
      </w:tabs>
    </w:pPr>
  </w:style>
  <w:style w:type="character" w:customStyle="1" w:styleId="a6">
    <w:name w:val="כותרת תחתונה תו"/>
    <w:link w:val="a5"/>
    <w:rsid w:val="007C30ED"/>
    <w:rPr>
      <w:rFonts w:ascii="Times New Roman" w:eastAsia="Times New Roman" w:hAnsi="Times New Roman" w:cs="David"/>
      <w:sz w:val="24"/>
      <w:szCs w:val="24"/>
    </w:rPr>
  </w:style>
  <w:style w:type="table" w:styleId="a7">
    <w:name w:val="Table Grid"/>
    <w:basedOn w:val="a1"/>
    <w:rsid w:val="007C30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30ED"/>
  </w:style>
  <w:style w:type="paragraph" w:styleId="a9">
    <w:name w:val="List Paragraph"/>
    <w:basedOn w:val="a"/>
    <w:qFormat/>
    <w:rsid w:val="007C30ED"/>
    <w:pPr>
      <w:ind w:left="720"/>
      <w:contextualSpacing/>
    </w:pPr>
  </w:style>
  <w:style w:type="paragraph" w:customStyle="1" w:styleId="12">
    <w:name w:val="רגיל + ‏12 נק'"/>
    <w:aliases w:val="מיושר לשני הצדדים,מרווח בין שורות:  שורה וחצי"/>
    <w:basedOn w:val="a"/>
    <w:rsid w:val="007C30ED"/>
    <w:rPr>
      <w:b/>
      <w:bCs/>
      <w:u w:val="single"/>
    </w:rPr>
  </w:style>
  <w:style w:type="character" w:customStyle="1" w:styleId="TimesNewRomanTimesNewRoman">
    <w:name w:val="סגנון (לטיני) Times New Roman (עברית ושפות אחרות) Times New Roman..."/>
    <w:rsid w:val="007C30ED"/>
    <w:rPr>
      <w:rFonts w:ascii="Times New Roman" w:hAnsi="Times New Roman" w:cs="David" w:hint="default"/>
      <w:b/>
      <w:bCs/>
      <w:sz w:val="26"/>
      <w:szCs w:val="26"/>
    </w:rPr>
  </w:style>
  <w:style w:type="character" w:styleId="Hyperlink">
    <w:name w:val="Hyperlink"/>
    <w:rsid w:val="00F878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798018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3009435"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72343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2523869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144.b2" TargetMode="External"/><Relationship Id="rId19" Type="http://schemas.openxmlformats.org/officeDocument/2006/relationships/hyperlink" Target="http://www.nevo.co.il/case/2257664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40i"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2013</Words>
  <Characters>10069</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12058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3670131</vt:i4>
      </vt:variant>
      <vt:variant>
        <vt:i4>54</vt:i4>
      </vt:variant>
      <vt:variant>
        <vt:i4>0</vt:i4>
      </vt:variant>
      <vt:variant>
        <vt:i4>5</vt:i4>
      </vt:variant>
      <vt:variant>
        <vt:lpwstr>http://www.nevo.co.il/case/23009435</vt:lpwstr>
      </vt:variant>
      <vt:variant>
        <vt:lpwstr/>
      </vt:variant>
      <vt:variant>
        <vt:i4>3211380</vt:i4>
      </vt:variant>
      <vt:variant>
        <vt:i4>51</vt:i4>
      </vt:variant>
      <vt:variant>
        <vt:i4>0</vt:i4>
      </vt:variant>
      <vt:variant>
        <vt:i4>5</vt:i4>
      </vt:variant>
      <vt:variant>
        <vt:lpwstr>http://www.nevo.co.il/case/25238692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4128885</vt:i4>
      </vt:variant>
      <vt:variant>
        <vt:i4>42</vt:i4>
      </vt:variant>
      <vt:variant>
        <vt:i4>0</vt:i4>
      </vt:variant>
      <vt:variant>
        <vt:i4>5</vt:i4>
      </vt:variant>
      <vt:variant>
        <vt:lpwstr>http://www.nevo.co.il/case/7980181</vt:lpwstr>
      </vt:variant>
      <vt:variant>
        <vt:lpwstr/>
      </vt:variant>
      <vt:variant>
        <vt:i4>3473527</vt:i4>
      </vt:variant>
      <vt:variant>
        <vt:i4>39</vt:i4>
      </vt:variant>
      <vt:variant>
        <vt:i4>0</vt:i4>
      </vt:variant>
      <vt:variant>
        <vt:i4>5</vt:i4>
      </vt:variant>
      <vt:variant>
        <vt:lpwstr>http://www.nevo.co.il/case/25723436</vt:lpwstr>
      </vt:variant>
      <vt:variant>
        <vt:lpwstr/>
      </vt:variant>
      <vt:variant>
        <vt:i4>3473527</vt:i4>
      </vt:variant>
      <vt:variant>
        <vt:i4>36</vt:i4>
      </vt:variant>
      <vt:variant>
        <vt:i4>0</vt:i4>
      </vt:variant>
      <vt:variant>
        <vt:i4>5</vt:i4>
      </vt:variant>
      <vt:variant>
        <vt:lpwstr>http://www.nevo.co.il/case/22576642</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31728</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מירוסלב טורוק</vt:lpwstr>
  </property>
  <property fmtid="{D5CDD505-2E9C-101B-9397-08002B2CF9AE}" pid="10" name="LAWYER">
    <vt:lpwstr>שגיא מלח; טליה גולדשטיין ;אמיר אליאל</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20241218</vt:lpwstr>
  </property>
  <property fmtid="{D5CDD505-2E9C-101B-9397-08002B2CF9AE}" pid="14" name="TYPE_N_DATE">
    <vt:lpwstr>39020241218</vt:lpwstr>
  </property>
  <property fmtid="{D5CDD505-2E9C-101B-9397-08002B2CF9AE}" pid="15" name="CASESLISTTMP1">
    <vt:lpwstr>22576642;25723436;7980181;25238692;23009435</vt:lpwstr>
  </property>
  <property fmtid="{D5CDD505-2E9C-101B-9397-08002B2CF9AE}" pid="16" name="WORDNUMPAGES">
    <vt:lpwstr>7</vt:lpwstr>
  </property>
  <property fmtid="{D5CDD505-2E9C-101B-9397-08002B2CF9AE}" pid="17" name="TYPE_ABS_DATE">
    <vt:lpwstr>390020241218</vt:lpwstr>
  </property>
  <property fmtid="{D5CDD505-2E9C-101B-9397-08002B2CF9AE}" pid="18" name="ISABSTRACT">
    <vt:lpwstr>Y</vt:lpwstr>
  </property>
  <property fmtid="{D5CDD505-2E9C-101B-9397-08002B2CF9AE}" pid="19" name="LAWLISTTMP1">
    <vt:lpwstr>70301/144.b2:3;031:2;040i</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