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16835" w:rsidRPr="00C1395A" w14:paraId="02670116" w14:textId="77777777" w:rsidTr="001463D9">
        <w:trPr>
          <w:gridAfter w:val="1"/>
          <w:wAfter w:w="99" w:type="dxa"/>
          <w:trHeight w:hRule="exact" w:val="418"/>
          <w:jc w:val="center"/>
        </w:trPr>
        <w:tc>
          <w:tcPr>
            <w:tcW w:w="8721" w:type="dxa"/>
            <w:gridSpan w:val="4"/>
          </w:tcPr>
          <w:p w14:paraId="07166D2D" w14:textId="77777777" w:rsidR="00D16835" w:rsidRPr="00C1395A" w:rsidRDefault="00D16835" w:rsidP="00230E5D">
            <w:pPr>
              <w:pStyle w:val="a3"/>
              <w:jc w:val="center"/>
              <w:rPr>
                <w:rFonts w:ascii="Tahoma" w:hAnsi="Tahoma" w:cs="Tahoma"/>
                <w:color w:val="000080"/>
                <w:rtl/>
              </w:rPr>
            </w:pPr>
            <w:bookmarkStart w:id="0" w:name="LastJudge"/>
            <w:r w:rsidRPr="00C1395A">
              <w:rPr>
                <w:rFonts w:ascii="Tahoma" w:hAnsi="Tahoma" w:cs="Tahoma"/>
                <w:b/>
                <w:bCs/>
                <w:color w:val="000080"/>
                <w:rtl/>
              </w:rPr>
              <w:t>בית המשפט המחוזי בירושלים</w:t>
            </w:r>
          </w:p>
        </w:tc>
      </w:tr>
      <w:tr w:rsidR="00D16835" w:rsidRPr="00C1395A" w14:paraId="05CDA65E" w14:textId="77777777" w:rsidTr="001463D9">
        <w:trPr>
          <w:gridAfter w:val="1"/>
          <w:wAfter w:w="99" w:type="dxa"/>
          <w:trHeight w:val="337"/>
          <w:jc w:val="center"/>
        </w:trPr>
        <w:tc>
          <w:tcPr>
            <w:tcW w:w="5054" w:type="dxa"/>
            <w:gridSpan w:val="3"/>
          </w:tcPr>
          <w:p w14:paraId="44A16323" w14:textId="77777777" w:rsidR="00D16835" w:rsidRPr="00C1395A" w:rsidRDefault="00D16835" w:rsidP="00230E5D">
            <w:pPr>
              <w:rPr>
                <w:rFonts w:cs="FrankRuehl"/>
                <w:sz w:val="28"/>
                <w:szCs w:val="28"/>
                <w:rtl/>
              </w:rPr>
            </w:pPr>
            <w:r w:rsidRPr="00C1395A">
              <w:rPr>
                <w:rFonts w:cs="FrankRuehl"/>
                <w:sz w:val="28"/>
                <w:szCs w:val="28"/>
                <w:rtl/>
              </w:rPr>
              <w:t>ת"פ</w:t>
            </w:r>
            <w:r w:rsidRPr="00C1395A">
              <w:rPr>
                <w:rFonts w:cs="FrankRuehl" w:hint="cs"/>
                <w:sz w:val="28"/>
                <w:szCs w:val="28"/>
                <w:rtl/>
              </w:rPr>
              <w:t xml:space="preserve"> </w:t>
            </w:r>
            <w:r w:rsidRPr="00C1395A">
              <w:rPr>
                <w:rFonts w:cs="FrankRuehl"/>
                <w:sz w:val="28"/>
                <w:szCs w:val="28"/>
                <w:rtl/>
              </w:rPr>
              <w:t>35488-11-23</w:t>
            </w:r>
            <w:r w:rsidRPr="00C1395A">
              <w:rPr>
                <w:rFonts w:cs="FrankRuehl" w:hint="cs"/>
                <w:sz w:val="28"/>
                <w:szCs w:val="28"/>
                <w:rtl/>
              </w:rPr>
              <w:t xml:space="preserve"> </w:t>
            </w:r>
            <w:r w:rsidRPr="00C1395A">
              <w:rPr>
                <w:rFonts w:cs="FrankRuehl"/>
                <w:sz w:val="28"/>
                <w:szCs w:val="28"/>
                <w:rtl/>
              </w:rPr>
              <w:t>מדינת ישראל נ' שלודי</w:t>
            </w:r>
          </w:p>
        </w:tc>
        <w:tc>
          <w:tcPr>
            <w:tcW w:w="3667" w:type="dxa"/>
          </w:tcPr>
          <w:p w14:paraId="7E650DC1" w14:textId="77777777" w:rsidR="00D16835" w:rsidRPr="00C1395A" w:rsidRDefault="00D16835" w:rsidP="00230E5D">
            <w:pPr>
              <w:pStyle w:val="a3"/>
              <w:jc w:val="right"/>
              <w:rPr>
                <w:rFonts w:cs="FrankRuehl"/>
                <w:sz w:val="28"/>
                <w:szCs w:val="28"/>
                <w:rtl/>
              </w:rPr>
            </w:pPr>
          </w:p>
        </w:tc>
      </w:tr>
      <w:tr w:rsidR="00D16835" w:rsidRPr="00C1395A" w14:paraId="2C6BFD0E" w14:textId="77777777" w:rsidTr="00146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D74245D" w14:textId="77777777" w:rsidR="00D16835" w:rsidRPr="00C1395A" w:rsidRDefault="00D16835" w:rsidP="00D16835">
            <w:pPr>
              <w:jc w:val="both"/>
              <w:rPr>
                <w:rFonts w:ascii="David" w:hAnsi="David"/>
                <w:sz w:val="26"/>
                <w:szCs w:val="26"/>
              </w:rPr>
            </w:pPr>
            <w:r w:rsidRPr="00C1395A">
              <w:rPr>
                <w:rFonts w:hint="cs"/>
                <w:rtl/>
              </w:rPr>
              <w:t xml:space="preserve"> </w:t>
            </w:r>
            <w:r w:rsidRPr="00C1395A">
              <w:rPr>
                <w:rFonts w:ascii="David" w:hAnsi="David" w:hint="cs"/>
                <w:sz w:val="26"/>
                <w:szCs w:val="26"/>
                <w:rtl/>
              </w:rPr>
              <w:t>ל</w:t>
            </w:r>
            <w:r w:rsidRPr="00C1395A">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BA3D0D0" w14:textId="77777777" w:rsidR="00D16835" w:rsidRPr="00C1395A" w:rsidRDefault="00D16835" w:rsidP="00230E5D">
            <w:pPr>
              <w:rPr>
                <w:rFonts w:ascii="David" w:hAnsi="David"/>
                <w:b/>
                <w:bCs/>
                <w:sz w:val="26"/>
                <w:szCs w:val="26"/>
                <w:rtl/>
              </w:rPr>
            </w:pPr>
            <w:r w:rsidRPr="00C1395A">
              <w:rPr>
                <w:rFonts w:ascii="David" w:hAnsi="David"/>
                <w:b/>
                <w:bCs/>
                <w:sz w:val="26"/>
                <w:szCs w:val="26"/>
                <w:rtl/>
              </w:rPr>
              <w:t>כבוד השופט  אלעזר נחלון</w:t>
            </w:r>
          </w:p>
          <w:p w14:paraId="468E8AE9" w14:textId="77777777" w:rsidR="00D16835" w:rsidRPr="00C1395A" w:rsidRDefault="00D16835" w:rsidP="00230E5D">
            <w:pPr>
              <w:rPr>
                <w:rFonts w:ascii="David" w:hAnsi="David"/>
                <w:sz w:val="26"/>
                <w:szCs w:val="26"/>
                <w:rtl/>
              </w:rPr>
            </w:pPr>
          </w:p>
          <w:p w14:paraId="6573F432" w14:textId="77777777" w:rsidR="00D16835" w:rsidRPr="00C1395A" w:rsidRDefault="00D16835" w:rsidP="00D16835">
            <w:pPr>
              <w:jc w:val="both"/>
              <w:rPr>
                <w:rFonts w:ascii="David" w:hAnsi="David"/>
                <w:sz w:val="26"/>
                <w:szCs w:val="26"/>
              </w:rPr>
            </w:pPr>
          </w:p>
        </w:tc>
      </w:tr>
      <w:tr w:rsidR="00D16835" w:rsidRPr="00C1395A" w14:paraId="49AAB21F" w14:textId="77777777" w:rsidTr="00146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5D7C239" w14:textId="77777777" w:rsidR="00D16835" w:rsidRPr="00C1395A" w:rsidRDefault="00D16835" w:rsidP="00D16835">
            <w:pPr>
              <w:jc w:val="both"/>
              <w:rPr>
                <w:rFonts w:ascii="David" w:hAnsi="David"/>
                <w:sz w:val="26"/>
                <w:szCs w:val="26"/>
              </w:rPr>
            </w:pPr>
            <w:bookmarkStart w:id="1" w:name="FirstAppellant"/>
            <w:r w:rsidRPr="00C1395A">
              <w:rPr>
                <w:rFonts w:ascii="David" w:hAnsi="David"/>
                <w:sz w:val="26"/>
                <w:szCs w:val="26"/>
                <w:rtl/>
              </w:rPr>
              <w:t>בעניין:</w:t>
            </w:r>
          </w:p>
        </w:tc>
        <w:tc>
          <w:tcPr>
            <w:tcW w:w="3219" w:type="dxa"/>
            <w:tcBorders>
              <w:top w:val="nil"/>
              <w:left w:val="nil"/>
              <w:bottom w:val="nil"/>
              <w:right w:val="nil"/>
            </w:tcBorders>
            <w:shd w:val="clear" w:color="auto" w:fill="auto"/>
          </w:tcPr>
          <w:p w14:paraId="0142F122" w14:textId="77777777" w:rsidR="00D16835" w:rsidRPr="00C1395A" w:rsidRDefault="00D16835" w:rsidP="00D16835">
            <w:pPr>
              <w:suppressLineNumbers/>
            </w:pPr>
            <w:r w:rsidRPr="00C1395A">
              <w:rPr>
                <w:rFonts w:ascii="Arial" w:hAnsi="Arial" w:hint="cs"/>
                <w:b/>
                <w:bCs/>
                <w:sz w:val="26"/>
                <w:szCs w:val="26"/>
                <w:rtl/>
              </w:rPr>
              <w:t>ה</w:t>
            </w:r>
            <w:r w:rsidRPr="00C1395A">
              <w:rPr>
                <w:rFonts w:ascii="Arial" w:hAnsi="Arial"/>
                <w:b/>
                <w:bCs/>
                <w:sz w:val="26"/>
                <w:szCs w:val="26"/>
                <w:rtl/>
              </w:rPr>
              <w:t>מאשימה</w:t>
            </w:r>
          </w:p>
          <w:p w14:paraId="00295276" w14:textId="77777777" w:rsidR="00D16835" w:rsidRPr="00C1395A" w:rsidRDefault="00D16835" w:rsidP="00230E5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C4D39AE" w14:textId="77777777" w:rsidR="00D16835" w:rsidRPr="00C1395A" w:rsidRDefault="00D16835" w:rsidP="00D16835">
            <w:pPr>
              <w:suppressLineNumbers/>
              <w:rPr>
                <w:rFonts w:ascii="David" w:hAnsi="David"/>
                <w:sz w:val="26"/>
                <w:szCs w:val="26"/>
              </w:rPr>
            </w:pPr>
            <w:r w:rsidRPr="00C1395A">
              <w:rPr>
                <w:rFonts w:ascii="Arial" w:hAnsi="Arial"/>
                <w:b/>
                <w:bCs/>
                <w:sz w:val="26"/>
                <w:szCs w:val="26"/>
                <w:rtl/>
              </w:rPr>
              <w:t>מדינת ישראל</w:t>
            </w:r>
          </w:p>
        </w:tc>
      </w:tr>
      <w:bookmarkEnd w:id="1"/>
      <w:tr w:rsidR="00D16835" w:rsidRPr="00C1395A" w14:paraId="0728B3E6" w14:textId="77777777" w:rsidTr="00146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801E89" w14:textId="77777777" w:rsidR="00D16835" w:rsidRPr="00C1395A" w:rsidRDefault="00D16835" w:rsidP="00D1683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2204E5A" w14:textId="77777777" w:rsidR="00D16835" w:rsidRPr="00C1395A" w:rsidRDefault="00D16835" w:rsidP="00D16835">
            <w:pPr>
              <w:jc w:val="center"/>
              <w:rPr>
                <w:rFonts w:ascii="David" w:hAnsi="David"/>
                <w:b/>
                <w:bCs/>
                <w:sz w:val="26"/>
                <w:szCs w:val="26"/>
                <w:rtl/>
              </w:rPr>
            </w:pPr>
          </w:p>
          <w:p w14:paraId="1C6AB1B5" w14:textId="77777777" w:rsidR="00D16835" w:rsidRPr="00C1395A" w:rsidRDefault="00D16835" w:rsidP="00D16835">
            <w:pPr>
              <w:jc w:val="center"/>
              <w:rPr>
                <w:rFonts w:ascii="David" w:hAnsi="David"/>
                <w:b/>
                <w:bCs/>
                <w:sz w:val="26"/>
                <w:szCs w:val="26"/>
                <w:rtl/>
              </w:rPr>
            </w:pPr>
            <w:r w:rsidRPr="00C1395A">
              <w:rPr>
                <w:rFonts w:ascii="David" w:hAnsi="David"/>
                <w:b/>
                <w:bCs/>
                <w:sz w:val="26"/>
                <w:szCs w:val="26"/>
                <w:rtl/>
              </w:rPr>
              <w:t>נגד</w:t>
            </w:r>
          </w:p>
          <w:p w14:paraId="44302C85" w14:textId="77777777" w:rsidR="00D16835" w:rsidRPr="00C1395A" w:rsidRDefault="00D16835" w:rsidP="00D16835">
            <w:pPr>
              <w:jc w:val="both"/>
              <w:rPr>
                <w:rFonts w:ascii="David" w:hAnsi="David"/>
                <w:sz w:val="26"/>
                <w:szCs w:val="26"/>
              </w:rPr>
            </w:pPr>
          </w:p>
        </w:tc>
      </w:tr>
      <w:tr w:rsidR="00D16835" w:rsidRPr="00C1395A" w14:paraId="1A31FC49" w14:textId="77777777" w:rsidTr="00146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8A4044" w14:textId="77777777" w:rsidR="00D16835" w:rsidRPr="00C1395A" w:rsidRDefault="00D16835" w:rsidP="00230E5D">
            <w:pPr>
              <w:rPr>
                <w:rFonts w:ascii="David" w:hAnsi="David"/>
                <w:sz w:val="26"/>
                <w:szCs w:val="26"/>
                <w:rtl/>
              </w:rPr>
            </w:pPr>
          </w:p>
        </w:tc>
        <w:tc>
          <w:tcPr>
            <w:tcW w:w="3219" w:type="dxa"/>
            <w:tcBorders>
              <w:top w:val="nil"/>
              <w:left w:val="nil"/>
              <w:bottom w:val="nil"/>
              <w:right w:val="nil"/>
            </w:tcBorders>
            <w:shd w:val="clear" w:color="auto" w:fill="auto"/>
          </w:tcPr>
          <w:p w14:paraId="35D05602" w14:textId="77777777" w:rsidR="00D16835" w:rsidRPr="00C1395A" w:rsidRDefault="00D16835" w:rsidP="00230E5D">
            <w:pPr>
              <w:rPr>
                <w:rFonts w:ascii="Arial" w:hAnsi="Arial"/>
                <w:b/>
                <w:bCs/>
                <w:sz w:val="26"/>
                <w:szCs w:val="26"/>
                <w:rtl/>
              </w:rPr>
            </w:pPr>
            <w:r w:rsidRPr="00C1395A">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4805462" w14:textId="77777777" w:rsidR="00D16835" w:rsidRPr="00C1395A" w:rsidRDefault="00D16835" w:rsidP="00D16835">
            <w:pPr>
              <w:suppressLineNumbers/>
              <w:rPr>
                <w:rFonts w:ascii="David" w:hAnsi="David"/>
                <w:sz w:val="26"/>
                <w:szCs w:val="26"/>
              </w:rPr>
            </w:pPr>
            <w:r w:rsidRPr="00C1395A">
              <w:rPr>
                <w:rFonts w:ascii="Arial" w:hAnsi="Arial"/>
                <w:b/>
                <w:bCs/>
                <w:sz w:val="26"/>
                <w:szCs w:val="26"/>
                <w:rtl/>
              </w:rPr>
              <w:t>אנס שלודי</w:t>
            </w:r>
          </w:p>
        </w:tc>
      </w:tr>
      <w:tr w:rsidR="00D16835" w:rsidRPr="00C1395A" w14:paraId="37591787" w14:textId="77777777" w:rsidTr="00146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A83758" w14:textId="77777777" w:rsidR="00D16835" w:rsidRPr="00C1395A" w:rsidRDefault="00D16835" w:rsidP="00D16835">
            <w:pPr>
              <w:jc w:val="both"/>
              <w:rPr>
                <w:rFonts w:ascii="David" w:hAnsi="David"/>
                <w:sz w:val="26"/>
                <w:szCs w:val="26"/>
                <w:rtl/>
              </w:rPr>
            </w:pPr>
          </w:p>
        </w:tc>
        <w:tc>
          <w:tcPr>
            <w:tcW w:w="3219" w:type="dxa"/>
            <w:tcBorders>
              <w:top w:val="nil"/>
              <w:left w:val="nil"/>
              <w:bottom w:val="nil"/>
              <w:right w:val="nil"/>
            </w:tcBorders>
            <w:shd w:val="clear" w:color="auto" w:fill="auto"/>
          </w:tcPr>
          <w:p w14:paraId="725FCEA2" w14:textId="77777777" w:rsidR="00D16835" w:rsidRPr="00C1395A" w:rsidRDefault="00D16835" w:rsidP="00D16835">
            <w:pPr>
              <w:jc w:val="both"/>
              <w:rPr>
                <w:rFonts w:ascii="David" w:hAnsi="David"/>
                <w:sz w:val="26"/>
                <w:szCs w:val="26"/>
                <w:rtl/>
              </w:rPr>
            </w:pPr>
          </w:p>
        </w:tc>
        <w:tc>
          <w:tcPr>
            <w:tcW w:w="4678" w:type="dxa"/>
            <w:gridSpan w:val="3"/>
            <w:tcBorders>
              <w:top w:val="nil"/>
              <w:left w:val="nil"/>
              <w:bottom w:val="nil"/>
              <w:right w:val="nil"/>
            </w:tcBorders>
            <w:shd w:val="clear" w:color="auto" w:fill="auto"/>
          </w:tcPr>
          <w:p w14:paraId="6087085F" w14:textId="77777777" w:rsidR="00D16835" w:rsidRPr="00C1395A" w:rsidRDefault="00D16835" w:rsidP="00D16835">
            <w:pPr>
              <w:jc w:val="right"/>
              <w:rPr>
                <w:rFonts w:ascii="David" w:hAnsi="David"/>
                <w:sz w:val="26"/>
                <w:szCs w:val="26"/>
              </w:rPr>
            </w:pPr>
          </w:p>
        </w:tc>
      </w:tr>
      <w:tr w:rsidR="00D16835" w:rsidRPr="00C1395A" w14:paraId="39AFB807" w14:textId="77777777" w:rsidTr="00146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E868E9" w14:textId="77777777" w:rsidR="00D16835" w:rsidRPr="00C1395A" w:rsidRDefault="00D16835" w:rsidP="00D16835">
            <w:pPr>
              <w:jc w:val="both"/>
              <w:rPr>
                <w:rFonts w:ascii="David" w:hAnsi="David"/>
                <w:sz w:val="26"/>
                <w:szCs w:val="26"/>
                <w:rtl/>
              </w:rPr>
            </w:pPr>
          </w:p>
        </w:tc>
        <w:tc>
          <w:tcPr>
            <w:tcW w:w="3219" w:type="dxa"/>
            <w:tcBorders>
              <w:top w:val="nil"/>
              <w:left w:val="nil"/>
              <w:bottom w:val="nil"/>
              <w:right w:val="nil"/>
            </w:tcBorders>
            <w:shd w:val="clear" w:color="auto" w:fill="auto"/>
          </w:tcPr>
          <w:p w14:paraId="420DAECD" w14:textId="77777777" w:rsidR="00D16835" w:rsidRPr="00C1395A" w:rsidRDefault="00D16835" w:rsidP="00D16835">
            <w:pPr>
              <w:jc w:val="both"/>
              <w:rPr>
                <w:rFonts w:ascii="David" w:hAnsi="David"/>
                <w:sz w:val="26"/>
                <w:szCs w:val="26"/>
                <w:rtl/>
              </w:rPr>
            </w:pPr>
          </w:p>
        </w:tc>
        <w:tc>
          <w:tcPr>
            <w:tcW w:w="4678" w:type="dxa"/>
            <w:gridSpan w:val="3"/>
            <w:tcBorders>
              <w:top w:val="nil"/>
              <w:left w:val="nil"/>
              <w:bottom w:val="nil"/>
              <w:right w:val="nil"/>
            </w:tcBorders>
            <w:shd w:val="clear" w:color="auto" w:fill="auto"/>
          </w:tcPr>
          <w:p w14:paraId="21F7C791" w14:textId="77777777" w:rsidR="00D16835" w:rsidRPr="00C1395A" w:rsidRDefault="00D16835" w:rsidP="00D16835">
            <w:pPr>
              <w:jc w:val="right"/>
              <w:rPr>
                <w:rFonts w:ascii="David" w:hAnsi="David"/>
                <w:sz w:val="26"/>
                <w:szCs w:val="26"/>
              </w:rPr>
            </w:pPr>
          </w:p>
        </w:tc>
      </w:tr>
      <w:tr w:rsidR="00D16835" w:rsidRPr="00C1395A" w14:paraId="693C8A00" w14:textId="77777777" w:rsidTr="00146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33C0C8" w14:textId="77777777" w:rsidR="00D16835" w:rsidRPr="00C1395A" w:rsidRDefault="00D16835" w:rsidP="00D16835">
            <w:pPr>
              <w:jc w:val="both"/>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D778322" w14:textId="77777777" w:rsidR="00D16835" w:rsidRPr="00C1395A" w:rsidRDefault="00D16835" w:rsidP="00D16835">
            <w:pPr>
              <w:jc w:val="both"/>
              <w:rPr>
                <w:rFonts w:ascii="David" w:hAnsi="David"/>
                <w:sz w:val="26"/>
                <w:szCs w:val="26"/>
                <w:rtl/>
              </w:rPr>
            </w:pPr>
            <w:r w:rsidRPr="00C1395A">
              <w:rPr>
                <w:rFonts w:ascii="David" w:hAnsi="David" w:hint="cs"/>
                <w:sz w:val="26"/>
                <w:szCs w:val="26"/>
                <w:rtl/>
              </w:rPr>
              <w:t>בשם המאשימה:</w:t>
            </w:r>
          </w:p>
        </w:tc>
        <w:tc>
          <w:tcPr>
            <w:tcW w:w="4678" w:type="dxa"/>
            <w:gridSpan w:val="3"/>
            <w:tcBorders>
              <w:top w:val="nil"/>
              <w:left w:val="nil"/>
              <w:bottom w:val="nil"/>
              <w:right w:val="nil"/>
            </w:tcBorders>
            <w:shd w:val="clear" w:color="auto" w:fill="auto"/>
          </w:tcPr>
          <w:p w14:paraId="7CEE9E51" w14:textId="77777777" w:rsidR="00D16835" w:rsidRPr="00C1395A" w:rsidRDefault="00D16835" w:rsidP="00230E5D">
            <w:pPr>
              <w:rPr>
                <w:rFonts w:ascii="David" w:hAnsi="David"/>
                <w:sz w:val="26"/>
                <w:szCs w:val="26"/>
              </w:rPr>
            </w:pPr>
            <w:r w:rsidRPr="00C1395A">
              <w:rPr>
                <w:rFonts w:ascii="David" w:hAnsi="David" w:hint="cs"/>
                <w:sz w:val="26"/>
                <w:szCs w:val="26"/>
                <w:rtl/>
              </w:rPr>
              <w:t>עו"ד ליזו אבקסיס וולפוס; עו"ד אדר ארז</w:t>
            </w:r>
          </w:p>
        </w:tc>
      </w:tr>
      <w:bookmarkEnd w:id="2"/>
      <w:tr w:rsidR="00D16835" w:rsidRPr="00C1395A" w14:paraId="23E4A6FC" w14:textId="77777777" w:rsidTr="00146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871683" w14:textId="77777777" w:rsidR="00D16835" w:rsidRPr="00C1395A" w:rsidRDefault="00D16835" w:rsidP="00D16835">
            <w:pPr>
              <w:jc w:val="both"/>
              <w:rPr>
                <w:rFonts w:ascii="David" w:hAnsi="David"/>
                <w:sz w:val="26"/>
                <w:szCs w:val="26"/>
                <w:rtl/>
              </w:rPr>
            </w:pPr>
          </w:p>
        </w:tc>
        <w:tc>
          <w:tcPr>
            <w:tcW w:w="3219" w:type="dxa"/>
            <w:tcBorders>
              <w:top w:val="nil"/>
              <w:left w:val="nil"/>
              <w:bottom w:val="nil"/>
              <w:right w:val="nil"/>
            </w:tcBorders>
            <w:shd w:val="clear" w:color="auto" w:fill="auto"/>
          </w:tcPr>
          <w:p w14:paraId="23778ABD" w14:textId="77777777" w:rsidR="00D16835" w:rsidRPr="00C1395A" w:rsidRDefault="00D16835" w:rsidP="00D16835">
            <w:pPr>
              <w:jc w:val="both"/>
              <w:rPr>
                <w:rFonts w:ascii="David" w:hAnsi="David"/>
                <w:sz w:val="26"/>
                <w:szCs w:val="26"/>
                <w:rtl/>
              </w:rPr>
            </w:pPr>
          </w:p>
        </w:tc>
        <w:tc>
          <w:tcPr>
            <w:tcW w:w="4678" w:type="dxa"/>
            <w:gridSpan w:val="3"/>
            <w:tcBorders>
              <w:top w:val="nil"/>
              <w:left w:val="nil"/>
              <w:bottom w:val="nil"/>
              <w:right w:val="nil"/>
            </w:tcBorders>
            <w:shd w:val="clear" w:color="auto" w:fill="auto"/>
          </w:tcPr>
          <w:p w14:paraId="3C1244C2" w14:textId="77777777" w:rsidR="00D16835" w:rsidRPr="00C1395A" w:rsidRDefault="00D16835" w:rsidP="00230E5D">
            <w:pPr>
              <w:rPr>
                <w:rFonts w:ascii="David" w:hAnsi="David"/>
                <w:sz w:val="26"/>
                <w:szCs w:val="26"/>
              </w:rPr>
            </w:pPr>
          </w:p>
        </w:tc>
      </w:tr>
      <w:tr w:rsidR="00D16835" w:rsidRPr="00C1395A" w14:paraId="0306A7AC" w14:textId="77777777" w:rsidTr="00146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E6E997" w14:textId="77777777" w:rsidR="00D16835" w:rsidRPr="00C1395A" w:rsidRDefault="00D16835" w:rsidP="00D16835">
            <w:pPr>
              <w:jc w:val="both"/>
              <w:rPr>
                <w:rFonts w:ascii="David" w:hAnsi="David"/>
                <w:sz w:val="26"/>
                <w:szCs w:val="26"/>
                <w:rtl/>
              </w:rPr>
            </w:pPr>
          </w:p>
        </w:tc>
        <w:tc>
          <w:tcPr>
            <w:tcW w:w="3219" w:type="dxa"/>
            <w:tcBorders>
              <w:top w:val="nil"/>
              <w:left w:val="nil"/>
              <w:bottom w:val="nil"/>
              <w:right w:val="nil"/>
            </w:tcBorders>
            <w:shd w:val="clear" w:color="auto" w:fill="auto"/>
          </w:tcPr>
          <w:p w14:paraId="569C09BD" w14:textId="77777777" w:rsidR="00D16835" w:rsidRPr="00C1395A" w:rsidRDefault="00D16835" w:rsidP="00D16835">
            <w:pPr>
              <w:jc w:val="both"/>
              <w:rPr>
                <w:rFonts w:ascii="David" w:hAnsi="David"/>
                <w:sz w:val="26"/>
                <w:szCs w:val="26"/>
                <w:rtl/>
              </w:rPr>
            </w:pPr>
            <w:r w:rsidRPr="00C1395A">
              <w:rPr>
                <w:rFonts w:ascii="David" w:hAnsi="David" w:hint="cs"/>
                <w:sz w:val="26"/>
                <w:szCs w:val="26"/>
                <w:rtl/>
              </w:rPr>
              <w:t>בשם הנאשם:</w:t>
            </w:r>
          </w:p>
        </w:tc>
        <w:tc>
          <w:tcPr>
            <w:tcW w:w="4678" w:type="dxa"/>
            <w:gridSpan w:val="3"/>
            <w:tcBorders>
              <w:top w:val="nil"/>
              <w:left w:val="nil"/>
              <w:bottom w:val="nil"/>
              <w:right w:val="nil"/>
            </w:tcBorders>
            <w:shd w:val="clear" w:color="auto" w:fill="auto"/>
          </w:tcPr>
          <w:p w14:paraId="3B2E873B" w14:textId="77777777" w:rsidR="00D16835" w:rsidRPr="00C1395A" w:rsidRDefault="00D16835" w:rsidP="00230E5D">
            <w:pPr>
              <w:rPr>
                <w:rFonts w:ascii="David" w:hAnsi="David"/>
                <w:sz w:val="26"/>
                <w:szCs w:val="26"/>
              </w:rPr>
            </w:pPr>
            <w:r w:rsidRPr="00C1395A">
              <w:rPr>
                <w:rFonts w:ascii="David" w:hAnsi="David" w:hint="cs"/>
                <w:sz w:val="26"/>
                <w:szCs w:val="26"/>
                <w:rtl/>
              </w:rPr>
              <w:t>עו"ד רמזי קטילאת</w:t>
            </w:r>
          </w:p>
        </w:tc>
      </w:tr>
    </w:tbl>
    <w:p w14:paraId="315B1EAB" w14:textId="77777777" w:rsidR="00C1395A" w:rsidRPr="00C1395A" w:rsidRDefault="00C1395A" w:rsidP="00C1395A">
      <w:pPr>
        <w:spacing w:before="120" w:after="120" w:line="240" w:lineRule="exact"/>
        <w:ind w:left="283" w:hanging="283"/>
        <w:jc w:val="both"/>
        <w:rPr>
          <w:rFonts w:ascii="FrankRuehl" w:hAnsi="FrankRuehl" w:cs="FrankRuehl"/>
          <w:rtl/>
        </w:rPr>
      </w:pPr>
    </w:p>
    <w:p w14:paraId="0FB44DE8" w14:textId="77777777" w:rsidR="00C1395A" w:rsidRPr="00C1395A" w:rsidRDefault="00C1395A" w:rsidP="00C1395A">
      <w:pPr>
        <w:rPr>
          <w:sz w:val="26"/>
          <w:szCs w:val="26"/>
          <w:rtl/>
        </w:rPr>
      </w:pPr>
    </w:p>
    <w:p w14:paraId="131D8836" w14:textId="77777777" w:rsidR="00C8317E" w:rsidRPr="00C8317E" w:rsidRDefault="00C8317E" w:rsidP="00C8317E">
      <w:pPr>
        <w:spacing w:before="120" w:after="120" w:line="240" w:lineRule="exact"/>
        <w:ind w:left="283" w:hanging="283"/>
        <w:jc w:val="both"/>
        <w:rPr>
          <w:rFonts w:ascii="FrankRuehl" w:hAnsi="FrankRuehl" w:cs="FrankRuehl"/>
          <w:rtl/>
        </w:rPr>
      </w:pPr>
      <w:bookmarkStart w:id="3" w:name="LawTable"/>
      <w:bookmarkEnd w:id="3"/>
    </w:p>
    <w:p w14:paraId="6EFF4BAB" w14:textId="77777777" w:rsidR="00C8317E" w:rsidRPr="00C8317E" w:rsidRDefault="00C8317E" w:rsidP="00C8317E">
      <w:pPr>
        <w:spacing w:before="120" w:after="120" w:line="240" w:lineRule="exact"/>
        <w:ind w:left="283" w:hanging="283"/>
        <w:jc w:val="both"/>
        <w:rPr>
          <w:rFonts w:ascii="FrankRuehl" w:hAnsi="FrankRuehl" w:cs="FrankRuehl"/>
          <w:rtl/>
        </w:rPr>
      </w:pPr>
      <w:r w:rsidRPr="00C8317E">
        <w:rPr>
          <w:rFonts w:ascii="FrankRuehl" w:hAnsi="FrankRuehl" w:cs="FrankRuehl"/>
          <w:rtl/>
        </w:rPr>
        <w:t xml:space="preserve">חקיקה שאוזכרה: </w:t>
      </w:r>
    </w:p>
    <w:p w14:paraId="5306C6F9" w14:textId="77777777" w:rsidR="00C8317E" w:rsidRPr="00C8317E" w:rsidRDefault="00C8317E" w:rsidP="00C8317E">
      <w:pPr>
        <w:spacing w:before="120" w:after="120" w:line="240" w:lineRule="exact"/>
        <w:ind w:left="283" w:hanging="283"/>
        <w:jc w:val="both"/>
        <w:rPr>
          <w:rFonts w:ascii="FrankRuehl" w:hAnsi="FrankRuehl" w:cs="FrankRuehl"/>
          <w:color w:val="0000FF"/>
          <w:rtl/>
        </w:rPr>
      </w:pPr>
      <w:hyperlink r:id="rId7" w:history="1">
        <w:r w:rsidRPr="00C8317E">
          <w:rPr>
            <w:rStyle w:val="Hyperlink"/>
            <w:rFonts w:ascii="FrankRuehl" w:hAnsi="FrankRuehl" w:cs="FrankRuehl"/>
            <w:u w:val="none"/>
            <w:rtl/>
          </w:rPr>
          <w:t>חוק העונשין, תשל"ז-1977</w:t>
        </w:r>
      </w:hyperlink>
      <w:r w:rsidRPr="00C8317E">
        <w:rPr>
          <w:rFonts w:ascii="FrankRuehl" w:hAnsi="FrankRuehl" w:cs="FrankRuehl"/>
          <w:color w:val="0000FF"/>
          <w:rtl/>
        </w:rPr>
        <w:t xml:space="preserve">: סע'  </w:t>
      </w:r>
      <w:hyperlink r:id="rId8" w:history="1">
        <w:r w:rsidRPr="00C8317E">
          <w:rPr>
            <w:rStyle w:val="Hyperlink"/>
            <w:rFonts w:ascii="FrankRuehl" w:hAnsi="FrankRuehl" w:cs="FrankRuehl"/>
            <w:u w:val="none"/>
          </w:rPr>
          <w:t>40.</w:t>
        </w:r>
        <w:r w:rsidRPr="00C8317E">
          <w:rPr>
            <w:rStyle w:val="Hyperlink"/>
            <w:rFonts w:ascii="FrankRuehl" w:hAnsi="FrankRuehl" w:cs="FrankRuehl"/>
            <w:u w:val="none"/>
            <w:rtl/>
          </w:rPr>
          <w:t>ו</w:t>
        </w:r>
        <w:r w:rsidRPr="00C8317E">
          <w:rPr>
            <w:rStyle w:val="Hyperlink"/>
            <w:rFonts w:ascii="FrankRuehl" w:hAnsi="FrankRuehl" w:cs="FrankRuehl"/>
            <w:u w:val="none"/>
          </w:rPr>
          <w:t>.</w:t>
        </w:r>
      </w:hyperlink>
      <w:r w:rsidRPr="00C8317E">
        <w:rPr>
          <w:rFonts w:ascii="FrankRuehl" w:hAnsi="FrankRuehl" w:cs="FrankRuehl"/>
          <w:color w:val="0000FF"/>
          <w:rtl/>
        </w:rPr>
        <w:t xml:space="preserve">, </w:t>
      </w:r>
      <w:hyperlink r:id="rId9" w:history="1">
        <w:r w:rsidRPr="00C8317E">
          <w:rPr>
            <w:rStyle w:val="Hyperlink"/>
            <w:rFonts w:ascii="FrankRuehl" w:hAnsi="FrankRuehl" w:cs="FrankRuehl"/>
            <w:u w:val="none"/>
          </w:rPr>
          <w:t>40.</w:t>
        </w:r>
        <w:r w:rsidRPr="00C8317E">
          <w:rPr>
            <w:rStyle w:val="Hyperlink"/>
            <w:rFonts w:ascii="FrankRuehl" w:hAnsi="FrankRuehl" w:cs="FrankRuehl"/>
            <w:u w:val="none"/>
            <w:rtl/>
          </w:rPr>
          <w:t>ז</w:t>
        </w:r>
      </w:hyperlink>
      <w:r w:rsidRPr="00C8317E">
        <w:rPr>
          <w:rFonts w:ascii="FrankRuehl" w:hAnsi="FrankRuehl" w:cs="FrankRuehl"/>
          <w:color w:val="0000FF"/>
          <w:rtl/>
        </w:rPr>
        <w:t xml:space="preserve">, </w:t>
      </w:r>
      <w:hyperlink r:id="rId10" w:history="1">
        <w:r w:rsidRPr="00C8317E">
          <w:rPr>
            <w:rStyle w:val="Hyperlink"/>
            <w:rFonts w:ascii="FrankRuehl" w:hAnsi="FrankRuehl" w:cs="FrankRuehl"/>
            <w:u w:val="none"/>
          </w:rPr>
          <w:t>40.</w:t>
        </w:r>
        <w:r w:rsidRPr="00C8317E">
          <w:rPr>
            <w:rStyle w:val="Hyperlink"/>
            <w:rFonts w:ascii="FrankRuehl" w:hAnsi="FrankRuehl" w:cs="FrankRuehl"/>
            <w:u w:val="none"/>
            <w:rtl/>
          </w:rPr>
          <w:t>ט.א.7</w:t>
        </w:r>
      </w:hyperlink>
      <w:r w:rsidRPr="00C8317E">
        <w:rPr>
          <w:rFonts w:ascii="FrankRuehl" w:hAnsi="FrankRuehl" w:cs="FrankRuehl"/>
          <w:color w:val="0000FF"/>
          <w:rtl/>
        </w:rPr>
        <w:t xml:space="preserve">, </w:t>
      </w:r>
      <w:hyperlink r:id="rId11" w:history="1">
        <w:r w:rsidRPr="00C8317E">
          <w:rPr>
            <w:rStyle w:val="Hyperlink"/>
            <w:rFonts w:ascii="FrankRuehl" w:hAnsi="FrankRuehl" w:cs="FrankRuehl"/>
            <w:u w:val="none"/>
          </w:rPr>
          <w:t>40</w:t>
        </w:r>
        <w:r w:rsidRPr="00C8317E">
          <w:rPr>
            <w:rStyle w:val="Hyperlink"/>
            <w:rFonts w:ascii="FrankRuehl" w:hAnsi="FrankRuehl" w:cs="FrankRuehl"/>
            <w:u w:val="none"/>
            <w:rtl/>
          </w:rPr>
          <w:t>ב</w:t>
        </w:r>
      </w:hyperlink>
      <w:r w:rsidRPr="00C8317E">
        <w:rPr>
          <w:rFonts w:ascii="FrankRuehl" w:hAnsi="FrankRuehl" w:cs="FrankRuehl"/>
          <w:color w:val="0000FF"/>
          <w:rtl/>
        </w:rPr>
        <w:t xml:space="preserve">, </w:t>
      </w:r>
      <w:hyperlink r:id="rId12" w:history="1">
        <w:r w:rsidRPr="00C8317E">
          <w:rPr>
            <w:rStyle w:val="Hyperlink"/>
            <w:rFonts w:ascii="FrankRuehl" w:hAnsi="FrankRuehl" w:cs="FrankRuehl"/>
            <w:u w:val="none"/>
          </w:rPr>
          <w:t>40</w:t>
        </w:r>
        <w:r w:rsidRPr="00C8317E">
          <w:rPr>
            <w:rStyle w:val="Hyperlink"/>
            <w:rFonts w:ascii="FrankRuehl" w:hAnsi="FrankRuehl" w:cs="FrankRuehl"/>
            <w:u w:val="none"/>
            <w:rtl/>
          </w:rPr>
          <w:t>ג</w:t>
        </w:r>
      </w:hyperlink>
      <w:r w:rsidRPr="00C8317E">
        <w:rPr>
          <w:rFonts w:ascii="FrankRuehl" w:hAnsi="FrankRuehl" w:cs="FrankRuehl"/>
          <w:color w:val="0000FF"/>
          <w:rtl/>
        </w:rPr>
        <w:t xml:space="preserve">(א), </w:t>
      </w:r>
      <w:hyperlink r:id="rId13" w:history="1">
        <w:r w:rsidRPr="00C8317E">
          <w:rPr>
            <w:rStyle w:val="Hyperlink"/>
            <w:rFonts w:ascii="FrankRuehl" w:hAnsi="FrankRuehl" w:cs="FrankRuehl"/>
            <w:u w:val="none"/>
          </w:rPr>
          <w:t>40</w:t>
        </w:r>
        <w:r w:rsidRPr="00C8317E">
          <w:rPr>
            <w:rStyle w:val="Hyperlink"/>
            <w:rFonts w:ascii="FrankRuehl" w:hAnsi="FrankRuehl" w:cs="FrankRuehl"/>
            <w:u w:val="none"/>
            <w:rtl/>
          </w:rPr>
          <w:t>ג</w:t>
        </w:r>
      </w:hyperlink>
      <w:r w:rsidRPr="00C8317E">
        <w:rPr>
          <w:rFonts w:ascii="FrankRuehl" w:hAnsi="FrankRuehl" w:cs="FrankRuehl"/>
          <w:color w:val="0000FF"/>
          <w:rtl/>
        </w:rPr>
        <w:t xml:space="preserve">(ב), </w:t>
      </w:r>
      <w:hyperlink r:id="rId14" w:history="1">
        <w:r w:rsidRPr="00C8317E">
          <w:rPr>
            <w:rStyle w:val="Hyperlink"/>
            <w:rFonts w:ascii="FrankRuehl" w:hAnsi="FrankRuehl" w:cs="FrankRuehl"/>
            <w:u w:val="none"/>
          </w:rPr>
          <w:t>40</w:t>
        </w:r>
        <w:r w:rsidRPr="00C8317E">
          <w:rPr>
            <w:rStyle w:val="Hyperlink"/>
            <w:rFonts w:ascii="FrankRuehl" w:hAnsi="FrankRuehl" w:cs="FrankRuehl"/>
            <w:u w:val="none"/>
            <w:rtl/>
          </w:rPr>
          <w:t>ט</w:t>
        </w:r>
      </w:hyperlink>
      <w:r w:rsidRPr="00C8317E">
        <w:rPr>
          <w:rFonts w:ascii="FrankRuehl" w:hAnsi="FrankRuehl" w:cs="FrankRuehl"/>
          <w:color w:val="0000FF"/>
          <w:rtl/>
        </w:rPr>
        <w:t xml:space="preserve">, </w:t>
      </w:r>
      <w:hyperlink r:id="rId15" w:history="1">
        <w:r w:rsidRPr="00C8317E">
          <w:rPr>
            <w:rStyle w:val="Hyperlink"/>
            <w:rFonts w:ascii="FrankRuehl" w:hAnsi="FrankRuehl" w:cs="FrankRuehl"/>
            <w:u w:val="none"/>
          </w:rPr>
          <w:t>40</w:t>
        </w:r>
        <w:r w:rsidRPr="00C8317E">
          <w:rPr>
            <w:rStyle w:val="Hyperlink"/>
            <w:rFonts w:ascii="FrankRuehl" w:hAnsi="FrankRuehl" w:cs="FrankRuehl"/>
            <w:u w:val="none"/>
            <w:rtl/>
          </w:rPr>
          <w:t>ט</w:t>
        </w:r>
      </w:hyperlink>
      <w:r w:rsidRPr="00C8317E">
        <w:rPr>
          <w:rFonts w:ascii="FrankRuehl" w:hAnsi="FrankRuehl" w:cs="FrankRuehl"/>
          <w:color w:val="0000FF"/>
          <w:rtl/>
        </w:rPr>
        <w:t xml:space="preserve">(א), </w:t>
      </w:r>
      <w:hyperlink r:id="rId16" w:history="1">
        <w:r w:rsidRPr="00C8317E">
          <w:rPr>
            <w:rStyle w:val="Hyperlink"/>
            <w:rFonts w:ascii="FrankRuehl" w:hAnsi="FrankRuehl" w:cs="FrankRuehl"/>
            <w:u w:val="none"/>
          </w:rPr>
          <w:t>40</w:t>
        </w:r>
        <w:r w:rsidRPr="00C8317E">
          <w:rPr>
            <w:rStyle w:val="Hyperlink"/>
            <w:rFonts w:ascii="FrankRuehl" w:hAnsi="FrankRuehl" w:cs="FrankRuehl"/>
            <w:u w:val="none"/>
            <w:rtl/>
          </w:rPr>
          <w:t>ט.א.6</w:t>
        </w:r>
        <w:r w:rsidRPr="00C8317E">
          <w:rPr>
            <w:rStyle w:val="Hyperlink"/>
            <w:rFonts w:ascii="FrankRuehl" w:hAnsi="FrankRuehl" w:cs="FrankRuehl"/>
            <w:u w:val="none"/>
          </w:rPr>
          <w:t>.</w:t>
        </w:r>
      </w:hyperlink>
      <w:r w:rsidRPr="00C8317E">
        <w:rPr>
          <w:rFonts w:ascii="FrankRuehl" w:hAnsi="FrankRuehl" w:cs="FrankRuehl"/>
          <w:color w:val="0000FF"/>
          <w:rtl/>
        </w:rPr>
        <w:t xml:space="preserve">, </w:t>
      </w:r>
      <w:hyperlink r:id="rId17" w:history="1">
        <w:r w:rsidRPr="00C8317E">
          <w:rPr>
            <w:rStyle w:val="Hyperlink"/>
            <w:rFonts w:ascii="FrankRuehl" w:hAnsi="FrankRuehl" w:cs="FrankRuehl"/>
            <w:u w:val="none"/>
          </w:rPr>
          <w:t>45</w:t>
        </w:r>
      </w:hyperlink>
      <w:r w:rsidRPr="00C8317E">
        <w:rPr>
          <w:rFonts w:ascii="FrankRuehl" w:hAnsi="FrankRuehl" w:cs="FrankRuehl"/>
          <w:color w:val="0000FF"/>
          <w:rtl/>
        </w:rPr>
        <w:t xml:space="preserve">(ב), </w:t>
      </w:r>
      <w:hyperlink r:id="rId18" w:history="1">
        <w:r w:rsidRPr="00C8317E">
          <w:rPr>
            <w:rStyle w:val="Hyperlink"/>
            <w:rFonts w:ascii="FrankRuehl" w:hAnsi="FrankRuehl" w:cs="FrankRuehl"/>
            <w:u w:val="none"/>
          </w:rPr>
          <w:t>144</w:t>
        </w:r>
      </w:hyperlink>
      <w:r w:rsidRPr="00C8317E">
        <w:rPr>
          <w:rFonts w:ascii="FrankRuehl" w:hAnsi="FrankRuehl" w:cs="FrankRuehl"/>
          <w:color w:val="0000FF"/>
          <w:rtl/>
        </w:rPr>
        <w:t xml:space="preserve">(ב), </w:t>
      </w:r>
      <w:hyperlink r:id="rId19" w:history="1">
        <w:r w:rsidRPr="00C8317E">
          <w:rPr>
            <w:rStyle w:val="Hyperlink"/>
            <w:rFonts w:ascii="FrankRuehl" w:hAnsi="FrankRuehl" w:cs="FrankRuehl"/>
            <w:u w:val="none"/>
          </w:rPr>
          <w:t>144</w:t>
        </w:r>
      </w:hyperlink>
      <w:r w:rsidRPr="00C8317E">
        <w:rPr>
          <w:rFonts w:ascii="FrankRuehl" w:hAnsi="FrankRuehl" w:cs="FrankRuehl"/>
          <w:color w:val="0000FF"/>
          <w:rtl/>
        </w:rPr>
        <w:t xml:space="preserve">(ז), </w:t>
      </w:r>
      <w:hyperlink r:id="rId20" w:history="1">
        <w:r w:rsidRPr="00C8317E">
          <w:rPr>
            <w:rStyle w:val="Hyperlink"/>
            <w:rFonts w:ascii="FrankRuehl" w:hAnsi="FrankRuehl" w:cs="FrankRuehl"/>
            <w:u w:val="none"/>
          </w:rPr>
          <w:t>40</w:t>
        </w:r>
        <w:r w:rsidRPr="00C8317E">
          <w:rPr>
            <w:rStyle w:val="Hyperlink"/>
            <w:rFonts w:ascii="FrankRuehl" w:hAnsi="FrankRuehl" w:cs="FrankRuehl"/>
            <w:u w:val="none"/>
            <w:rtl/>
          </w:rPr>
          <w:t>יא</w:t>
        </w:r>
      </w:hyperlink>
      <w:r w:rsidRPr="00C8317E">
        <w:rPr>
          <w:rFonts w:ascii="FrankRuehl" w:hAnsi="FrankRuehl" w:cs="FrankRuehl"/>
          <w:color w:val="0000FF"/>
          <w:rtl/>
        </w:rPr>
        <w:t xml:space="preserve">, </w:t>
      </w:r>
      <w:hyperlink r:id="rId21" w:history="1">
        <w:r w:rsidRPr="00C8317E">
          <w:rPr>
            <w:rStyle w:val="Hyperlink"/>
            <w:rFonts w:ascii="FrankRuehl" w:hAnsi="FrankRuehl" w:cs="FrankRuehl"/>
            <w:u w:val="none"/>
          </w:rPr>
          <w:t>40</w:t>
        </w:r>
        <w:r w:rsidRPr="00C8317E">
          <w:rPr>
            <w:rStyle w:val="Hyperlink"/>
            <w:rFonts w:ascii="FrankRuehl" w:hAnsi="FrankRuehl" w:cs="FrankRuehl"/>
            <w:u w:val="none"/>
            <w:rtl/>
          </w:rPr>
          <w:t>יב</w:t>
        </w:r>
      </w:hyperlink>
      <w:r w:rsidRPr="00C8317E">
        <w:rPr>
          <w:rFonts w:ascii="FrankRuehl" w:hAnsi="FrankRuehl" w:cs="FrankRuehl"/>
          <w:color w:val="0000FF"/>
          <w:rtl/>
        </w:rPr>
        <w:t xml:space="preserve">, </w:t>
      </w:r>
      <w:hyperlink r:id="rId22" w:history="1">
        <w:r w:rsidRPr="00C8317E">
          <w:rPr>
            <w:rStyle w:val="Hyperlink"/>
            <w:rFonts w:ascii="FrankRuehl" w:hAnsi="FrankRuehl" w:cs="FrankRuehl"/>
            <w:u w:val="none"/>
          </w:rPr>
          <w:t>40</w:t>
        </w:r>
        <w:r w:rsidRPr="00C8317E">
          <w:rPr>
            <w:rStyle w:val="Hyperlink"/>
            <w:rFonts w:ascii="FrankRuehl" w:hAnsi="FrankRuehl" w:cs="FrankRuehl"/>
            <w:u w:val="none"/>
            <w:rtl/>
          </w:rPr>
          <w:t>יג</w:t>
        </w:r>
      </w:hyperlink>
    </w:p>
    <w:p w14:paraId="460C0F01" w14:textId="77777777" w:rsidR="00C8317E" w:rsidRPr="00C8317E" w:rsidRDefault="00C8317E" w:rsidP="00C8317E">
      <w:pPr>
        <w:spacing w:before="120" w:after="120" w:line="240" w:lineRule="exact"/>
        <w:ind w:left="283" w:hanging="283"/>
        <w:jc w:val="both"/>
        <w:rPr>
          <w:rFonts w:ascii="FrankRuehl" w:hAnsi="FrankRuehl" w:cs="FrankRuehl"/>
          <w:color w:val="0000FF"/>
          <w:rtl/>
        </w:rPr>
      </w:pPr>
      <w:hyperlink r:id="rId23" w:history="1">
        <w:r w:rsidRPr="00C8317E">
          <w:rPr>
            <w:rStyle w:val="Hyperlink"/>
            <w:rFonts w:ascii="FrankRuehl" w:hAnsi="FrankRuehl" w:cs="FrankRuehl"/>
            <w:u w:val="none"/>
            <w:rtl/>
          </w:rPr>
          <w:t>חוק המאבק בטרור, תשע"ו-2016</w:t>
        </w:r>
      </w:hyperlink>
      <w:r w:rsidRPr="00C8317E">
        <w:rPr>
          <w:rFonts w:ascii="FrankRuehl" w:hAnsi="FrankRuehl" w:cs="FrankRuehl"/>
          <w:color w:val="0000FF"/>
          <w:rtl/>
        </w:rPr>
        <w:t xml:space="preserve">: סע'  </w:t>
      </w:r>
      <w:hyperlink r:id="rId24" w:history="1">
        <w:r w:rsidRPr="00C8317E">
          <w:rPr>
            <w:rStyle w:val="Hyperlink"/>
            <w:rFonts w:ascii="FrankRuehl" w:hAnsi="FrankRuehl" w:cs="FrankRuehl"/>
            <w:u w:val="none"/>
          </w:rPr>
          <w:t>24</w:t>
        </w:r>
      </w:hyperlink>
      <w:r w:rsidRPr="00C8317E">
        <w:rPr>
          <w:rFonts w:ascii="FrankRuehl" w:hAnsi="FrankRuehl" w:cs="FrankRuehl"/>
          <w:color w:val="0000FF"/>
          <w:rtl/>
        </w:rPr>
        <w:t xml:space="preserve">(א)(1), </w:t>
      </w:r>
      <w:hyperlink r:id="rId25" w:history="1">
        <w:r w:rsidRPr="00C8317E">
          <w:rPr>
            <w:rStyle w:val="Hyperlink"/>
            <w:rFonts w:ascii="FrankRuehl" w:hAnsi="FrankRuehl" w:cs="FrankRuehl"/>
            <w:u w:val="none"/>
          </w:rPr>
          <w:t>24</w:t>
        </w:r>
      </w:hyperlink>
      <w:r w:rsidRPr="00C8317E">
        <w:rPr>
          <w:rFonts w:ascii="FrankRuehl" w:hAnsi="FrankRuehl" w:cs="FrankRuehl"/>
          <w:color w:val="0000FF"/>
          <w:rtl/>
        </w:rPr>
        <w:t>(ב)(2)</w:t>
      </w:r>
    </w:p>
    <w:p w14:paraId="57A87D51" w14:textId="77777777" w:rsidR="00D16835" w:rsidRDefault="00D16835" w:rsidP="00C8317E">
      <w:pPr>
        <w:rPr>
          <w:rFonts w:hint="cs"/>
          <w:sz w:val="26"/>
          <w:szCs w:val="26"/>
          <w:rtl/>
        </w:rPr>
      </w:pPr>
      <w:bookmarkStart w:id="4" w:name="LawTable_End"/>
      <w:bookmarkEnd w:id="4"/>
    </w:p>
    <w:p w14:paraId="75DC721A" w14:textId="77777777" w:rsidR="00C8317E" w:rsidRDefault="00C8317E" w:rsidP="00C8317E">
      <w:pPr>
        <w:rPr>
          <w:rFonts w:hint="cs"/>
          <w:sz w:val="26"/>
          <w:szCs w:val="26"/>
          <w:rtl/>
        </w:rPr>
      </w:pPr>
    </w:p>
    <w:p w14:paraId="25123BF2" w14:textId="77777777" w:rsidR="00C8317E" w:rsidRPr="00C8317E" w:rsidRDefault="00C8317E" w:rsidP="00C8317E">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6835" w14:paraId="682E1483" w14:textId="77777777" w:rsidTr="00D16835">
        <w:trPr>
          <w:trHeight w:val="355"/>
          <w:jc w:val="center"/>
        </w:trPr>
        <w:tc>
          <w:tcPr>
            <w:tcW w:w="8820" w:type="dxa"/>
            <w:tcBorders>
              <w:top w:val="nil"/>
              <w:left w:val="nil"/>
              <w:bottom w:val="nil"/>
              <w:right w:val="nil"/>
            </w:tcBorders>
            <w:shd w:val="clear" w:color="auto" w:fill="auto"/>
          </w:tcPr>
          <w:p w14:paraId="479266FD" w14:textId="77777777" w:rsidR="00C1395A" w:rsidRPr="00C1395A" w:rsidRDefault="00C1395A" w:rsidP="00C1395A">
            <w:pPr>
              <w:jc w:val="center"/>
              <w:rPr>
                <w:rFonts w:ascii="David" w:hAnsi="David"/>
                <w:b/>
                <w:bCs/>
                <w:sz w:val="32"/>
                <w:szCs w:val="32"/>
                <w:u w:val="single"/>
                <w:rtl/>
              </w:rPr>
            </w:pPr>
            <w:bookmarkStart w:id="5" w:name="PsakDin" w:colFirst="0" w:colLast="0"/>
            <w:bookmarkEnd w:id="0"/>
            <w:r w:rsidRPr="00C1395A">
              <w:rPr>
                <w:rFonts w:ascii="David" w:hAnsi="David"/>
                <w:b/>
                <w:bCs/>
                <w:sz w:val="32"/>
                <w:szCs w:val="32"/>
                <w:u w:val="single"/>
                <w:rtl/>
              </w:rPr>
              <w:t>גזר דין</w:t>
            </w:r>
          </w:p>
          <w:p w14:paraId="5685DAF7" w14:textId="77777777" w:rsidR="00D16835" w:rsidRPr="00C1395A" w:rsidRDefault="00D16835" w:rsidP="00C1395A">
            <w:pPr>
              <w:jc w:val="center"/>
              <w:rPr>
                <w:rFonts w:ascii="David" w:hAnsi="David"/>
                <w:bCs/>
                <w:sz w:val="32"/>
                <w:szCs w:val="32"/>
                <w:u w:val="single"/>
                <w:rtl/>
              </w:rPr>
            </w:pPr>
          </w:p>
        </w:tc>
      </w:tr>
      <w:bookmarkEnd w:id="5"/>
    </w:tbl>
    <w:p w14:paraId="4AD5DD2D" w14:textId="77777777" w:rsidR="00D16835" w:rsidRPr="000F2247" w:rsidRDefault="00D16835" w:rsidP="00D16835">
      <w:pPr>
        <w:rPr>
          <w:rFonts w:ascii="Arial" w:hAnsi="Arial"/>
          <w:b/>
          <w:bCs/>
          <w:sz w:val="26"/>
          <w:szCs w:val="26"/>
          <w:rtl/>
        </w:rPr>
      </w:pPr>
    </w:p>
    <w:p w14:paraId="0992DD4B" w14:textId="77777777" w:rsidR="00D16835" w:rsidRDefault="00D16835" w:rsidP="00D16835">
      <w:pPr>
        <w:keepNext/>
        <w:spacing w:after="240"/>
        <w:rPr>
          <w:rFonts w:cs="Miriam"/>
          <w:color w:val="000000"/>
          <w:rtl/>
        </w:rPr>
      </w:pPr>
      <w:r>
        <w:rPr>
          <w:rFonts w:cs="Miriam"/>
          <w:color w:val="000000"/>
          <w:rtl/>
        </w:rPr>
        <w:t>א. כללי</w:t>
      </w:r>
    </w:p>
    <w:p w14:paraId="624046D5" w14:textId="77777777" w:rsidR="00D16835" w:rsidRDefault="00D16835" w:rsidP="00D16835">
      <w:pPr>
        <w:numPr>
          <w:ilvl w:val="0"/>
          <w:numId w:val="1"/>
        </w:numPr>
        <w:spacing w:after="240" w:line="360" w:lineRule="auto"/>
        <w:ind w:left="-7" w:firstLine="0"/>
        <w:jc w:val="both"/>
        <w:rPr>
          <w:rFonts w:cs="FrankRuehl"/>
          <w:color w:val="000000"/>
          <w:sz w:val="28"/>
          <w:szCs w:val="28"/>
          <w:rtl/>
        </w:rPr>
      </w:pPr>
      <w:bookmarkStart w:id="6" w:name="ABSTRACT_START"/>
      <w:bookmarkEnd w:id="6"/>
      <w:r>
        <w:rPr>
          <w:rFonts w:cs="FrankRuehl"/>
          <w:color w:val="000000"/>
          <w:sz w:val="28"/>
          <w:szCs w:val="28"/>
          <w:rtl/>
        </w:rPr>
        <w:t>הנאשם הורשע בדין, על פי הודאתו שניתנה במסגרת הסדר טיעון. הגיעה העת לגזור את עונשו.</w:t>
      </w:r>
    </w:p>
    <w:p w14:paraId="56EA493F" w14:textId="77777777" w:rsidR="00D16835" w:rsidRDefault="00D16835" w:rsidP="00D16835">
      <w:pPr>
        <w:keepNext/>
        <w:spacing w:after="240"/>
        <w:rPr>
          <w:rFonts w:cs="Miriam"/>
          <w:color w:val="000000"/>
        </w:rPr>
      </w:pPr>
      <w:r>
        <w:rPr>
          <w:rFonts w:cs="Miriam"/>
          <w:color w:val="000000"/>
          <w:rtl/>
        </w:rPr>
        <w:t>ב. מעשי הנאשם והעבירות שבהן הורשע</w:t>
      </w:r>
    </w:p>
    <w:p w14:paraId="7508D6FE"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כתב האישום שבעובדותיו הודה הנאשם כולל שני אישומים.</w:t>
      </w:r>
    </w:p>
    <w:p w14:paraId="6F2CB7B2"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bookmarkStart w:id="7" w:name="ABSTRACT_END"/>
      <w:bookmarkEnd w:id="7"/>
      <w:r>
        <w:rPr>
          <w:rFonts w:cs="FrankRuehl"/>
          <w:color w:val="000000"/>
          <w:sz w:val="28"/>
          <w:szCs w:val="28"/>
          <w:rtl/>
        </w:rPr>
        <w:lastRenderedPageBreak/>
        <w:t xml:space="preserve">על פי האישום הראשון, ביום 2.6.23 נשא הנאשם אקדח במהלך חתונה שנערכה במחנה הפליטים שועפאט. בגין כך הורשע הנאשם בעבירה של נשיאת נשק שלא כדין, לפי </w:t>
      </w:r>
      <w:hyperlink r:id="rId26" w:history="1">
        <w:r w:rsidR="001463D9" w:rsidRPr="001463D9">
          <w:rPr>
            <w:rStyle w:val="Hyperlink"/>
            <w:rFonts w:cs="FrankRuehl"/>
            <w:sz w:val="28"/>
            <w:szCs w:val="28"/>
            <w:rtl/>
          </w:rPr>
          <w:t>סעיף 144(ב)</w:t>
        </w:r>
      </w:hyperlink>
      <w:r>
        <w:rPr>
          <w:rFonts w:cs="FrankRuehl"/>
          <w:color w:val="000000"/>
          <w:sz w:val="28"/>
          <w:szCs w:val="28"/>
          <w:rtl/>
        </w:rPr>
        <w:t xml:space="preserve"> ל</w:t>
      </w:r>
      <w:hyperlink r:id="rId27" w:history="1">
        <w:r w:rsidR="00C1395A" w:rsidRPr="00C1395A">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w:t>
      </w:r>
      <w:r>
        <w:rPr>
          <w:rFonts w:cs="FrankRuehl"/>
          <w:color w:val="000000"/>
          <w:sz w:val="28"/>
          <w:szCs w:val="28"/>
          <w:rtl/>
        </w:rPr>
        <w:t xml:space="preserve"> </w:t>
      </w:r>
      <w:r>
        <w:rPr>
          <w:rFonts w:cs="Miriam"/>
          <w:color w:val="000000"/>
          <w:rtl/>
        </w:rPr>
        <w:t>העונשין</w:t>
      </w:r>
      <w:r>
        <w:rPr>
          <w:rFonts w:cs="FrankRuehl"/>
          <w:color w:val="000000"/>
          <w:sz w:val="28"/>
          <w:szCs w:val="28"/>
          <w:rtl/>
        </w:rPr>
        <w:t>).</w:t>
      </w:r>
    </w:p>
    <w:p w14:paraId="21901762"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על פי האישום השני, בשלוש הזדמנויות שונות – כולן לאחר מוראות שבעה באוקטובר </w:t>
      </w:r>
      <w:r>
        <w:rPr>
          <w:rFonts w:ascii="FrankRuehl" w:hAnsi="FrankRuehl" w:cs="FrankRuehl"/>
          <w:color w:val="000000"/>
          <w:sz w:val="28"/>
          <w:szCs w:val="28"/>
          <w:rtl/>
        </w:rPr>
        <w:t>–</w:t>
      </w:r>
      <w:r>
        <w:rPr>
          <w:rFonts w:cs="FrankRuehl"/>
          <w:color w:val="000000"/>
          <w:sz w:val="28"/>
          <w:szCs w:val="28"/>
          <w:rtl/>
        </w:rPr>
        <w:t xml:space="preserve"> פרסם הנאשם בחשבון האינסטגרם שלו פרסומים שיש בהם שבח, אהדה, תמיכה, או הזדהות עם מעשה טרור, ואף הזדהות עם ארגון הטרור חמאס. הפרסומים, שנמחקו באופן אוטומטי בחלוף 24 שעות, נחשפו בפני קרוב ל-2,500 עוקביו של חשבון הנאשם.</w:t>
      </w:r>
    </w:p>
    <w:p w14:paraId="2FDDDDD9" w14:textId="77777777" w:rsidR="00D16835" w:rsidRDefault="00D16835" w:rsidP="00D16835">
      <w:pPr>
        <w:tabs>
          <w:tab w:val="left" w:pos="702"/>
        </w:tabs>
        <w:spacing w:after="240" w:line="360" w:lineRule="auto"/>
        <w:ind w:left="-7"/>
        <w:jc w:val="both"/>
        <w:rPr>
          <w:rFonts w:cs="FrankRuehl"/>
          <w:color w:val="000000"/>
          <w:sz w:val="28"/>
          <w:szCs w:val="28"/>
        </w:rPr>
      </w:pPr>
      <w:r>
        <w:rPr>
          <w:rFonts w:cs="FrankRuehl"/>
          <w:color w:val="000000"/>
          <w:sz w:val="28"/>
          <w:szCs w:val="28"/>
          <w:rtl/>
        </w:rPr>
        <w:tab/>
        <w:t>כך, ביום 25.10.23 פרסם הנאשם סרטון עם תמונות של מחבלים ומנהיגי עבר של חמאס שכבר אינם בין החיים. מעל התמונות כתב הנאשם "הנה מה ששתלתם נושא פרי המפקדים שלי" בצירוף סמליל לב בצבע ירוק (המזוהה עם חמאס), ומתחתיהן כתב "אם רק הייתם רואים את הבנים שלכם כיצד הם השפילו ופירקו את הישות (הציונית)" בצירוף תשעה סמלילי הצדעה. ברקע צירף הנאשם שיר שמילותיו הן, בין היתר, "אנחנו לא יודעים מה זה להיכנע. אנחנו רוכבים [על] הגלים מאחורי המפרש של אלקסאם" שהם הזרוע הצבאית של חמאס. פרסום זה זכה ל-25 סימני חיבוב.</w:t>
      </w:r>
    </w:p>
    <w:p w14:paraId="6D94A01A" w14:textId="77777777" w:rsidR="00D16835" w:rsidRDefault="00D16835" w:rsidP="00D1683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ביום 29.10.23 פרסם הנאשם סרטון של שניים השרים שיר שמילותיו הן, בין היתר, "כל האנשים שסביבך מעודדים אותך שתחיה חמאס, עזה הגדה וערביי ישראל הכי חזקים, שיח' פלסטין אמר שבשנת 2027 לא יהיו יותר מתנחלים, יהיה ניצחון ובשורה טובה לחמאס, צבא הניצחון מגיע". לפרסום צירף הנאשם סמליל של לב </w:t>
      </w:r>
      <w:r w:rsidRPr="00FC48B9">
        <w:rPr>
          <w:rFonts w:ascii="FrankRuehl" w:hAnsi="FrankRuehl" w:cs="FrankRuehl"/>
          <w:sz w:val="28"/>
          <w:szCs w:val="28"/>
          <w:rtl/>
        </w:rPr>
        <w:t>בצבע</w:t>
      </w:r>
      <w:r>
        <w:rPr>
          <w:rFonts w:cs="FrankRuehl"/>
          <w:color w:val="000000"/>
          <w:sz w:val="28"/>
          <w:szCs w:val="28"/>
          <w:rtl/>
        </w:rPr>
        <w:t xml:space="preserve"> ירוק וכן סמליל של אצבע מורה.</w:t>
      </w:r>
    </w:p>
    <w:p w14:paraId="79CEF037" w14:textId="77777777" w:rsidR="00D16835" w:rsidRDefault="00D16835" w:rsidP="00D1683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ביום 5.11.23 פרסם הנאשם סרטון שבו נראים, לסירוגין, תינוק עונד סרט ראש ירוק שעליו הכיתוב "אללה אכבר" המחזיק רובה מסוג </w:t>
      </w:r>
      <w:r>
        <w:rPr>
          <w:rFonts w:cs="FrankRuehl"/>
          <w:color w:val="000000"/>
          <w:sz w:val="28"/>
          <w:szCs w:val="28"/>
        </w:rPr>
        <w:t>M-16</w:t>
      </w:r>
      <w:r>
        <w:rPr>
          <w:rFonts w:cs="FrankRuehl"/>
          <w:color w:val="000000"/>
          <w:sz w:val="28"/>
          <w:szCs w:val="28"/>
          <w:rtl/>
        </w:rPr>
        <w:t>, וכן כיפת הסלע ואדם רעול פנים האוחז בדגל פלסטיני. ברקע צירף הנאשם את אותו שיר שצורף לפרסום הראשון.</w:t>
      </w:r>
    </w:p>
    <w:p w14:paraId="12E2680B" w14:textId="77777777" w:rsidR="00D16835" w:rsidRDefault="00D16835" w:rsidP="00D1683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בגין מעשים אלה הורשע הנאשם בשלוש עבירות של הסתה לטרור, לפי </w:t>
      </w:r>
      <w:hyperlink r:id="rId28" w:history="1">
        <w:r w:rsidR="001463D9" w:rsidRPr="001463D9">
          <w:rPr>
            <w:rStyle w:val="Hyperlink"/>
            <w:rFonts w:cs="FrankRuehl"/>
            <w:sz w:val="28"/>
            <w:szCs w:val="28"/>
            <w:rtl/>
          </w:rPr>
          <w:t>סעיף 24(ב)(2)</w:t>
        </w:r>
      </w:hyperlink>
      <w:r>
        <w:rPr>
          <w:rFonts w:cs="FrankRuehl"/>
          <w:color w:val="000000"/>
          <w:sz w:val="28"/>
          <w:szCs w:val="28"/>
          <w:rtl/>
        </w:rPr>
        <w:t xml:space="preserve"> ל</w:t>
      </w:r>
      <w:hyperlink r:id="rId29" w:history="1">
        <w:r w:rsidR="00C1395A" w:rsidRPr="00C1395A">
          <w:rPr>
            <w:rFonts w:cs="FrankRuehl"/>
            <w:color w:val="0000FF"/>
            <w:sz w:val="28"/>
            <w:szCs w:val="28"/>
            <w:u w:val="single"/>
            <w:rtl/>
          </w:rPr>
          <w:t>חוק המאבק בטרור, התשע"ו-2016</w:t>
        </w:r>
      </w:hyperlink>
      <w:r>
        <w:rPr>
          <w:rFonts w:cs="FrankRuehl"/>
          <w:color w:val="000000"/>
          <w:sz w:val="28"/>
          <w:szCs w:val="28"/>
          <w:rtl/>
        </w:rPr>
        <w:t xml:space="preserve"> (להלן: </w:t>
      </w:r>
      <w:r>
        <w:rPr>
          <w:rFonts w:cs="Miriam"/>
          <w:color w:val="000000"/>
          <w:rtl/>
        </w:rPr>
        <w:t>חוק המאבק בטרור</w:t>
      </w:r>
      <w:r>
        <w:rPr>
          <w:rFonts w:cs="FrankRuehl"/>
          <w:color w:val="000000"/>
          <w:sz w:val="28"/>
          <w:szCs w:val="28"/>
          <w:rtl/>
        </w:rPr>
        <w:t xml:space="preserve">), ובעבירה של הזדהות עם ארגון טרור, לפי </w:t>
      </w:r>
      <w:hyperlink r:id="rId30" w:history="1">
        <w:r w:rsidR="001463D9" w:rsidRPr="001463D9">
          <w:rPr>
            <w:rStyle w:val="Hyperlink"/>
            <w:rFonts w:cs="FrankRuehl"/>
            <w:sz w:val="28"/>
            <w:szCs w:val="28"/>
            <w:rtl/>
          </w:rPr>
          <w:t>סעיף 24(א)(1)</w:t>
        </w:r>
      </w:hyperlink>
      <w:r>
        <w:rPr>
          <w:rFonts w:cs="FrankRuehl"/>
          <w:color w:val="000000"/>
          <w:sz w:val="28"/>
          <w:szCs w:val="28"/>
          <w:rtl/>
        </w:rPr>
        <w:t xml:space="preserve"> לאותו חוק.</w:t>
      </w:r>
    </w:p>
    <w:p w14:paraId="12BE1D6E" w14:textId="77777777" w:rsidR="00D16835" w:rsidRDefault="00D16835" w:rsidP="00D16835">
      <w:pPr>
        <w:keepNext/>
        <w:spacing w:after="240"/>
        <w:rPr>
          <w:rFonts w:cs="Miriam"/>
          <w:color w:val="000000"/>
          <w:rtl/>
        </w:rPr>
      </w:pPr>
      <w:r>
        <w:rPr>
          <w:rFonts w:cs="Miriam"/>
          <w:color w:val="000000"/>
          <w:rtl/>
        </w:rPr>
        <w:t>ג. ההליך והראיות לעניין העונש</w:t>
      </w:r>
    </w:p>
    <w:p w14:paraId="227BB79D"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הסדר הטיעון לא כלל הסכמה עונשית.</w:t>
      </w:r>
    </w:p>
    <w:p w14:paraId="7F3FD3C7"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lastRenderedPageBreak/>
        <w:t>המאשימה הגישה תדפיס מידע פלילי בעניינו של הנאשם</w:t>
      </w:r>
      <w:r>
        <w:rPr>
          <w:rFonts w:cs="FrankRuehl" w:hint="cs"/>
          <w:color w:val="000000"/>
          <w:sz w:val="28"/>
          <w:szCs w:val="28"/>
          <w:rtl/>
        </w:rPr>
        <w:t xml:space="preserve"> (שהוגש בגרסה מתוקנת ביום 1.7.24)</w:t>
      </w:r>
      <w:r>
        <w:rPr>
          <w:rFonts w:cs="FrankRuehl"/>
          <w:color w:val="000000"/>
          <w:sz w:val="28"/>
          <w:szCs w:val="28"/>
          <w:rtl/>
        </w:rPr>
        <w:t>. מתדפיס זה עולה כי בשנת 2021 הורשע הנאשם בעבירה של החזקת סמים שלא לצריכה עצמית, וריצה עונש מאסר של 11 חודשים. כמו כן התברר כי בהליך נוסף הורשע הנאשם בשני מעשי התפרצות לבניין שאינו בית מגורים וביצוע גניבה (</w:t>
      </w:r>
      <w:hyperlink r:id="rId31" w:history="1">
        <w:r w:rsidR="00C1395A" w:rsidRPr="00C1395A">
          <w:rPr>
            <w:rFonts w:cs="FrankRuehl"/>
            <w:color w:val="0000FF"/>
            <w:sz w:val="28"/>
            <w:szCs w:val="28"/>
            <w:u w:val="single"/>
            <w:rtl/>
          </w:rPr>
          <w:t>ת"פ 21018-03-21</w:t>
        </w:r>
      </w:hyperlink>
      <w:r>
        <w:rPr>
          <w:rFonts w:cs="FrankRuehl"/>
          <w:color w:val="000000"/>
          <w:sz w:val="28"/>
          <w:szCs w:val="28"/>
          <w:rtl/>
        </w:rPr>
        <w:t>). יוער כי תחילה ביקש הנאשם לדונו גם בשל העבירות בהליך</w:t>
      </w:r>
      <w:r>
        <w:rPr>
          <w:rFonts w:cs="FrankRuehl" w:hint="cs"/>
          <w:color w:val="000000"/>
          <w:sz w:val="28"/>
          <w:szCs w:val="28"/>
          <w:rtl/>
        </w:rPr>
        <w:t xml:space="preserve"> האחרון</w:t>
      </w:r>
      <w:r>
        <w:rPr>
          <w:rFonts w:cs="FrankRuehl"/>
          <w:color w:val="000000"/>
          <w:sz w:val="28"/>
          <w:szCs w:val="28"/>
          <w:rtl/>
        </w:rPr>
        <w:t>, אולם לבסוף, ומשהתברר כי שם כבר ניתנה הכרעת דין זה מכבר, חזר בו מבקשתו. ואכן, במסגרת אותו הליך נגזר לאחרונה דינו של הנאשם, ובהתאם להסכמת הצדדים הוא נידון ל-5.5 חודשי מאסר בפועל ולצדם עונשים נלווים.</w:t>
      </w:r>
    </w:p>
    <w:p w14:paraId="4EAC8003"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הצדדים הגישו עיקרי טענות בכתב והשלימו את טענותיהם בדיון.</w:t>
      </w:r>
    </w:p>
    <w:p w14:paraId="4AB7E3B5" w14:textId="77777777" w:rsidR="00D16835" w:rsidRDefault="00D16835" w:rsidP="00D16835">
      <w:pPr>
        <w:keepNext/>
        <w:tabs>
          <w:tab w:val="left" w:pos="702"/>
        </w:tabs>
        <w:spacing w:after="240"/>
        <w:ind w:left="-6"/>
        <w:rPr>
          <w:rFonts w:cs="Miriam"/>
          <w:color w:val="000000"/>
        </w:rPr>
      </w:pPr>
      <w:r>
        <w:rPr>
          <w:rFonts w:cs="Miriam"/>
          <w:color w:val="000000"/>
          <w:rtl/>
        </w:rPr>
        <w:t>ד. טענות הצדדים</w:t>
      </w:r>
    </w:p>
    <w:p w14:paraId="0BA770D2"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המאשימה טוענת כי מתחם העונש ההולם למעשי הנאשם באישום הראשון נע בין 24 ל-48 חודשי מאסר בפועל לצד עונשים נלווים, ומתחם העונש ההולם למעשיו באישום השני נע בין 12 ל-24 חודשי מאסר בפועל לצד עונשים נלווים. העונש המתאים לנאשם בגין מכלול המעשים מצוי, כך נטען, בחלק העליון של השליש התחתון ועומד על 3 שנות מאסר בפועל,</w:t>
      </w:r>
      <w:bookmarkStart w:id="8" w:name="_Ref170063524"/>
      <w:r>
        <w:rPr>
          <w:rStyle w:val="ac"/>
          <w:rFonts w:cs="FrankRuehl"/>
          <w:color w:val="000000"/>
          <w:sz w:val="28"/>
          <w:szCs w:val="28"/>
          <w:rtl/>
        </w:rPr>
        <w:footnoteReference w:id="1"/>
      </w:r>
      <w:bookmarkEnd w:id="8"/>
      <w:r>
        <w:rPr>
          <w:rFonts w:cs="FrankRuehl"/>
          <w:color w:val="000000"/>
          <w:sz w:val="28"/>
          <w:szCs w:val="28"/>
          <w:rtl/>
        </w:rPr>
        <w:t xml:space="preserve"> ולצדו מאסר על תנאי וקנס משמעותי שישקף את הפגיעה בביטחון המדינה.</w:t>
      </w:r>
    </w:p>
    <w:p w14:paraId="319FE881" w14:textId="77777777" w:rsidR="00D16835" w:rsidRDefault="00D16835" w:rsidP="00D1683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מבחינת נסיבות הקשורות בביצוע העבירה באישום הראשון, המאשימה טוענת כי נשיאת אקדח באירוע רב משתתפים, כאשר הנאשם אינו בקי בתפעולו, עלולה להביא לנזק כבד, ולטעמה עבירות ההסתה לטרור שבהן הורשע הנאשם רלוונטיות גם לעבירת נשיאת הנשק.</w:t>
      </w:r>
    </w:p>
    <w:p w14:paraId="5EA769E3" w14:textId="77777777" w:rsidR="00D16835" w:rsidRDefault="00D16835" w:rsidP="00D16835">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הקשורות בביצוע העבירות באישום השני, המאשימה מפרטת את מעשי הזוועה שבוצעו ביום שבעה באוקטובר, ואת המלחמה שהתפתחה בשל כך על מכלול השלכותיה הקשות. אל מול אלה, כך נטען, בחר הנאשם לשמוח על הזוועות, לקוות לניצחון האויב, ולהסית לטרור, באופן שהיה עלול להביא לחזית לחימה נוספת בתוך הארץ. כל זאת עשה הנאשם שלוש פעמים אל מול אלפי עוקבים.</w:t>
      </w:r>
    </w:p>
    <w:p w14:paraId="57961F2D" w14:textId="77777777" w:rsidR="00D16835" w:rsidRDefault="00D16835" w:rsidP="00D1683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מבחינת נסיבות שאינן קשורות בביצוע העבירות טוענת המאשימה כי לטובת הנאשם עומדת הודאתו במסגרת הסדר טיעון וגילו הצעיר יחסית, אולם לחובתו עומד עברו הפלילי. כמו כן נטען כי לא הוצגה נטילת אחריות מעמיקה, וכי יש ליתן משקל לשיקולי הרתעה </w:t>
      </w:r>
      <w:r>
        <w:rPr>
          <w:rFonts w:ascii="FrankRuehl" w:hAnsi="FrankRuehl" w:cs="FrankRuehl"/>
          <w:color w:val="000000"/>
          <w:sz w:val="28"/>
          <w:szCs w:val="28"/>
          <w:rtl/>
        </w:rPr>
        <w:t>–</w:t>
      </w:r>
      <w:r>
        <w:rPr>
          <w:rFonts w:cs="FrankRuehl"/>
          <w:color w:val="000000"/>
          <w:sz w:val="28"/>
          <w:szCs w:val="28"/>
          <w:rtl/>
        </w:rPr>
        <w:t xml:space="preserve"> הן הרתעה אישית והן הרתעת הרבים, הן ביחס לנשיאת הנשק והן ביחס לעבירות ההסתה.</w:t>
      </w:r>
    </w:p>
    <w:p w14:paraId="3536E8E6"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tl/>
        </w:rPr>
      </w:pPr>
      <w:r>
        <w:rPr>
          <w:rFonts w:ascii="FrankRuehl" w:hAnsi="FrankRuehl" w:cs="FrankRuehl"/>
          <w:color w:val="000000"/>
          <w:sz w:val="28"/>
          <w:szCs w:val="28"/>
          <w:rtl/>
        </w:rPr>
        <w:t xml:space="preserve">בא כוח </w:t>
      </w:r>
      <w:r>
        <w:rPr>
          <w:rFonts w:cs="FrankRuehl"/>
          <w:color w:val="000000"/>
          <w:sz w:val="28"/>
          <w:szCs w:val="28"/>
          <w:rtl/>
        </w:rPr>
        <w:t>הנאש</w:t>
      </w:r>
      <w:r>
        <w:rPr>
          <w:rFonts w:ascii="FrankRuehl" w:hAnsi="FrankRuehl" w:cs="FrankRuehl"/>
          <w:color w:val="000000"/>
          <w:sz w:val="28"/>
          <w:szCs w:val="28"/>
          <w:rtl/>
        </w:rPr>
        <w:t xml:space="preserve">ם מצידו טען כי מתחם העונש ההולם </w:t>
      </w:r>
      <w:r>
        <w:rPr>
          <w:rFonts w:cs="FrankRuehl"/>
          <w:color w:val="000000"/>
          <w:sz w:val="28"/>
          <w:szCs w:val="28"/>
          <w:rtl/>
        </w:rPr>
        <w:t>למעשי הנאשם באישום הראשון נע בין 14 ל-25 חודשי מאסר בפועל לצד עונשים נלווים, ומתחם העונש ההולם למעשיו באישום השני נע בין 6 ל-15 חודשי מאסר בפועל לצד עונשים נלווים. העונש המתאים לנאשם בגין מכלול המעשים, כך נטען, צריך להיגזר קרוב לרף התחתון של המתחמים תוך חפיפה מסוימת בין העונשים.</w:t>
      </w:r>
    </w:p>
    <w:p w14:paraId="16919A72" w14:textId="77777777" w:rsidR="00D16835" w:rsidRDefault="00D16835" w:rsidP="00D1683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r>
      <w:r>
        <w:rPr>
          <w:rFonts w:cs="FrankRuehl"/>
          <w:color w:val="000000"/>
          <w:sz w:val="28"/>
          <w:szCs w:val="28"/>
          <w:rtl/>
        </w:rPr>
        <w:tab/>
        <w:t>מבחינת נסיבות הקשורות בביצוע העבירה באישום הראשון, בא כוח הנאשם טוען כי מדובר היה בנשיאת נשק קצרת טווח, במקום קונקרטי, הקרובה במהותה לעבירה החמורה פחות של החזקת נשק.</w:t>
      </w:r>
    </w:p>
    <w:p w14:paraId="6ADEC78D" w14:textId="77777777" w:rsidR="00D16835" w:rsidRDefault="00D16835" w:rsidP="00D1683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מבחינת נסיבות הקשורות בביצוע העבירות באישום השני, נטען כי מדובר בנאשם צעיר, שאינו בעל מעמד ציבורי, אשר פרסם שלושה פרסומים, וכי שני הפרסומים האחרונים לא הביאו לתגובות, וממילא רמת החשש שהם יביאו למעשה טרור אינה ברף הגבוה.</w:t>
      </w:r>
    </w:p>
    <w:p w14:paraId="7F9A58A4" w14:textId="77777777" w:rsidR="00D16835" w:rsidRDefault="00D16835" w:rsidP="00D16835">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 מבחינת נסיבות שאינן קשורות בביצוע העבירות טוען בא כוח הנאשם כי הנאשם הוא צעיר כבן 23, ועברו הפלילי אינו בעבירות על רקע לאומני. כמו כן צוין כי הנאשם קיבל אחריות על מעשיו בשלב מוקדם, וכי הוא עצור מזה זמן ותנאי מעצרו נוקשים, כמפורט בפרוטוקול.</w:t>
      </w:r>
    </w:p>
    <w:p w14:paraId="5F47857C" w14:textId="77777777" w:rsidR="00D16835" w:rsidRDefault="00D16835" w:rsidP="00D16835">
      <w:pPr>
        <w:numPr>
          <w:ilvl w:val="0"/>
          <w:numId w:val="1"/>
        </w:numPr>
        <w:tabs>
          <w:tab w:val="left" w:pos="702"/>
        </w:tabs>
        <w:spacing w:after="240" w:line="360" w:lineRule="auto"/>
        <w:ind w:left="-7" w:firstLine="0"/>
        <w:jc w:val="both"/>
        <w:rPr>
          <w:rFonts w:ascii="FrankRuehl" w:hAnsi="FrankRuehl" w:cs="FrankRuehl"/>
          <w:color w:val="000000"/>
          <w:sz w:val="28"/>
          <w:szCs w:val="28"/>
          <w:rtl/>
        </w:rPr>
      </w:pPr>
      <w:r>
        <w:rPr>
          <w:rFonts w:ascii="FrankRuehl" w:hAnsi="FrankRuehl" w:cs="FrankRuehl"/>
          <w:color w:val="000000"/>
          <w:sz w:val="28"/>
          <w:szCs w:val="28"/>
          <w:rtl/>
        </w:rPr>
        <w:t>הנאשם עצמו אמר כי הוא עבד במקום עבודה מסודר, וכי זו לו פעם ראשונה שהוא מעורב בעבירת נשק והוא מצטער על כך. הנאשם גם הצטער על מעשי ההסתה שלו, וציין כי "לא רציתי לעשות שום הסתה".</w:t>
      </w:r>
    </w:p>
    <w:p w14:paraId="55D8D444" w14:textId="77777777" w:rsidR="00D16835" w:rsidRDefault="00D16835" w:rsidP="00D16835">
      <w:pPr>
        <w:keepNext/>
        <w:spacing w:after="240"/>
        <w:rPr>
          <w:rFonts w:cs="Miriam"/>
          <w:color w:val="000000"/>
          <w:rtl/>
        </w:rPr>
      </w:pPr>
      <w:r>
        <w:rPr>
          <w:rFonts w:cs="Miriam" w:hint="cs"/>
          <w:color w:val="000000"/>
          <w:rtl/>
        </w:rPr>
        <w:t>ה</w:t>
      </w:r>
      <w:r>
        <w:rPr>
          <w:rFonts w:cs="Miriam"/>
          <w:color w:val="000000"/>
          <w:rtl/>
        </w:rPr>
        <w:t>. דיון</w:t>
      </w:r>
    </w:p>
    <w:p w14:paraId="7A5415F5" w14:textId="77777777" w:rsidR="00D16835" w:rsidRDefault="00D16835" w:rsidP="00D16835">
      <w:pPr>
        <w:tabs>
          <w:tab w:val="left" w:pos="702"/>
        </w:tabs>
        <w:spacing w:after="240"/>
        <w:ind w:left="-7"/>
        <w:rPr>
          <w:rFonts w:ascii="FrankRuehl" w:hAnsi="FrankRuehl" w:cs="FrankRuehl"/>
          <w:sz w:val="20"/>
          <w:szCs w:val="26"/>
        </w:rPr>
      </w:pPr>
      <w:r>
        <w:rPr>
          <w:rFonts w:ascii="FrankRuehl" w:hAnsi="FrankRuehl" w:cs="FrankRuehl" w:hint="cs"/>
          <w:color w:val="000000"/>
          <w:sz w:val="28"/>
          <w:szCs w:val="28"/>
          <w:rtl/>
        </w:rPr>
        <w:t>ה</w:t>
      </w:r>
      <w:r>
        <w:rPr>
          <w:rFonts w:ascii="FrankRuehl" w:hAnsi="FrankRuehl" w:cs="FrankRuehl"/>
          <w:color w:val="000000"/>
          <w:sz w:val="28"/>
          <w:szCs w:val="28"/>
          <w:rtl/>
        </w:rPr>
        <w:t xml:space="preserve">(1) </w:t>
      </w:r>
      <w:r>
        <w:rPr>
          <w:rFonts w:ascii="FrankRuehl" w:hAnsi="FrankRuehl" w:cs="FrankRuehl"/>
          <w:color w:val="000000"/>
          <w:sz w:val="28"/>
          <w:szCs w:val="28"/>
          <w:u w:val="single"/>
          <w:rtl/>
        </w:rPr>
        <w:t>גזירת הדין - כללי</w:t>
      </w:r>
    </w:p>
    <w:p w14:paraId="06DB4F5E" w14:textId="77777777" w:rsidR="00D16835" w:rsidRDefault="001463D9" w:rsidP="00D16835">
      <w:pPr>
        <w:numPr>
          <w:ilvl w:val="0"/>
          <w:numId w:val="1"/>
        </w:numPr>
        <w:tabs>
          <w:tab w:val="left" w:pos="702"/>
        </w:tabs>
        <w:spacing w:after="240" w:line="360" w:lineRule="auto"/>
        <w:ind w:left="-7" w:firstLine="0"/>
        <w:jc w:val="both"/>
        <w:rPr>
          <w:rFonts w:ascii="FrankRuehl" w:hAnsi="FrankRuehl" w:cs="FrankRuehl"/>
        </w:rPr>
      </w:pPr>
      <w:hyperlink r:id="rId32" w:history="1">
        <w:r w:rsidRPr="001463D9">
          <w:rPr>
            <w:rStyle w:val="Hyperlink"/>
            <w:rFonts w:ascii="FrankRuehl" w:hAnsi="FrankRuehl" w:cs="FrankRuehl"/>
            <w:sz w:val="28"/>
            <w:szCs w:val="28"/>
            <w:rtl/>
          </w:rPr>
          <w:t>סעיף 40ב</w:t>
        </w:r>
      </w:hyperlink>
      <w:r w:rsidR="00D16835">
        <w:rPr>
          <w:rFonts w:ascii="FrankRuehl" w:hAnsi="FrankRuehl" w:cs="FrankRuehl"/>
          <w:color w:val="000000"/>
          <w:sz w:val="28"/>
          <w:szCs w:val="28"/>
          <w:rtl/>
        </w:rPr>
        <w:t xml:space="preserve"> ל</w:t>
      </w:r>
      <w:hyperlink r:id="rId33" w:history="1">
        <w:r w:rsidR="00C1395A" w:rsidRPr="00C1395A">
          <w:rPr>
            <w:rFonts w:ascii="FrankRuehl" w:hAnsi="FrankRuehl" w:cs="FrankRuehl"/>
            <w:color w:val="0000FF"/>
            <w:sz w:val="28"/>
            <w:szCs w:val="28"/>
            <w:u w:val="single"/>
            <w:rtl/>
          </w:rPr>
          <w:t>חוק העונשין</w:t>
        </w:r>
      </w:hyperlink>
      <w:r w:rsidR="00D16835">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34" w:history="1">
        <w:r w:rsidRPr="001463D9">
          <w:rPr>
            <w:rStyle w:val="Hyperlink"/>
            <w:rFonts w:ascii="FrankRuehl" w:hAnsi="FrankRuehl" w:cs="FrankRuehl"/>
            <w:sz w:val="28"/>
            <w:szCs w:val="28"/>
            <w:rtl/>
          </w:rPr>
          <w:t>סעיף 40ג(א)</w:t>
        </w:r>
      </w:hyperlink>
      <w:r w:rsidR="00D16835">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העבירה מנויות </w:t>
      </w:r>
      <w:hyperlink r:id="rId35" w:history="1">
        <w:r w:rsidRPr="001463D9">
          <w:rPr>
            <w:rStyle w:val="Hyperlink"/>
            <w:rFonts w:ascii="FrankRuehl" w:hAnsi="FrankRuehl" w:cs="FrankRuehl"/>
            <w:sz w:val="28"/>
            <w:szCs w:val="28"/>
            <w:rtl/>
          </w:rPr>
          <w:t>בסעיף 40ט</w:t>
        </w:r>
      </w:hyperlink>
      <w:r w:rsidR="00D16835">
        <w:rPr>
          <w:rFonts w:ascii="FrankRuehl" w:hAnsi="FrankRuehl" w:cs="FrankRuehl"/>
          <w:color w:val="000000"/>
          <w:sz w:val="28"/>
          <w:szCs w:val="28"/>
          <w:rtl/>
        </w:rPr>
        <w:t xml:space="preserve"> לחוק, אולם אין מדובר ברשימה סגורה (ראו </w:t>
      </w:r>
      <w:hyperlink r:id="rId36" w:history="1">
        <w:r w:rsidRPr="001463D9">
          <w:rPr>
            <w:rStyle w:val="Hyperlink"/>
            <w:rFonts w:ascii="FrankRuehl" w:hAnsi="FrankRuehl" w:cs="FrankRuehl"/>
            <w:sz w:val="28"/>
            <w:szCs w:val="28"/>
            <w:rtl/>
          </w:rPr>
          <w:t>סעיף 40יב</w:t>
        </w:r>
      </w:hyperlink>
      <w:r w:rsidR="00D16835">
        <w:rPr>
          <w:rFonts w:ascii="FrankRuehl" w:hAnsi="FrankRuehl" w:cs="FrankRuehl"/>
          <w:color w:val="000000"/>
          <w:sz w:val="28"/>
          <w:szCs w:val="28"/>
          <w:rtl/>
        </w:rPr>
        <w:t xml:space="preserve"> לחוק).</w:t>
      </w:r>
    </w:p>
    <w:p w14:paraId="26808A43" w14:textId="77777777" w:rsidR="00D16835" w:rsidRDefault="00D16835" w:rsidP="00D16835">
      <w:pPr>
        <w:numPr>
          <w:ilvl w:val="0"/>
          <w:numId w:val="1"/>
        </w:numPr>
        <w:tabs>
          <w:tab w:val="left" w:pos="702"/>
        </w:tabs>
        <w:spacing w:after="240" w:line="360" w:lineRule="auto"/>
        <w:ind w:left="-7" w:firstLine="0"/>
        <w:jc w:val="both"/>
        <w:rPr>
          <w:rFonts w:ascii="FrankRuehl" w:hAnsi="FrankRuehl" w:cs="FrankRuehl"/>
        </w:rPr>
      </w:pPr>
      <w:r>
        <w:rPr>
          <w:rFonts w:ascii="FrankRuehl" w:hAnsi="FrankRuehl" w:cs="FrankRuehl"/>
          <w:color w:val="000000"/>
          <w:sz w:val="28"/>
          <w:szCs w:val="28"/>
          <w:rtl/>
        </w:rPr>
        <w:t>לאחר קביעת מתחם העונש ההולם, יש לגזור את העונש המתאים לנאשם, וזאת תוך התחשבות בנסיבות שאינן קשורות בביצוע העבירה (</w:t>
      </w:r>
      <w:hyperlink r:id="rId37" w:history="1">
        <w:r w:rsidR="001463D9" w:rsidRPr="001463D9">
          <w:rPr>
            <w:rStyle w:val="Hyperlink"/>
            <w:rFonts w:ascii="FrankRuehl" w:hAnsi="FrankRuehl" w:cs="FrankRuehl"/>
            <w:sz w:val="28"/>
            <w:szCs w:val="28"/>
            <w:rtl/>
          </w:rPr>
          <w:t>סעיף 40ג(ב)</w:t>
        </w:r>
      </w:hyperlink>
      <w:r>
        <w:rPr>
          <w:rFonts w:ascii="FrankRuehl" w:hAnsi="FrankRuehl" w:cs="FrankRuehl"/>
          <w:color w:val="000000"/>
          <w:sz w:val="28"/>
          <w:szCs w:val="28"/>
          <w:rtl/>
        </w:rPr>
        <w:t xml:space="preserve"> לחוק). נסיבות כאלה מפורטות </w:t>
      </w:r>
      <w:hyperlink r:id="rId38" w:history="1">
        <w:r w:rsidR="001463D9" w:rsidRPr="001463D9">
          <w:rPr>
            <w:rStyle w:val="Hyperlink"/>
            <w:rFonts w:ascii="FrankRuehl" w:hAnsi="FrankRuehl" w:cs="FrankRuehl"/>
            <w:sz w:val="28"/>
            <w:szCs w:val="28"/>
            <w:rtl/>
          </w:rPr>
          <w:t>בסעיף 40יא</w:t>
        </w:r>
      </w:hyperlink>
      <w:r>
        <w:rPr>
          <w:rFonts w:ascii="FrankRuehl" w:hAnsi="FrankRuehl" w:cs="FrankRuehl"/>
          <w:color w:val="000000"/>
          <w:sz w:val="28"/>
          <w:szCs w:val="28"/>
          <w:rtl/>
        </w:rPr>
        <w:t xml:space="preserve"> לחוק, אולם גם כאן הרשימה אינה סגורה. כמו כן ניתן להתחשב בצורך להרתיע את הנאשם ולהרתיע את הרבים (</w:t>
      </w:r>
      <w:hyperlink r:id="rId39" w:history="1">
        <w:r w:rsidR="001463D9" w:rsidRPr="001463D9">
          <w:rPr>
            <w:rStyle w:val="Hyperlink"/>
            <w:rFonts w:ascii="FrankRuehl" w:hAnsi="FrankRuehl" w:cs="FrankRuehl"/>
            <w:sz w:val="28"/>
            <w:szCs w:val="28"/>
            <w:rtl/>
          </w:rPr>
          <w:t>סעיפים 40ו-40ז</w:t>
        </w:r>
      </w:hyperlink>
      <w:r>
        <w:rPr>
          <w:rFonts w:ascii="FrankRuehl" w:hAnsi="FrankRuehl" w:cs="FrankRuehl"/>
          <w:color w:val="000000"/>
          <w:sz w:val="28"/>
          <w:szCs w:val="28"/>
          <w:rtl/>
        </w:rPr>
        <w:t xml:space="preserve"> לחוק).</w:t>
      </w:r>
    </w:p>
    <w:p w14:paraId="2C450043" w14:textId="77777777" w:rsidR="00D16835" w:rsidRDefault="00D16835" w:rsidP="00D16835">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 xml:space="preserve">כאשר נאשם מורשע במספר עבירות, קובע </w:t>
      </w:r>
      <w:hyperlink r:id="rId40" w:history="1">
        <w:r w:rsidR="001463D9" w:rsidRPr="001463D9">
          <w:rPr>
            <w:rStyle w:val="Hyperlink"/>
            <w:rFonts w:ascii="FrankRuehl" w:hAnsi="FrankRuehl" w:cs="FrankRuehl"/>
            <w:sz w:val="28"/>
            <w:szCs w:val="28"/>
            <w:rtl/>
          </w:rPr>
          <w:t>סעיף 40יג</w:t>
        </w:r>
      </w:hyperlink>
      <w:r>
        <w:rPr>
          <w:rFonts w:ascii="FrankRuehl" w:hAnsi="FrankRuehl" w:cs="FrankRuehl"/>
          <w:color w:val="000000"/>
          <w:sz w:val="28"/>
          <w:szCs w:val="28"/>
          <w:rtl/>
        </w:rPr>
        <w:t xml:space="preserve"> לחוק כי יש להבחין בין מצב שבו העבירות מהוות "אירוע אחד", שאז ייקבע המתחם וייגזר העונש ביחס לאירוע ולעבירות כמכלול, ובין מצב שבו העבירות מהוות "אירועים נפרדים", שאז יש לקבוע מתחם ביחס לכל אירוע בפני עצמו ולפעול כאמור בסעיף. במקרה שכאן לא הייתה מחלוקת כי כל אישום מהווה "אירוע נפרד", ובצדק לטעמי, ולפיכך ייקבע מתחם נפרד לכל אישום (לשיקולים בעניין אופן מניין האירועים ראו </w:t>
      </w:r>
      <w:hyperlink r:id="rId41" w:history="1">
        <w:r w:rsidR="00C1395A" w:rsidRPr="00C1395A">
          <w:rPr>
            <w:rFonts w:ascii="FrankRuehl" w:hAnsi="FrankRuehl" w:cs="FrankRuehl"/>
            <w:color w:val="0000FF"/>
            <w:sz w:val="28"/>
            <w:szCs w:val="28"/>
            <w:u w:val="single"/>
            <w:rtl/>
          </w:rPr>
          <w:t>ע"פ 4910/13</w:t>
        </w:r>
      </w:hyperlink>
      <w:r>
        <w:rPr>
          <w:rFonts w:ascii="FrankRuehl" w:hAnsi="FrankRuehl" w:cs="FrankRuehl"/>
          <w:color w:val="000000"/>
          <w:sz w:val="28"/>
          <w:szCs w:val="28"/>
          <w:rtl/>
        </w:rPr>
        <w:t xml:space="preserve"> </w:t>
      </w:r>
      <w:r>
        <w:rPr>
          <w:rFonts w:cs="Miriam"/>
          <w:color w:val="000000"/>
          <w:rtl/>
        </w:rPr>
        <w:t>ג'אבר נ' מדינת ישראל</w:t>
      </w:r>
      <w:r>
        <w:rPr>
          <w:rFonts w:ascii="FrankRuehl" w:hAnsi="FrankRuehl" w:cs="FrankRuehl"/>
          <w:color w:val="000000"/>
          <w:sz w:val="28"/>
          <w:szCs w:val="28"/>
          <w:rtl/>
        </w:rPr>
        <w:t xml:space="preserve"> (29.10.2014)).</w:t>
      </w:r>
    </w:p>
    <w:p w14:paraId="6E27CE99" w14:textId="77777777" w:rsidR="00D16835" w:rsidRDefault="00D16835" w:rsidP="00D16835">
      <w:pPr>
        <w:tabs>
          <w:tab w:val="left" w:pos="702"/>
        </w:tabs>
        <w:spacing w:after="240"/>
        <w:ind w:left="-7"/>
        <w:rPr>
          <w:rFonts w:cs="FrankRuehl"/>
          <w:color w:val="000000"/>
          <w:sz w:val="28"/>
          <w:szCs w:val="28"/>
          <w:u w:val="single"/>
        </w:rPr>
      </w:pPr>
      <w:r>
        <w:rPr>
          <w:rFonts w:cs="FrankRuehl" w:hint="cs"/>
          <w:color w:val="000000"/>
          <w:sz w:val="28"/>
          <w:szCs w:val="28"/>
          <w:rtl/>
        </w:rPr>
        <w:t>ה</w:t>
      </w:r>
      <w:r>
        <w:rPr>
          <w:rFonts w:cs="FrankRuehl"/>
          <w:color w:val="000000"/>
          <w:sz w:val="28"/>
          <w:szCs w:val="28"/>
          <w:rtl/>
        </w:rPr>
        <w:t xml:space="preserve">(2) </w:t>
      </w:r>
      <w:r>
        <w:rPr>
          <w:rFonts w:cs="FrankRuehl"/>
          <w:color w:val="000000"/>
          <w:sz w:val="28"/>
          <w:szCs w:val="28"/>
          <w:u w:val="single"/>
          <w:rtl/>
        </w:rPr>
        <w:t>מתחם העונש ההולם למעשי הנאשם באישום הראשון- נשיאת הנשק</w:t>
      </w:r>
    </w:p>
    <w:p w14:paraId="082DAFA2"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מתחם העונש ההולם הם כאמור </w:t>
      </w:r>
      <w:r>
        <w:rPr>
          <w:rFonts w:ascii="FrankRuehl" w:hAnsi="FrankRuehl" w:cs="FrankRuehl"/>
          <w:color w:val="000000"/>
          <w:sz w:val="28"/>
          <w:szCs w:val="28"/>
          <w:rtl/>
        </w:rPr>
        <w:t>הערך החברתי שנפגע מביצוע העבירה, מידת הפגיעה בו, מדיניות הענישה הנהוגה, ונסיבות הקשורות בביצוע העבירה. אתייחס לשיקולים אלה</w:t>
      </w:r>
      <w:r>
        <w:rPr>
          <w:rFonts w:cs="FrankRuehl"/>
          <w:color w:val="000000"/>
          <w:sz w:val="28"/>
          <w:szCs w:val="28"/>
          <w:rtl/>
        </w:rPr>
        <w:t>.</w:t>
      </w:r>
    </w:p>
    <w:p w14:paraId="5BB78AA1" w14:textId="77777777" w:rsidR="00D16835" w:rsidRDefault="00D16835" w:rsidP="00D16835">
      <w:pPr>
        <w:tabs>
          <w:tab w:val="left" w:pos="702"/>
        </w:tabs>
        <w:spacing w:after="240"/>
        <w:ind w:left="-7"/>
        <w:rPr>
          <w:rFonts w:cs="FrankRuehl"/>
          <w:color w:val="000000"/>
          <w:sz w:val="28"/>
          <w:szCs w:val="28"/>
        </w:rPr>
      </w:pPr>
      <w:r>
        <w:rPr>
          <w:rFonts w:cs="FrankRuehl" w:hint="cs"/>
          <w:i/>
          <w:iCs/>
          <w:color w:val="000000"/>
          <w:sz w:val="28"/>
          <w:szCs w:val="28"/>
          <w:rtl/>
        </w:rPr>
        <w:t>ה</w:t>
      </w:r>
      <w:r>
        <w:rPr>
          <w:rFonts w:cs="FrankRuehl"/>
          <w:i/>
          <w:iCs/>
          <w:color w:val="000000"/>
          <w:sz w:val="28"/>
          <w:szCs w:val="28"/>
          <w:rtl/>
        </w:rPr>
        <w:t>(2)(1) הערכים החברתיים שנפגעו</w:t>
      </w:r>
    </w:p>
    <w:p w14:paraId="2B4E25D8"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הערכים החברתיים העומדים ביסוד עבירות הנשק הם "שמירה על חיי אדם ועל שלמות גופו, וכן שמירה על סדרי חיים תקינים ושלווים..." (</w:t>
      </w:r>
      <w:hyperlink r:id="rId42" w:history="1">
        <w:r w:rsidR="00C1395A" w:rsidRPr="00C1395A">
          <w:rPr>
            <w:rFonts w:cs="FrankRuehl"/>
            <w:color w:val="0000FF"/>
            <w:sz w:val="28"/>
            <w:szCs w:val="28"/>
            <w:u w:val="single"/>
            <w:rtl/>
          </w:rPr>
          <w:t>ע"פ 147/21</w:t>
        </w:r>
      </w:hyperlink>
      <w:r>
        <w:rPr>
          <w:rFonts w:cs="FrankRuehl"/>
          <w:color w:val="000000"/>
          <w:sz w:val="28"/>
          <w:szCs w:val="28"/>
          <w:rtl/>
        </w:rPr>
        <w:t xml:space="preserve"> </w:t>
      </w:r>
      <w:r>
        <w:rPr>
          <w:rFonts w:cs="Miriam"/>
          <w:color w:val="000000"/>
          <w:sz w:val="18"/>
          <w:rtl/>
        </w:rPr>
        <w:t>מדינת ישראל נ' ביטון</w:t>
      </w:r>
      <w:r>
        <w:rPr>
          <w:rFonts w:cs="FrankRuehl"/>
          <w:color w:val="000000"/>
          <w:sz w:val="28"/>
          <w:szCs w:val="28"/>
          <w:rtl/>
        </w:rPr>
        <w:t xml:space="preserve">, פיסקה 7 (14.2.2021); ראו גם </w:t>
      </w:r>
      <w:hyperlink r:id="rId43" w:history="1">
        <w:r w:rsidR="00C1395A" w:rsidRPr="00C1395A">
          <w:rPr>
            <w:rFonts w:cs="FrankRuehl"/>
            <w:color w:val="0000FF"/>
            <w:sz w:val="28"/>
            <w:szCs w:val="28"/>
            <w:u w:val="single"/>
            <w:rtl/>
          </w:rPr>
          <w:t>ע"פ 309/22</w:t>
        </w:r>
      </w:hyperlink>
      <w:r>
        <w:rPr>
          <w:rFonts w:cs="FrankRuehl"/>
          <w:color w:val="000000"/>
          <w:sz w:val="28"/>
          <w:szCs w:val="28"/>
          <w:rtl/>
        </w:rPr>
        <w:t xml:space="preserve"> </w:t>
      </w:r>
      <w:r>
        <w:rPr>
          <w:rFonts w:cs="Miriam"/>
          <w:color w:val="000000"/>
          <w:sz w:val="18"/>
          <w:rtl/>
        </w:rPr>
        <w:t>מדינת ישראל נ' ביאדסה</w:t>
      </w:r>
      <w:r>
        <w:rPr>
          <w:rFonts w:cs="FrankRuehl"/>
          <w:color w:val="000000"/>
          <w:sz w:val="28"/>
          <w:szCs w:val="28"/>
          <w:rtl/>
        </w:rPr>
        <w:t xml:space="preserve">, פיסקה 6 (10.5.2022); </w:t>
      </w:r>
      <w:hyperlink r:id="rId44" w:history="1">
        <w:r w:rsidR="00C1395A" w:rsidRPr="00C1395A">
          <w:rPr>
            <w:rFonts w:cs="FrankRuehl"/>
            <w:color w:val="0000FF"/>
            <w:sz w:val="28"/>
            <w:szCs w:val="28"/>
            <w:u w:val="single"/>
            <w:rtl/>
          </w:rPr>
          <w:t>ע"פ 4103/22</w:t>
        </w:r>
      </w:hyperlink>
      <w:r>
        <w:rPr>
          <w:rFonts w:cs="FrankRuehl"/>
          <w:color w:val="000000"/>
          <w:sz w:val="28"/>
          <w:szCs w:val="28"/>
          <w:rtl/>
        </w:rPr>
        <w:t xml:space="preserve"> </w:t>
      </w:r>
      <w:r>
        <w:rPr>
          <w:rFonts w:cs="Miriam"/>
          <w:color w:val="000000"/>
          <w:sz w:val="18"/>
          <w:rtl/>
        </w:rPr>
        <w:t>מדינת ישראל נ' אמון</w:t>
      </w:r>
      <w:r>
        <w:rPr>
          <w:rFonts w:cs="FrankRuehl"/>
          <w:color w:val="000000"/>
          <w:sz w:val="28"/>
          <w:szCs w:val="28"/>
          <w:rtl/>
        </w:rPr>
        <w:t xml:space="preserve">, פיסקה 9 (6.11.2022); </w:t>
      </w:r>
      <w:hyperlink r:id="rId45" w:history="1">
        <w:r w:rsidR="00C1395A" w:rsidRPr="00C1395A">
          <w:rPr>
            <w:rFonts w:ascii="FrankRuehl" w:hAnsi="FrankRuehl" w:cs="FrankRuehl"/>
            <w:color w:val="0000FF"/>
            <w:sz w:val="28"/>
            <w:szCs w:val="28"/>
            <w:u w:val="single"/>
            <w:rtl/>
          </w:rPr>
          <w:t>ע"פ 7595/19</w:t>
        </w:r>
      </w:hyperlink>
      <w:r>
        <w:rPr>
          <w:rFonts w:ascii="Miriam" w:hAnsi="Miriam" w:cs="Miriam"/>
          <w:rtl/>
        </w:rPr>
        <w:t xml:space="preserve"> </w:t>
      </w:r>
      <w:r>
        <w:rPr>
          <w:rFonts w:cs="Miriam"/>
          <w:color w:val="000000"/>
          <w:sz w:val="18"/>
          <w:rtl/>
        </w:rPr>
        <w:t>סגים נ' מדינת ישראל</w:t>
      </w:r>
      <w:r>
        <w:rPr>
          <w:rFonts w:ascii="FrankRuehl" w:hAnsi="FrankRuehl" w:cs="FrankRuehl"/>
          <w:sz w:val="28"/>
          <w:szCs w:val="28"/>
          <w:rtl/>
        </w:rPr>
        <w:t>, פיסקה 32 (22.11.2020)</w:t>
      </w:r>
      <w:r>
        <w:rPr>
          <w:rFonts w:cs="FrankRuehl"/>
          <w:color w:val="000000"/>
          <w:sz w:val="28"/>
          <w:szCs w:val="28"/>
          <w:rtl/>
        </w:rPr>
        <w:t>). בשל חומרת הסכנה הנשקפת מנשק, הוטלו עונשים חמורים על "כל חוליות השרשרת העבריינית", לרבות מי שמחזיק או נושא אותו שלא כדין "בלבד" (</w:t>
      </w:r>
      <w:hyperlink r:id="rId46" w:history="1">
        <w:r w:rsidR="00C1395A" w:rsidRPr="00C1395A">
          <w:rPr>
            <w:rFonts w:cs="FrankRuehl"/>
            <w:color w:val="0000FF"/>
            <w:sz w:val="28"/>
            <w:szCs w:val="28"/>
            <w:u w:val="single"/>
            <w:rtl/>
          </w:rPr>
          <w:t>ע"פ 147/21</w:t>
        </w:r>
      </w:hyperlink>
      <w:r>
        <w:rPr>
          <w:rFonts w:cs="FrankRuehl"/>
          <w:color w:val="000000"/>
          <w:sz w:val="28"/>
          <w:szCs w:val="28"/>
          <w:rtl/>
        </w:rPr>
        <w:t xml:space="preserve"> הנזכר, </w:t>
      </w:r>
      <w:r>
        <w:rPr>
          <w:rFonts w:cs="Miriam"/>
          <w:color w:val="000000"/>
          <w:sz w:val="18"/>
          <w:rtl/>
        </w:rPr>
        <w:t>שם</w:t>
      </w:r>
      <w:r>
        <w:rPr>
          <w:rFonts w:cs="FrankRuehl"/>
          <w:color w:val="000000"/>
          <w:sz w:val="28"/>
          <w:szCs w:val="28"/>
          <w:rtl/>
        </w:rPr>
        <w:t>).</w:t>
      </w:r>
    </w:p>
    <w:p w14:paraId="700EA3C3"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במקרה שכאן, הנאשם נשא נשק מסוג אקדח, ועשה זאת באירוע פומבי של חתונה. נסיבות אלה משקפות פגיעה לא מבוטלת בערכים החברתיים, הן נוכח הסכנה למשתתפי החתונה, המתגברת בשל הצפיפות והריקודים האופייניים לאירוע מסוג זה, והן נוכח החשיפה שלהם לעובדת קיומו של האקדח על כלל השלכותיה האפשריות, לרבות חשש לשלומם וכן ניסיון להשיג נשק שישמש אותם. אציין כי בניגוד לגישת המאשימה, איני סבור שנסיבות האירוע מצדיקות לייחס לו חומרה יתירה בשל מעשי ההסתה שביצע הנאשם מספר חודשים לאחר מכן, ושעניינם יישקל בנפרד.</w:t>
      </w:r>
    </w:p>
    <w:p w14:paraId="7CAD56F0" w14:textId="77777777" w:rsidR="00D16835" w:rsidRDefault="00D16835" w:rsidP="00D16835">
      <w:pPr>
        <w:keepNext/>
        <w:tabs>
          <w:tab w:val="left" w:pos="702"/>
        </w:tabs>
        <w:spacing w:after="240"/>
        <w:rPr>
          <w:rFonts w:cs="FrankRuehl"/>
          <w:i/>
          <w:iCs/>
          <w:color w:val="000000"/>
          <w:sz w:val="28"/>
          <w:szCs w:val="28"/>
          <w:rtl/>
        </w:rPr>
      </w:pPr>
      <w:r>
        <w:rPr>
          <w:rFonts w:cs="FrankRuehl" w:hint="cs"/>
          <w:i/>
          <w:iCs/>
          <w:color w:val="000000"/>
          <w:sz w:val="28"/>
          <w:szCs w:val="28"/>
          <w:rtl/>
        </w:rPr>
        <w:t>ה</w:t>
      </w:r>
      <w:r>
        <w:rPr>
          <w:rFonts w:cs="FrankRuehl"/>
          <w:i/>
          <w:iCs/>
          <w:color w:val="000000"/>
          <w:sz w:val="28"/>
          <w:szCs w:val="28"/>
          <w:rtl/>
        </w:rPr>
        <w:t>(2)(2) נסיבות ביצוע העבירה (</w:t>
      </w:r>
      <w:hyperlink r:id="rId47" w:history="1">
        <w:r w:rsidR="001463D9" w:rsidRPr="001463D9">
          <w:rPr>
            <w:rStyle w:val="Hyperlink"/>
            <w:rFonts w:cs="FrankRuehl"/>
            <w:i/>
            <w:iCs/>
            <w:sz w:val="28"/>
            <w:szCs w:val="28"/>
            <w:rtl/>
          </w:rPr>
          <w:t>סעיף 40ט(א)</w:t>
        </w:r>
      </w:hyperlink>
      <w:r>
        <w:rPr>
          <w:rFonts w:cs="FrankRuehl"/>
          <w:i/>
          <w:iCs/>
          <w:color w:val="000000"/>
          <w:sz w:val="28"/>
          <w:szCs w:val="28"/>
          <w:rtl/>
        </w:rPr>
        <w:t xml:space="preserve"> ל</w:t>
      </w:r>
      <w:hyperlink r:id="rId48" w:history="1">
        <w:r w:rsidR="00C1395A" w:rsidRPr="00C1395A">
          <w:rPr>
            <w:rFonts w:cs="FrankRuehl"/>
            <w:i/>
            <w:iCs/>
            <w:color w:val="0000FF"/>
            <w:sz w:val="28"/>
            <w:szCs w:val="28"/>
            <w:u w:val="single"/>
            <w:rtl/>
          </w:rPr>
          <w:t>חוק העונשין</w:t>
        </w:r>
      </w:hyperlink>
      <w:r>
        <w:rPr>
          <w:rFonts w:cs="FrankRuehl"/>
          <w:i/>
          <w:iCs/>
          <w:color w:val="000000"/>
          <w:sz w:val="28"/>
          <w:szCs w:val="28"/>
          <w:rtl/>
        </w:rPr>
        <w:t>)</w:t>
      </w:r>
    </w:p>
    <w:p w14:paraId="20ED32FF"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הנסיבות הבסיסיות עולות מתיאור המעשים בכתב האישום: נשיאת אקדח בחתונה, ללא שצוין כי הוא כלל מחסנית ותחמושת. הנשיאה של הנאשם הייתה מתוכננת (ס"ק (1)); הנאשם ביצע את העבירה לבדו ולא נטען כי אחר השפיע עליו (ס"ק (2)); הנזק שהיה עלול להיגרם הוא כאמור נזק לחיים או לגוף (ס"ק (3)); והדעת נותנת כי החשיפה של קהל משתתפי החתונה לאקדח גרמה בפועל נזק לסדר הציבורי ולשמירה על סדרי חיים תקינים ושלווים (ס"ק (4)). לא הובהר מה היה הטעם שעמד ביסוד מעשה הנאשם, אך הדעת נותנת כי היה זה הרצון להביע שמחה באופן שלמרבה הצער לא אחת מקובל בקרב חלקים שונים בציבור, ושיש לפעול לשירושו (ס"ק (5)). לא נטען לפגם כלשהו ביכולתו של הנאשם להבין את מעשהו והפסול בו או להימנע ממנו (</w:t>
      </w:r>
      <w:hyperlink r:id="rId49" w:history="1">
        <w:r w:rsidR="001463D9" w:rsidRPr="001463D9">
          <w:rPr>
            <w:rStyle w:val="Hyperlink"/>
            <w:rFonts w:cs="FrankRuehl"/>
            <w:sz w:val="28"/>
            <w:szCs w:val="28"/>
            <w:rtl/>
          </w:rPr>
          <w:t>סעיף 40ט(א)(6)-(7)).</w:t>
        </w:r>
      </w:hyperlink>
    </w:p>
    <w:p w14:paraId="46CA1337" w14:textId="77777777" w:rsidR="00D16835" w:rsidRDefault="00D16835" w:rsidP="00D16835">
      <w:pPr>
        <w:tabs>
          <w:tab w:val="left" w:pos="702"/>
        </w:tabs>
        <w:spacing w:after="240"/>
        <w:ind w:left="-7"/>
        <w:rPr>
          <w:rFonts w:cs="FrankRuehl"/>
          <w:i/>
          <w:iCs/>
          <w:color w:val="000000"/>
          <w:sz w:val="28"/>
          <w:szCs w:val="28"/>
        </w:rPr>
      </w:pPr>
      <w:r>
        <w:rPr>
          <w:rFonts w:cs="FrankRuehl" w:hint="cs"/>
          <w:i/>
          <w:iCs/>
          <w:color w:val="000000"/>
          <w:sz w:val="28"/>
          <w:szCs w:val="28"/>
          <w:rtl/>
        </w:rPr>
        <w:t>ה</w:t>
      </w:r>
      <w:r>
        <w:rPr>
          <w:rFonts w:cs="FrankRuehl"/>
          <w:i/>
          <w:iCs/>
          <w:color w:val="000000"/>
          <w:sz w:val="28"/>
          <w:szCs w:val="28"/>
          <w:rtl/>
        </w:rPr>
        <w:t xml:space="preserve">(2)(3) מדיניות הענישה הנהוגה </w:t>
      </w:r>
    </w:p>
    <w:p w14:paraId="514FEFC2"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העונש המרבי לעבירת נשיאת נשק עומד על עשר שנות מאסר. העונש המזערי עומד, ככלל, על רבע מעונש זה, אם כי חלקו יכול להיגזר בדרך של מאסר על תנאי.</w:t>
      </w:r>
    </w:p>
    <w:p w14:paraId="02ADC9F6"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אשר למדיניות הענישה הנהוגה, הרי שבית המשפט העליון עמד לא אחת על החומרה שבה יש להתייחס אל עבירות נשק:</w:t>
      </w:r>
    </w:p>
    <w:p w14:paraId="602985BB" w14:textId="77777777" w:rsidR="00D16835" w:rsidRDefault="00D16835" w:rsidP="00D16835">
      <w:pPr>
        <w:pStyle w:val="ab"/>
      </w:pPr>
      <w:r>
        <w:rPr>
          <w:rtl/>
        </w:rPr>
        <w:t>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והן מהוות בסיס לביצוע פעילות עבריינית, פשיעה לאומנית ופעולות טרור מסכנות חיים. זמינותם ונגישותם של כלי נשק בלתי חוקיים מאפשרות שימוש תדיר בנשק ככלי לפתרון סכסוכים, לעיתים תוך ירי באזורי מגורים, וגביית קורבנות בגוף ובנפש.</w:t>
      </w:r>
    </w:p>
    <w:p w14:paraId="33FC4CF3" w14:textId="77777777" w:rsidR="00D16835" w:rsidRDefault="00D16835" w:rsidP="00D16835">
      <w:pPr>
        <w:pStyle w:val="ab"/>
        <w:rPr>
          <w:rtl/>
        </w:rPr>
      </w:pPr>
      <w:r>
        <w:rPr>
          <w:rtl/>
        </w:rPr>
        <w:t>בית משפט זה עמד לא אחת על כך שתרומתם העיקרית של בתי המשפט למיגור תופעת עבריינות הנשק ונגזרותיה היא בהטלת עונשים חמורים ומרתיעים על עברייני הנשק.</w:t>
      </w:r>
    </w:p>
    <w:p w14:paraId="7120D3FA" w14:textId="77777777" w:rsidR="00D16835" w:rsidRDefault="00D16835" w:rsidP="00D16835">
      <w:pPr>
        <w:pStyle w:val="ab"/>
        <w:spacing w:after="360"/>
      </w:pPr>
      <w:r>
        <w:rPr>
          <w:rtl/>
        </w:rPr>
        <w:t>(</w:t>
      </w:r>
      <w:hyperlink r:id="rId50" w:history="1">
        <w:r w:rsidR="00C1395A" w:rsidRPr="00C1395A">
          <w:rPr>
            <w:color w:val="0000FF"/>
            <w:u w:val="single"/>
            <w:rtl/>
          </w:rPr>
          <w:t>ע"פ 579/22</w:t>
        </w:r>
      </w:hyperlink>
      <w:r w:rsidR="00C1395A">
        <w:rPr>
          <w:rtl/>
        </w:rPr>
        <w:t xml:space="preserve"> </w:t>
      </w:r>
      <w:r>
        <w:rPr>
          <w:rFonts w:ascii="Arial TUR" w:hAnsi="Arial TUR" w:cs="Miriam"/>
          <w:color w:val="auto"/>
          <w:sz w:val="24"/>
          <w:szCs w:val="24"/>
          <w:rtl/>
        </w:rPr>
        <w:t>מדינת ישראל נ' טחאינה</w:t>
      </w:r>
      <w:r>
        <w:rPr>
          <w:rtl/>
        </w:rPr>
        <w:t xml:space="preserve">, פיסקאות 16-15 (13.6.2022‏)‏, בהשמטת אסמכתאות; וראו עוד מבין רבים: </w:t>
      </w:r>
      <w:hyperlink r:id="rId51" w:history="1">
        <w:r w:rsidR="00C1395A" w:rsidRPr="00C1395A">
          <w:rPr>
            <w:color w:val="0000FF"/>
            <w:u w:val="single"/>
            <w:rtl/>
          </w:rPr>
          <w:t>ע"פ 3728/22</w:t>
        </w:r>
      </w:hyperlink>
      <w:r>
        <w:rPr>
          <w:rtl/>
        </w:rPr>
        <w:t xml:space="preserve"> </w:t>
      </w:r>
      <w:r>
        <w:rPr>
          <w:rFonts w:ascii="Arial TUR" w:hAnsi="Arial TUR" w:cs="Miriam"/>
          <w:color w:val="auto"/>
          <w:sz w:val="24"/>
          <w:szCs w:val="24"/>
          <w:rtl/>
        </w:rPr>
        <w:t>מסאלחה נ' מדינת ישראל</w:t>
      </w:r>
      <w:r>
        <w:rPr>
          <w:rtl/>
        </w:rPr>
        <w:t xml:space="preserve">, פיסקה 14 (9.8.2022); </w:t>
      </w:r>
      <w:hyperlink r:id="rId52" w:history="1">
        <w:r w:rsidR="00C1395A" w:rsidRPr="00C1395A">
          <w:rPr>
            <w:color w:val="0000FF"/>
            <w:u w:val="single"/>
            <w:rtl/>
          </w:rPr>
          <w:t>ע"פ 2283/22</w:t>
        </w:r>
      </w:hyperlink>
      <w:r>
        <w:rPr>
          <w:rtl/>
        </w:rPr>
        <w:t xml:space="preserve"> </w:t>
      </w:r>
      <w:r>
        <w:rPr>
          <w:rFonts w:ascii="Arial TUR" w:hAnsi="Arial TUR" w:cs="Miriam"/>
          <w:color w:val="auto"/>
          <w:sz w:val="24"/>
          <w:szCs w:val="24"/>
          <w:rtl/>
        </w:rPr>
        <w:t>אל נבארי נ' מדינת ישראל</w:t>
      </w:r>
      <w:r>
        <w:rPr>
          <w:rtl/>
        </w:rPr>
        <w:t xml:space="preserve">, פיסקאות 14-13 (31.7.2022); </w:t>
      </w:r>
      <w:hyperlink r:id="rId53" w:history="1">
        <w:r w:rsidR="00C1395A" w:rsidRPr="00C1395A">
          <w:rPr>
            <w:color w:val="0000FF"/>
            <w:u w:val="single"/>
            <w:rtl/>
          </w:rPr>
          <w:t>ע"פ 3569/22</w:t>
        </w:r>
      </w:hyperlink>
      <w:r>
        <w:rPr>
          <w:rtl/>
        </w:rPr>
        <w:t xml:space="preserve"> </w:t>
      </w:r>
      <w:r>
        <w:rPr>
          <w:rFonts w:ascii="Arial TUR" w:hAnsi="Arial TUR" w:cs="Miriam"/>
          <w:color w:val="auto"/>
          <w:sz w:val="24"/>
          <w:szCs w:val="24"/>
          <w:rtl/>
        </w:rPr>
        <w:t>מדינת ישראל נ' חדיד</w:t>
      </w:r>
      <w:r>
        <w:rPr>
          <w:rtl/>
        </w:rPr>
        <w:t>, פיסקאות 8-7 (23.6.2022)).</w:t>
      </w:r>
    </w:p>
    <w:p w14:paraId="13710586"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מדיניות ההחמרה בענישה בגין עבירות נשק מתבטאת בתיקון החקיקה שבו כאמור הוספו עונשים מזעריים לעבירות נשק שונות (</w:t>
      </w:r>
      <w:hyperlink r:id="rId54" w:history="1">
        <w:r w:rsidR="001463D9" w:rsidRPr="001463D9">
          <w:rPr>
            <w:rStyle w:val="Hyperlink"/>
            <w:rFonts w:cs="FrankRuehl"/>
            <w:sz w:val="28"/>
            <w:szCs w:val="28"/>
            <w:rtl/>
          </w:rPr>
          <w:t>סעיף 144(ז)</w:t>
        </w:r>
      </w:hyperlink>
      <w:r>
        <w:rPr>
          <w:rFonts w:cs="FrankRuehl"/>
          <w:color w:val="000000"/>
          <w:sz w:val="28"/>
          <w:szCs w:val="28"/>
          <w:rtl/>
        </w:rPr>
        <w:t xml:space="preserve"> ל</w:t>
      </w:r>
      <w:hyperlink r:id="rId55" w:history="1">
        <w:r w:rsidR="00C1395A" w:rsidRPr="00C1395A">
          <w:rPr>
            <w:rFonts w:cs="FrankRuehl"/>
            <w:color w:val="0000FF"/>
            <w:sz w:val="28"/>
            <w:szCs w:val="28"/>
            <w:u w:val="single"/>
            <w:rtl/>
          </w:rPr>
          <w:t>חוק העונשין</w:t>
        </w:r>
      </w:hyperlink>
      <w:r>
        <w:rPr>
          <w:rFonts w:cs="FrankRuehl"/>
          <w:color w:val="000000"/>
          <w:sz w:val="28"/>
          <w:szCs w:val="28"/>
          <w:rtl/>
        </w:rPr>
        <w:t xml:space="preserve"> בנוסחו היום).</w:t>
      </w:r>
    </w:p>
    <w:p w14:paraId="71EDA823"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על יסוד מדיניות כללית זו, נקבע ב</w:t>
      </w:r>
      <w:hyperlink r:id="rId56" w:history="1">
        <w:r w:rsidR="00C1395A" w:rsidRPr="00C1395A">
          <w:rPr>
            <w:rFonts w:cs="FrankRuehl"/>
            <w:color w:val="0000FF"/>
            <w:sz w:val="28"/>
            <w:szCs w:val="28"/>
            <w:u w:val="single"/>
            <w:rtl/>
          </w:rPr>
          <w:t>ע"פ 5602/22</w:t>
        </w:r>
      </w:hyperlink>
      <w:r>
        <w:rPr>
          <w:rFonts w:cs="FrankRuehl"/>
          <w:color w:val="000000"/>
          <w:sz w:val="28"/>
          <w:szCs w:val="28"/>
          <w:rtl/>
        </w:rPr>
        <w:t xml:space="preserve"> </w:t>
      </w:r>
      <w:r>
        <w:rPr>
          <w:rFonts w:cs="Miriam"/>
          <w:color w:val="000000"/>
          <w:sz w:val="18"/>
          <w:rtl/>
        </w:rPr>
        <w:t>מדינת ישראל נ' פלוני</w:t>
      </w:r>
      <w:r>
        <w:rPr>
          <w:rFonts w:cs="FrankRuehl"/>
          <w:color w:val="000000"/>
          <w:rtl/>
        </w:rPr>
        <w:t xml:space="preserve"> </w:t>
      </w:r>
      <w:r>
        <w:rPr>
          <w:rFonts w:cs="FrankRuehl"/>
          <w:color w:val="000000"/>
          <w:sz w:val="28"/>
          <w:szCs w:val="28"/>
          <w:rtl/>
        </w:rPr>
        <w:t xml:space="preserve">(14.9.2022) (להלן: עניין </w:t>
      </w:r>
      <w:r>
        <w:rPr>
          <w:rFonts w:cs="Miriam"/>
          <w:color w:val="000000"/>
          <w:sz w:val="18"/>
          <w:rtl/>
        </w:rPr>
        <w:t>פלוני</w:t>
      </w:r>
      <w:r>
        <w:rPr>
          <w:rFonts w:cs="FrankRuehl"/>
          <w:color w:val="000000"/>
          <w:sz w:val="28"/>
          <w:szCs w:val="28"/>
          <w:rtl/>
        </w:rPr>
        <w:t>) ביחס לעבירה של נשיאת נשק, כי</w:t>
      </w:r>
    </w:p>
    <w:p w14:paraId="45584B57" w14:textId="77777777" w:rsidR="00D16835" w:rsidRDefault="00D16835" w:rsidP="00D16835">
      <w:pPr>
        <w:pStyle w:val="ab"/>
      </w:pPr>
      <w:r>
        <w:rPr>
          <w:rtl/>
        </w:rPr>
        <w:t xml:space="preserve">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הווה אומר: באין נסיבות מיוחדות לחומרא או לקולא, יהא זה בהחלט סביר אם בית משפט יטיל על נאשם כאמור עונש של 36 חודשי מאסר לריצוי בפועל. </w:t>
      </w:r>
      <w:r>
        <w:rPr>
          <w:rFonts w:ascii="Arial TUR" w:hAnsi="Arial TUR" w:cs="Miriam"/>
          <w:color w:val="auto"/>
          <w:sz w:val="24"/>
          <w:szCs w:val="24"/>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p>
    <w:p w14:paraId="674F0F8F" w14:textId="77777777" w:rsidR="00D16835" w:rsidRDefault="00D16835" w:rsidP="00D16835">
      <w:pPr>
        <w:pStyle w:val="ab"/>
        <w:spacing w:after="240"/>
        <w:rPr>
          <w:rtl/>
        </w:rPr>
      </w:pPr>
      <w:r>
        <w:rPr>
          <w:rtl/>
        </w:rPr>
        <w:t>(</w:t>
      </w:r>
      <w:r>
        <w:rPr>
          <w:rFonts w:ascii="Arial TUR" w:hAnsi="Arial TUR" w:cs="Miriam"/>
          <w:color w:val="auto"/>
          <w:sz w:val="24"/>
          <w:szCs w:val="24"/>
          <w:rtl/>
        </w:rPr>
        <w:t>שם</w:t>
      </w:r>
      <w:r>
        <w:rPr>
          <w:rtl/>
        </w:rPr>
        <w:t>, פיסקה 16 (14.9.2022), ההדגשה במקור).</w:t>
      </w:r>
    </w:p>
    <w:p w14:paraId="5F14E1AD"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דברים ברוח דומה נקבעו עוד קודם לכן </w:t>
      </w:r>
      <w:r>
        <w:rPr>
          <w:rFonts w:ascii="FrankRuehl" w:hAnsi="FrankRuehl" w:cs="FrankRuehl"/>
          <w:sz w:val="28"/>
          <w:szCs w:val="28"/>
          <w:rtl/>
        </w:rPr>
        <w:t>ב</w:t>
      </w:r>
      <w:hyperlink r:id="rId57" w:history="1">
        <w:r w:rsidR="00C1395A" w:rsidRPr="00C1395A">
          <w:rPr>
            <w:rFonts w:ascii="FrankRuehl" w:hAnsi="FrankRuehl" w:cs="FrankRuehl"/>
            <w:color w:val="0000FF"/>
            <w:sz w:val="28"/>
            <w:szCs w:val="28"/>
            <w:u w:val="single"/>
            <w:rtl/>
          </w:rPr>
          <w:t>ע"פ 4077/22</w:t>
        </w:r>
      </w:hyperlink>
      <w:r>
        <w:rPr>
          <w:rFonts w:ascii="FrankRuehl" w:hAnsi="FrankRuehl" w:cs="FrankRuehl"/>
          <w:sz w:val="28"/>
          <w:szCs w:val="28"/>
          <w:rtl/>
        </w:rPr>
        <w:t xml:space="preserve"> </w:t>
      </w:r>
      <w:r>
        <w:rPr>
          <w:rFonts w:ascii="Miriam" w:hAnsi="Miriam" w:cs="Miriam"/>
          <w:sz w:val="18"/>
          <w:rtl/>
        </w:rPr>
        <w:t>פלוני נ' מדינת ישראל</w:t>
      </w:r>
      <w:r>
        <w:rPr>
          <w:rFonts w:ascii="FrankRuehl" w:hAnsi="FrankRuehl" w:cs="FrankRuehl"/>
          <w:sz w:val="28"/>
          <w:szCs w:val="28"/>
          <w:rtl/>
        </w:rPr>
        <w:t>, פיסקה 13 (28.7.2022), שם נאמר‏‏</w:t>
      </w:r>
      <w:r>
        <w:rPr>
          <w:rFonts w:cs="FrankRuehl"/>
          <w:color w:val="000000"/>
          <w:sz w:val="28"/>
          <w:szCs w:val="28"/>
          <w:rtl/>
        </w:rPr>
        <w:t xml:space="preserve"> כי "מאסר בפועל בסביבתן של שלוש שנים הולם הובלה ונשיאה חד-פעמית של נשק..."</w:t>
      </w:r>
      <w:r>
        <w:rPr>
          <w:rFonts w:ascii="FrankRuehl" w:hAnsi="FrankRuehl" w:cs="FrankRuehl"/>
          <w:sz w:val="28"/>
          <w:szCs w:val="28"/>
          <w:rtl/>
        </w:rPr>
        <w:t>.</w:t>
      </w:r>
      <w:r>
        <w:rPr>
          <w:rFonts w:cs="FrankRuehl"/>
          <w:color w:val="000000"/>
          <w:sz w:val="28"/>
          <w:szCs w:val="28"/>
          <w:rtl/>
        </w:rPr>
        <w:t xml:space="preserve"> קביעות אלה הובאו בהסכמה בפסק דין נוסף מן העת האחרונה (ראו </w:t>
      </w:r>
      <w:hyperlink r:id="rId58" w:history="1">
        <w:r w:rsidR="00C1395A" w:rsidRPr="00C1395A">
          <w:rPr>
            <w:rFonts w:cs="FrankRuehl"/>
            <w:color w:val="0000FF"/>
            <w:sz w:val="28"/>
            <w:szCs w:val="28"/>
            <w:u w:val="single"/>
            <w:rtl/>
          </w:rPr>
          <w:t>ע"פ 7971/23</w:t>
        </w:r>
      </w:hyperlink>
      <w:r>
        <w:rPr>
          <w:rFonts w:cs="FrankRuehl"/>
          <w:color w:val="000000"/>
          <w:sz w:val="28"/>
          <w:szCs w:val="28"/>
          <w:rtl/>
        </w:rPr>
        <w:t xml:space="preserve"> </w:t>
      </w:r>
      <w:r>
        <w:rPr>
          <w:rFonts w:ascii="Miriam" w:hAnsi="Miriam" w:cs="Miriam"/>
          <w:sz w:val="18"/>
          <w:rtl/>
        </w:rPr>
        <w:t>אגבאריה נ' מדינת ישראל</w:t>
      </w:r>
      <w:r>
        <w:rPr>
          <w:rFonts w:cs="FrankRuehl"/>
          <w:color w:val="000000"/>
          <w:sz w:val="28"/>
          <w:szCs w:val="28"/>
          <w:rtl/>
        </w:rPr>
        <w:t xml:space="preserve"> (26.5.2024)).</w:t>
      </w:r>
    </w:p>
    <w:p w14:paraId="3F2285EF"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ואכן, עיון בפסיקת הערכאות הדיוניות שניתנה לאחר פסק הדין בעניין </w:t>
      </w:r>
      <w:r>
        <w:rPr>
          <w:rFonts w:cs="Miriam"/>
          <w:color w:val="000000"/>
          <w:sz w:val="18"/>
          <w:rtl/>
        </w:rPr>
        <w:t>פלוני</w:t>
      </w:r>
      <w:r>
        <w:rPr>
          <w:rFonts w:cs="FrankRuehl"/>
          <w:color w:val="000000"/>
          <w:sz w:val="28"/>
          <w:szCs w:val="28"/>
          <w:rtl/>
        </w:rPr>
        <w:t xml:space="preserve"> מלמד כי סדרי הגודל של מתחמי הענישה בעבירה של נשיאת נשק בנסיבות דומות, שואבים ממה שנקבע בו, אם כי מעט רחבים יותר (ראו למשל </w:t>
      </w:r>
      <w:hyperlink r:id="rId59" w:history="1">
        <w:r w:rsidR="00C1395A" w:rsidRPr="00C1395A">
          <w:rPr>
            <w:rFonts w:cs="FrankRuehl"/>
            <w:color w:val="0000FF"/>
            <w:sz w:val="28"/>
            <w:szCs w:val="28"/>
            <w:u w:val="single"/>
            <w:rtl/>
          </w:rPr>
          <w:t>ת"פ (מחוזי מרכז) 61118-07-23</w:t>
        </w:r>
      </w:hyperlink>
      <w:r>
        <w:rPr>
          <w:rFonts w:cs="FrankRuehl"/>
          <w:color w:val="000000"/>
          <w:sz w:val="28"/>
          <w:szCs w:val="28"/>
          <w:rtl/>
        </w:rPr>
        <w:t xml:space="preserve"> </w:t>
      </w:r>
      <w:r>
        <w:rPr>
          <w:rFonts w:ascii="Miriam" w:hAnsi="Miriam" w:cs="Miriam"/>
          <w:sz w:val="18"/>
          <w:rtl/>
        </w:rPr>
        <w:t>מדינת ישראל נ' עמאש</w:t>
      </w:r>
      <w:r>
        <w:rPr>
          <w:rFonts w:cs="FrankRuehl"/>
          <w:color w:val="000000"/>
          <w:sz w:val="28"/>
          <w:szCs w:val="28"/>
          <w:rtl/>
        </w:rPr>
        <w:t xml:space="preserve"> (10.3.2024), שם נקבע מתחם שבין 20 ל-40 חודשי מאסר בפועל; </w:t>
      </w:r>
      <w:hyperlink r:id="rId60" w:history="1">
        <w:r w:rsidR="00C1395A" w:rsidRPr="00C1395A">
          <w:rPr>
            <w:rFonts w:cs="FrankRuehl"/>
            <w:color w:val="0000FF"/>
            <w:sz w:val="28"/>
            <w:szCs w:val="28"/>
            <w:u w:val="single"/>
            <w:rtl/>
          </w:rPr>
          <w:t>ת"פ (מחוזי מרכז) 1178-06-21</w:t>
        </w:r>
      </w:hyperlink>
      <w:r>
        <w:rPr>
          <w:rFonts w:cs="FrankRuehl"/>
          <w:color w:val="000000"/>
          <w:sz w:val="28"/>
          <w:szCs w:val="28"/>
          <w:rtl/>
        </w:rPr>
        <w:t xml:space="preserve"> </w:t>
      </w:r>
      <w:r>
        <w:rPr>
          <w:rFonts w:ascii="Miriam" w:hAnsi="Miriam" w:cs="Miriam"/>
          <w:sz w:val="18"/>
          <w:rtl/>
        </w:rPr>
        <w:t xml:space="preserve">מדינת ישראל נ' </w:t>
      </w:r>
      <w:r>
        <w:rPr>
          <w:rFonts w:ascii="Miriam" w:hAnsi="Miriam" w:cs="Miriam" w:hint="cs"/>
          <w:sz w:val="18"/>
          <w:rtl/>
        </w:rPr>
        <w:t>מסארוה</w:t>
      </w:r>
      <w:r>
        <w:rPr>
          <w:rFonts w:cs="FrankRuehl"/>
          <w:color w:val="000000"/>
          <w:sz w:val="28"/>
          <w:szCs w:val="28"/>
          <w:rtl/>
        </w:rPr>
        <w:t xml:space="preserve"> (</w:t>
      </w:r>
      <w:r>
        <w:rPr>
          <w:rFonts w:cs="FrankRuehl" w:hint="cs"/>
          <w:color w:val="000000"/>
          <w:sz w:val="28"/>
          <w:szCs w:val="28"/>
          <w:rtl/>
        </w:rPr>
        <w:t>30.1.2023</w:t>
      </w:r>
      <w:r>
        <w:rPr>
          <w:rFonts w:cs="FrankRuehl"/>
          <w:color w:val="000000"/>
          <w:sz w:val="28"/>
          <w:szCs w:val="28"/>
          <w:rtl/>
        </w:rPr>
        <w:t>), שם נקבע מתחם שבין 20 ל-4</w:t>
      </w:r>
      <w:r>
        <w:rPr>
          <w:rFonts w:cs="FrankRuehl" w:hint="cs"/>
          <w:color w:val="000000"/>
          <w:sz w:val="28"/>
          <w:szCs w:val="28"/>
          <w:rtl/>
        </w:rPr>
        <w:t>2</w:t>
      </w:r>
      <w:r>
        <w:rPr>
          <w:rFonts w:cs="FrankRuehl"/>
          <w:color w:val="000000"/>
          <w:sz w:val="28"/>
          <w:szCs w:val="28"/>
          <w:rtl/>
        </w:rPr>
        <w:t xml:space="preserve"> חודשי מאסר בפועל; </w:t>
      </w:r>
      <w:hyperlink r:id="rId61" w:history="1">
        <w:r w:rsidR="00C1395A" w:rsidRPr="00C1395A">
          <w:rPr>
            <w:rFonts w:cs="FrankRuehl"/>
            <w:color w:val="0000FF"/>
            <w:sz w:val="28"/>
            <w:szCs w:val="28"/>
            <w:u w:val="single"/>
            <w:rtl/>
          </w:rPr>
          <w:t>ת"פ (מחוזי מרכז) 36111-05-22</w:t>
        </w:r>
      </w:hyperlink>
      <w:r>
        <w:rPr>
          <w:rFonts w:cs="FrankRuehl"/>
          <w:color w:val="000000"/>
          <w:sz w:val="28"/>
          <w:szCs w:val="28"/>
          <w:rtl/>
        </w:rPr>
        <w:t xml:space="preserve"> </w:t>
      </w:r>
      <w:r>
        <w:rPr>
          <w:rFonts w:ascii="Miriam" w:hAnsi="Miriam" w:cs="Miriam"/>
          <w:sz w:val="18"/>
          <w:rtl/>
        </w:rPr>
        <w:t>מדינת ישראל נ' שלום</w:t>
      </w:r>
      <w:r>
        <w:rPr>
          <w:rFonts w:cs="FrankRuehl"/>
          <w:color w:val="000000"/>
          <w:sz w:val="28"/>
          <w:szCs w:val="28"/>
          <w:rtl/>
        </w:rPr>
        <w:t xml:space="preserve"> (8.5.2024), שם נקבע מתחם שבין 24 ל-45 חודשי מאסר בפועל; </w:t>
      </w:r>
      <w:r>
        <w:rPr>
          <w:rFonts w:cs="FrankRuehl" w:hint="cs"/>
          <w:color w:val="000000"/>
          <w:sz w:val="28"/>
          <w:szCs w:val="28"/>
          <w:rtl/>
        </w:rPr>
        <w:t xml:space="preserve">ת"פ (מחוזי מרכז)  46340-07-23 </w:t>
      </w:r>
      <w:r>
        <w:rPr>
          <w:rFonts w:ascii="Miriam" w:hAnsi="Miriam" w:cs="Miriam"/>
          <w:sz w:val="18"/>
          <w:rtl/>
        </w:rPr>
        <w:t xml:space="preserve">מדינת ישראל נ' </w:t>
      </w:r>
      <w:r w:rsidRPr="00BC4275">
        <w:rPr>
          <w:rFonts w:ascii="Miriam" w:hAnsi="Miriam" w:cs="Miriam" w:hint="cs"/>
          <w:sz w:val="18"/>
          <w:rtl/>
        </w:rPr>
        <w:t>אלקרנאוי</w:t>
      </w:r>
      <w:r>
        <w:rPr>
          <w:rFonts w:cs="FrankRuehl"/>
          <w:color w:val="000000"/>
          <w:sz w:val="28"/>
          <w:szCs w:val="28"/>
          <w:rtl/>
        </w:rPr>
        <w:t xml:space="preserve"> (</w:t>
      </w:r>
      <w:r>
        <w:rPr>
          <w:rFonts w:cs="FrankRuehl" w:hint="cs"/>
          <w:color w:val="000000"/>
          <w:sz w:val="28"/>
          <w:szCs w:val="28"/>
          <w:rtl/>
        </w:rPr>
        <w:t>5.2.</w:t>
      </w:r>
      <w:r>
        <w:rPr>
          <w:rFonts w:cs="FrankRuehl"/>
          <w:color w:val="000000"/>
          <w:sz w:val="28"/>
          <w:szCs w:val="28"/>
          <w:rtl/>
        </w:rPr>
        <w:t>2024),</w:t>
      </w:r>
      <w:r>
        <w:rPr>
          <w:rFonts w:cs="FrankRuehl" w:hint="cs"/>
          <w:color w:val="000000"/>
          <w:sz w:val="28"/>
          <w:szCs w:val="28"/>
          <w:rtl/>
        </w:rPr>
        <w:t xml:space="preserve"> שם נקבע מתחם שבין 21 ל-45 חודשי מאסר בפועל;</w:t>
      </w:r>
      <w:r>
        <w:rPr>
          <w:rFonts w:cs="FrankRuehl"/>
          <w:color w:val="000000"/>
          <w:sz w:val="28"/>
          <w:szCs w:val="28"/>
          <w:rtl/>
        </w:rPr>
        <w:t xml:space="preserve"> </w:t>
      </w:r>
      <w:hyperlink r:id="rId62" w:history="1">
        <w:r w:rsidR="00C1395A" w:rsidRPr="00C1395A">
          <w:rPr>
            <w:rFonts w:cs="FrankRuehl"/>
            <w:color w:val="0000FF"/>
            <w:sz w:val="28"/>
            <w:szCs w:val="28"/>
            <w:u w:val="single"/>
            <w:rtl/>
          </w:rPr>
          <w:t>ת"פ (מחוזי חי') 52964-03-22</w:t>
        </w:r>
      </w:hyperlink>
      <w:r>
        <w:rPr>
          <w:rFonts w:cs="FrankRuehl"/>
          <w:color w:val="000000"/>
          <w:sz w:val="28"/>
          <w:szCs w:val="28"/>
          <w:rtl/>
        </w:rPr>
        <w:t xml:space="preserve"> </w:t>
      </w:r>
      <w:r>
        <w:rPr>
          <w:rFonts w:ascii="Miriam" w:hAnsi="Miriam" w:cs="Miriam"/>
          <w:sz w:val="18"/>
          <w:rtl/>
        </w:rPr>
        <w:t xml:space="preserve">מדינת ישראל נ' סנעאללה </w:t>
      </w:r>
      <w:r>
        <w:rPr>
          <w:rFonts w:cs="FrankRuehl"/>
          <w:color w:val="000000"/>
          <w:sz w:val="28"/>
          <w:szCs w:val="28"/>
          <w:rtl/>
        </w:rPr>
        <w:t xml:space="preserve">(10.1.23), שם נקבע מתחם שבין 30 ל-45 חודשי מאסר בפועל; </w:t>
      </w:r>
      <w:hyperlink r:id="rId63" w:history="1">
        <w:r w:rsidR="00C1395A" w:rsidRPr="00C1395A">
          <w:rPr>
            <w:rFonts w:cs="FrankRuehl"/>
            <w:color w:val="0000FF"/>
            <w:sz w:val="28"/>
            <w:szCs w:val="28"/>
            <w:u w:val="single"/>
            <w:rtl/>
          </w:rPr>
          <w:t>ת"פ (מחוזי י-ם) 67387-08-23</w:t>
        </w:r>
      </w:hyperlink>
      <w:r>
        <w:rPr>
          <w:rFonts w:cs="FrankRuehl"/>
          <w:color w:val="000000"/>
          <w:sz w:val="28"/>
          <w:szCs w:val="28"/>
          <w:rtl/>
        </w:rPr>
        <w:t xml:space="preserve"> </w:t>
      </w:r>
      <w:r>
        <w:rPr>
          <w:rFonts w:ascii="Miriam" w:hAnsi="Miriam" w:cs="Miriam"/>
          <w:sz w:val="18"/>
          <w:rtl/>
        </w:rPr>
        <w:t>מדינת ישראל נ' רומאן</w:t>
      </w:r>
      <w:r>
        <w:rPr>
          <w:rFonts w:cs="FrankRuehl"/>
          <w:color w:val="000000"/>
          <w:sz w:val="28"/>
          <w:szCs w:val="28"/>
          <w:rtl/>
        </w:rPr>
        <w:t xml:space="preserve"> (7.3.2024), שם נקבע מתחם שבין 24 ל-48 חודשי מאסר בפועל; </w:t>
      </w:r>
      <w:hyperlink r:id="rId64" w:history="1">
        <w:r w:rsidR="00C1395A" w:rsidRPr="00C1395A">
          <w:rPr>
            <w:rFonts w:cs="FrankRuehl"/>
            <w:color w:val="0000FF"/>
            <w:sz w:val="28"/>
            <w:szCs w:val="28"/>
            <w:u w:val="single"/>
            <w:rtl/>
          </w:rPr>
          <w:t>ת"פ (מחוזי חי') 24670-05-23</w:t>
        </w:r>
      </w:hyperlink>
      <w:r>
        <w:rPr>
          <w:rFonts w:cs="FrankRuehl"/>
          <w:color w:val="000000"/>
          <w:sz w:val="28"/>
          <w:szCs w:val="28"/>
          <w:rtl/>
        </w:rPr>
        <w:t xml:space="preserve"> </w:t>
      </w:r>
      <w:r>
        <w:rPr>
          <w:rFonts w:ascii="Miriam" w:hAnsi="Miriam" w:cs="Miriam"/>
          <w:sz w:val="18"/>
          <w:rtl/>
        </w:rPr>
        <w:t>מדינת ישראל נ'  גזייל</w:t>
      </w:r>
      <w:r>
        <w:rPr>
          <w:rFonts w:cs="FrankRuehl"/>
          <w:color w:val="000000"/>
          <w:sz w:val="28"/>
          <w:szCs w:val="28"/>
          <w:rtl/>
        </w:rPr>
        <w:t xml:space="preserve"> (13.11.2023), שם נקבע מתחם שבין 24 ל-42 חודשי מאסר בפועל; ו</w:t>
      </w:r>
      <w:hyperlink r:id="rId65" w:history="1">
        <w:r w:rsidR="00C1395A" w:rsidRPr="00C1395A">
          <w:rPr>
            <w:rFonts w:cs="FrankRuehl"/>
            <w:color w:val="0000FF"/>
            <w:sz w:val="28"/>
            <w:szCs w:val="28"/>
            <w:u w:val="single"/>
            <w:rtl/>
          </w:rPr>
          <w:t>ת"פ (מחוזי חי') 3537-01-23</w:t>
        </w:r>
      </w:hyperlink>
      <w:r>
        <w:rPr>
          <w:rFonts w:cs="FrankRuehl"/>
          <w:color w:val="000000"/>
          <w:sz w:val="28"/>
          <w:szCs w:val="28"/>
          <w:rtl/>
        </w:rPr>
        <w:t xml:space="preserve"> </w:t>
      </w:r>
      <w:r>
        <w:rPr>
          <w:rFonts w:ascii="Miriam" w:hAnsi="Miriam" w:cs="Miriam"/>
          <w:sz w:val="18"/>
          <w:rtl/>
        </w:rPr>
        <w:t>מדינת ישראל נ' אברמוב</w:t>
      </w:r>
      <w:r>
        <w:rPr>
          <w:rFonts w:cs="FrankRuehl"/>
          <w:color w:val="000000"/>
          <w:sz w:val="28"/>
          <w:szCs w:val="28"/>
          <w:rtl/>
        </w:rPr>
        <w:t xml:space="preserve"> (19.07.2023), שם נקבע מתחם שבין 26 ל-42 חודשי מאסר בפועל (ערעור על גזר הדין נדחה בהמלצת בית המשפט העליון, </w:t>
      </w:r>
      <w:hyperlink r:id="rId66" w:history="1">
        <w:r w:rsidR="00C1395A" w:rsidRPr="00C1395A">
          <w:rPr>
            <w:rFonts w:cs="FrankRuehl"/>
            <w:color w:val="0000FF"/>
            <w:sz w:val="28"/>
            <w:szCs w:val="28"/>
            <w:u w:val="single"/>
            <w:rtl/>
          </w:rPr>
          <w:t>ע"פ 6856/23</w:t>
        </w:r>
      </w:hyperlink>
      <w:r>
        <w:rPr>
          <w:rFonts w:cs="FrankRuehl"/>
          <w:color w:val="000000"/>
          <w:sz w:val="28"/>
          <w:szCs w:val="28"/>
          <w:rtl/>
        </w:rPr>
        <w:t>)).</w:t>
      </w:r>
    </w:p>
    <w:p w14:paraId="2A7904BB"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עם זאת, יש ליתן את הדעת שהן בעניין </w:t>
      </w:r>
      <w:r>
        <w:rPr>
          <w:rFonts w:ascii="Miriam" w:hAnsi="Miriam" w:cs="Miriam"/>
          <w:sz w:val="18"/>
          <w:rtl/>
        </w:rPr>
        <w:t>פלוני</w:t>
      </w:r>
      <w:r>
        <w:rPr>
          <w:rFonts w:cs="FrankRuehl"/>
          <w:color w:val="000000"/>
          <w:sz w:val="28"/>
          <w:szCs w:val="28"/>
          <w:rtl/>
        </w:rPr>
        <w:t xml:space="preserve"> והן במרבית פסקי הדין הנזכרים, מדובר היה בנשיאה של אקדח הכולל מחסנית תואמת ותחמושת, בעוד שבמקרה שכאן ההרשעה הייתה בגין נשיאת אקדח בלבד וכאמור לא צוין כי הוא כלל גם מחסנית ותחמושת. כמו כן שם הנשיאה הייתה בעת שהנושא נוסע ברכב, בעוד שכאן הנשיאה הייתה </w:t>
      </w:r>
      <w:r>
        <w:rPr>
          <w:rFonts w:cs="FrankRuehl" w:hint="cs"/>
          <w:color w:val="000000"/>
          <w:sz w:val="28"/>
          <w:szCs w:val="28"/>
          <w:rtl/>
        </w:rPr>
        <w:t xml:space="preserve">במקום קונקרטי, </w:t>
      </w:r>
      <w:r>
        <w:rPr>
          <w:rFonts w:cs="FrankRuehl"/>
          <w:color w:val="000000"/>
          <w:sz w:val="28"/>
          <w:szCs w:val="28"/>
          <w:rtl/>
        </w:rPr>
        <w:t xml:space="preserve">על הגוף, </w:t>
      </w:r>
      <w:r>
        <w:rPr>
          <w:rFonts w:cs="FrankRuehl" w:hint="cs"/>
          <w:color w:val="000000"/>
          <w:sz w:val="28"/>
          <w:szCs w:val="28"/>
          <w:rtl/>
        </w:rPr>
        <w:t>ו</w:t>
      </w:r>
      <w:r>
        <w:rPr>
          <w:rFonts w:cs="FrankRuehl"/>
          <w:color w:val="000000"/>
          <w:sz w:val="28"/>
          <w:szCs w:val="28"/>
          <w:rtl/>
        </w:rPr>
        <w:t>במהלך חתונה (הגם שהבדל זה הוא בעל פנים לכאן ולכאן; למשקלו האפשרי לקולא, מבלי להביע עמדה בעניין, ראו את הדעה שהובעה ב</w:t>
      </w:r>
      <w:hyperlink r:id="rId67" w:history="1">
        <w:r w:rsidR="00C1395A" w:rsidRPr="00C1395A">
          <w:rPr>
            <w:rFonts w:cs="FrankRuehl"/>
            <w:color w:val="0000FF"/>
            <w:sz w:val="28"/>
            <w:szCs w:val="28"/>
            <w:u w:val="single"/>
            <w:rtl/>
          </w:rPr>
          <w:t>ת"פ (מרכז) 19759-07-21</w:t>
        </w:r>
      </w:hyperlink>
      <w:r>
        <w:rPr>
          <w:rFonts w:cs="FrankRuehl"/>
          <w:color w:val="000000"/>
          <w:sz w:val="28"/>
          <w:szCs w:val="28"/>
          <w:rtl/>
        </w:rPr>
        <w:t xml:space="preserve"> </w:t>
      </w:r>
      <w:r>
        <w:rPr>
          <w:rFonts w:ascii="Miriam" w:hAnsi="Miriam" w:cs="Miriam"/>
          <w:sz w:val="18"/>
          <w:rtl/>
        </w:rPr>
        <w:t>מדינת ישראל נ' עודה</w:t>
      </w:r>
      <w:r>
        <w:rPr>
          <w:rFonts w:cs="FrankRuehl"/>
          <w:color w:val="000000"/>
          <w:sz w:val="28"/>
          <w:szCs w:val="28"/>
          <w:rtl/>
        </w:rPr>
        <w:t xml:space="preserve"> (7.11.2022)).</w:t>
      </w:r>
    </w:p>
    <w:p w14:paraId="7FB74AC7" w14:textId="77777777" w:rsidR="00D16835" w:rsidRDefault="00D16835" w:rsidP="00D16835">
      <w:pPr>
        <w:keepNext/>
        <w:tabs>
          <w:tab w:val="left" w:pos="702"/>
        </w:tabs>
        <w:spacing w:after="240"/>
        <w:rPr>
          <w:rFonts w:cs="FrankRuehl"/>
          <w:color w:val="000000"/>
          <w:sz w:val="28"/>
          <w:szCs w:val="28"/>
        </w:rPr>
      </w:pPr>
      <w:r>
        <w:rPr>
          <w:rFonts w:cs="FrankRuehl" w:hint="cs"/>
          <w:i/>
          <w:iCs/>
          <w:color w:val="000000"/>
          <w:sz w:val="28"/>
          <w:szCs w:val="28"/>
          <w:rtl/>
        </w:rPr>
        <w:t>ה</w:t>
      </w:r>
      <w:r>
        <w:rPr>
          <w:rFonts w:cs="FrankRuehl"/>
          <w:i/>
          <w:iCs/>
          <w:color w:val="000000"/>
          <w:sz w:val="28"/>
          <w:szCs w:val="28"/>
          <w:rtl/>
        </w:rPr>
        <w:t>(2)(4) המסקנה בעניין מתחם העונש ההולם למעשי הנאשם באישום הראשון</w:t>
      </w:r>
    </w:p>
    <w:p w14:paraId="35BCB41F"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על רקע הערכים החברתיים שנפגעו; על רקע נסיבות ביצוע העבירה על ידי הנאשם ומידת הפגיעה בערכים כעולה מן האמור לעיל; ועל רקע פסקי הדין שהובאו</w:t>
      </w:r>
      <w:r>
        <w:rPr>
          <w:rFonts w:ascii="FrankRuehl" w:hAnsi="FrankRuehl" w:cs="FrankRuehl"/>
          <w:color w:val="000000"/>
          <w:sz w:val="28"/>
          <w:szCs w:val="28"/>
          <w:rtl/>
        </w:rPr>
        <w:t xml:space="preserve"> –</w:t>
      </w:r>
      <w:r>
        <w:rPr>
          <w:rFonts w:cs="FrankRuehl"/>
          <w:color w:val="000000"/>
          <w:sz w:val="28"/>
          <w:szCs w:val="28"/>
          <w:rtl/>
        </w:rPr>
        <w:t xml:space="preserve"> סבורני כי במקרה שכאן יש להעמיד את מתחם העונש ההולם בגין נשיאת הנשק שבאישום הראשון על בין 24 ל-40 חודשי מאסר בפועל, ולצידם עונשים נלווים.</w:t>
      </w:r>
    </w:p>
    <w:p w14:paraId="2356DE9B" w14:textId="77777777" w:rsidR="00D16835" w:rsidRDefault="00D16835" w:rsidP="00D16835">
      <w:pPr>
        <w:tabs>
          <w:tab w:val="left" w:pos="702"/>
        </w:tabs>
        <w:spacing w:after="240"/>
        <w:rPr>
          <w:rFonts w:cs="FrankRuehl"/>
          <w:color w:val="000000"/>
          <w:sz w:val="28"/>
          <w:szCs w:val="28"/>
          <w:u w:val="single"/>
        </w:rPr>
      </w:pPr>
      <w:r>
        <w:rPr>
          <w:rFonts w:cs="FrankRuehl" w:hint="cs"/>
          <w:color w:val="000000"/>
          <w:sz w:val="28"/>
          <w:szCs w:val="28"/>
          <w:rtl/>
        </w:rPr>
        <w:t>ה</w:t>
      </w:r>
      <w:r>
        <w:rPr>
          <w:rFonts w:cs="FrankRuehl"/>
          <w:color w:val="000000"/>
          <w:sz w:val="28"/>
          <w:szCs w:val="28"/>
          <w:rtl/>
        </w:rPr>
        <w:t xml:space="preserve">(3) </w:t>
      </w:r>
      <w:r>
        <w:rPr>
          <w:rFonts w:cs="FrankRuehl"/>
          <w:color w:val="000000"/>
          <w:sz w:val="28"/>
          <w:szCs w:val="28"/>
          <w:u w:val="single"/>
          <w:rtl/>
        </w:rPr>
        <w:t>מתחם העונש ההולם למעשי הנאשם באישום השני- הסתה לטרור וגילוי הזדהות עם ארגון טרור</w:t>
      </w:r>
    </w:p>
    <w:p w14:paraId="56A6B5E0" w14:textId="77777777" w:rsidR="00D16835" w:rsidRDefault="00D16835" w:rsidP="00D16835">
      <w:pPr>
        <w:tabs>
          <w:tab w:val="left" w:pos="702"/>
        </w:tabs>
        <w:spacing w:after="240"/>
        <w:ind w:left="-7"/>
        <w:rPr>
          <w:rFonts w:cs="FrankRuehl"/>
          <w:color w:val="000000"/>
          <w:sz w:val="28"/>
          <w:szCs w:val="28"/>
        </w:rPr>
      </w:pPr>
      <w:r>
        <w:rPr>
          <w:rFonts w:cs="FrankRuehl" w:hint="cs"/>
          <w:i/>
          <w:iCs/>
          <w:color w:val="000000"/>
          <w:sz w:val="28"/>
          <w:szCs w:val="28"/>
          <w:rtl/>
        </w:rPr>
        <w:t>ה</w:t>
      </w:r>
      <w:r>
        <w:rPr>
          <w:rFonts w:cs="FrankRuehl"/>
          <w:i/>
          <w:iCs/>
          <w:color w:val="000000"/>
          <w:sz w:val="28"/>
          <w:szCs w:val="28"/>
          <w:rtl/>
        </w:rPr>
        <w:t>(3)(1) הערכים החברתיים שנפגעו</w:t>
      </w:r>
    </w:p>
    <w:p w14:paraId="549C3CD9"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הערכים החברתיים העומדים ביסוד עבירת גילוי הזדהות עם ארגון טרור וביסוד עבירת ההסתה לטרור הם אלה העומדים ביסוד האיסורים על מעשי טרור, שכן החשש הוא כי ההסתה תביא לביצוע מעשים מעין אלה (ראו </w:t>
      </w:r>
      <w:r>
        <w:rPr>
          <w:rFonts w:ascii="FrankRuehl" w:hAnsi="FrankRuehl" w:cs="FrankRuehl"/>
          <w:sz w:val="28"/>
          <w:szCs w:val="28"/>
          <w:rtl/>
        </w:rPr>
        <w:t>דברי הסבר לה</w:t>
      </w:r>
      <w:r>
        <w:rPr>
          <w:rFonts w:ascii="FrankRuehl" w:hAnsi="FrankRuehl" w:cs="FrankRuehl" w:hint="cs"/>
          <w:sz w:val="28"/>
          <w:szCs w:val="28"/>
          <w:rtl/>
        </w:rPr>
        <w:t>צעת חוק</w:t>
      </w:r>
      <w:r>
        <w:rPr>
          <w:rFonts w:ascii="FrankRuehl" w:hAnsi="FrankRuehl" w:cs="FrankRuehl"/>
          <w:sz w:val="28"/>
          <w:szCs w:val="28"/>
          <w:rtl/>
        </w:rPr>
        <w:t xml:space="preserve"> המאבק בטרור, התשע"ה-2015, ה"ח הממשלה 949, 1096</w:t>
      </w:r>
      <w:r>
        <w:rPr>
          <w:rFonts w:cs="FrankRuehl"/>
          <w:color w:val="000000"/>
          <w:sz w:val="28"/>
          <w:szCs w:val="28"/>
          <w:rtl/>
        </w:rPr>
        <w:t>; והשוו ל</w:t>
      </w:r>
      <w:hyperlink r:id="rId68" w:history="1">
        <w:r w:rsidR="00C1395A" w:rsidRPr="00C1395A">
          <w:rPr>
            <w:rFonts w:ascii="FrankRuehl" w:hAnsi="FrankRuehl" w:cs="FrankRuehl"/>
            <w:color w:val="0000FF"/>
            <w:sz w:val="28"/>
            <w:szCs w:val="28"/>
            <w:u w:val="single"/>
            <w:rtl/>
          </w:rPr>
          <w:t>רע"פ 2533/10</w:t>
        </w:r>
      </w:hyperlink>
      <w:r>
        <w:rPr>
          <w:rFonts w:ascii="FrankRuehl" w:hAnsi="FrankRuehl" w:cs="FrankRuehl"/>
          <w:sz w:val="28"/>
          <w:szCs w:val="28"/>
          <w:rtl/>
        </w:rPr>
        <w:t xml:space="preserve"> </w:t>
      </w:r>
      <w:r>
        <w:rPr>
          <w:rFonts w:ascii="Miriam" w:hAnsi="Miriam" w:cs="Miriam"/>
          <w:sz w:val="18"/>
          <w:rtl/>
        </w:rPr>
        <w:t>מדינת ישראל נ' בן חורין</w:t>
      </w:r>
      <w:r>
        <w:rPr>
          <w:rFonts w:ascii="FrankRuehl" w:hAnsi="FrankRuehl" w:cs="FrankRuehl"/>
          <w:sz w:val="28"/>
          <w:szCs w:val="28"/>
          <w:rtl/>
        </w:rPr>
        <w:t>, פיסקה 5 (26.12.2011), שעסק בעבירת הסתה לאלימות)</w:t>
      </w:r>
      <w:r>
        <w:rPr>
          <w:rFonts w:cs="FrankRuehl"/>
          <w:color w:val="000000"/>
          <w:sz w:val="28"/>
          <w:szCs w:val="28"/>
          <w:rtl/>
        </w:rPr>
        <w:t>. מעשי הטרור עצמם עלולים כמובן לפגוע בחיי אדם, בשלמות הגוף, בשלום הנפש, בביטחון הציבור ובסדר הציבורי.</w:t>
      </w:r>
    </w:p>
    <w:p w14:paraId="08D72EF2"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כמו כן ההסתה כשלעצמה מביאה לפגיעה בערכים נוספים, ובהם לכידות חברתית, ועלולה להגביר מתח ושנאה בין קבוצות שונות (ראו והשוו </w:t>
      </w:r>
      <w:hyperlink r:id="rId69" w:history="1">
        <w:r w:rsidR="00C1395A" w:rsidRPr="00C1395A">
          <w:rPr>
            <w:rFonts w:cs="FrankRuehl"/>
            <w:color w:val="0000FF"/>
            <w:sz w:val="28"/>
            <w:szCs w:val="28"/>
            <w:u w:val="single"/>
            <w:rtl/>
          </w:rPr>
          <w:t>ע"פ 5794/15</w:t>
        </w:r>
      </w:hyperlink>
      <w:r>
        <w:rPr>
          <w:rFonts w:cs="FrankRuehl"/>
          <w:color w:val="000000"/>
          <w:sz w:val="28"/>
          <w:szCs w:val="28"/>
          <w:rtl/>
        </w:rPr>
        <w:t xml:space="preserve"> </w:t>
      </w:r>
      <w:r>
        <w:rPr>
          <w:rFonts w:cs="Miriam"/>
          <w:color w:val="000000"/>
          <w:sz w:val="18"/>
          <w:rtl/>
        </w:rPr>
        <w:t>מדינת ישראל נ' טויטו</w:t>
      </w:r>
      <w:r>
        <w:rPr>
          <w:rFonts w:cs="FrankRuehl"/>
          <w:color w:val="000000"/>
          <w:sz w:val="28"/>
          <w:szCs w:val="28"/>
          <w:rtl/>
        </w:rPr>
        <w:t>, פיסקה 14 (31.1.2016)).</w:t>
      </w:r>
    </w:p>
    <w:p w14:paraId="4230B2C9" w14:textId="77777777" w:rsidR="00D16835" w:rsidRDefault="00D16835" w:rsidP="00D16835">
      <w:pPr>
        <w:tabs>
          <w:tab w:val="left" w:pos="702"/>
        </w:tabs>
        <w:spacing w:after="240"/>
        <w:ind w:left="-7"/>
        <w:rPr>
          <w:rFonts w:cs="FrankRuehl"/>
          <w:i/>
          <w:iCs/>
          <w:color w:val="000000"/>
          <w:sz w:val="28"/>
          <w:szCs w:val="28"/>
        </w:rPr>
      </w:pPr>
      <w:r>
        <w:rPr>
          <w:rFonts w:cs="FrankRuehl" w:hint="cs"/>
          <w:i/>
          <w:iCs/>
          <w:color w:val="000000"/>
          <w:sz w:val="28"/>
          <w:szCs w:val="28"/>
          <w:rtl/>
        </w:rPr>
        <w:t>ה</w:t>
      </w:r>
      <w:r>
        <w:rPr>
          <w:rFonts w:cs="FrankRuehl"/>
          <w:i/>
          <w:iCs/>
          <w:color w:val="000000"/>
          <w:sz w:val="28"/>
          <w:szCs w:val="28"/>
          <w:rtl/>
        </w:rPr>
        <w:t>(3)(2) נסיבות ביצוע העבירות ומידת הפגיעה (</w:t>
      </w:r>
      <w:hyperlink r:id="rId70" w:history="1">
        <w:r w:rsidR="001463D9" w:rsidRPr="001463D9">
          <w:rPr>
            <w:rStyle w:val="Hyperlink"/>
            <w:rFonts w:cs="FrankRuehl"/>
            <w:i/>
            <w:iCs/>
            <w:sz w:val="28"/>
            <w:szCs w:val="28"/>
            <w:rtl/>
          </w:rPr>
          <w:t>סעיף 40ט</w:t>
        </w:r>
      </w:hyperlink>
      <w:r>
        <w:rPr>
          <w:rFonts w:cs="FrankRuehl"/>
          <w:i/>
          <w:iCs/>
          <w:color w:val="000000"/>
          <w:sz w:val="28"/>
          <w:szCs w:val="28"/>
          <w:rtl/>
        </w:rPr>
        <w:t xml:space="preserve"> ל</w:t>
      </w:r>
      <w:hyperlink r:id="rId71" w:history="1">
        <w:r w:rsidR="00C1395A" w:rsidRPr="00C1395A">
          <w:rPr>
            <w:rFonts w:cs="FrankRuehl"/>
            <w:i/>
            <w:iCs/>
            <w:color w:val="0000FF"/>
            <w:sz w:val="28"/>
            <w:szCs w:val="28"/>
            <w:u w:val="single"/>
            <w:rtl/>
          </w:rPr>
          <w:t>חוק העונשין</w:t>
        </w:r>
      </w:hyperlink>
      <w:r>
        <w:rPr>
          <w:rFonts w:cs="FrankRuehl"/>
          <w:i/>
          <w:iCs/>
          <w:color w:val="000000"/>
          <w:sz w:val="28"/>
          <w:szCs w:val="28"/>
          <w:rtl/>
        </w:rPr>
        <w:t>)</w:t>
      </w:r>
    </w:p>
    <w:p w14:paraId="61479DB0"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הנסיבות הבסיסיות עולות מתיאור המעשים בכתב האישום: מדובר בשלושה פרסומים, שבהם פרסם הנאשם ברשת החברתית אינסטגרם דברי שבח ואהדה למעשי חמאס. הנאשם עשה זאת בשבועות שלאחר שבעה באוקטובר, כך שאת דבריו אין לקרוא אלא כתמיכה ואהדה גם ביחס למעשים האיומים והנוראים שביצעו אנשי חמאס וחבר מרעיהם באותו מועד, וכבר היו ידועים במועדי הפרסומים. פרסומי הנאשם אף כללו קריאה עקיפה להמשך מעשי הטרור של חמאס והזרוע הצבאית שלו, שבעקבותיהם יבואו "אנחנו" אשר "לא יודעים מה זה להיכנע", כלשון השיר שפרסם, עד שבשנת 2027 חמאס ינצח ולא יהיו יותר "מתנחלים". תמונת הדגל הפלסטיני המונף בסמוך לכיפת הסלע יכולה להתפרש אף היא על רקע דברים אלה, כאילו בעתיד הריבונות במקום תהיה בידי הפלסטינים. הפרסומים, אשר נמחקים באופן אוטומטי כעבור 24 שעות, הופצו לכ-2,500 איש, ואחד מהם זכה ל-25 סימני חיבוב. נסיבה לחומרא נעוצה בכך שהנאשם הוא תושב קבע בישראל, כך שפרסומיו משקפים אהדה למי שאסרו מלחמה על המדינה שהוא חלק ממנה ונהנה ממשאביה, מלחמה שבמהלכה נרצחו ונפלו טובי בנינו ונפגעו רבים אחרים. הפרסומים אף יוצרים חשש לפגיעה בפלח שלם של תושבי המדינה.</w:t>
      </w:r>
    </w:p>
    <w:p w14:paraId="13794C85"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המעשים בוצעו לאחר תכנון (ס"ק (1)). הנאשם ביצע את המעשים לבדו, ולא נטען כי הושפע מאחר (ס"ק (2)). הנזק העיקרי שהיה צפוי הוא החשש מפני עידוד אחרים לבצע מעשי טרור, על כלל השלכותיהם, לרבות פתיחת חזית נוספת בתוככי מדינת ישראל אשר תצטרף לחזיתות שבהן אנו נאבקים אל מול העומדים עלינו לכלותינו, בגבולותינו ומעבר להם (ס"ק (3)). לא ברור אם נגרם נזק כזה בפועל, שכן קשה לדעת מי מהאלפים שנחשפו לפרסומים הושפע מהם, מה גם ששני הפרסומים האחרונים לא זכו לתגובה. עם זאת, מעצם ההרשעה בעבירות ההסתה לטרור עולה כי הייתה אפשרות ממשית שהפרסומים יביאו למעשה טרור, שכן זהו חלק מנסיבות היסוד העובדתי של העבירה (ס"ק (4)). המניע הלאומני מהווה נסיבה לחומרה, הן בשל הפגיעה שהוא משקף בערכים נוספים והן בשל הצורך בהרתעה (ס"ק (5)).</w:t>
      </w:r>
    </w:p>
    <w:p w14:paraId="2F794D27" w14:textId="77777777" w:rsidR="00D16835" w:rsidRDefault="00D16835" w:rsidP="00D16835">
      <w:pPr>
        <w:tabs>
          <w:tab w:val="left" w:pos="702"/>
        </w:tabs>
        <w:spacing w:after="240"/>
        <w:rPr>
          <w:rFonts w:cs="FrankRuehl"/>
          <w:i/>
          <w:iCs/>
          <w:color w:val="000000"/>
          <w:sz w:val="28"/>
          <w:szCs w:val="28"/>
        </w:rPr>
      </w:pPr>
      <w:r>
        <w:rPr>
          <w:rFonts w:cs="FrankRuehl" w:hint="cs"/>
          <w:i/>
          <w:iCs/>
          <w:color w:val="000000"/>
          <w:sz w:val="28"/>
          <w:szCs w:val="28"/>
          <w:rtl/>
        </w:rPr>
        <w:t>ה</w:t>
      </w:r>
      <w:r>
        <w:rPr>
          <w:rFonts w:cs="FrankRuehl"/>
          <w:i/>
          <w:iCs/>
          <w:color w:val="000000"/>
          <w:sz w:val="28"/>
          <w:szCs w:val="28"/>
          <w:rtl/>
        </w:rPr>
        <w:t>(3)(3) מדיניות הענישה הנהוגה</w:t>
      </w:r>
    </w:p>
    <w:p w14:paraId="5B91ABE8"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העונש המרבי על עבירת הסתה לטרור הוא חמש שנות מאסר. העונש המרבי על הזדהות עם ארגון טרור עומד על שלוש שנות מאסר.</w:t>
      </w:r>
    </w:p>
    <w:p w14:paraId="7E7CBBD8"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bookmarkStart w:id="9" w:name="_Ref167295034"/>
      <w:r>
        <w:rPr>
          <w:rFonts w:cs="FrankRuehl"/>
          <w:color w:val="000000"/>
          <w:sz w:val="28"/>
          <w:szCs w:val="28"/>
          <w:rtl/>
        </w:rPr>
        <w:t>אשר למדיניות הענישה הנהוגה, הרי שעיון בפסקי דין שניתנו ביחס למעשים מעין אלה מלמד כי הענישה בעטיים מגוונת, ומושפעת ממכלול של שיקולים. בין היתר ניתן משקל לתוכן הפרסומים, למספרם, לאופן הפרסום, להיקף החשיפה אל הפרסומים, למעמד המפרסם ולמידת ההשפעה הפוטנציאלית שלו, לעיתוי הפרסום, ועוד. עם זאת, נראה שהענישה אינה פוחתת ממספר חודשי מאסר בפועל.</w:t>
      </w:r>
      <w:bookmarkEnd w:id="9"/>
    </w:p>
    <w:p w14:paraId="123F4223" w14:textId="77777777" w:rsidR="00D16835" w:rsidRDefault="00D16835" w:rsidP="00D16835">
      <w:pPr>
        <w:numPr>
          <w:ilvl w:val="0"/>
          <w:numId w:val="1"/>
        </w:numPr>
        <w:tabs>
          <w:tab w:val="left" w:pos="702"/>
        </w:tabs>
        <w:spacing w:after="240" w:line="360" w:lineRule="auto"/>
        <w:ind w:left="-7" w:firstLine="0"/>
        <w:jc w:val="both"/>
        <w:rPr>
          <w:rFonts w:ascii="FrankRuehl" w:hAnsi="FrankRuehl" w:cs="FrankRuehl"/>
          <w:color w:val="FF0000"/>
          <w:sz w:val="28"/>
          <w:szCs w:val="28"/>
        </w:rPr>
      </w:pPr>
      <w:r>
        <w:rPr>
          <w:rFonts w:ascii="FrankRuehl" w:hAnsi="FrankRuehl" w:cs="FrankRuehl"/>
          <w:sz w:val="28"/>
          <w:szCs w:val="28"/>
          <w:rtl/>
        </w:rPr>
        <w:tab/>
      </w:r>
      <w:r>
        <w:rPr>
          <w:rFonts w:cs="FrankRuehl"/>
          <w:color w:val="000000"/>
          <w:sz w:val="28"/>
          <w:szCs w:val="28"/>
          <w:rtl/>
        </w:rPr>
        <w:t>מטבע הדברים, פסיקת בית המשפט העליון ובתי המשפט המחוזיים הקיימת לעת הזו מתייחסת לאירועים שקדמו לאימי שבעה באוקטובר</w:t>
      </w:r>
      <w:r>
        <w:rPr>
          <w:rFonts w:ascii="FrankRuehl" w:hAnsi="FrankRuehl" w:cs="FrankRuehl"/>
          <w:sz w:val="28"/>
          <w:szCs w:val="28"/>
          <w:rtl/>
        </w:rPr>
        <w:t>.</w:t>
      </w:r>
    </w:p>
    <w:p w14:paraId="1FD8E526" w14:textId="77777777" w:rsidR="00D16835" w:rsidRDefault="00D16835" w:rsidP="00D16835">
      <w:pPr>
        <w:tabs>
          <w:tab w:val="left" w:pos="702"/>
        </w:tabs>
        <w:spacing w:after="240" w:line="360" w:lineRule="auto"/>
        <w:ind w:left="-7"/>
        <w:jc w:val="both"/>
        <w:rPr>
          <w:rFonts w:ascii="FrankRuehl" w:hAnsi="FrankRuehl" w:cs="FrankRuehl"/>
          <w:color w:val="FF0000"/>
          <w:sz w:val="28"/>
          <w:szCs w:val="28"/>
        </w:rPr>
      </w:pPr>
      <w:r>
        <w:rPr>
          <w:rFonts w:ascii="FrankRuehl" w:hAnsi="FrankRuehl" w:cs="FrankRuehl"/>
          <w:sz w:val="28"/>
          <w:szCs w:val="28"/>
          <w:rtl/>
        </w:rPr>
        <w:tab/>
        <w:t>כך, ב</w:t>
      </w:r>
      <w:hyperlink r:id="rId72" w:history="1">
        <w:r w:rsidR="00C1395A" w:rsidRPr="00C1395A">
          <w:rPr>
            <w:rFonts w:ascii="FrankRuehl" w:hAnsi="FrankRuehl" w:cs="FrankRuehl"/>
            <w:color w:val="0000FF"/>
            <w:sz w:val="28"/>
            <w:szCs w:val="28"/>
            <w:u w:val="single"/>
            <w:rtl/>
          </w:rPr>
          <w:t>רע"פ 1161/20</w:t>
        </w:r>
      </w:hyperlink>
      <w:r>
        <w:rPr>
          <w:rFonts w:ascii="FrankRuehl" w:hAnsi="FrankRuehl" w:cs="FrankRuehl"/>
          <w:sz w:val="28"/>
          <w:szCs w:val="28"/>
          <w:rtl/>
        </w:rPr>
        <w:t xml:space="preserve"> </w:t>
      </w:r>
      <w:r>
        <w:rPr>
          <w:rFonts w:ascii="Miriam" w:hAnsi="Miriam" w:cs="Miriam"/>
          <w:sz w:val="18"/>
          <w:rtl/>
        </w:rPr>
        <w:t>אבו סלים נ' מדינת ישראל</w:t>
      </w:r>
      <w:r>
        <w:rPr>
          <w:rFonts w:ascii="FrankRuehl" w:hAnsi="FrankRuehl" w:cs="FrankRuehl"/>
          <w:sz w:val="28"/>
          <w:szCs w:val="28"/>
          <w:rtl/>
        </w:rPr>
        <w:t xml:space="preserve"> (24.3.2020) מדובר היה באימאם במסגד, אשר פרסם פרסומים שונים שביטאו תפיסת עולם הזהה לזו של הג'יהאד העולמי, תמיכה בארגון הטרור אל קעידה, ועידוד מעשי אלימות. הפרסומים נעשו בדרכים מגוונות, לרבות בכתב, בעל פה ובאמצעות המרשתת, ובעקבותיהם ננקטו מעשי אלימות קשים נגד יהודים ונוצרים לרבות חטיפה ורצח.</w:t>
      </w:r>
      <w:r>
        <w:rPr>
          <w:rStyle w:val="ac"/>
          <w:rFonts w:ascii="FrankRuehl" w:hAnsi="FrankRuehl" w:cs="FrankRuehl"/>
          <w:sz w:val="28"/>
          <w:szCs w:val="28"/>
          <w:rtl/>
        </w:rPr>
        <w:footnoteReference w:id="2"/>
      </w:r>
      <w:r>
        <w:rPr>
          <w:rFonts w:ascii="FrankRuehl" w:hAnsi="FrankRuehl" w:cs="FrankRuehl"/>
          <w:sz w:val="28"/>
          <w:szCs w:val="28"/>
          <w:rtl/>
        </w:rPr>
        <w:t xml:space="preserve"> הערכאה הדיונית קבעה כי מתחם העונש ההולם נע בין 1.5 ל-4 שנות מאסר, וגזרה על הנאשם 24 חודשי מאסר לצד עונשים נוספים. ערעור הנאשם נדחה, וצוין כי המתחם הוא סביר ואף מקל במידת מה, וכן כי העונש אינו חורג ממדיניות הענישה הנהוגה. גם בקשת רשות ערעור נדחתה, תוך התייחסות לכך שהעונש אינו חורג מן המדיניות המקובלת ומן הענישה הראויה. המקרה שם חמור יותר מן המקרה שכאן מבחינות רבות: מעמד המפרסם וההשפעה שלו, מספר הפרסומים, ההשפעה של </w:t>
      </w:r>
      <w:r w:rsidRPr="009A318B">
        <w:rPr>
          <w:rFonts w:cs="FrankRuehl"/>
          <w:color w:val="000000"/>
          <w:sz w:val="28"/>
          <w:szCs w:val="28"/>
          <w:rtl/>
        </w:rPr>
        <w:t>דרשה</w:t>
      </w:r>
      <w:r>
        <w:rPr>
          <w:rFonts w:ascii="FrankRuehl" w:hAnsi="FrankRuehl" w:cs="FrankRuehl"/>
          <w:sz w:val="28"/>
          <w:szCs w:val="28"/>
          <w:rtl/>
        </w:rPr>
        <w:t xml:space="preserve"> כתובה או בעל פה אל מול פרסום כתוב ברשת החברתית, וכן הגרימה בפועל למעשי טרור קונקרטיים. עם זאת, כאן החשיפה הפוטנציאלית הייתה ליותר אנשים, והפרסום נעשה בעת שבישראל קיים מצב חירום מלחמתי, על כל המשתמע מכך מבחינת ההשפעה האפשרית על מפגעים פוטנציאליים ומבחינת יכולת כוחות הביטחון להתמודד עמם.</w:t>
      </w:r>
    </w:p>
    <w:p w14:paraId="5EDBB1A1" w14:textId="77777777" w:rsidR="00D16835" w:rsidRDefault="00D16835" w:rsidP="00D16835">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ב</w:t>
      </w:r>
      <w:hyperlink r:id="rId73" w:history="1">
        <w:r w:rsidR="00C1395A" w:rsidRPr="00C1395A">
          <w:rPr>
            <w:rFonts w:ascii="FrankRuehl" w:hAnsi="FrankRuehl" w:cs="FrankRuehl"/>
            <w:color w:val="0000FF"/>
            <w:sz w:val="28"/>
            <w:szCs w:val="28"/>
            <w:u w:val="single"/>
            <w:rtl/>
          </w:rPr>
          <w:t>ע"פ (מחוזי נצ') 24933-09-18</w:t>
        </w:r>
      </w:hyperlink>
      <w:r>
        <w:rPr>
          <w:rFonts w:ascii="FrankRuehl" w:hAnsi="FrankRuehl" w:cs="FrankRuehl"/>
          <w:sz w:val="28"/>
          <w:szCs w:val="28"/>
          <w:rtl/>
        </w:rPr>
        <w:t xml:space="preserve"> </w:t>
      </w:r>
      <w:r>
        <w:rPr>
          <w:rFonts w:ascii="Miriam" w:hAnsi="Miriam" w:cs="Miriam"/>
          <w:sz w:val="18"/>
          <w:rtl/>
        </w:rPr>
        <w:t>דארין נ' מדינת ישראל</w:t>
      </w:r>
      <w:r>
        <w:rPr>
          <w:rFonts w:ascii="Miriam" w:hAnsi="Miriam" w:cs="Miriam"/>
          <w:rtl/>
        </w:rPr>
        <w:t xml:space="preserve"> </w:t>
      </w:r>
      <w:r>
        <w:rPr>
          <w:rFonts w:ascii="FrankRuehl" w:hAnsi="FrankRuehl" w:cs="FrankRuehl"/>
          <w:sz w:val="28"/>
          <w:szCs w:val="28"/>
          <w:rtl/>
        </w:rPr>
        <w:t xml:space="preserve">(16.5.2019) מדובר היה בנאשמת שהורשעה בהסתה לטרור בגין שני פרסומי מרשתת, שהאחד שיקף תמיכה באינתיפאדה וכלל את הקריאה "תתנגד", והשני כלל תמונה של מפגעת עם הכיתוב "אני השהיד הבא". ערכאת הערעור זיכתה את הנאשמת מהרשעה בגין פרסום שלישי, אך למרות זאת הותירה על כנו את עונשה – 5 חודשי מאסר </w:t>
      </w:r>
      <w:r w:rsidRPr="009A318B">
        <w:rPr>
          <w:rFonts w:cs="FrankRuehl"/>
          <w:color w:val="000000"/>
          <w:sz w:val="28"/>
          <w:szCs w:val="28"/>
          <w:rtl/>
        </w:rPr>
        <w:t>בפועל</w:t>
      </w:r>
      <w:r>
        <w:rPr>
          <w:rFonts w:ascii="FrankRuehl" w:hAnsi="FrankRuehl" w:cs="FrankRuehl"/>
          <w:sz w:val="28"/>
          <w:szCs w:val="28"/>
          <w:rtl/>
        </w:rPr>
        <w:t xml:space="preserve"> ומאסר על תנאי – בקובעה כי הוא אינו מחמיר ואינו מקים עילה להתערבות. במקרה שכאן, תכני הפרסום אינם קוראים לפעולה באופן כה ישיר ומספר הנחשפים הפוטנציאליים היה נמוך יותר. מנגד, התמיכה היא במעשים נוראים ואיומים במיוחד, והפרסומים נעשו בעת מצב חירום מלחמתי, על כלל השלכותיו כאמור לעיל.</w:t>
      </w:r>
    </w:p>
    <w:p w14:paraId="2D3A4AA0" w14:textId="77777777" w:rsidR="00D16835" w:rsidRDefault="00D16835" w:rsidP="00D16835">
      <w:pPr>
        <w:tabs>
          <w:tab w:val="left" w:pos="702"/>
        </w:tabs>
        <w:spacing w:after="240" w:line="360" w:lineRule="auto"/>
        <w:ind w:left="-7"/>
        <w:jc w:val="both"/>
        <w:rPr>
          <w:rFonts w:ascii="FrankRuehl" w:hAnsi="FrankRuehl" w:cs="FrankRuehl"/>
          <w:color w:val="FF0000"/>
          <w:sz w:val="28"/>
          <w:szCs w:val="28"/>
          <w:rtl/>
        </w:rPr>
      </w:pPr>
      <w:r>
        <w:rPr>
          <w:rFonts w:ascii="FrankRuehl" w:hAnsi="FrankRuehl" w:cs="FrankRuehl"/>
          <w:sz w:val="28"/>
          <w:szCs w:val="28"/>
          <w:rtl/>
        </w:rPr>
        <w:tab/>
        <w:t>ב</w:t>
      </w:r>
      <w:hyperlink r:id="rId74" w:history="1">
        <w:r w:rsidR="00C1395A" w:rsidRPr="00C1395A">
          <w:rPr>
            <w:rFonts w:ascii="FrankRuehl" w:hAnsi="FrankRuehl" w:cs="FrankRuehl"/>
            <w:color w:val="0000FF"/>
            <w:sz w:val="28"/>
            <w:szCs w:val="28"/>
            <w:u w:val="single"/>
            <w:rtl/>
          </w:rPr>
          <w:t>עפ"ג (מרכז) 48097-06-22</w:t>
        </w:r>
      </w:hyperlink>
      <w:r w:rsidR="00C1395A">
        <w:rPr>
          <w:rFonts w:ascii="FrankRuehl" w:hAnsi="FrankRuehl" w:cs="FrankRuehl"/>
          <w:sz w:val="28"/>
          <w:szCs w:val="28"/>
        </w:rPr>
        <w:t xml:space="preserve"> </w:t>
      </w:r>
      <w:r>
        <w:rPr>
          <w:rFonts w:ascii="Miriam" w:hAnsi="Miriam" w:cs="Miriam"/>
          <w:sz w:val="18"/>
          <w:rtl/>
        </w:rPr>
        <w:t>טנוס נ' מדינת ישראל</w:t>
      </w:r>
      <w:r>
        <w:rPr>
          <w:rFonts w:ascii="FrankRuehl" w:hAnsi="FrankRuehl" w:cs="FrankRuehl"/>
          <w:sz w:val="28"/>
          <w:szCs w:val="28"/>
          <w:rtl/>
        </w:rPr>
        <w:t xml:space="preserve"> (8.5.2023) מדובר היה בנאשם כבן 51 נעדר עבר פלילי, אשר פרסם באופן שיטתי, במשך כשלוש שנים ובשלושה חשבונות שונים של הרשת החברתית "פייסבוק", שורה ארוכה של דברי הזדהות ושבח עם ארגוני הטרור חיזבאללה וחמאס. הנאשם המשיך במעשיו גם לאחר שבמהלך התקופה נעצר ונחקר. הערכאה הדיונית קבעה כי מתחם העונש ההולם נע בין 9 ל-25 חודשי מאסר בפועל, וגזרה על הנאשם, נעדר עבר פלילי, 16 חודשי מאסר ולצדם מאסר על תנאי. ערכאת הערעור קבעה כי המתחם שנקבע "מבוסס היטב במדיניות הענישה הנוהגת", אולם בשל נסיבות שאינן קשורות בביצוע העבירה הקלה בעונש והעמידה אותו על 12 חודשי מאסר בפועל. במקרה שכאן מדובר בפחות פרסומים ובתקופה קצרה משמעותית, אולם מנגד בתמיכה במעשים איומים במיוחד, ובעת מצב חירום מלחמתי.</w:t>
      </w:r>
    </w:p>
    <w:p w14:paraId="304DAD80" w14:textId="77777777" w:rsidR="00D16835" w:rsidRDefault="00D16835" w:rsidP="00D16835">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ב</w:t>
      </w:r>
      <w:hyperlink r:id="rId75" w:history="1">
        <w:r w:rsidR="00C1395A" w:rsidRPr="00C1395A">
          <w:rPr>
            <w:rFonts w:ascii="FrankRuehl" w:hAnsi="FrankRuehl" w:cs="FrankRuehl"/>
            <w:color w:val="0000FF"/>
            <w:sz w:val="28"/>
            <w:szCs w:val="28"/>
            <w:u w:val="single"/>
            <w:rtl/>
          </w:rPr>
          <w:t>ת"פ (מחוזי חי') 2060-01-19</w:t>
        </w:r>
      </w:hyperlink>
      <w:r>
        <w:rPr>
          <w:rFonts w:ascii="FrankRuehl" w:hAnsi="FrankRuehl" w:cs="FrankRuehl"/>
          <w:sz w:val="28"/>
          <w:szCs w:val="28"/>
          <w:rtl/>
        </w:rPr>
        <w:t xml:space="preserve"> </w:t>
      </w:r>
      <w:r>
        <w:rPr>
          <w:rFonts w:ascii="Miriam" w:hAnsi="Miriam" w:cs="Miriam"/>
          <w:sz w:val="18"/>
          <w:rtl/>
        </w:rPr>
        <w:t>מדינת ישראל נ' סרחאן</w:t>
      </w:r>
      <w:r>
        <w:rPr>
          <w:rFonts w:ascii="FrankRuehl" w:hAnsi="FrankRuehl" w:cs="FrankRuehl"/>
          <w:rtl/>
        </w:rPr>
        <w:t xml:space="preserve"> </w:t>
      </w:r>
      <w:r>
        <w:rPr>
          <w:rFonts w:ascii="FrankRuehl" w:hAnsi="FrankRuehl" w:cs="FrankRuehl"/>
          <w:sz w:val="28"/>
          <w:szCs w:val="28"/>
          <w:rtl/>
        </w:rPr>
        <w:t xml:space="preserve">(9.1.2022) מדובר היה בנאשם כבן 67 נעדר עבר פלילי, שהורשע, בין היתר, </w:t>
      </w:r>
      <w:r>
        <w:rPr>
          <w:rFonts w:cs="FrankRuehl"/>
          <w:color w:val="000000"/>
          <w:sz w:val="28"/>
          <w:szCs w:val="28"/>
          <w:rtl/>
        </w:rPr>
        <w:t>בעבירה</w:t>
      </w:r>
      <w:r>
        <w:rPr>
          <w:rFonts w:ascii="FrankRuehl" w:hAnsi="FrankRuehl" w:cs="FrankRuehl"/>
          <w:sz w:val="28"/>
          <w:szCs w:val="28"/>
          <w:rtl/>
        </w:rPr>
        <w:t xml:space="preserve"> של הסתה לטרור ובארבע עבירות של גילוי הזהות עם ארגון טרור. הנאשם פרסם ברשת החברתית "פייסבוק" חמישה פרסומים שעניינם תמיכה בארגוני טרור ובמעשיהם, ובאחד מהם גם קרא לפגוע בחיילי צה"ל. נקבע כי מתחם העונש ההולם נע בין 5 ל-18 חודשי מאסר (כאשר העונש נגזר באופן כולל, והתייחס גם לעבירה נוספת). המקרה שכאן חמור פחות מבחינת כמות הפרסומים ותוכנם, שכן לא נכללה בהם קריאה כה ישירה לפעולה, אך מנגד מדובר בתמיכה במעשים איומים במיוחד, ובעת מצב חירום מלחמתי.</w:t>
      </w:r>
    </w:p>
    <w:p w14:paraId="2F05C504" w14:textId="77777777" w:rsidR="00D16835" w:rsidRDefault="00D16835" w:rsidP="00D16835">
      <w:pPr>
        <w:tabs>
          <w:tab w:val="left" w:pos="702"/>
        </w:tabs>
        <w:spacing w:after="240" w:line="360" w:lineRule="auto"/>
        <w:ind w:left="-7"/>
        <w:jc w:val="both"/>
        <w:rPr>
          <w:rFonts w:ascii="FrankRuehl" w:hAnsi="FrankRuehl" w:cs="FrankRuehl"/>
          <w:color w:val="FF0000"/>
          <w:sz w:val="28"/>
          <w:szCs w:val="28"/>
        </w:rPr>
      </w:pPr>
      <w:r>
        <w:rPr>
          <w:rFonts w:ascii="FrankRuehl" w:hAnsi="FrankRuehl" w:cs="FrankRuehl"/>
          <w:sz w:val="28"/>
          <w:szCs w:val="28"/>
          <w:rtl/>
        </w:rPr>
        <w:tab/>
        <w:t>ב</w:t>
      </w:r>
      <w:hyperlink r:id="rId76" w:history="1">
        <w:r w:rsidR="00C1395A" w:rsidRPr="00C1395A">
          <w:rPr>
            <w:rFonts w:ascii="FrankRuehl" w:hAnsi="FrankRuehl" w:cs="FrankRuehl"/>
            <w:color w:val="0000FF"/>
            <w:sz w:val="28"/>
            <w:szCs w:val="28"/>
            <w:u w:val="single"/>
            <w:rtl/>
          </w:rPr>
          <w:t>עפ"ג (מחוזי י-ם) 5007-06-17</w:t>
        </w:r>
      </w:hyperlink>
      <w:r>
        <w:rPr>
          <w:rFonts w:ascii="FrankRuehl" w:hAnsi="FrankRuehl" w:cs="FrankRuehl"/>
          <w:sz w:val="28"/>
          <w:szCs w:val="28"/>
          <w:rtl/>
        </w:rPr>
        <w:t xml:space="preserve"> </w:t>
      </w:r>
      <w:r>
        <w:rPr>
          <w:rFonts w:ascii="Miriam" w:hAnsi="Miriam" w:cs="Miriam"/>
          <w:sz w:val="18"/>
          <w:rtl/>
        </w:rPr>
        <w:t>מדינת ישראל נ' זידאני</w:t>
      </w:r>
      <w:r>
        <w:rPr>
          <w:rFonts w:ascii="FrankRuehl" w:hAnsi="FrankRuehl" w:cs="FrankRuehl"/>
          <w:sz w:val="28"/>
          <w:szCs w:val="28"/>
          <w:rtl/>
        </w:rPr>
        <w:t xml:space="preserve"> (13.7.2017) מדובר היה בנאשם שפרסם ברשת החברתית "פייסבוק" 16 פרסומים הכוללים קריאות למעשי אלימות וטרור, דברי שבח ואהדה למבצעי מעשים כאמור וכן דברי שבח ואהדה לארגוני טרור. הערכאה הדיונית קבעה כי מתחם העונש ההולם נע בין 7 ל-18 חודשי מאסר, וגזרה על הנאשם, צעיר בעל שתי הרשעות קודמות, עונש של 9 חודשי מאסר בפועל, לצד הפעלה של מאסר על תנאי בן 7 חודשים, מחציתו במצטבר. ערעור המדינה נדחה, ונקבע כי אין מקום להתערב במתחם או בעונש. המקרה שכאן חמור פחות מבחינת כמות הפרסומים ותוכנם שאינו כולל קריאה כה ישירה למעשי טרור, אך מנגד מדובר בתמיכה במעשים איומים במיוחד, ובעת מצב חירום מלחמתי.</w:t>
      </w:r>
    </w:p>
    <w:p w14:paraId="0B64092B" w14:textId="77777777" w:rsidR="00D16835" w:rsidRDefault="00D16835" w:rsidP="00D16835">
      <w:pPr>
        <w:numPr>
          <w:ilvl w:val="0"/>
          <w:numId w:val="1"/>
        </w:numPr>
        <w:tabs>
          <w:tab w:val="left" w:pos="702"/>
        </w:tabs>
        <w:spacing w:after="240" w:line="360" w:lineRule="auto"/>
        <w:ind w:left="-7" w:firstLine="0"/>
        <w:jc w:val="both"/>
        <w:rPr>
          <w:rFonts w:ascii="FrankRuehl" w:hAnsi="FrankRuehl" w:cs="FrankRuehl"/>
          <w:color w:val="FF0000"/>
          <w:sz w:val="28"/>
          <w:szCs w:val="28"/>
          <w:u w:val="single"/>
          <w:rtl/>
        </w:rPr>
      </w:pPr>
      <w:r>
        <w:rPr>
          <w:rFonts w:ascii="FrankRuehl" w:hAnsi="FrankRuehl" w:cs="FrankRuehl"/>
          <w:sz w:val="28"/>
          <w:szCs w:val="28"/>
          <w:rtl/>
        </w:rPr>
        <w:t xml:space="preserve">הפסיקה הנזכרת היא כאמור מלפני מאורעות שבעה באוקטובר. לטעמי, מבלי להתעלם מן הזהירות הנדרשת ביחס לאכיפת איסורים הפוגעים בחופש הביטוי, הרי שלגבי ביטויי הסתה מן התקופה הנוכחית יש לקבוע מתחמי ענישה חמורים יותר מאלה שהיו נקבעים בעבר. החמרה זו נובעת הן מן הנִקְלוּת של הביטויים, המשקפים תמיכה במעשים איומים במיוחד, ומקוממים עוד יותר כשהם באים ממי שהוא חלק מן החברה הישראלית, תושב קבע במדינת ישראל שגם נהנה ממשאביה; הן מן השכיחות שלהם, שלהוותנו נראה כי הולכת וגדלה, כך שהפגיעה הגלומה בכל ביטוי הופכת להיות חלק מפגיעה מצרפית כוללת ומשמעותית הרבה יותר; והן מעיתויים במצב </w:t>
      </w:r>
      <w:r>
        <w:rPr>
          <w:rFonts w:cs="FrankRuehl"/>
          <w:color w:val="000000"/>
          <w:sz w:val="28"/>
          <w:szCs w:val="28"/>
          <w:rtl/>
        </w:rPr>
        <w:t>ביטחוני מורכב ונפיץ גם כך, אשר מגדיל את החשש שהם יביאו בפועל למעשי טרור, ובה בעת מקשה על גופי הביטחון להתמודד עם מעשים כאלה.</w:t>
      </w:r>
    </w:p>
    <w:p w14:paraId="17C05A84" w14:textId="77777777" w:rsidR="00D16835" w:rsidRDefault="00D16835" w:rsidP="00D16835">
      <w:pPr>
        <w:numPr>
          <w:ilvl w:val="0"/>
          <w:numId w:val="1"/>
        </w:numPr>
        <w:tabs>
          <w:tab w:val="left" w:pos="702"/>
        </w:tabs>
        <w:spacing w:after="240" w:line="360" w:lineRule="auto"/>
        <w:ind w:left="-7" w:firstLine="0"/>
        <w:jc w:val="both"/>
        <w:rPr>
          <w:rFonts w:ascii="FrankRuehl" w:hAnsi="FrankRuehl" w:cs="FrankRuehl"/>
          <w:sz w:val="28"/>
          <w:szCs w:val="28"/>
        </w:rPr>
      </w:pPr>
      <w:r>
        <w:rPr>
          <w:rFonts w:ascii="FrankRuehl" w:hAnsi="FrankRuehl" w:cs="FrankRuehl"/>
          <w:sz w:val="28"/>
          <w:szCs w:val="28"/>
          <w:rtl/>
        </w:rPr>
        <w:t xml:space="preserve">עיון בפסיקת בתי משפט השלום ביחס להתבטאויות אוהדות לגבי אימי שבעה באוקטובר, שאליה הפנו הצדדים, מלמד כי מתחמי הענישה נעים בין 14-6 חודשים כרף תחתון ל-30-15  חודשים כרף עליון, מקרה מקרה ונסיבותיו, בהתאם לשיקולים שנמנו בפיסקה </w:t>
      </w:r>
      <w:r w:rsidR="00505D0E">
        <w:rPr>
          <w:rFonts w:ascii="FrankRuehl" w:hAnsi="FrankRuehl" w:cs="FrankRuehl"/>
          <w:sz w:val="28"/>
          <w:szCs w:val="28"/>
          <w:rtl/>
        </w:rPr>
        <w:fldChar w:fldCharType="begin"/>
      </w:r>
      <w:r>
        <w:rPr>
          <w:rFonts w:ascii="FrankRuehl" w:hAnsi="FrankRuehl" w:cs="FrankRuehl"/>
          <w:sz w:val="28"/>
          <w:szCs w:val="28"/>
          <w:rtl/>
        </w:rPr>
        <w:instrText xml:space="preserve"> </w:instrText>
      </w:r>
      <w:r>
        <w:rPr>
          <w:rFonts w:ascii="FrankRuehl" w:hAnsi="FrankRuehl" w:cs="FrankRuehl"/>
          <w:sz w:val="28"/>
          <w:szCs w:val="28"/>
        </w:rPr>
        <w:instrText>REF</w:instrText>
      </w:r>
      <w:r>
        <w:rPr>
          <w:rFonts w:ascii="FrankRuehl" w:hAnsi="FrankRuehl" w:cs="FrankRuehl"/>
          <w:sz w:val="28"/>
          <w:szCs w:val="28"/>
          <w:rtl/>
        </w:rPr>
        <w:instrText xml:space="preserve"> _</w:instrText>
      </w:r>
      <w:r>
        <w:rPr>
          <w:rFonts w:ascii="FrankRuehl" w:hAnsi="FrankRuehl" w:cs="FrankRuehl"/>
          <w:sz w:val="28"/>
          <w:szCs w:val="28"/>
        </w:rPr>
        <w:instrText>Ref167295034 \r \h</w:instrText>
      </w:r>
      <w:r>
        <w:rPr>
          <w:rFonts w:ascii="FrankRuehl" w:hAnsi="FrankRuehl" w:cs="FrankRuehl"/>
          <w:sz w:val="28"/>
          <w:szCs w:val="28"/>
          <w:rtl/>
        </w:rPr>
        <w:instrText xml:space="preserve">  \* </w:instrText>
      </w:r>
      <w:r>
        <w:rPr>
          <w:rFonts w:ascii="FrankRuehl" w:hAnsi="FrankRuehl" w:cs="FrankRuehl"/>
          <w:sz w:val="28"/>
          <w:szCs w:val="28"/>
        </w:rPr>
        <w:instrText>MERGEFORMAT</w:instrText>
      </w:r>
      <w:r>
        <w:rPr>
          <w:rFonts w:ascii="FrankRuehl" w:hAnsi="FrankRuehl" w:cs="FrankRuehl"/>
          <w:sz w:val="28"/>
          <w:szCs w:val="28"/>
          <w:rtl/>
        </w:rPr>
        <w:instrText xml:space="preserve"> </w:instrText>
      </w:r>
      <w:r w:rsidR="00505D0E">
        <w:rPr>
          <w:rFonts w:ascii="FrankRuehl" w:hAnsi="FrankRuehl" w:cs="FrankRuehl"/>
          <w:sz w:val="28"/>
          <w:szCs w:val="28"/>
          <w:rtl/>
        </w:rPr>
      </w:r>
      <w:r w:rsidR="00505D0E">
        <w:rPr>
          <w:rFonts w:ascii="FrankRuehl" w:hAnsi="FrankRuehl" w:cs="FrankRuehl"/>
          <w:sz w:val="28"/>
          <w:szCs w:val="28"/>
          <w:rtl/>
        </w:rPr>
        <w:fldChar w:fldCharType="separate"/>
      </w:r>
      <w:r>
        <w:rPr>
          <w:rFonts w:ascii="FrankRuehl" w:hAnsi="FrankRuehl" w:cs="FrankRuehl"/>
          <w:sz w:val="28"/>
          <w:szCs w:val="28"/>
          <w:cs/>
        </w:rPr>
        <w:t>‎</w:t>
      </w:r>
      <w:r>
        <w:rPr>
          <w:rFonts w:ascii="FrankRuehl" w:hAnsi="FrankRuehl" w:cs="FrankRuehl"/>
          <w:sz w:val="28"/>
          <w:szCs w:val="28"/>
        </w:rPr>
        <w:t>31</w:t>
      </w:r>
      <w:r w:rsidR="00505D0E">
        <w:rPr>
          <w:rFonts w:ascii="FrankRuehl" w:hAnsi="FrankRuehl" w:cs="FrankRuehl"/>
          <w:sz w:val="28"/>
          <w:szCs w:val="28"/>
          <w:rtl/>
        </w:rPr>
        <w:fldChar w:fldCharType="end"/>
      </w:r>
      <w:r>
        <w:rPr>
          <w:rFonts w:ascii="FrankRuehl" w:hAnsi="FrankRuehl" w:cs="FrankRuehl"/>
          <w:sz w:val="28"/>
          <w:szCs w:val="28"/>
          <w:rtl/>
        </w:rPr>
        <w:t xml:space="preserve"> לעיל (יצוין כי חלק מפסקי הדין אינם חלוטים, וערעורים בעניינם תלויים ועומדים).</w:t>
      </w:r>
    </w:p>
    <w:p w14:paraId="495D2DA7" w14:textId="77777777" w:rsidR="00D16835" w:rsidRPr="00EC4E34" w:rsidRDefault="00D16835" w:rsidP="00D16835">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 xml:space="preserve">לעניין זה ראו למשל: </w:t>
      </w:r>
      <w:hyperlink r:id="rId77" w:history="1">
        <w:r w:rsidR="00C1395A" w:rsidRPr="00C1395A">
          <w:rPr>
            <w:rFonts w:ascii="FrankRuehl" w:hAnsi="FrankRuehl" w:cs="FrankRuehl"/>
            <w:color w:val="0000FF"/>
            <w:sz w:val="28"/>
            <w:szCs w:val="28"/>
            <w:u w:val="single"/>
            <w:rtl/>
          </w:rPr>
          <w:t>ת"פ (שלום חי') 16356-11-23</w:t>
        </w:r>
      </w:hyperlink>
      <w:r w:rsidRPr="00EC4E34">
        <w:rPr>
          <w:rStyle w:val="Hyperlink"/>
          <w:rFonts w:ascii="FrankRuehl" w:hAnsi="FrankRuehl" w:cs="FrankRuehl" w:hint="cs"/>
          <w:b/>
          <w:bCs/>
          <w:sz w:val="28"/>
          <w:szCs w:val="28"/>
          <w:rtl/>
        </w:rPr>
        <w:t xml:space="preserve"> </w:t>
      </w:r>
      <w:r>
        <w:rPr>
          <w:rFonts w:ascii="Miriam" w:hAnsi="Miriam" w:cs="Miriam"/>
          <w:rtl/>
        </w:rPr>
        <w:t>מדינת ישראל נ' עטור</w:t>
      </w:r>
      <w:r w:rsidRPr="00EC4E34">
        <w:rPr>
          <w:rtl/>
        </w:rPr>
        <w:t xml:space="preserve"> </w:t>
      </w:r>
      <w:r w:rsidRPr="00EC4E34">
        <w:rPr>
          <w:rFonts w:ascii="FrankRuehl" w:hAnsi="FrankRuehl" w:cs="FrankRuehl"/>
          <w:sz w:val="28"/>
          <w:szCs w:val="28"/>
          <w:rtl/>
        </w:rPr>
        <w:t>(</w:t>
      </w:r>
      <w:r w:rsidRPr="005361BC">
        <w:rPr>
          <w:rFonts w:ascii="FrankRuehl" w:hAnsi="FrankRuehl" w:cs="FrankRuehl"/>
          <w:sz w:val="28"/>
          <w:szCs w:val="28"/>
          <w:rtl/>
        </w:rPr>
        <w:t>5.2.2024),</w:t>
      </w:r>
      <w:r w:rsidRPr="00EC4E34">
        <w:rPr>
          <w:rtl/>
        </w:rPr>
        <w:t xml:space="preserve"> </w:t>
      </w:r>
      <w:hyperlink r:id="rId78" w:history="1">
        <w:r w:rsidR="00C1395A" w:rsidRPr="00C1395A">
          <w:rPr>
            <w:rFonts w:ascii="FrankRuehl" w:hAnsi="FrankRuehl" w:cs="FrankRuehl"/>
            <w:color w:val="0000FF"/>
            <w:sz w:val="28"/>
            <w:szCs w:val="28"/>
            <w:u w:val="single"/>
            <w:rtl/>
          </w:rPr>
          <w:t>ת"פ (שלום כפ"ס) 20248-11-23</w:t>
        </w:r>
      </w:hyperlink>
      <w:r w:rsidRPr="00EC4E34">
        <w:rPr>
          <w:rStyle w:val="Hyperlink"/>
          <w:rFonts w:ascii="FrankRuehl" w:hAnsi="FrankRuehl" w:cs="FrankRuehl"/>
          <w:sz w:val="28"/>
          <w:szCs w:val="28"/>
          <w:rtl/>
        </w:rPr>
        <w:t xml:space="preserve"> </w:t>
      </w:r>
      <w:r>
        <w:rPr>
          <w:rFonts w:ascii="Miriam" w:hAnsi="Miriam" w:cs="Miriam"/>
          <w:rtl/>
        </w:rPr>
        <w:t>מדינת ישראל נ' בראנסי</w:t>
      </w:r>
      <w:r w:rsidRPr="00D77012">
        <w:rPr>
          <w:rStyle w:val="Hyperlink"/>
          <w:rFonts w:ascii="FrankRuehl" w:hAnsi="FrankRuehl" w:cs="FrankRuehl"/>
          <w:sz w:val="28"/>
          <w:szCs w:val="28"/>
          <w:rtl/>
        </w:rPr>
        <w:t xml:space="preserve"> </w:t>
      </w:r>
      <w:r w:rsidRPr="00EC4E34">
        <w:rPr>
          <w:rtl/>
        </w:rPr>
        <w:t>(</w:t>
      </w:r>
      <w:r w:rsidRPr="005361BC">
        <w:rPr>
          <w:rFonts w:ascii="FrankRuehl" w:hAnsi="FrankRuehl" w:cs="FrankRuehl"/>
          <w:sz w:val="28"/>
          <w:szCs w:val="28"/>
          <w:rtl/>
        </w:rPr>
        <w:t>18.4.2024)</w:t>
      </w:r>
      <w:r w:rsidRPr="00EC4E34">
        <w:rPr>
          <w:rtl/>
        </w:rPr>
        <w:t xml:space="preserve">, </w:t>
      </w:r>
      <w:r w:rsidRPr="00EC4E34">
        <w:rPr>
          <w:rFonts w:ascii="FrankRuehl" w:hAnsi="FrankRuehl" w:cs="FrankRuehl"/>
          <w:sz w:val="28"/>
          <w:szCs w:val="28"/>
          <w:rtl/>
        </w:rPr>
        <w:t>ו</w:t>
      </w:r>
      <w:hyperlink r:id="rId79" w:history="1">
        <w:r w:rsidR="00C1395A" w:rsidRPr="00C1395A">
          <w:rPr>
            <w:rFonts w:ascii="FrankRuehl" w:hAnsi="FrankRuehl" w:cs="FrankRuehl"/>
            <w:color w:val="0000FF"/>
            <w:sz w:val="28"/>
            <w:szCs w:val="28"/>
            <w:u w:val="single"/>
            <w:rtl/>
          </w:rPr>
          <w:t>ת"פ (שלום חד') 52346-10-23</w:t>
        </w:r>
      </w:hyperlink>
      <w:r w:rsidRPr="00D77012">
        <w:rPr>
          <w:rStyle w:val="Hyperlink"/>
          <w:rFonts w:ascii="FrankRuehl" w:hAnsi="FrankRuehl" w:cs="FrankRuehl"/>
          <w:sz w:val="28"/>
          <w:szCs w:val="28"/>
          <w:rtl/>
        </w:rPr>
        <w:t xml:space="preserve"> </w:t>
      </w:r>
      <w:r>
        <w:rPr>
          <w:rFonts w:ascii="Miriam" w:hAnsi="Miriam" w:cs="Miriam"/>
          <w:rtl/>
        </w:rPr>
        <w:t>מדינת ישראל נ' מרעי</w:t>
      </w:r>
      <w:r w:rsidRPr="00D77012">
        <w:rPr>
          <w:rStyle w:val="Hyperlink"/>
          <w:rFonts w:ascii="FrankRuehl" w:hAnsi="FrankRuehl" w:cs="FrankRuehl"/>
          <w:sz w:val="28"/>
          <w:szCs w:val="28"/>
          <w:rtl/>
        </w:rPr>
        <w:t xml:space="preserve"> </w:t>
      </w:r>
      <w:r w:rsidRPr="00EC4E34">
        <w:rPr>
          <w:rtl/>
        </w:rPr>
        <w:t>(</w:t>
      </w:r>
      <w:r w:rsidRPr="00FC48B9">
        <w:rPr>
          <w:rFonts w:ascii="FrankRuehl" w:hAnsi="FrankRuehl" w:cs="FrankRuehl"/>
          <w:sz w:val="28"/>
          <w:szCs w:val="28"/>
          <w:rtl/>
        </w:rPr>
        <w:t>11.3.</w:t>
      </w:r>
      <w:r w:rsidRPr="00EC4E34">
        <w:rPr>
          <w:rFonts w:ascii="FrankRuehl" w:hAnsi="FrankRuehl" w:cs="FrankRuehl"/>
          <w:sz w:val="28"/>
          <w:szCs w:val="28"/>
          <w:rtl/>
        </w:rPr>
        <w:t>2024), שבשלושתם היה מדובר היה בפרסום יחיד ונקבע מתחם שבין 6 ל-15 חודשי מאסר;</w:t>
      </w:r>
      <w:r w:rsidRPr="00EC4E34">
        <w:rPr>
          <w:rtl/>
        </w:rPr>
        <w:t xml:space="preserve"> </w:t>
      </w:r>
      <w:hyperlink r:id="rId80" w:history="1">
        <w:r w:rsidR="00C1395A" w:rsidRPr="00C1395A">
          <w:rPr>
            <w:rFonts w:ascii="FrankRuehl" w:hAnsi="FrankRuehl" w:cs="FrankRuehl"/>
            <w:color w:val="0000FF"/>
            <w:sz w:val="28"/>
            <w:szCs w:val="28"/>
            <w:u w:val="single"/>
            <w:rtl/>
          </w:rPr>
          <w:t>ת"פ (שלום חי') 36839-10-23</w:t>
        </w:r>
      </w:hyperlink>
      <w:r>
        <w:rPr>
          <w:rFonts w:ascii="FrankRuehl" w:hAnsi="FrankRuehl" w:cs="FrankRuehl"/>
          <w:sz w:val="28"/>
          <w:szCs w:val="28"/>
          <w:rtl/>
        </w:rPr>
        <w:t xml:space="preserve"> </w:t>
      </w:r>
      <w:r>
        <w:rPr>
          <w:rFonts w:ascii="Miriam" w:hAnsi="Miriam" w:cs="Miriam"/>
          <w:sz w:val="18"/>
          <w:rtl/>
        </w:rPr>
        <w:t>מדינת ישראל נ' דיאב</w:t>
      </w:r>
      <w:r>
        <w:rPr>
          <w:rFonts w:ascii="FrankRuehl" w:hAnsi="FrankRuehl" w:cs="FrankRuehl"/>
          <w:sz w:val="28"/>
          <w:szCs w:val="28"/>
          <w:rtl/>
        </w:rPr>
        <w:t xml:space="preserve"> (5.2.2024), שם מדובר היה בפרסום יחיד ונקבע מתחם שבין 7 ל-15 חודשי מאסר (הנאשם חזר בו מערעור שהגיש); </w:t>
      </w:r>
      <w:hyperlink r:id="rId81" w:history="1">
        <w:r w:rsidR="00C1395A" w:rsidRPr="00C1395A">
          <w:rPr>
            <w:rFonts w:ascii="FrankRuehl" w:hAnsi="FrankRuehl" w:cs="FrankRuehl"/>
            <w:color w:val="0000FF"/>
            <w:sz w:val="28"/>
            <w:szCs w:val="28"/>
            <w:u w:val="single"/>
            <w:rtl/>
          </w:rPr>
          <w:t>ת"פ (שלום חי') 49087-10-23</w:t>
        </w:r>
      </w:hyperlink>
      <w:r w:rsidRPr="00EC4E34">
        <w:rPr>
          <w:rFonts w:ascii="FrankRuehl" w:hAnsi="FrankRuehl" w:cs="FrankRuehl"/>
          <w:sz w:val="28"/>
          <w:szCs w:val="28"/>
          <w:rtl/>
        </w:rPr>
        <w:t xml:space="preserve"> </w:t>
      </w:r>
      <w:r w:rsidRPr="00E9005C">
        <w:rPr>
          <w:rFonts w:ascii="Miriam" w:hAnsi="Miriam" w:cs="Miriam"/>
          <w:rtl/>
        </w:rPr>
        <w:t>מדינת ישראל נ' זיוד</w:t>
      </w:r>
      <w:r w:rsidRPr="00EC4E34">
        <w:rPr>
          <w:rFonts w:ascii="FrankRuehl" w:hAnsi="FrankRuehl" w:cs="FrankRuehl"/>
          <w:sz w:val="28"/>
          <w:szCs w:val="28"/>
          <w:rtl/>
        </w:rPr>
        <w:t xml:space="preserve"> (11.4.2024) ות"פ (שלום חד') 19003-10-23</w:t>
      </w:r>
      <w:r w:rsidRPr="00D17963">
        <w:rPr>
          <w:rStyle w:val="Hyperlink"/>
          <w:rFonts w:ascii="FrankRuehl" w:hAnsi="FrankRuehl" w:cs="FrankRuehl" w:hint="cs"/>
          <w:sz w:val="28"/>
          <w:szCs w:val="28"/>
          <w:rtl/>
        </w:rPr>
        <w:t xml:space="preserve"> </w:t>
      </w:r>
      <w:r w:rsidRPr="00E9005C">
        <w:rPr>
          <w:rFonts w:ascii="Miriam" w:hAnsi="Miriam" w:cs="Miriam"/>
          <w:rtl/>
        </w:rPr>
        <w:t>מדינת ישראל נ' מחאגנה</w:t>
      </w:r>
      <w:r w:rsidRPr="00EC4E34">
        <w:rPr>
          <w:rFonts w:ascii="FrankRuehl" w:hAnsi="FrankRuehl" w:cs="FrankRuehl"/>
          <w:sz w:val="28"/>
          <w:szCs w:val="28"/>
          <w:rtl/>
        </w:rPr>
        <w:t xml:space="preserve"> (28.5.2024), שבשניהם מדובר היה בפרסום יחיד ונקבע מתחם שבין 8 ל-18 חודשי מאסר; </w:t>
      </w:r>
      <w:hyperlink r:id="rId82" w:history="1">
        <w:r w:rsidR="00C1395A" w:rsidRPr="00C1395A">
          <w:rPr>
            <w:rFonts w:ascii="FrankRuehl" w:hAnsi="FrankRuehl" w:cs="FrankRuehl"/>
            <w:color w:val="0000FF"/>
            <w:sz w:val="28"/>
            <w:szCs w:val="28"/>
            <w:u w:val="single"/>
            <w:rtl/>
          </w:rPr>
          <w:t>ת"פ (שלום י-ם) 21127-11-23</w:t>
        </w:r>
      </w:hyperlink>
      <w:r>
        <w:rPr>
          <w:rFonts w:ascii="FrankRuehl" w:hAnsi="FrankRuehl" w:cs="FrankRuehl"/>
          <w:sz w:val="28"/>
          <w:szCs w:val="28"/>
          <w:rtl/>
        </w:rPr>
        <w:t xml:space="preserve"> </w:t>
      </w:r>
      <w:r w:rsidRPr="00E9005C">
        <w:rPr>
          <w:rFonts w:ascii="Miriam" w:hAnsi="Miriam" w:cs="Miriam"/>
          <w:rtl/>
        </w:rPr>
        <w:t>מדינת ישראל נ' משאהרה</w:t>
      </w:r>
      <w:r>
        <w:rPr>
          <w:rFonts w:ascii="FrankRuehl" w:hAnsi="FrankRuehl" w:cs="FrankRuehl"/>
          <w:sz w:val="28"/>
          <w:szCs w:val="28"/>
          <w:rtl/>
        </w:rPr>
        <w:t xml:space="preserve">  (18.3.2024), שם מדובר היה בשני פרסומים, ונקבע מתחם שבין 7 ל-15 חודשי מאסר בפועל; </w:t>
      </w:r>
      <w:hyperlink r:id="rId83" w:history="1">
        <w:r w:rsidR="00C1395A" w:rsidRPr="00C1395A">
          <w:rPr>
            <w:rFonts w:ascii="FrankRuehl" w:hAnsi="FrankRuehl" w:cs="FrankRuehl"/>
            <w:color w:val="0000FF"/>
            <w:sz w:val="28"/>
            <w:szCs w:val="28"/>
            <w:u w:val="single"/>
            <w:rtl/>
          </w:rPr>
          <w:t>ת"פ (שלום נצ') 29806-11-23</w:t>
        </w:r>
      </w:hyperlink>
      <w:r w:rsidRPr="00EC4E34">
        <w:rPr>
          <w:rFonts w:ascii="FrankRuehl" w:hAnsi="FrankRuehl" w:cs="FrankRuehl"/>
          <w:sz w:val="28"/>
          <w:szCs w:val="28"/>
          <w:rtl/>
        </w:rPr>
        <w:t xml:space="preserve"> </w:t>
      </w:r>
      <w:r w:rsidRPr="00E9005C">
        <w:rPr>
          <w:rFonts w:ascii="Miriam" w:hAnsi="Miriam" w:cs="Miriam"/>
          <w:rtl/>
        </w:rPr>
        <w:t xml:space="preserve">מדינת ישראל נ' </w:t>
      </w:r>
      <w:r>
        <w:rPr>
          <w:rFonts w:ascii="Miriam" w:hAnsi="Miriam" w:cs="Miriam" w:hint="cs"/>
          <w:rtl/>
        </w:rPr>
        <w:t>אבראהים</w:t>
      </w:r>
      <w:r w:rsidRPr="00EC4E34">
        <w:rPr>
          <w:rFonts w:ascii="FrankRuehl" w:hAnsi="FrankRuehl" w:cs="FrankRuehl"/>
          <w:sz w:val="28"/>
          <w:szCs w:val="28"/>
          <w:rtl/>
        </w:rPr>
        <w:t xml:space="preserve"> (</w:t>
      </w:r>
      <w:r>
        <w:rPr>
          <w:rFonts w:ascii="FrankRuehl" w:hAnsi="FrankRuehl" w:cs="FrankRuehl" w:hint="cs"/>
          <w:sz w:val="28"/>
          <w:szCs w:val="28"/>
          <w:rtl/>
        </w:rPr>
        <w:t>23.6</w:t>
      </w:r>
      <w:r w:rsidRPr="00EC4E34">
        <w:rPr>
          <w:rFonts w:ascii="FrankRuehl" w:hAnsi="FrankRuehl" w:cs="FrankRuehl"/>
          <w:sz w:val="28"/>
          <w:szCs w:val="28"/>
          <w:rtl/>
        </w:rPr>
        <w:t xml:space="preserve">.2024), שם מדובר היה בשלושה פרסומים ונקבע מתחם שבין </w:t>
      </w:r>
      <w:r>
        <w:rPr>
          <w:rFonts w:ascii="FrankRuehl" w:hAnsi="FrankRuehl" w:cs="FrankRuehl" w:hint="cs"/>
          <w:sz w:val="28"/>
          <w:szCs w:val="28"/>
          <w:rtl/>
        </w:rPr>
        <w:t>8</w:t>
      </w:r>
      <w:r w:rsidRPr="00EC4E34">
        <w:rPr>
          <w:rFonts w:ascii="FrankRuehl" w:hAnsi="FrankRuehl" w:cs="FrankRuehl"/>
          <w:sz w:val="28"/>
          <w:szCs w:val="28"/>
          <w:rtl/>
        </w:rPr>
        <w:t xml:space="preserve"> ל-</w:t>
      </w:r>
      <w:r>
        <w:rPr>
          <w:rFonts w:ascii="FrankRuehl" w:hAnsi="FrankRuehl" w:cs="FrankRuehl" w:hint="cs"/>
          <w:sz w:val="28"/>
          <w:szCs w:val="28"/>
          <w:rtl/>
        </w:rPr>
        <w:t>15</w:t>
      </w:r>
      <w:r w:rsidRPr="00EC4E34">
        <w:rPr>
          <w:rFonts w:ascii="FrankRuehl" w:hAnsi="FrankRuehl" w:cs="FrankRuehl"/>
          <w:sz w:val="28"/>
          <w:szCs w:val="28"/>
          <w:rtl/>
        </w:rPr>
        <w:t xml:space="preserve"> חודשי מאסר; </w:t>
      </w:r>
      <w:hyperlink r:id="rId84" w:history="1">
        <w:r w:rsidR="00C1395A" w:rsidRPr="00C1395A">
          <w:rPr>
            <w:rFonts w:ascii="FrankRuehl" w:hAnsi="FrankRuehl" w:cs="FrankRuehl"/>
            <w:color w:val="0000FF"/>
            <w:sz w:val="28"/>
            <w:szCs w:val="28"/>
            <w:u w:val="single"/>
            <w:rtl/>
          </w:rPr>
          <w:t>ת"פ (שלום חד') 46815-10-23</w:t>
        </w:r>
      </w:hyperlink>
      <w:r w:rsidRPr="00EC4E34">
        <w:rPr>
          <w:rFonts w:ascii="FrankRuehl" w:hAnsi="FrankRuehl" w:cs="FrankRuehl"/>
          <w:sz w:val="28"/>
          <w:szCs w:val="28"/>
          <w:rtl/>
        </w:rPr>
        <w:t xml:space="preserve"> </w:t>
      </w:r>
      <w:r w:rsidRPr="00E9005C">
        <w:rPr>
          <w:rFonts w:ascii="Miriam" w:hAnsi="Miriam" w:cs="Miriam"/>
          <w:rtl/>
        </w:rPr>
        <w:t>מדינת ישראל נ' יונס</w:t>
      </w:r>
      <w:r w:rsidRPr="00EC4E34">
        <w:rPr>
          <w:rFonts w:ascii="FrankRuehl" w:hAnsi="FrankRuehl" w:cs="FrankRuehl"/>
          <w:sz w:val="28"/>
          <w:szCs w:val="28"/>
          <w:rtl/>
        </w:rPr>
        <w:t xml:space="preserve"> (26.2.2024), שם מדובר היה בשלושה פרסומים ונקבע מתחם שבין 9 ל-24 חודשי מאסר (אם כי בערעור ההליך הוחזר לבית משפט קמא בשל אי בהירות בסעיפי ההרשעה); </w:t>
      </w:r>
      <w:hyperlink r:id="rId85" w:history="1">
        <w:r w:rsidR="00C1395A" w:rsidRPr="00C1395A">
          <w:rPr>
            <w:rFonts w:ascii="FrankRuehl" w:hAnsi="FrankRuehl" w:cs="FrankRuehl"/>
            <w:color w:val="0000FF"/>
            <w:sz w:val="28"/>
            <w:szCs w:val="28"/>
            <w:u w:val="single"/>
            <w:rtl/>
          </w:rPr>
          <w:t>ת"פ (שלום חי') 1335-11-23</w:t>
        </w:r>
      </w:hyperlink>
      <w:r w:rsidRPr="00EC4E34">
        <w:rPr>
          <w:rFonts w:ascii="FrankRuehl" w:hAnsi="FrankRuehl" w:cs="FrankRuehl"/>
          <w:sz w:val="28"/>
          <w:szCs w:val="28"/>
          <w:rtl/>
        </w:rPr>
        <w:t xml:space="preserve"> </w:t>
      </w:r>
      <w:r w:rsidRPr="00E9005C">
        <w:rPr>
          <w:rFonts w:ascii="Miriam" w:hAnsi="Miriam" w:cs="Miriam"/>
          <w:rtl/>
        </w:rPr>
        <w:t>מדינת ישראל נ' בדראן</w:t>
      </w:r>
      <w:r w:rsidRPr="00EC4E34">
        <w:rPr>
          <w:rFonts w:ascii="FrankRuehl" w:hAnsi="FrankRuehl" w:cs="FrankRuehl"/>
          <w:sz w:val="28"/>
          <w:szCs w:val="28"/>
          <w:rtl/>
        </w:rPr>
        <w:t xml:space="preserve"> (5.2.2024), שם מדובר היה בחמישה פרסומים ונקבע מתחם שבין 9 ל-18 חודשי מאסר; </w:t>
      </w:r>
      <w:hyperlink r:id="rId86" w:history="1">
        <w:r w:rsidR="00C1395A" w:rsidRPr="00C1395A">
          <w:rPr>
            <w:rFonts w:ascii="FrankRuehl" w:hAnsi="FrankRuehl" w:cs="FrankRuehl"/>
            <w:color w:val="0000FF"/>
            <w:sz w:val="28"/>
            <w:szCs w:val="28"/>
            <w:u w:val="single"/>
            <w:rtl/>
          </w:rPr>
          <w:t>ת"פ (שלום חי') 17604-11-23</w:t>
        </w:r>
      </w:hyperlink>
      <w:r w:rsidRPr="00EC4E34">
        <w:rPr>
          <w:rFonts w:ascii="FrankRuehl" w:hAnsi="FrankRuehl" w:cs="FrankRuehl"/>
          <w:sz w:val="28"/>
          <w:szCs w:val="28"/>
          <w:rtl/>
        </w:rPr>
        <w:t xml:space="preserve"> </w:t>
      </w:r>
      <w:r w:rsidRPr="00E9005C">
        <w:rPr>
          <w:rFonts w:ascii="Miriam" w:hAnsi="Miriam" w:cs="Miriam"/>
          <w:rtl/>
        </w:rPr>
        <w:t>פרקליטות מחוז חיפה - פלילי נ' עזאם</w:t>
      </w:r>
      <w:r w:rsidRPr="00EC4E34">
        <w:rPr>
          <w:rFonts w:ascii="FrankRuehl" w:hAnsi="FrankRuehl" w:cs="FrankRuehl"/>
          <w:sz w:val="28"/>
          <w:szCs w:val="28"/>
          <w:rtl/>
        </w:rPr>
        <w:t xml:space="preserve"> (26.3.2024), שם מדובר היה בשבעה פרסומים ונקבע מתחם שבין 12 ל-28 חודשי מאסר; ו</w:t>
      </w:r>
      <w:hyperlink r:id="rId87" w:history="1">
        <w:r w:rsidR="00C1395A" w:rsidRPr="00C1395A">
          <w:rPr>
            <w:rFonts w:ascii="FrankRuehl" w:hAnsi="FrankRuehl" w:cs="FrankRuehl"/>
            <w:color w:val="0000FF"/>
            <w:sz w:val="28"/>
            <w:szCs w:val="28"/>
            <w:u w:val="single"/>
            <w:rtl/>
          </w:rPr>
          <w:t>ת"פ (שלום חי') 17577-11-23</w:t>
        </w:r>
      </w:hyperlink>
      <w:r>
        <w:rPr>
          <w:rFonts w:ascii="FrankRuehl" w:hAnsi="FrankRuehl" w:cs="FrankRuehl"/>
          <w:sz w:val="28"/>
          <w:szCs w:val="28"/>
          <w:rtl/>
        </w:rPr>
        <w:t xml:space="preserve"> </w:t>
      </w:r>
      <w:r w:rsidRPr="00E9005C">
        <w:rPr>
          <w:rFonts w:ascii="Miriam" w:hAnsi="Miriam" w:cs="Miriam"/>
          <w:rtl/>
        </w:rPr>
        <w:t>מדינת ישראל נ' נעאמנה</w:t>
      </w:r>
      <w:r>
        <w:rPr>
          <w:rFonts w:ascii="FrankRuehl" w:hAnsi="FrankRuehl" w:cs="FrankRuehl"/>
          <w:sz w:val="28"/>
          <w:szCs w:val="28"/>
          <w:rtl/>
        </w:rPr>
        <w:t xml:space="preserve"> (5.3.2024), שם מדובר היה בארבעה עשר פרסומים ונקבע מתחם שבין </w:t>
      </w:r>
      <w:r w:rsidRPr="00EC4E34">
        <w:rPr>
          <w:rFonts w:ascii="FrankRuehl" w:hAnsi="FrankRuehl" w:cs="FrankRuehl"/>
          <w:sz w:val="28"/>
          <w:szCs w:val="28"/>
          <w:rtl/>
        </w:rPr>
        <w:t>14 ל-30 חודשי מאסר.</w:t>
      </w:r>
    </w:p>
    <w:p w14:paraId="16AD463F" w14:textId="77777777" w:rsidR="00D16835" w:rsidRDefault="00D16835" w:rsidP="00D16835">
      <w:pPr>
        <w:tabs>
          <w:tab w:val="left" w:pos="702"/>
        </w:tabs>
        <w:spacing w:after="240"/>
        <w:ind w:left="-7"/>
        <w:rPr>
          <w:color w:val="000000"/>
          <w:rtl/>
        </w:rPr>
      </w:pPr>
      <w:r>
        <w:rPr>
          <w:rFonts w:cs="FrankRuehl" w:hint="cs"/>
          <w:i/>
          <w:iCs/>
          <w:color w:val="000000"/>
          <w:sz w:val="28"/>
          <w:szCs w:val="28"/>
          <w:rtl/>
        </w:rPr>
        <w:t>ה</w:t>
      </w:r>
      <w:r>
        <w:rPr>
          <w:rFonts w:cs="FrankRuehl"/>
          <w:i/>
          <w:iCs/>
          <w:color w:val="000000"/>
          <w:sz w:val="28"/>
          <w:szCs w:val="28"/>
          <w:rtl/>
        </w:rPr>
        <w:t>(3)(4) המסקנה בעניין מתחם העונש ההולם למעשי הנאשם</w:t>
      </w:r>
      <w:r>
        <w:rPr>
          <w:rFonts w:cs="FrankRuehl"/>
          <w:color w:val="000000"/>
          <w:sz w:val="28"/>
          <w:szCs w:val="28"/>
          <w:rtl/>
        </w:rPr>
        <w:t xml:space="preserve"> </w:t>
      </w:r>
      <w:r>
        <w:rPr>
          <w:rFonts w:cs="FrankRuehl"/>
          <w:i/>
          <w:iCs/>
          <w:color w:val="000000"/>
          <w:sz w:val="28"/>
          <w:szCs w:val="28"/>
          <w:rtl/>
        </w:rPr>
        <w:t>באישום השני</w:t>
      </w:r>
    </w:p>
    <w:p w14:paraId="106CABEB"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על רקע הערכים החברתיים שנפגעו; על רקע נסיבות ביצוע העבירות על ידי הנאשם ומידת הפגיעה בערכים כעולה מן האמור לעיל, לרבות בגין מספר הפרסומים ומהותם; על רקע פסקי הדין שהובאו; כמו גם על רקע עמדתי שלפיה לעת הזו יש להחמיר בענישה בגין הסתה לטרור</w:t>
      </w:r>
      <w:r>
        <w:rPr>
          <w:rFonts w:ascii="FrankRuehl" w:hAnsi="FrankRuehl" w:cs="FrankRuehl"/>
          <w:color w:val="000000"/>
          <w:sz w:val="28"/>
          <w:szCs w:val="28"/>
          <w:rtl/>
        </w:rPr>
        <w:t>, אך יש לעשות זאת באופן הדרגתי –</w:t>
      </w:r>
      <w:r>
        <w:rPr>
          <w:rFonts w:cs="FrankRuehl"/>
          <w:color w:val="000000"/>
          <w:sz w:val="28"/>
          <w:szCs w:val="28"/>
          <w:rtl/>
        </w:rPr>
        <w:t xml:space="preserve"> סבורני כי במקרה שכאן יש להעמיד את מתחם העונש ההולם על בין 9 ל-18 חודשי מאסר בפועל.</w:t>
      </w:r>
    </w:p>
    <w:p w14:paraId="340BFF5C"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המאשימה טענה כי יש לכלול במתחם גם עונש של קנס, אולם איני סבור כך. זאת הן נוכח עונש המאסר שייגזר על הנאשם לתקופה לא מבוטלת, והן משום שלא מדובר בעבירה בעלת היבטים כלכליים ישירים (ראו והשוו: </w:t>
      </w:r>
      <w:hyperlink r:id="rId88" w:history="1">
        <w:r w:rsidR="00C1395A" w:rsidRPr="00C1395A">
          <w:rPr>
            <w:rFonts w:cs="FrankRuehl"/>
            <w:color w:val="0000FF"/>
            <w:sz w:val="28"/>
            <w:szCs w:val="28"/>
            <w:u w:val="single"/>
            <w:rtl/>
          </w:rPr>
          <w:t>ע"פ 671/19</w:t>
        </w:r>
      </w:hyperlink>
      <w:r>
        <w:rPr>
          <w:rFonts w:cs="FrankRuehl"/>
          <w:color w:val="000000"/>
          <w:sz w:val="28"/>
          <w:szCs w:val="28"/>
          <w:rtl/>
        </w:rPr>
        <w:t xml:space="preserve"> </w:t>
      </w:r>
      <w:r>
        <w:rPr>
          <w:rFonts w:ascii="Miriam" w:hAnsi="Miriam" w:cs="Miriam"/>
          <w:rtl/>
        </w:rPr>
        <w:t>אבוטבול נ' מדינת ישראל</w:t>
      </w:r>
      <w:r>
        <w:rPr>
          <w:rFonts w:cs="FrankRuehl"/>
          <w:color w:val="000000"/>
          <w:sz w:val="28"/>
          <w:szCs w:val="28"/>
          <w:rtl/>
        </w:rPr>
        <w:t>, פיסקה 13 (7.10.2019)).</w:t>
      </w:r>
    </w:p>
    <w:p w14:paraId="4B502D9C" w14:textId="77777777" w:rsidR="00D16835" w:rsidRDefault="00D16835" w:rsidP="00D16835">
      <w:pPr>
        <w:tabs>
          <w:tab w:val="left" w:pos="702"/>
        </w:tabs>
        <w:spacing w:after="240"/>
        <w:ind w:left="-7"/>
        <w:rPr>
          <w:rFonts w:cs="FrankRuehl"/>
          <w:color w:val="000000"/>
          <w:sz w:val="28"/>
          <w:szCs w:val="28"/>
        </w:rPr>
      </w:pPr>
      <w:r>
        <w:rPr>
          <w:rFonts w:cs="FrankRuehl" w:hint="cs"/>
          <w:color w:val="000000"/>
          <w:sz w:val="28"/>
          <w:szCs w:val="28"/>
          <w:rtl/>
        </w:rPr>
        <w:t>ה</w:t>
      </w:r>
      <w:r>
        <w:rPr>
          <w:rFonts w:cs="FrankRuehl"/>
          <w:color w:val="000000"/>
          <w:sz w:val="28"/>
          <w:szCs w:val="28"/>
          <w:rtl/>
        </w:rPr>
        <w:t xml:space="preserve">(4) </w:t>
      </w:r>
      <w:r>
        <w:rPr>
          <w:rFonts w:cs="FrankRuehl"/>
          <w:color w:val="000000"/>
          <w:sz w:val="28"/>
          <w:szCs w:val="28"/>
          <w:u w:val="single"/>
          <w:rtl/>
        </w:rPr>
        <w:t>העונש המתאים לנאשם בתוך המתחמים</w:t>
      </w:r>
    </w:p>
    <w:p w14:paraId="5DF2948F"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המתחמים יש להתחשב בנסיבות שאינן קשורות בביצוע העבירות (</w:t>
      </w:r>
      <w:hyperlink r:id="rId89" w:history="1">
        <w:r w:rsidR="001463D9" w:rsidRPr="001463D9">
          <w:rPr>
            <w:rStyle w:val="Hyperlink"/>
            <w:rFonts w:cs="FrankRuehl"/>
            <w:sz w:val="28"/>
            <w:szCs w:val="28"/>
            <w:rtl/>
          </w:rPr>
          <w:t>סעיף 40יא</w:t>
        </w:r>
      </w:hyperlink>
      <w:r>
        <w:rPr>
          <w:rFonts w:cs="FrankRuehl"/>
          <w:color w:val="000000"/>
          <w:sz w:val="28"/>
          <w:szCs w:val="28"/>
          <w:rtl/>
        </w:rPr>
        <w:t xml:space="preserve"> ל</w:t>
      </w:r>
      <w:hyperlink r:id="rId90" w:history="1">
        <w:r w:rsidR="00C1395A" w:rsidRPr="00C1395A">
          <w:rPr>
            <w:rFonts w:cs="FrankRuehl"/>
            <w:color w:val="0000FF"/>
            <w:sz w:val="28"/>
            <w:szCs w:val="28"/>
            <w:u w:val="single"/>
            <w:rtl/>
          </w:rPr>
          <w:t>חוק העונשין</w:t>
        </w:r>
      </w:hyperlink>
      <w:r>
        <w:rPr>
          <w:rFonts w:cs="FrankRuehl"/>
          <w:color w:val="000000"/>
          <w:sz w:val="28"/>
          <w:szCs w:val="28"/>
          <w:rtl/>
        </w:rPr>
        <w:t>) וכן בשיקולי הרתעה אישית והרתעת הרבים (</w:t>
      </w:r>
      <w:hyperlink r:id="rId91" w:history="1">
        <w:r w:rsidR="00C8317E" w:rsidRPr="00C8317E">
          <w:rPr>
            <w:rStyle w:val="Hyperlink"/>
            <w:rFonts w:cs="FrankRuehl"/>
            <w:sz w:val="28"/>
            <w:szCs w:val="28"/>
            <w:rtl/>
          </w:rPr>
          <w:t>סעיפים 40ו-ז</w:t>
        </w:r>
      </w:hyperlink>
      <w:r>
        <w:rPr>
          <w:rFonts w:cs="FrankRuehl"/>
          <w:color w:val="000000"/>
          <w:sz w:val="28"/>
          <w:szCs w:val="28"/>
          <w:rtl/>
        </w:rPr>
        <w:t xml:space="preserve"> לחוק).</w:t>
      </w:r>
    </w:p>
    <w:p w14:paraId="3E3A1874"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במקרה שכאן מדובר בנאשם כבן 23. למרבה הצער, חרף גילו הצעיר אין זו הפעם הראשונה שבה מורשע הנאשם בפלילים, שכן כאמור הוא הורשע בעבירת סמים משנת 2021, שבגינה ריצה מאסר בפועל למשך 11 חודשים, ואף הורשע לאחרונה בשתי עבירות התפרצות לבניין שאינו בית מגורים וביצוע גניבה, שבגינן נגזר עליו עונש של 5.5 חודשי מאסר בפועל (ולצדו עונשים נוספים). מנגד יש ליתן משקל משמעותי לכך שהנאשם הודה בעובדות כתב האישום במסגרת הסדר טיעון, קיבל אחריות למעשיו ואף הביא לחיסכון במשאבי גורמי האכיפה ובית המשפט. כמו כן העבר הפלילי אינו כולל הרשעות בעבירות נשק או בעבירות על רקע לאומני, ועל כן המשקל שיש ליתן לשיקולי הרתעה אישית הוא מתון.</w:t>
      </w:r>
    </w:p>
    <w:p w14:paraId="55C8E033"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עם זאת, בקביעת העונש שיש להטיל על הנאשם בגין עבירות ההסתה וההזדהות עם ארגון טרור יש ליתן לטעמי משקל של ממש גם לשיקולי הרתעת הרבים, וזאת על רקע העלייה ההולכת וגוברת במעשי הסתה ממין זה, כאמור, </w:t>
      </w:r>
      <w:r>
        <w:rPr>
          <w:rFonts w:ascii="FrankRuehl" w:hAnsi="FrankRuehl" w:cs="FrankRuehl"/>
          <w:sz w:val="28"/>
          <w:szCs w:val="28"/>
          <w:rtl/>
        </w:rPr>
        <w:t>שהפכו נפוצים יותר ויותר בכלל, וברשתות החברתיות בפרט</w:t>
      </w:r>
      <w:r>
        <w:rPr>
          <w:rFonts w:cs="FrankRuehl"/>
          <w:color w:val="000000"/>
          <w:sz w:val="28"/>
          <w:szCs w:val="28"/>
          <w:rtl/>
        </w:rPr>
        <w:t>. באופן עקרוני יש ליתן משקל לשיקולים אלה גם בנוגע לעבירת נשיאת הנשק שבה הורשע הנאשם, אולם מפסיקת בית המשפט העליון עולה כי שם המתחם עוצב מראש גם בראי שיקולים כאמור.</w:t>
      </w:r>
    </w:p>
    <w:p w14:paraId="164DD800"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hint="cs"/>
          <w:color w:val="000000"/>
          <w:sz w:val="28"/>
          <w:szCs w:val="28"/>
          <w:rtl/>
        </w:rPr>
        <w:t>באיזון בין השיקולים השונים</w:t>
      </w:r>
      <w:r>
        <w:rPr>
          <w:rFonts w:cs="FrankRuehl"/>
          <w:color w:val="000000"/>
          <w:sz w:val="28"/>
          <w:szCs w:val="28"/>
          <w:rtl/>
        </w:rPr>
        <w:t>, סבורני כי יש לגזור את עונשו של הנאשם לא רחוק מן הרף התחתון של המתחם למעשה נשיאת הנשק שבאישום הראשון, ובחלק העליון של השליש התחתון של המתחם למעשי ההסתה וההזדהות עם ארגון טרור שבאישום השני.</w:t>
      </w:r>
    </w:p>
    <w:p w14:paraId="436438D0"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bookmarkStart w:id="11" w:name="_Ref170745385"/>
      <w:r>
        <w:rPr>
          <w:rFonts w:cs="FrankRuehl"/>
          <w:color w:val="000000"/>
          <w:sz w:val="28"/>
          <w:szCs w:val="28"/>
          <w:rtl/>
        </w:rPr>
        <w:t xml:space="preserve">נוכח עמדת המאשימה עצמה, שממנה עלה כי היא סבורה שיש להורות על חפיפה מסוימת בין העונשים (ראו הערת שוליים </w:t>
      </w:r>
      <w:r w:rsidR="00505D0E">
        <w:rPr>
          <w:rFonts w:cs="FrankRuehl"/>
          <w:color w:val="000000"/>
          <w:sz w:val="28"/>
          <w:szCs w:val="28"/>
          <w:rtl/>
        </w:rPr>
        <w:fldChar w:fldCharType="begin"/>
      </w:r>
      <w:r>
        <w:rPr>
          <w:rFonts w:cs="FrankRuehl"/>
          <w:color w:val="000000"/>
          <w:sz w:val="28"/>
          <w:szCs w:val="28"/>
          <w:rtl/>
        </w:rPr>
        <w:instrText xml:space="preserve"> </w:instrText>
      </w:r>
      <w:r>
        <w:rPr>
          <w:rFonts w:cs="FrankRuehl"/>
          <w:color w:val="000000"/>
          <w:sz w:val="28"/>
          <w:szCs w:val="28"/>
        </w:rPr>
        <w:instrText>NOTEREF</w:instrText>
      </w:r>
      <w:r>
        <w:rPr>
          <w:rFonts w:cs="FrankRuehl"/>
          <w:color w:val="000000"/>
          <w:sz w:val="28"/>
          <w:szCs w:val="28"/>
          <w:rtl/>
        </w:rPr>
        <w:instrText xml:space="preserve"> _</w:instrText>
      </w:r>
      <w:r>
        <w:rPr>
          <w:rFonts w:cs="FrankRuehl"/>
          <w:color w:val="000000"/>
          <w:sz w:val="28"/>
          <w:szCs w:val="28"/>
        </w:rPr>
        <w:instrText>Ref170063524 \h</w:instrText>
      </w:r>
      <w:r>
        <w:rPr>
          <w:rFonts w:cs="FrankRuehl"/>
          <w:color w:val="000000"/>
          <w:sz w:val="28"/>
          <w:szCs w:val="28"/>
          <w:rtl/>
        </w:rPr>
        <w:instrText xml:space="preserve"> </w:instrText>
      </w:r>
      <w:r w:rsidR="00505D0E">
        <w:rPr>
          <w:rFonts w:cs="FrankRuehl"/>
          <w:color w:val="000000"/>
          <w:sz w:val="28"/>
          <w:szCs w:val="28"/>
          <w:rtl/>
        </w:rPr>
      </w:r>
      <w:r w:rsidR="00505D0E">
        <w:rPr>
          <w:rFonts w:cs="FrankRuehl"/>
          <w:color w:val="000000"/>
          <w:sz w:val="28"/>
          <w:szCs w:val="28"/>
          <w:rtl/>
        </w:rPr>
        <w:fldChar w:fldCharType="separate"/>
      </w:r>
      <w:r>
        <w:rPr>
          <w:rFonts w:cs="FrankRuehl"/>
          <w:color w:val="000000"/>
          <w:sz w:val="28"/>
          <w:szCs w:val="28"/>
          <w:rtl/>
        </w:rPr>
        <w:t>1</w:t>
      </w:r>
      <w:r w:rsidR="00505D0E">
        <w:rPr>
          <w:rFonts w:cs="FrankRuehl"/>
          <w:color w:val="000000"/>
          <w:sz w:val="28"/>
          <w:szCs w:val="28"/>
          <w:rtl/>
        </w:rPr>
        <w:fldChar w:fldCharType="end"/>
      </w:r>
      <w:r>
        <w:rPr>
          <w:rFonts w:cs="FrankRuehl"/>
          <w:color w:val="000000"/>
          <w:sz w:val="28"/>
          <w:szCs w:val="28"/>
          <w:rtl/>
        </w:rPr>
        <w:t>), ונוכח גילו הצעיר של הנאשם</w:t>
      </w:r>
      <w:r>
        <w:rPr>
          <w:rFonts w:cs="FrankRuehl" w:hint="cs"/>
          <w:color w:val="000000"/>
          <w:sz w:val="28"/>
          <w:szCs w:val="28"/>
          <w:rtl/>
        </w:rPr>
        <w:t xml:space="preserve"> והתקווה כי דבריו בדיון אכן משקפים כוונה כנה לשינוי דרכיו</w:t>
      </w:r>
      <w:r>
        <w:rPr>
          <w:rFonts w:cs="FrankRuehl"/>
          <w:color w:val="000000"/>
          <w:sz w:val="28"/>
          <w:szCs w:val="28"/>
          <w:rtl/>
        </w:rPr>
        <w:t>, אורה כן גם אני, כך שעונשו הכולל של הנאשם יועמד על 33 חודשי מאסר בפועל לצד מאסר על תנאי כמפורט להלן.</w:t>
      </w:r>
      <w:bookmarkEnd w:id="11"/>
    </w:p>
    <w:p w14:paraId="76E461F8" w14:textId="77777777" w:rsidR="00D16835" w:rsidRDefault="00D16835" w:rsidP="00D16835">
      <w:pPr>
        <w:tabs>
          <w:tab w:val="left" w:pos="702"/>
        </w:tabs>
        <w:spacing w:after="240"/>
        <w:rPr>
          <w:rFonts w:cs="FrankRuehl"/>
          <w:color w:val="000000"/>
          <w:sz w:val="28"/>
          <w:szCs w:val="28"/>
        </w:rPr>
      </w:pPr>
      <w:r>
        <w:rPr>
          <w:rFonts w:cs="FrankRuehl" w:hint="cs"/>
          <w:color w:val="000000"/>
          <w:sz w:val="28"/>
          <w:szCs w:val="28"/>
          <w:rtl/>
        </w:rPr>
        <w:t>ה</w:t>
      </w:r>
      <w:r>
        <w:rPr>
          <w:rFonts w:cs="FrankRuehl"/>
          <w:color w:val="000000"/>
          <w:sz w:val="28"/>
          <w:szCs w:val="28"/>
          <w:rtl/>
        </w:rPr>
        <w:t xml:space="preserve">(5) </w:t>
      </w:r>
      <w:r>
        <w:rPr>
          <w:rFonts w:cs="FrankRuehl"/>
          <w:color w:val="000000"/>
          <w:sz w:val="28"/>
          <w:szCs w:val="28"/>
          <w:u w:val="single"/>
          <w:rtl/>
        </w:rPr>
        <w:t>היחס לעונש מאסר נוסף שמרצה הנאשם וניכוי ימי המעצר</w:t>
      </w:r>
    </w:p>
    <w:p w14:paraId="328F6234"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הנאשם עצור מתחילת ההליך שכאן, אולם החל מיום 26.6.24 החל לרצות במקביל את עונש המאסר בפועל בן 5.5 חודשים שהוטל עליו בגין עבירות ההתפרצות והגניבה.</w:t>
      </w:r>
    </w:p>
    <w:p w14:paraId="41B72927"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כידוע, </w:t>
      </w:r>
      <w:hyperlink r:id="rId92" w:history="1">
        <w:r w:rsidR="00C8317E" w:rsidRPr="00C8317E">
          <w:rPr>
            <w:rStyle w:val="Hyperlink"/>
            <w:rFonts w:cs="FrankRuehl"/>
            <w:sz w:val="28"/>
            <w:szCs w:val="28"/>
            <w:rtl/>
          </w:rPr>
          <w:t>סעיף 45(ב)</w:t>
        </w:r>
      </w:hyperlink>
      <w:r>
        <w:rPr>
          <w:rFonts w:cs="FrankRuehl"/>
          <w:color w:val="000000"/>
          <w:sz w:val="28"/>
          <w:szCs w:val="28"/>
          <w:rtl/>
        </w:rPr>
        <w:t xml:space="preserve"> ל</w:t>
      </w:r>
      <w:hyperlink r:id="rId93" w:history="1">
        <w:r w:rsidR="00C1395A" w:rsidRPr="00C1395A">
          <w:rPr>
            <w:rFonts w:cs="FrankRuehl"/>
            <w:color w:val="0000FF"/>
            <w:sz w:val="28"/>
            <w:szCs w:val="28"/>
            <w:u w:val="single"/>
            <w:rtl/>
          </w:rPr>
          <w:t>חוק העונשין</w:t>
        </w:r>
      </w:hyperlink>
      <w:r>
        <w:rPr>
          <w:rFonts w:cs="FrankRuehl"/>
          <w:color w:val="000000"/>
          <w:sz w:val="28"/>
          <w:szCs w:val="28"/>
          <w:rtl/>
        </w:rPr>
        <w:t xml:space="preserve"> קובע כי בהעדר החלטה אחרת הכלל במצב זה הוא שהעונשים ירוצו באופן חופף במלואו. עם זאת, כבר נקבע כי בשאלה האם יש להורות על חפיפה או הצטברות יש ליתן משקל למידת הזיקה בין העבירות, למהות העבירות וחומרתן, למידת הפגיעה, לשיקולי הרתעה ועוד (ראו למשל </w:t>
      </w:r>
      <w:hyperlink r:id="rId94" w:history="1">
        <w:r w:rsidR="00C1395A" w:rsidRPr="00C1395A">
          <w:rPr>
            <w:rFonts w:cs="FrankRuehl"/>
            <w:color w:val="0000FF"/>
            <w:sz w:val="28"/>
            <w:szCs w:val="28"/>
            <w:u w:val="single"/>
            <w:rtl/>
          </w:rPr>
          <w:t>ע"פ 7786/21</w:t>
        </w:r>
      </w:hyperlink>
      <w:r>
        <w:rPr>
          <w:rFonts w:cs="FrankRuehl"/>
          <w:color w:val="000000"/>
          <w:sz w:val="28"/>
          <w:szCs w:val="28"/>
          <w:rtl/>
        </w:rPr>
        <w:t xml:space="preserve"> </w:t>
      </w:r>
      <w:r>
        <w:rPr>
          <w:rFonts w:ascii="Century" w:hAnsi="Century" w:cs="Miriam"/>
          <w:b/>
          <w:sz w:val="22"/>
          <w:rtl/>
        </w:rPr>
        <w:t>אזמה נ' מדינת ישראל</w:t>
      </w:r>
      <w:r>
        <w:rPr>
          <w:rFonts w:cs="FrankRuehl"/>
          <w:color w:val="000000"/>
          <w:sz w:val="28"/>
          <w:szCs w:val="28"/>
          <w:rtl/>
        </w:rPr>
        <w:t>, פיסקאות 62-61 (14.7.2022)). הודגש כי "במקרים בהם מדובר באירועים נפרדים, אשר מקימים עבירות נפרדות, חפיפת עונשים איננה עולה בקנה אחד עם עיקרון ההלימה, ובמיוחד במקרים בהם מדובר בחפיפה מלאה של עונשים שהוטלו בהליכים שונים" (</w:t>
      </w:r>
      <w:hyperlink r:id="rId95" w:history="1">
        <w:r w:rsidR="00C1395A" w:rsidRPr="00C1395A">
          <w:rPr>
            <w:rFonts w:cs="FrankRuehl"/>
            <w:color w:val="0000FF"/>
            <w:sz w:val="28"/>
            <w:szCs w:val="28"/>
            <w:u w:val="single"/>
            <w:rtl/>
          </w:rPr>
          <w:t>רע"פ 3589/17</w:t>
        </w:r>
      </w:hyperlink>
      <w:r>
        <w:rPr>
          <w:rFonts w:cs="FrankRuehl"/>
          <w:color w:val="000000"/>
          <w:sz w:val="28"/>
          <w:szCs w:val="28"/>
          <w:rtl/>
        </w:rPr>
        <w:t xml:space="preserve"> </w:t>
      </w:r>
      <w:r>
        <w:rPr>
          <w:rFonts w:ascii="Century" w:hAnsi="Century" w:cs="Miriam"/>
          <w:b/>
          <w:sz w:val="22"/>
          <w:rtl/>
        </w:rPr>
        <w:t>שמואל נ' מדינת ישראל</w:t>
      </w:r>
      <w:r>
        <w:rPr>
          <w:rFonts w:cs="FrankRuehl"/>
          <w:color w:val="000000"/>
          <w:sz w:val="28"/>
          <w:szCs w:val="28"/>
          <w:rtl/>
        </w:rPr>
        <w:t xml:space="preserve">, פיסקה 28 (10.2.2020); ראו גם </w:t>
      </w:r>
      <w:hyperlink r:id="rId96" w:history="1">
        <w:r w:rsidR="00C1395A" w:rsidRPr="00C1395A">
          <w:rPr>
            <w:rFonts w:cs="FrankRuehl"/>
            <w:color w:val="0000FF"/>
            <w:sz w:val="28"/>
            <w:szCs w:val="28"/>
            <w:u w:val="single"/>
            <w:rtl/>
          </w:rPr>
          <w:t>ע"פ 7907/14</w:t>
        </w:r>
      </w:hyperlink>
      <w:r>
        <w:rPr>
          <w:rFonts w:cs="FrankRuehl"/>
          <w:color w:val="000000"/>
          <w:sz w:val="28"/>
          <w:szCs w:val="28"/>
          <w:rtl/>
        </w:rPr>
        <w:t xml:space="preserve"> </w:t>
      </w:r>
      <w:r>
        <w:rPr>
          <w:rFonts w:ascii="Arial TUR" w:hAnsi="Arial TUR" w:cs="Miriam"/>
          <w:rtl/>
        </w:rPr>
        <w:t>ואזנה נ' מדינת ישראל</w:t>
      </w:r>
      <w:r>
        <w:rPr>
          <w:rFonts w:cs="FrankRuehl"/>
          <w:color w:val="000000"/>
          <w:sz w:val="28"/>
          <w:szCs w:val="28"/>
          <w:rtl/>
        </w:rPr>
        <w:t>, פיסקאות 18-16 (22.2.2015)).</w:t>
      </w:r>
    </w:p>
    <w:p w14:paraId="2AB282DA"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במקרה שכאן, אין זיקה כלשהי בין העבירות בשני ההליכים</w:t>
      </w:r>
      <w:r>
        <w:rPr>
          <w:rFonts w:cs="FrankRuehl" w:hint="cs"/>
          <w:color w:val="000000"/>
          <w:sz w:val="28"/>
          <w:szCs w:val="28"/>
          <w:rtl/>
        </w:rPr>
        <w:t>,</w:t>
      </w:r>
      <w:r>
        <w:rPr>
          <w:rFonts w:cs="FrankRuehl"/>
          <w:color w:val="000000"/>
          <w:sz w:val="28"/>
          <w:szCs w:val="28"/>
          <w:rtl/>
        </w:rPr>
        <w:t xml:space="preserve"> שכן עיתויין שונה ומהותן שונה. כמו כן יש לציין כי בית המשפט בהליך הנוסף ציין שהעונש שהוטל שם על הנאשם הוא מקל. לפיכך, על פניו אין מקום להקלה נוספת, ויש להורות כי העונש בהליך שכאן ירוצה במצטבר לעונש בהליך הנוסף.</w:t>
      </w:r>
    </w:p>
    <w:p w14:paraId="1D52BC31"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עם זאת, בשים לב לכך שריצוי העונש בגין ההליך הנוסף החל לפני </w:t>
      </w:r>
      <w:r>
        <w:rPr>
          <w:rFonts w:cs="FrankRuehl" w:hint="cs"/>
          <w:color w:val="000000"/>
          <w:sz w:val="28"/>
          <w:szCs w:val="28"/>
          <w:rtl/>
        </w:rPr>
        <w:t>כשבועיים</w:t>
      </w:r>
      <w:r>
        <w:rPr>
          <w:rFonts w:cs="FrankRuehl"/>
          <w:color w:val="000000"/>
          <w:sz w:val="28"/>
          <w:szCs w:val="28"/>
          <w:rtl/>
        </w:rPr>
        <w:t>, שבמהלכ</w:t>
      </w:r>
      <w:r>
        <w:rPr>
          <w:rFonts w:cs="FrankRuehl" w:hint="cs"/>
          <w:color w:val="000000"/>
          <w:sz w:val="28"/>
          <w:szCs w:val="28"/>
          <w:rtl/>
        </w:rPr>
        <w:t>ם</w:t>
      </w:r>
      <w:r>
        <w:rPr>
          <w:rFonts w:cs="FrankRuehl"/>
          <w:color w:val="000000"/>
          <w:sz w:val="28"/>
          <w:szCs w:val="28"/>
          <w:rtl/>
        </w:rPr>
        <w:t xml:space="preserve"> הוסיף הנאשם להיות עצור בגין ההליך שכאן </w:t>
      </w:r>
      <w:r>
        <w:rPr>
          <w:rFonts w:cs="FrankRuehl" w:hint="cs"/>
          <w:color w:val="000000"/>
          <w:sz w:val="28"/>
          <w:szCs w:val="28"/>
          <w:rtl/>
        </w:rPr>
        <w:t xml:space="preserve">כאשר </w:t>
      </w:r>
      <w:r>
        <w:rPr>
          <w:rFonts w:cs="FrankRuehl"/>
          <w:color w:val="000000"/>
          <w:sz w:val="28"/>
          <w:szCs w:val="28"/>
          <w:rtl/>
        </w:rPr>
        <w:t>תנאי המעצר נוקשים מתנאי המאסר,</w:t>
      </w:r>
      <w:r>
        <w:rPr>
          <w:rFonts w:cs="FrankRuehl" w:hint="cs"/>
          <w:color w:val="000000"/>
          <w:sz w:val="28"/>
          <w:szCs w:val="28"/>
          <w:rtl/>
        </w:rPr>
        <w:t xml:space="preserve"> כמו גם לשיקולים לעניין חפיפת העונשים (פיסקה </w:t>
      </w:r>
      <w:r w:rsidR="00505D0E">
        <w:rPr>
          <w:rFonts w:cs="FrankRuehl"/>
          <w:color w:val="000000"/>
          <w:sz w:val="28"/>
          <w:szCs w:val="28"/>
          <w:rtl/>
        </w:rPr>
        <w:fldChar w:fldCharType="begin"/>
      </w:r>
      <w:r>
        <w:rPr>
          <w:rFonts w:cs="FrankRuehl"/>
          <w:color w:val="000000"/>
          <w:sz w:val="28"/>
          <w:szCs w:val="28"/>
          <w:rtl/>
        </w:rPr>
        <w:instrText xml:space="preserve"> </w:instrText>
      </w:r>
      <w:r>
        <w:rPr>
          <w:rFonts w:cs="FrankRuehl" w:hint="cs"/>
          <w:color w:val="000000"/>
          <w:sz w:val="28"/>
          <w:szCs w:val="28"/>
        </w:rPr>
        <w:instrText>REF</w:instrText>
      </w:r>
      <w:r>
        <w:rPr>
          <w:rFonts w:cs="FrankRuehl" w:hint="cs"/>
          <w:color w:val="000000"/>
          <w:sz w:val="28"/>
          <w:szCs w:val="28"/>
          <w:rtl/>
        </w:rPr>
        <w:instrText xml:space="preserve"> _</w:instrText>
      </w:r>
      <w:r>
        <w:rPr>
          <w:rFonts w:cs="FrankRuehl" w:hint="cs"/>
          <w:color w:val="000000"/>
          <w:sz w:val="28"/>
          <w:szCs w:val="28"/>
        </w:rPr>
        <w:instrText>Ref170745385 \r \h</w:instrText>
      </w:r>
      <w:r>
        <w:rPr>
          <w:rFonts w:cs="FrankRuehl"/>
          <w:color w:val="000000"/>
          <w:sz w:val="28"/>
          <w:szCs w:val="28"/>
          <w:rtl/>
        </w:rPr>
        <w:instrText xml:space="preserve"> </w:instrText>
      </w:r>
      <w:r w:rsidR="00505D0E">
        <w:rPr>
          <w:rFonts w:cs="FrankRuehl"/>
          <w:color w:val="000000"/>
          <w:sz w:val="28"/>
          <w:szCs w:val="28"/>
          <w:rtl/>
        </w:rPr>
      </w:r>
      <w:r w:rsidR="00505D0E">
        <w:rPr>
          <w:rFonts w:cs="FrankRuehl"/>
          <w:color w:val="000000"/>
          <w:sz w:val="28"/>
          <w:szCs w:val="28"/>
          <w:rtl/>
        </w:rPr>
        <w:fldChar w:fldCharType="separate"/>
      </w:r>
      <w:r>
        <w:rPr>
          <w:rFonts w:cs="FrankRuehl"/>
          <w:color w:val="000000"/>
          <w:sz w:val="28"/>
          <w:szCs w:val="28"/>
          <w:cs/>
        </w:rPr>
        <w:t>‎</w:t>
      </w:r>
      <w:r>
        <w:rPr>
          <w:rFonts w:cs="FrankRuehl"/>
          <w:color w:val="000000"/>
          <w:sz w:val="28"/>
          <w:szCs w:val="28"/>
        </w:rPr>
        <w:t>41</w:t>
      </w:r>
      <w:r w:rsidR="00505D0E">
        <w:rPr>
          <w:rFonts w:cs="FrankRuehl"/>
          <w:color w:val="000000"/>
          <w:sz w:val="28"/>
          <w:szCs w:val="28"/>
          <w:rtl/>
        </w:rPr>
        <w:fldChar w:fldCharType="end"/>
      </w:r>
      <w:r>
        <w:rPr>
          <w:rFonts w:cs="FrankRuehl" w:hint="cs"/>
          <w:color w:val="000000"/>
          <w:sz w:val="28"/>
          <w:szCs w:val="28"/>
          <w:rtl/>
        </w:rPr>
        <w:t xml:space="preserve"> לעיל),</w:t>
      </w:r>
      <w:r>
        <w:rPr>
          <w:rFonts w:cs="FrankRuehl"/>
          <w:color w:val="000000"/>
          <w:sz w:val="28"/>
          <w:szCs w:val="28"/>
          <w:rtl/>
        </w:rPr>
        <w:t xml:space="preserve"> אני מורה כי מן העונש שמרצה הנאשם בהליך שכאן ינוכו כלל ימי מעצרו, היינו גם הימים שבהם הוא היה נתון במקביל במאסר בגין ההליך הנוסף (לאפשרות להורות כך במקרים חריגים ראו למשל </w:t>
      </w:r>
      <w:hyperlink r:id="rId97" w:history="1">
        <w:r w:rsidR="00C1395A" w:rsidRPr="00C1395A">
          <w:rPr>
            <w:rFonts w:cs="FrankRuehl"/>
            <w:color w:val="0000FF"/>
            <w:sz w:val="28"/>
            <w:szCs w:val="28"/>
            <w:u w:val="single"/>
            <w:rtl/>
          </w:rPr>
          <w:t>ע"פ 2805/15</w:t>
        </w:r>
      </w:hyperlink>
      <w:r>
        <w:rPr>
          <w:rFonts w:cs="FrankRuehl"/>
          <w:color w:val="000000"/>
          <w:sz w:val="28"/>
          <w:szCs w:val="28"/>
          <w:rtl/>
        </w:rPr>
        <w:t xml:space="preserve"> </w:t>
      </w:r>
      <w:r>
        <w:rPr>
          <w:rFonts w:ascii="Arial TUR" w:hAnsi="Arial TUR" w:cs="Miriam"/>
          <w:rtl/>
        </w:rPr>
        <w:t>סגייר נ' מדינת ישראל</w:t>
      </w:r>
      <w:r>
        <w:rPr>
          <w:rFonts w:cs="FrankRuehl"/>
          <w:color w:val="000000"/>
          <w:sz w:val="28"/>
          <w:szCs w:val="28"/>
          <w:rtl/>
        </w:rPr>
        <w:t xml:space="preserve">, פיסקה 19 (24.7.2017); </w:t>
      </w:r>
      <w:hyperlink r:id="rId98" w:history="1">
        <w:r w:rsidR="00C1395A" w:rsidRPr="00C1395A">
          <w:rPr>
            <w:rFonts w:cs="FrankRuehl"/>
            <w:color w:val="0000FF"/>
            <w:sz w:val="28"/>
            <w:szCs w:val="28"/>
            <w:u w:val="single"/>
            <w:rtl/>
          </w:rPr>
          <w:t>ע"פ 3242/19</w:t>
        </w:r>
      </w:hyperlink>
      <w:r>
        <w:rPr>
          <w:rFonts w:cs="FrankRuehl"/>
          <w:color w:val="000000"/>
          <w:sz w:val="28"/>
          <w:szCs w:val="28"/>
          <w:rtl/>
        </w:rPr>
        <w:t xml:space="preserve"> </w:t>
      </w:r>
      <w:r>
        <w:rPr>
          <w:rFonts w:ascii="Arial TUR" w:hAnsi="Arial TUR" w:cs="Miriam"/>
          <w:rtl/>
        </w:rPr>
        <w:t>היועץ המשפטי לממשלה נ' אלציק</w:t>
      </w:r>
      <w:r>
        <w:rPr>
          <w:rFonts w:cs="FrankRuehl"/>
          <w:color w:val="000000"/>
          <w:sz w:val="28"/>
          <w:szCs w:val="28"/>
          <w:rtl/>
        </w:rPr>
        <w:t>, פיסקה 14 (18.8.2019)). תוצאה זו שקולה לתוצאה של חפיפה חלקית למשך אותו פרק זמן.</w:t>
      </w:r>
    </w:p>
    <w:p w14:paraId="0A0A52DC" w14:textId="77777777" w:rsidR="00D16835" w:rsidRDefault="00D16835" w:rsidP="00D16835">
      <w:pPr>
        <w:keepNext/>
        <w:spacing w:after="240"/>
        <w:rPr>
          <w:rFonts w:cs="Miriam"/>
          <w:color w:val="000000"/>
        </w:rPr>
      </w:pPr>
      <w:r>
        <w:rPr>
          <w:rFonts w:cs="Miriam" w:hint="cs"/>
          <w:color w:val="000000"/>
          <w:rtl/>
        </w:rPr>
        <w:t>ו</w:t>
      </w:r>
      <w:r>
        <w:rPr>
          <w:rFonts w:cs="Miriam"/>
          <w:color w:val="000000"/>
          <w:rtl/>
        </w:rPr>
        <w:t>. סיכום</w:t>
      </w:r>
    </w:p>
    <w:p w14:paraId="49197818"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נוכח כל האמור, נגזרים בזאת על הנאשם העונשים הבאים:</w:t>
      </w:r>
    </w:p>
    <w:p w14:paraId="71211711" w14:textId="77777777" w:rsidR="00D16835" w:rsidRDefault="00D16835" w:rsidP="00D16835">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 xml:space="preserve">33 חודשי מאסר בפועל, שיימנו החל מיום מעצרו בגין הליך שכאן (היינו כולל אותם ימי מעצר שבהם הנאשם ריצה </w:t>
      </w:r>
      <w:r>
        <w:rPr>
          <w:rFonts w:cs="FrankRuehl" w:hint="cs"/>
          <w:color w:val="000000"/>
          <w:sz w:val="28"/>
          <w:szCs w:val="28"/>
          <w:rtl/>
        </w:rPr>
        <w:t xml:space="preserve">גם </w:t>
      </w:r>
      <w:r>
        <w:rPr>
          <w:rFonts w:cs="FrankRuehl"/>
          <w:color w:val="000000"/>
          <w:sz w:val="28"/>
          <w:szCs w:val="28"/>
          <w:rtl/>
        </w:rPr>
        <w:t>את עונש</w:t>
      </w:r>
      <w:r>
        <w:rPr>
          <w:rFonts w:cs="FrankRuehl" w:hint="cs"/>
          <w:color w:val="000000"/>
          <w:sz w:val="28"/>
          <w:szCs w:val="28"/>
          <w:rtl/>
        </w:rPr>
        <w:t>ו</w:t>
      </w:r>
      <w:r>
        <w:rPr>
          <w:rFonts w:cs="FrankRuehl"/>
          <w:color w:val="000000"/>
          <w:sz w:val="28"/>
          <w:szCs w:val="28"/>
          <w:rtl/>
        </w:rPr>
        <w:t xml:space="preserve"> בגין ההליך הנוסף).</w:t>
      </w:r>
    </w:p>
    <w:p w14:paraId="1D7EEC07" w14:textId="77777777" w:rsidR="00D16835" w:rsidRDefault="00C1395A" w:rsidP="00D16835">
      <w:pPr>
        <w:numPr>
          <w:ilvl w:val="1"/>
          <w:numId w:val="1"/>
        </w:numPr>
        <w:tabs>
          <w:tab w:val="left" w:pos="702"/>
        </w:tabs>
        <w:spacing w:after="240" w:line="360" w:lineRule="auto"/>
        <w:jc w:val="both"/>
        <w:rPr>
          <w:rFonts w:cs="FrankRuehl"/>
          <w:color w:val="000000"/>
          <w:sz w:val="28"/>
          <w:szCs w:val="28"/>
        </w:rPr>
      </w:pPr>
      <w:r w:rsidRPr="00C1395A">
        <w:rPr>
          <w:rFonts w:cs="FrankRuehl"/>
          <w:color w:val="FFFFFF"/>
          <w:sz w:val="2"/>
          <w:szCs w:val="2"/>
          <w:rtl/>
        </w:rPr>
        <w:t>5129371</w:t>
      </w:r>
      <w:r w:rsidR="00D16835">
        <w:rPr>
          <w:rFonts w:cs="FrankRuehl"/>
          <w:color w:val="000000"/>
          <w:sz w:val="28"/>
          <w:szCs w:val="28"/>
          <w:rtl/>
        </w:rPr>
        <w:t>מאסר על-תנאי לתקופה של 12 חודשים. הנאשם יישא עונש זה אם בתוך 3 שנים מיום שחרורו יעבור עבירת נשק מסוג פשע, עבירה על חוק המאבק בטרור, או כל עבירת פשע ממניע לאומני.</w:t>
      </w:r>
    </w:p>
    <w:p w14:paraId="29317DF8" w14:textId="77777777" w:rsidR="00D16835" w:rsidRDefault="00C1395A" w:rsidP="00D16835">
      <w:pPr>
        <w:numPr>
          <w:ilvl w:val="1"/>
          <w:numId w:val="1"/>
        </w:numPr>
        <w:tabs>
          <w:tab w:val="left" w:pos="702"/>
        </w:tabs>
        <w:spacing w:after="240" w:line="360" w:lineRule="auto"/>
        <w:jc w:val="both"/>
        <w:rPr>
          <w:rFonts w:cs="FrankRuehl"/>
          <w:color w:val="000000"/>
          <w:sz w:val="28"/>
          <w:szCs w:val="28"/>
        </w:rPr>
      </w:pPr>
      <w:r w:rsidRPr="00C1395A">
        <w:rPr>
          <w:rFonts w:cs="FrankRuehl"/>
          <w:color w:val="FFFFFF"/>
          <w:sz w:val="2"/>
          <w:szCs w:val="2"/>
          <w:rtl/>
        </w:rPr>
        <w:t>54678313</w:t>
      </w:r>
      <w:r w:rsidR="00D16835">
        <w:rPr>
          <w:rFonts w:cs="FrankRuehl"/>
          <w:color w:val="000000"/>
          <w:sz w:val="28"/>
          <w:szCs w:val="28"/>
          <w:rtl/>
        </w:rPr>
        <w:t xml:space="preserve">מאסר על תנאי לתקופה של 6 חודשים. הנאשם יישא עונש זה אם בתוך 3 שנים מיום שחרורו יעבור עבירה הקשורה בנשק מסוג עוון או כל עבירה מסוג עוון </w:t>
      </w:r>
      <w:r w:rsidR="00D16835">
        <w:rPr>
          <w:rFonts w:cs="FrankRuehl" w:hint="cs"/>
          <w:color w:val="000000"/>
          <w:sz w:val="28"/>
          <w:szCs w:val="28"/>
          <w:rtl/>
        </w:rPr>
        <w:t xml:space="preserve">ממניע </w:t>
      </w:r>
      <w:r w:rsidR="00D16835">
        <w:rPr>
          <w:rFonts w:cs="FrankRuehl"/>
          <w:color w:val="000000"/>
          <w:sz w:val="28"/>
          <w:szCs w:val="28"/>
          <w:rtl/>
        </w:rPr>
        <w:t>לאומני.</w:t>
      </w:r>
    </w:p>
    <w:p w14:paraId="6ABA5A20" w14:textId="77777777" w:rsidR="00D16835" w:rsidRDefault="00D16835" w:rsidP="00D1683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ניתן לערער על פסק הדין בתוך 45 ימים.</w:t>
      </w:r>
    </w:p>
    <w:p w14:paraId="0A205EF6" w14:textId="77777777" w:rsidR="00D16835" w:rsidRPr="000F2247" w:rsidRDefault="00C1395A" w:rsidP="00D16835">
      <w:pPr>
        <w:spacing w:line="360" w:lineRule="auto"/>
        <w:jc w:val="both"/>
        <w:rPr>
          <w:rFonts w:ascii="Arial" w:hAnsi="Arial"/>
          <w:b/>
          <w:bCs/>
          <w:sz w:val="26"/>
          <w:szCs w:val="26"/>
          <w:rtl/>
        </w:rPr>
      </w:pPr>
      <w:bookmarkStart w:id="12" w:name="Nitan"/>
      <w:r>
        <w:rPr>
          <w:rFonts w:ascii="Arial" w:hAnsi="Arial"/>
          <w:b/>
          <w:bCs/>
          <w:sz w:val="26"/>
          <w:szCs w:val="26"/>
          <w:rtl/>
        </w:rPr>
        <w:t xml:space="preserve">ניתן היום,  ג' תמוז תשפ"ד, 09 יולי 2024, במעמד הצדדים. </w:t>
      </w:r>
      <w:bookmarkEnd w:id="12"/>
      <w:r w:rsidR="00D16835">
        <w:rPr>
          <w:rFonts w:ascii="Arial" w:hAnsi="Arial"/>
          <w:b/>
          <w:bCs/>
          <w:sz w:val="26"/>
          <w:szCs w:val="26"/>
          <w:rtl/>
        </w:rPr>
        <w:tab/>
      </w:r>
      <w:r w:rsidR="00D16835">
        <w:rPr>
          <w:rFonts w:ascii="Arial" w:hAnsi="Arial"/>
          <w:b/>
          <w:bCs/>
          <w:sz w:val="26"/>
          <w:szCs w:val="26"/>
          <w:rtl/>
        </w:rPr>
        <w:tab/>
      </w:r>
      <w:r w:rsidR="00D16835">
        <w:rPr>
          <w:rFonts w:ascii="Arial" w:hAnsi="Arial"/>
          <w:b/>
          <w:bCs/>
          <w:sz w:val="26"/>
          <w:szCs w:val="26"/>
          <w:rtl/>
        </w:rPr>
        <w:tab/>
      </w:r>
      <w:r w:rsidR="00D16835">
        <w:rPr>
          <w:rFonts w:ascii="Arial" w:hAnsi="Arial"/>
          <w:b/>
          <w:bCs/>
          <w:sz w:val="26"/>
          <w:szCs w:val="26"/>
          <w:rtl/>
        </w:rPr>
        <w:tab/>
      </w:r>
      <w:r w:rsidR="00D16835">
        <w:rPr>
          <w:rFonts w:ascii="Arial" w:hAnsi="Arial"/>
          <w:b/>
          <w:bCs/>
          <w:sz w:val="26"/>
          <w:szCs w:val="26"/>
          <w:rtl/>
        </w:rPr>
        <w:tab/>
      </w:r>
      <w:r w:rsidR="00D16835">
        <w:rPr>
          <w:rFonts w:ascii="Arial" w:hAnsi="Arial"/>
          <w:b/>
          <w:bCs/>
          <w:sz w:val="26"/>
          <w:szCs w:val="26"/>
          <w:rtl/>
        </w:rPr>
        <w:tab/>
      </w:r>
      <w:r w:rsidR="00D16835">
        <w:rPr>
          <w:rFonts w:ascii="Arial" w:hAnsi="Arial"/>
          <w:b/>
          <w:bCs/>
          <w:sz w:val="26"/>
          <w:szCs w:val="26"/>
          <w:rtl/>
        </w:rPr>
        <w:tab/>
      </w:r>
      <w:r w:rsidR="00D16835">
        <w:rPr>
          <w:rFonts w:ascii="Arial" w:hAnsi="Arial" w:hint="cs"/>
          <w:b/>
          <w:bCs/>
          <w:sz w:val="26"/>
          <w:szCs w:val="26"/>
          <w:rtl/>
        </w:rPr>
        <w:t xml:space="preserve">         </w:t>
      </w:r>
    </w:p>
    <w:p w14:paraId="16E7B4F9" w14:textId="77777777" w:rsidR="00D16835" w:rsidRPr="000F2247" w:rsidRDefault="00D16835" w:rsidP="00C1395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216715F" w14:textId="77777777" w:rsidR="00D16835" w:rsidRPr="000F2247" w:rsidRDefault="00D16835" w:rsidP="00D16835">
      <w:pPr>
        <w:jc w:val="center"/>
        <w:rPr>
          <w:rFonts w:ascii="Arial" w:hAnsi="Arial"/>
          <w:b/>
          <w:bCs/>
          <w:sz w:val="26"/>
          <w:szCs w:val="26"/>
          <w:rtl/>
        </w:rPr>
      </w:pPr>
    </w:p>
    <w:p w14:paraId="42083D34" w14:textId="77777777" w:rsidR="00B66E01" w:rsidRPr="00C1395A" w:rsidRDefault="00B66E01" w:rsidP="00C1395A">
      <w:pPr>
        <w:keepNext/>
        <w:rPr>
          <w:rFonts w:ascii="David" w:hAnsi="David"/>
          <w:color w:val="000000"/>
          <w:sz w:val="22"/>
          <w:szCs w:val="22"/>
          <w:rtl/>
        </w:rPr>
      </w:pPr>
    </w:p>
    <w:p w14:paraId="5120B8C0" w14:textId="77777777" w:rsidR="00C1395A" w:rsidRPr="00C1395A" w:rsidRDefault="00C1395A" w:rsidP="00C1395A">
      <w:pPr>
        <w:keepNext/>
        <w:rPr>
          <w:rFonts w:ascii="David" w:hAnsi="David"/>
          <w:color w:val="000000"/>
          <w:sz w:val="22"/>
          <w:szCs w:val="22"/>
          <w:rtl/>
        </w:rPr>
      </w:pPr>
      <w:r w:rsidRPr="00C1395A">
        <w:rPr>
          <w:rFonts w:ascii="David" w:hAnsi="David"/>
          <w:color w:val="000000"/>
          <w:sz w:val="22"/>
          <w:szCs w:val="22"/>
          <w:rtl/>
        </w:rPr>
        <w:t>אלעזר נחלון 54678313</w:t>
      </w:r>
    </w:p>
    <w:p w14:paraId="6F5C74D0" w14:textId="77777777" w:rsidR="00C1395A" w:rsidRDefault="00C1395A" w:rsidP="00C1395A">
      <w:r w:rsidRPr="00C1395A">
        <w:rPr>
          <w:color w:val="000000"/>
          <w:rtl/>
        </w:rPr>
        <w:t>נוסח מסמך זה כפוף לשינויי ניסוח ועריכה</w:t>
      </w:r>
    </w:p>
    <w:p w14:paraId="48FA5250" w14:textId="77777777" w:rsidR="00C1395A" w:rsidRDefault="00C1395A" w:rsidP="00C1395A">
      <w:pPr>
        <w:rPr>
          <w:rtl/>
        </w:rPr>
      </w:pPr>
    </w:p>
    <w:p w14:paraId="46349F8E" w14:textId="77777777" w:rsidR="00C1395A" w:rsidRDefault="00C1395A" w:rsidP="00C1395A">
      <w:pPr>
        <w:jc w:val="center"/>
        <w:rPr>
          <w:color w:val="0000FF"/>
          <w:u w:val="single"/>
        </w:rPr>
      </w:pPr>
      <w:hyperlink r:id="rId99" w:history="1">
        <w:r>
          <w:rPr>
            <w:color w:val="0000FF"/>
            <w:u w:val="single"/>
            <w:rtl/>
          </w:rPr>
          <w:t>בעניין עריכה ושינויים במסמכי פסיקה, חקיקה ועוד באתר נבו – הקש כאן</w:t>
        </w:r>
      </w:hyperlink>
    </w:p>
    <w:p w14:paraId="6BD9D1EA" w14:textId="77777777" w:rsidR="00C1395A" w:rsidRPr="00C1395A" w:rsidRDefault="00C1395A" w:rsidP="00C1395A">
      <w:pPr>
        <w:jc w:val="center"/>
        <w:rPr>
          <w:color w:val="0000FF"/>
          <w:u w:val="single"/>
        </w:rPr>
      </w:pPr>
    </w:p>
    <w:sectPr w:rsidR="00C1395A" w:rsidRPr="00C1395A" w:rsidSect="00C1395A">
      <w:headerReference w:type="even" r:id="rId100"/>
      <w:headerReference w:type="default" r:id="rId101"/>
      <w:footerReference w:type="even" r:id="rId102"/>
      <w:footerReference w:type="default" r:id="rId10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F581D" w14:textId="77777777" w:rsidR="007F0E8C" w:rsidRDefault="007F0E8C" w:rsidP="00D16835">
      <w:r>
        <w:separator/>
      </w:r>
    </w:p>
  </w:endnote>
  <w:endnote w:type="continuationSeparator" w:id="0">
    <w:p w14:paraId="31276D11" w14:textId="77777777" w:rsidR="007F0E8C" w:rsidRDefault="007F0E8C" w:rsidP="00D1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AA4A2" w14:textId="77777777" w:rsidR="00C1395A" w:rsidRDefault="00C1395A" w:rsidP="00C139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2AA435" w14:textId="77777777" w:rsidR="00230E5D" w:rsidRPr="00C1395A" w:rsidRDefault="00C1395A" w:rsidP="00C1395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F18E7" w14:textId="77777777" w:rsidR="00C1395A" w:rsidRDefault="00C1395A" w:rsidP="00C139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0D57">
      <w:rPr>
        <w:rFonts w:ascii="FrankRuehl" w:hAnsi="FrankRuehl" w:cs="FrankRuehl"/>
        <w:noProof/>
        <w:rtl/>
      </w:rPr>
      <w:t>1</w:t>
    </w:r>
    <w:r>
      <w:rPr>
        <w:rFonts w:ascii="FrankRuehl" w:hAnsi="FrankRuehl" w:cs="FrankRuehl"/>
        <w:rtl/>
      </w:rPr>
      <w:fldChar w:fldCharType="end"/>
    </w:r>
  </w:p>
  <w:p w14:paraId="427B1E73" w14:textId="77777777" w:rsidR="00230E5D" w:rsidRPr="00C1395A" w:rsidRDefault="00C1395A" w:rsidP="00C1395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EE5B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0348A" w14:textId="77777777" w:rsidR="007F0E8C" w:rsidRDefault="007F0E8C" w:rsidP="00D16835">
      <w:r>
        <w:separator/>
      </w:r>
    </w:p>
  </w:footnote>
  <w:footnote w:type="continuationSeparator" w:id="0">
    <w:p w14:paraId="5D56446F" w14:textId="77777777" w:rsidR="007F0E8C" w:rsidRDefault="007F0E8C" w:rsidP="00D16835">
      <w:r>
        <w:continuationSeparator/>
      </w:r>
    </w:p>
  </w:footnote>
  <w:footnote w:id="1">
    <w:p w14:paraId="053B03D9" w14:textId="77777777" w:rsidR="00D16835" w:rsidRDefault="00D16835" w:rsidP="00D16835">
      <w:pPr>
        <w:pStyle w:val="a9"/>
      </w:pPr>
      <w:r>
        <w:rPr>
          <w:rStyle w:val="ac"/>
        </w:rPr>
        <w:footnoteRef/>
      </w:r>
      <w:r>
        <w:rPr>
          <w:rtl/>
        </w:rPr>
        <w:t xml:space="preserve"> </w:t>
      </w:r>
      <w:r>
        <w:rPr>
          <w:rFonts w:ascii="FrankRuehl" w:hAnsi="FrankRuehl" w:cs="FrankRuehl"/>
          <w:sz w:val="24"/>
          <w:szCs w:val="24"/>
          <w:rtl/>
        </w:rPr>
        <w:t>קיים קושי ליישב את עמדת המאשימה בנוגע למתחמים ולמיקום העונש המתאים לנאשם בתוכם, עם עתירתה לעונש כולל של שלוש שנים. נראה אפוא כי לשיטת המאשימה עצמה יש להורות על חפיפה חלקית של העונשים שיוטלו על הנאשם בכל אישום.</w:t>
      </w:r>
    </w:p>
  </w:footnote>
  <w:footnote w:id="2">
    <w:p w14:paraId="440F4438" w14:textId="77777777" w:rsidR="00D16835" w:rsidRDefault="00D16835" w:rsidP="00D16835">
      <w:pPr>
        <w:pStyle w:val="a9"/>
        <w:rPr>
          <w:rFonts w:ascii="FrankRuehl" w:hAnsi="FrankRuehl" w:cs="FrankRuehl"/>
          <w:sz w:val="24"/>
          <w:szCs w:val="24"/>
          <w:rtl/>
        </w:rPr>
      </w:pPr>
      <w:r>
        <w:rPr>
          <w:rStyle w:val="ac"/>
        </w:rPr>
        <w:footnoteRef/>
      </w:r>
      <w:r>
        <w:rPr>
          <w:rtl/>
        </w:rPr>
        <w:t xml:space="preserve"> </w:t>
      </w:r>
      <w:r>
        <w:rPr>
          <w:rFonts w:ascii="FrankRuehl" w:hAnsi="FrankRuehl" w:cs="FrankRuehl"/>
          <w:sz w:val="24"/>
          <w:szCs w:val="24"/>
          <w:rtl/>
        </w:rPr>
        <w:t xml:space="preserve">יצוין כי הרשעת הנאשם הייתה בעבירות של הסתה לאלימות לפי </w:t>
      </w:r>
      <w:bookmarkStart w:id="10" w:name="SeifFN66"/>
      <w:r>
        <w:rPr>
          <w:rFonts w:ascii="FrankRuehl" w:hAnsi="FrankRuehl" w:cs="FrankRuehl"/>
          <w:sz w:val="24"/>
          <w:szCs w:val="24"/>
          <w:rtl/>
        </w:rPr>
        <w:t xml:space="preserve">סעיף </w:t>
      </w:r>
      <w:bookmarkEnd w:id="10"/>
      <w:r>
        <w:rPr>
          <w:rFonts w:ascii="FrankRuehl" w:hAnsi="FrankRuehl" w:cs="FrankRuehl"/>
          <w:sz w:val="24"/>
          <w:szCs w:val="24"/>
          <w:rtl/>
        </w:rPr>
        <w:t>144ד2 ל</w:t>
      </w:r>
      <w:hyperlink r:id="rId1" w:history="1">
        <w:r w:rsidR="00C1395A" w:rsidRPr="00C1395A">
          <w:rPr>
            <w:rFonts w:ascii="FrankRuehl" w:hAnsi="FrankRuehl" w:cs="FrankRuehl"/>
            <w:color w:val="0000FF"/>
            <w:sz w:val="24"/>
            <w:szCs w:val="24"/>
            <w:u w:val="single"/>
            <w:rtl/>
          </w:rPr>
          <w:t>חוק העונשין</w:t>
        </w:r>
      </w:hyperlink>
      <w:r>
        <w:rPr>
          <w:rFonts w:ascii="FrankRuehl" w:hAnsi="FrankRuehl" w:cs="FrankRuehl"/>
          <w:sz w:val="24"/>
          <w:szCs w:val="24"/>
          <w:rtl/>
        </w:rPr>
        <w:t>, ולא בעבירה של הסתה לטרור כמו כאן. עם זאת העונש המרבי בגין שתי העבירות הוא זהה.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257B2" w14:textId="77777777" w:rsidR="00C1395A" w:rsidRPr="00C1395A" w:rsidRDefault="00C1395A" w:rsidP="00C139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35488-11-23</w:t>
    </w:r>
    <w:r>
      <w:rPr>
        <w:rFonts w:ascii="David" w:hAnsi="David"/>
        <w:color w:val="000000"/>
        <w:sz w:val="22"/>
        <w:szCs w:val="22"/>
        <w:rtl/>
      </w:rPr>
      <w:tab/>
      <w:t xml:space="preserve"> מדינת ישראל נ' אנס שלודי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527AC" w14:textId="77777777" w:rsidR="00C1395A" w:rsidRPr="00C1395A" w:rsidRDefault="00C1395A" w:rsidP="00C139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35488-11-23</w:t>
    </w:r>
    <w:r>
      <w:rPr>
        <w:rFonts w:ascii="David" w:hAnsi="David"/>
        <w:color w:val="000000"/>
        <w:sz w:val="22"/>
        <w:szCs w:val="22"/>
        <w:rtl/>
      </w:rPr>
      <w:tab/>
      <w:t xml:space="preserve"> מדינת ישראל נ' אנס שלודי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94FC9"/>
    <w:multiLevelType w:val="hybridMultilevel"/>
    <w:tmpl w:val="B29ECF66"/>
    <w:lvl w:ilvl="0" w:tplc="2C841420">
      <w:start w:val="1"/>
      <w:numFmt w:val="decimal"/>
      <w:lvlText w:val="%1."/>
      <w:lvlJc w:val="left"/>
      <w:pPr>
        <w:ind w:left="720" w:hanging="360"/>
      </w:pPr>
      <w:rPr>
        <w:b w:val="0"/>
        <w:bCs w:val="0"/>
        <w:color w:val="auto"/>
        <w:lang w:val="en-US" w:bidi="he-IL"/>
      </w:rPr>
    </w:lvl>
    <w:lvl w:ilvl="1" w:tplc="DF3A631E">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9634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6835"/>
    <w:rsid w:val="001463D9"/>
    <w:rsid w:val="001B5A3B"/>
    <w:rsid w:val="00230E5D"/>
    <w:rsid w:val="0049789F"/>
    <w:rsid w:val="00505D0E"/>
    <w:rsid w:val="007F0E8C"/>
    <w:rsid w:val="008B0D57"/>
    <w:rsid w:val="00B54059"/>
    <w:rsid w:val="00B66E01"/>
    <w:rsid w:val="00C1395A"/>
    <w:rsid w:val="00C8317E"/>
    <w:rsid w:val="00D168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6E2222"/>
  <w15:chartTrackingRefBased/>
  <w15:docId w15:val="{6D0DE4F4-B8C6-4266-8597-9255B0C8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683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6835"/>
    <w:pPr>
      <w:tabs>
        <w:tab w:val="center" w:pos="4153"/>
        <w:tab w:val="right" w:pos="8306"/>
      </w:tabs>
    </w:pPr>
  </w:style>
  <w:style w:type="character" w:customStyle="1" w:styleId="a4">
    <w:name w:val="כותרת עליונה תו"/>
    <w:link w:val="a3"/>
    <w:rsid w:val="00D16835"/>
    <w:rPr>
      <w:rFonts w:ascii="Times New Roman" w:eastAsia="Times New Roman" w:hAnsi="Times New Roman" w:cs="David"/>
      <w:sz w:val="24"/>
      <w:szCs w:val="24"/>
    </w:rPr>
  </w:style>
  <w:style w:type="paragraph" w:styleId="a5">
    <w:name w:val="footer"/>
    <w:basedOn w:val="a"/>
    <w:link w:val="a6"/>
    <w:rsid w:val="00D16835"/>
    <w:pPr>
      <w:tabs>
        <w:tab w:val="center" w:pos="4153"/>
        <w:tab w:val="right" w:pos="8306"/>
      </w:tabs>
    </w:pPr>
  </w:style>
  <w:style w:type="character" w:customStyle="1" w:styleId="a6">
    <w:name w:val="כותרת תחתונה תו"/>
    <w:link w:val="a5"/>
    <w:rsid w:val="00D16835"/>
    <w:rPr>
      <w:rFonts w:ascii="Times New Roman" w:eastAsia="Times New Roman" w:hAnsi="Times New Roman" w:cs="David"/>
      <w:sz w:val="24"/>
      <w:szCs w:val="24"/>
    </w:rPr>
  </w:style>
  <w:style w:type="table" w:styleId="a7">
    <w:name w:val="Table Grid"/>
    <w:basedOn w:val="a1"/>
    <w:rsid w:val="00D1683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6835"/>
  </w:style>
  <w:style w:type="character" w:styleId="Hyperlink">
    <w:name w:val="Hyperlink"/>
    <w:rsid w:val="00D16835"/>
    <w:rPr>
      <w:color w:val="0000FF"/>
      <w:u w:val="single"/>
    </w:rPr>
  </w:style>
  <w:style w:type="paragraph" w:styleId="a9">
    <w:name w:val="footnote text"/>
    <w:basedOn w:val="a"/>
    <w:link w:val="aa"/>
    <w:rsid w:val="00D16835"/>
    <w:pPr>
      <w:spacing w:line="360" w:lineRule="auto"/>
      <w:jc w:val="both"/>
    </w:pPr>
    <w:rPr>
      <w:sz w:val="20"/>
      <w:szCs w:val="20"/>
    </w:rPr>
  </w:style>
  <w:style w:type="character" w:customStyle="1" w:styleId="aa">
    <w:name w:val="טקסט הערת שוליים תו"/>
    <w:link w:val="a9"/>
    <w:rsid w:val="00D16835"/>
    <w:rPr>
      <w:rFonts w:ascii="Times New Roman" w:eastAsia="Times New Roman" w:hAnsi="Times New Roman" w:cs="David"/>
      <w:sz w:val="20"/>
      <w:szCs w:val="20"/>
    </w:rPr>
  </w:style>
  <w:style w:type="paragraph" w:customStyle="1" w:styleId="ab">
    <w:name w:val="תבנית ציטוט"/>
    <w:basedOn w:val="a"/>
    <w:next w:val="a"/>
    <w:rsid w:val="00D16835"/>
    <w:pPr>
      <w:tabs>
        <w:tab w:val="left" w:pos="702"/>
      </w:tabs>
      <w:spacing w:after="120"/>
      <w:ind w:left="1134" w:right="1134"/>
      <w:jc w:val="both"/>
    </w:pPr>
    <w:rPr>
      <w:rFonts w:cs="FrankRuehl"/>
      <w:color w:val="000000"/>
      <w:sz w:val="28"/>
      <w:szCs w:val="28"/>
    </w:rPr>
  </w:style>
  <w:style w:type="character" w:styleId="ac">
    <w:name w:val="footnote reference"/>
    <w:rsid w:val="00D168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40jb" TargetMode="External"/><Relationship Id="rId42" Type="http://schemas.openxmlformats.org/officeDocument/2006/relationships/hyperlink" Target="http://www.nevo.co.il/case/27309272" TargetMode="External"/><Relationship Id="rId47" Type="http://schemas.openxmlformats.org/officeDocument/2006/relationships/hyperlink" Target="http://www.nevo.co.il/law/70301/40i.a" TargetMode="External"/><Relationship Id="rId63" Type="http://schemas.openxmlformats.org/officeDocument/2006/relationships/hyperlink" Target="http://www.nevo.co.il/case/29995070" TargetMode="External"/><Relationship Id="rId68" Type="http://schemas.openxmlformats.org/officeDocument/2006/relationships/hyperlink" Target="http://www.nevo.co.il/case/5839570" TargetMode="External"/><Relationship Id="rId84" Type="http://schemas.openxmlformats.org/officeDocument/2006/relationships/hyperlink" Target="http://www.nevo.co.il/case/30123608" TargetMode="External"/><Relationship Id="rId89" Type="http://schemas.openxmlformats.org/officeDocument/2006/relationships/hyperlink" Target="http://www.nevo.co.il/law/70301/40ja" TargetMode="External"/><Relationship Id="rId16" Type="http://schemas.openxmlformats.org/officeDocument/2006/relationships/hyperlink" Target="http://www.nevo.co.il/law/70301/40i.a.6." TargetMode="External"/><Relationship Id="rId11" Type="http://schemas.openxmlformats.org/officeDocument/2006/relationships/hyperlink" Target="http://www.nevo.co.il/law/70301/40b" TargetMode="External"/><Relationship Id="rId32" Type="http://schemas.openxmlformats.org/officeDocument/2006/relationships/hyperlink" Target="http://www.nevo.co.il/law/70301/40b" TargetMode="External"/><Relationship Id="rId37" Type="http://schemas.openxmlformats.org/officeDocument/2006/relationships/hyperlink" Target="http://www.nevo.co.il/law/70301/40c.b" TargetMode="External"/><Relationship Id="rId53" Type="http://schemas.openxmlformats.org/officeDocument/2006/relationships/hyperlink" Target="http://www.nevo.co.il/case/28643606" TargetMode="External"/><Relationship Id="rId58" Type="http://schemas.openxmlformats.org/officeDocument/2006/relationships/hyperlink" Target="http://www.nevo.co.il/case/30168342" TargetMode="External"/><Relationship Id="rId74" Type="http://schemas.openxmlformats.org/officeDocument/2006/relationships/hyperlink" Target="http://www.nevo.co.il/case/28713358" TargetMode="External"/><Relationship Id="rId79" Type="http://schemas.openxmlformats.org/officeDocument/2006/relationships/hyperlink" Target="http://www.nevo.co.il/case/30106052"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case/22578455"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28243273" TargetMode="External"/><Relationship Id="rId48" Type="http://schemas.openxmlformats.org/officeDocument/2006/relationships/hyperlink" Target="http://www.nevo.co.il/law/70301" TargetMode="External"/><Relationship Id="rId64" Type="http://schemas.openxmlformats.org/officeDocument/2006/relationships/hyperlink" Target="http://www.nevo.co.il/case/29644207" TargetMode="External"/><Relationship Id="rId69" Type="http://schemas.openxmlformats.org/officeDocument/2006/relationships/hyperlink" Target="http://www.nevo.co.il/case/20923902" TargetMode="External"/><Relationship Id="rId80" Type="http://schemas.openxmlformats.org/officeDocument/2006/relationships/hyperlink" Target="http://www.nevo.co.il/case/30113629" TargetMode="External"/><Relationship Id="rId85" Type="http://schemas.openxmlformats.org/officeDocument/2006/relationships/hyperlink" Target="http://www.nevo.co.il/case/30151575"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law/70301/45.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a" TargetMode="External"/><Relationship Id="rId59" Type="http://schemas.openxmlformats.org/officeDocument/2006/relationships/hyperlink" Target="http://www.nevo.co.il/case/29869489" TargetMode="External"/><Relationship Id="rId103" Type="http://schemas.openxmlformats.org/officeDocument/2006/relationships/footer" Target="footer2.xml"/><Relationship Id="rId20" Type="http://schemas.openxmlformats.org/officeDocument/2006/relationships/hyperlink" Target="http://www.nevo.co.il/law/70301/40ja" TargetMode="External"/><Relationship Id="rId41" Type="http://schemas.openxmlformats.org/officeDocument/2006/relationships/hyperlink" Target="http://www.nevo.co.il/case/13093721" TargetMode="External"/><Relationship Id="rId54" Type="http://schemas.openxmlformats.org/officeDocument/2006/relationships/hyperlink" Target="http://www.nevo.co.il/law/70301/144.g" TargetMode="External"/><Relationship Id="rId62" Type="http://schemas.openxmlformats.org/officeDocument/2006/relationships/hyperlink" Target="http://www.nevo.co.il/case/28426907" TargetMode="External"/><Relationship Id="rId70" Type="http://schemas.openxmlformats.org/officeDocument/2006/relationships/hyperlink" Target="http://www.nevo.co.il/law/70301/40i" TargetMode="External"/><Relationship Id="rId75" Type="http://schemas.openxmlformats.org/officeDocument/2006/relationships/hyperlink" Target="http://www.nevo.co.il/case/25280833" TargetMode="External"/><Relationship Id="rId83" Type="http://schemas.openxmlformats.org/officeDocument/2006/relationships/hyperlink" Target="http://www.nevo.co.il/case/30193420" TargetMode="External"/><Relationship Id="rId88" Type="http://schemas.openxmlformats.org/officeDocument/2006/relationships/hyperlink" Target="http://www.nevo.co.il/case/25386231" TargetMode="External"/><Relationship Id="rId91" Type="http://schemas.openxmlformats.org/officeDocument/2006/relationships/hyperlink" Target="http://www.nevo.co.il/law/70301/40.f.;40.g" TargetMode="External"/><Relationship Id="rId96" Type="http://schemas.openxmlformats.org/officeDocument/2006/relationships/hyperlink" Target="http://www.nevo.co.il/case/1865424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 TargetMode="External"/><Relationship Id="rId23" Type="http://schemas.openxmlformats.org/officeDocument/2006/relationships/hyperlink" Target="http://www.nevo.co.il/law/141771" TargetMode="External"/><Relationship Id="rId28" Type="http://schemas.openxmlformats.org/officeDocument/2006/relationships/hyperlink" Target="http://www.nevo.co.il/law/141771/24.b.2" TargetMode="External"/><Relationship Id="rId36" Type="http://schemas.openxmlformats.org/officeDocument/2006/relationships/hyperlink" Target="http://www.nevo.co.il/law/70301/40jb" TargetMode="External"/><Relationship Id="rId49" Type="http://schemas.openxmlformats.org/officeDocument/2006/relationships/hyperlink" Target="http://www.nevo.co.il/law/70301/40i.a.6.;40.i.a.7" TargetMode="External"/><Relationship Id="rId57" Type="http://schemas.openxmlformats.org/officeDocument/2006/relationships/hyperlink" Target="http://www.nevo.co.il/case/28697227" TargetMode="External"/><Relationship Id="rId10" Type="http://schemas.openxmlformats.org/officeDocument/2006/relationships/hyperlink" Target="http://www.nevo.co.il/law/70301/40.i.a.7" TargetMode="External"/><Relationship Id="rId31" Type="http://schemas.openxmlformats.org/officeDocument/2006/relationships/hyperlink" Target="http://www.nevo.co.il/case/27460777" TargetMode="External"/><Relationship Id="rId44" Type="http://schemas.openxmlformats.org/officeDocument/2006/relationships/hyperlink" Target="http://www.nevo.co.il/case/28697218" TargetMode="External"/><Relationship Id="rId52" Type="http://schemas.openxmlformats.org/officeDocument/2006/relationships/hyperlink" Target="http://www.nevo.co.il/case/28452933" TargetMode="External"/><Relationship Id="rId60" Type="http://schemas.openxmlformats.org/officeDocument/2006/relationships/hyperlink" Target="http://www.nevo.co.il/case/27666952" TargetMode="External"/><Relationship Id="rId65" Type="http://schemas.openxmlformats.org/officeDocument/2006/relationships/hyperlink" Target="http://www.nevo.co.il/case/29266793" TargetMode="External"/><Relationship Id="rId73" Type="http://schemas.openxmlformats.org/officeDocument/2006/relationships/hyperlink" Target="http://www.nevo.co.il/case/24987138" TargetMode="External"/><Relationship Id="rId78" Type="http://schemas.openxmlformats.org/officeDocument/2006/relationships/hyperlink" Target="http://www.nevo.co.il/case/30182276" TargetMode="External"/><Relationship Id="rId81" Type="http://schemas.openxmlformats.org/officeDocument/2006/relationships/hyperlink" Target="http://www.nevo.co.il/case/30103318" TargetMode="External"/><Relationship Id="rId86" Type="http://schemas.openxmlformats.org/officeDocument/2006/relationships/hyperlink" Target="http://www.nevo.co.il/case/30178870" TargetMode="External"/><Relationship Id="rId94" Type="http://schemas.openxmlformats.org/officeDocument/2006/relationships/hyperlink" Target="http://www.nevo.co.il/case/28092428" TargetMode="External"/><Relationship Id="rId99" Type="http://schemas.openxmlformats.org/officeDocument/2006/relationships/hyperlink" Target="http://www.nevo.co.il/advertisements/nevo-100.doc"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law/70301/40.f.;40.g" TargetMode="External"/><Relationship Id="rId34" Type="http://schemas.openxmlformats.org/officeDocument/2006/relationships/hyperlink" Target="http://www.nevo.co.il/law/70301/40c.a" TargetMode="External"/><Relationship Id="rId50" Type="http://schemas.openxmlformats.org/officeDocument/2006/relationships/hyperlink" Target="http://www.nevo.co.il/case/28266138"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22702670" TargetMode="External"/><Relationship Id="rId97" Type="http://schemas.openxmlformats.org/officeDocument/2006/relationships/hyperlink" Target="http://www.nevo.co.il/case/20244332" TargetMode="External"/><Relationship Id="rId104"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45.b" TargetMode="External"/><Relationship Id="rId2" Type="http://schemas.openxmlformats.org/officeDocument/2006/relationships/styles" Target="styles.xml"/><Relationship Id="rId29" Type="http://schemas.openxmlformats.org/officeDocument/2006/relationships/hyperlink" Target="http://www.nevo.co.il/law/141771" TargetMode="External"/><Relationship Id="rId24" Type="http://schemas.openxmlformats.org/officeDocument/2006/relationships/hyperlink" Target="http://www.nevo.co.il/law/141771/24.a.1"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case/26193556" TargetMode="External"/><Relationship Id="rId66" Type="http://schemas.openxmlformats.org/officeDocument/2006/relationships/hyperlink" Target="http://www.nevo.co.il/case/30027912" TargetMode="External"/><Relationship Id="rId87" Type="http://schemas.openxmlformats.org/officeDocument/2006/relationships/hyperlink" Target="http://www.nevo.co.il/case/30178854" TargetMode="External"/><Relationship Id="rId61" Type="http://schemas.openxmlformats.org/officeDocument/2006/relationships/hyperlink" Target="http://www.nevo.co.il/case/28612649" TargetMode="External"/><Relationship Id="rId82" Type="http://schemas.openxmlformats.org/officeDocument/2006/relationships/hyperlink" Target="http://www.nevo.co.il/case/30183610" TargetMode="External"/><Relationship Id="rId19" Type="http://schemas.openxmlformats.org/officeDocument/2006/relationships/hyperlink" Target="http://www.nevo.co.il/law/70301/144.g" TargetMode="External"/><Relationship Id="rId14" Type="http://schemas.openxmlformats.org/officeDocument/2006/relationships/hyperlink" Target="http://www.nevo.co.il/law/70301/40i" TargetMode="External"/><Relationship Id="rId30" Type="http://schemas.openxmlformats.org/officeDocument/2006/relationships/hyperlink" Target="http://www.nevo.co.il/law/141771/24.a.1" TargetMode="External"/><Relationship Id="rId35" Type="http://schemas.openxmlformats.org/officeDocument/2006/relationships/hyperlink" Target="http://www.nevo.co.il/law/70301/40i" TargetMode="External"/><Relationship Id="rId56" Type="http://schemas.openxmlformats.org/officeDocument/2006/relationships/hyperlink" Target="http://www.nevo.co.il/case/28883087" TargetMode="External"/><Relationship Id="rId77" Type="http://schemas.openxmlformats.org/officeDocument/2006/relationships/hyperlink" Target="http://www.nevo.co.il/case/30177541"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hyperlink" Target="http://www.nevo.co.il/law/70301/40.f." TargetMode="External"/><Relationship Id="rId51" Type="http://schemas.openxmlformats.org/officeDocument/2006/relationships/hyperlink" Target="http://www.nevo.co.il/case/28660017" TargetMode="External"/><Relationship Id="rId72" Type="http://schemas.openxmlformats.org/officeDocument/2006/relationships/hyperlink" Target="http://www.nevo.co.il/case/26453895" TargetMode="External"/><Relationship Id="rId93" Type="http://schemas.openxmlformats.org/officeDocument/2006/relationships/hyperlink" Target="http://www.nevo.co.il/law/70301" TargetMode="External"/><Relationship Id="rId98" Type="http://schemas.openxmlformats.org/officeDocument/2006/relationships/hyperlink" Target="http://www.nevo.co.il/case/25690639" TargetMode="External"/><Relationship Id="rId3" Type="http://schemas.openxmlformats.org/officeDocument/2006/relationships/settings" Target="settings.xml"/><Relationship Id="rId25" Type="http://schemas.openxmlformats.org/officeDocument/2006/relationships/hyperlink" Target="http://www.nevo.co.il/law/141771/24.b.2" TargetMode="External"/><Relationship Id="rId46" Type="http://schemas.openxmlformats.org/officeDocument/2006/relationships/hyperlink" Target="http://www.nevo.co.il/case/27309272" TargetMode="External"/><Relationship Id="rId67" Type="http://schemas.openxmlformats.org/officeDocument/2006/relationships/hyperlink" Target="http://www.nevo.co.il/case/2777305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7030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5301</Words>
  <Characters>26507</Characters>
  <Application>Microsoft Office Word</Application>
  <DocSecurity>0</DocSecurity>
  <Lines>220</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31745</CharactersWithSpaces>
  <SharedDoc>false</SharedDoc>
  <HLinks>
    <vt:vector size="564" baseType="variant">
      <vt:variant>
        <vt:i4>393283</vt:i4>
      </vt:variant>
      <vt:variant>
        <vt:i4>285</vt:i4>
      </vt:variant>
      <vt:variant>
        <vt:i4>0</vt:i4>
      </vt:variant>
      <vt:variant>
        <vt:i4>5</vt:i4>
      </vt:variant>
      <vt:variant>
        <vt:lpwstr>http://www.nevo.co.il/advertisements/nevo-100.doc</vt:lpwstr>
      </vt:variant>
      <vt:variant>
        <vt:lpwstr/>
      </vt:variant>
      <vt:variant>
        <vt:i4>3604606</vt:i4>
      </vt:variant>
      <vt:variant>
        <vt:i4>282</vt:i4>
      </vt:variant>
      <vt:variant>
        <vt:i4>0</vt:i4>
      </vt:variant>
      <vt:variant>
        <vt:i4>5</vt:i4>
      </vt:variant>
      <vt:variant>
        <vt:lpwstr>http://www.nevo.co.il/case/25690639</vt:lpwstr>
      </vt:variant>
      <vt:variant>
        <vt:lpwstr/>
      </vt:variant>
      <vt:variant>
        <vt:i4>3604595</vt:i4>
      </vt:variant>
      <vt:variant>
        <vt:i4>279</vt:i4>
      </vt:variant>
      <vt:variant>
        <vt:i4>0</vt:i4>
      </vt:variant>
      <vt:variant>
        <vt:i4>5</vt:i4>
      </vt:variant>
      <vt:variant>
        <vt:lpwstr>http://www.nevo.co.il/case/20244332</vt:lpwstr>
      </vt:variant>
      <vt:variant>
        <vt:lpwstr/>
      </vt:variant>
      <vt:variant>
        <vt:i4>3604603</vt:i4>
      </vt:variant>
      <vt:variant>
        <vt:i4>273</vt:i4>
      </vt:variant>
      <vt:variant>
        <vt:i4>0</vt:i4>
      </vt:variant>
      <vt:variant>
        <vt:i4>5</vt:i4>
      </vt:variant>
      <vt:variant>
        <vt:lpwstr>http://www.nevo.co.il/case/18654248</vt:lpwstr>
      </vt:variant>
      <vt:variant>
        <vt:lpwstr/>
      </vt:variant>
      <vt:variant>
        <vt:i4>3801205</vt:i4>
      </vt:variant>
      <vt:variant>
        <vt:i4>270</vt:i4>
      </vt:variant>
      <vt:variant>
        <vt:i4>0</vt:i4>
      </vt:variant>
      <vt:variant>
        <vt:i4>5</vt:i4>
      </vt:variant>
      <vt:variant>
        <vt:lpwstr>http://www.nevo.co.il/case/22578455</vt:lpwstr>
      </vt:variant>
      <vt:variant>
        <vt:lpwstr/>
      </vt:variant>
      <vt:variant>
        <vt:i4>3276913</vt:i4>
      </vt:variant>
      <vt:variant>
        <vt:i4>267</vt:i4>
      </vt:variant>
      <vt:variant>
        <vt:i4>0</vt:i4>
      </vt:variant>
      <vt:variant>
        <vt:i4>5</vt:i4>
      </vt:variant>
      <vt:variant>
        <vt:lpwstr>http://www.nevo.co.il/case/28092428</vt:lpwstr>
      </vt:variant>
      <vt:variant>
        <vt:lpwstr/>
      </vt:variant>
      <vt:variant>
        <vt:i4>7995492</vt:i4>
      </vt:variant>
      <vt:variant>
        <vt:i4>264</vt:i4>
      </vt:variant>
      <vt:variant>
        <vt:i4>0</vt:i4>
      </vt:variant>
      <vt:variant>
        <vt:i4>5</vt:i4>
      </vt:variant>
      <vt:variant>
        <vt:lpwstr>http://www.nevo.co.il/law/70301</vt:lpwstr>
      </vt:variant>
      <vt:variant>
        <vt:lpwstr/>
      </vt:variant>
      <vt:variant>
        <vt:i4>131151</vt:i4>
      </vt:variant>
      <vt:variant>
        <vt:i4>261</vt:i4>
      </vt:variant>
      <vt:variant>
        <vt:i4>0</vt:i4>
      </vt:variant>
      <vt:variant>
        <vt:i4>5</vt:i4>
      </vt:variant>
      <vt:variant>
        <vt:lpwstr>http://www.nevo.co.il/law/70301/45.b</vt:lpwstr>
      </vt:variant>
      <vt:variant>
        <vt:lpwstr/>
      </vt:variant>
      <vt:variant>
        <vt:i4>7274619</vt:i4>
      </vt:variant>
      <vt:variant>
        <vt:i4>255</vt:i4>
      </vt:variant>
      <vt:variant>
        <vt:i4>0</vt:i4>
      </vt:variant>
      <vt:variant>
        <vt:i4>5</vt:i4>
      </vt:variant>
      <vt:variant>
        <vt:lpwstr>http://www.nevo.co.il/law/70301/40.f.;40.g</vt:lpwstr>
      </vt:variant>
      <vt:variant>
        <vt:lpwstr/>
      </vt:variant>
      <vt:variant>
        <vt:i4>7995492</vt:i4>
      </vt:variant>
      <vt:variant>
        <vt:i4>252</vt:i4>
      </vt:variant>
      <vt:variant>
        <vt:i4>0</vt:i4>
      </vt:variant>
      <vt:variant>
        <vt:i4>5</vt:i4>
      </vt:variant>
      <vt:variant>
        <vt:lpwstr>http://www.nevo.co.il/law/70301</vt:lpwstr>
      </vt:variant>
      <vt:variant>
        <vt:lpwstr/>
      </vt:variant>
      <vt:variant>
        <vt:i4>262155</vt:i4>
      </vt:variant>
      <vt:variant>
        <vt:i4>249</vt:i4>
      </vt:variant>
      <vt:variant>
        <vt:i4>0</vt:i4>
      </vt:variant>
      <vt:variant>
        <vt:i4>5</vt:i4>
      </vt:variant>
      <vt:variant>
        <vt:lpwstr>http://www.nevo.co.il/law/70301/40ja</vt:lpwstr>
      </vt:variant>
      <vt:variant>
        <vt:lpwstr/>
      </vt:variant>
      <vt:variant>
        <vt:i4>3407995</vt:i4>
      </vt:variant>
      <vt:variant>
        <vt:i4>246</vt:i4>
      </vt:variant>
      <vt:variant>
        <vt:i4>0</vt:i4>
      </vt:variant>
      <vt:variant>
        <vt:i4>5</vt:i4>
      </vt:variant>
      <vt:variant>
        <vt:lpwstr>http://www.nevo.co.il/case/25386231</vt:lpwstr>
      </vt:variant>
      <vt:variant>
        <vt:lpwstr/>
      </vt:variant>
      <vt:variant>
        <vt:i4>4128891</vt:i4>
      </vt:variant>
      <vt:variant>
        <vt:i4>243</vt:i4>
      </vt:variant>
      <vt:variant>
        <vt:i4>0</vt:i4>
      </vt:variant>
      <vt:variant>
        <vt:i4>5</vt:i4>
      </vt:variant>
      <vt:variant>
        <vt:lpwstr>http://www.nevo.co.il/case/30178854</vt:lpwstr>
      </vt:variant>
      <vt:variant>
        <vt:lpwstr/>
      </vt:variant>
      <vt:variant>
        <vt:i4>3997819</vt:i4>
      </vt:variant>
      <vt:variant>
        <vt:i4>240</vt:i4>
      </vt:variant>
      <vt:variant>
        <vt:i4>0</vt:i4>
      </vt:variant>
      <vt:variant>
        <vt:i4>5</vt:i4>
      </vt:variant>
      <vt:variant>
        <vt:lpwstr>http://www.nevo.co.il/case/30178870</vt:lpwstr>
      </vt:variant>
      <vt:variant>
        <vt:lpwstr/>
      </vt:variant>
      <vt:variant>
        <vt:i4>3407988</vt:i4>
      </vt:variant>
      <vt:variant>
        <vt:i4>237</vt:i4>
      </vt:variant>
      <vt:variant>
        <vt:i4>0</vt:i4>
      </vt:variant>
      <vt:variant>
        <vt:i4>5</vt:i4>
      </vt:variant>
      <vt:variant>
        <vt:lpwstr>http://www.nevo.co.il/case/30151575</vt:lpwstr>
      </vt:variant>
      <vt:variant>
        <vt:lpwstr/>
      </vt:variant>
      <vt:variant>
        <vt:i4>3211376</vt:i4>
      </vt:variant>
      <vt:variant>
        <vt:i4>234</vt:i4>
      </vt:variant>
      <vt:variant>
        <vt:i4>0</vt:i4>
      </vt:variant>
      <vt:variant>
        <vt:i4>5</vt:i4>
      </vt:variant>
      <vt:variant>
        <vt:lpwstr>http://www.nevo.co.il/case/30123608</vt:lpwstr>
      </vt:variant>
      <vt:variant>
        <vt:lpwstr/>
      </vt:variant>
      <vt:variant>
        <vt:i4>3342457</vt:i4>
      </vt:variant>
      <vt:variant>
        <vt:i4>231</vt:i4>
      </vt:variant>
      <vt:variant>
        <vt:i4>0</vt:i4>
      </vt:variant>
      <vt:variant>
        <vt:i4>5</vt:i4>
      </vt:variant>
      <vt:variant>
        <vt:lpwstr>http://www.nevo.co.il/case/30193420</vt:lpwstr>
      </vt:variant>
      <vt:variant>
        <vt:lpwstr/>
      </vt:variant>
      <vt:variant>
        <vt:i4>3145850</vt:i4>
      </vt:variant>
      <vt:variant>
        <vt:i4>228</vt:i4>
      </vt:variant>
      <vt:variant>
        <vt:i4>0</vt:i4>
      </vt:variant>
      <vt:variant>
        <vt:i4>5</vt:i4>
      </vt:variant>
      <vt:variant>
        <vt:lpwstr>http://www.nevo.co.il/case/30183610</vt:lpwstr>
      </vt:variant>
      <vt:variant>
        <vt:lpwstr/>
      </vt:variant>
      <vt:variant>
        <vt:i4>3145847</vt:i4>
      </vt:variant>
      <vt:variant>
        <vt:i4>225</vt:i4>
      </vt:variant>
      <vt:variant>
        <vt:i4>0</vt:i4>
      </vt:variant>
      <vt:variant>
        <vt:i4>5</vt:i4>
      </vt:variant>
      <vt:variant>
        <vt:lpwstr>http://www.nevo.co.il/case/30103318</vt:lpwstr>
      </vt:variant>
      <vt:variant>
        <vt:lpwstr/>
      </vt:variant>
      <vt:variant>
        <vt:i4>3342451</vt:i4>
      </vt:variant>
      <vt:variant>
        <vt:i4>222</vt:i4>
      </vt:variant>
      <vt:variant>
        <vt:i4>0</vt:i4>
      </vt:variant>
      <vt:variant>
        <vt:i4>5</vt:i4>
      </vt:variant>
      <vt:variant>
        <vt:lpwstr>http://www.nevo.co.il/case/30113629</vt:lpwstr>
      </vt:variant>
      <vt:variant>
        <vt:lpwstr/>
      </vt:variant>
      <vt:variant>
        <vt:i4>3211380</vt:i4>
      </vt:variant>
      <vt:variant>
        <vt:i4>219</vt:i4>
      </vt:variant>
      <vt:variant>
        <vt:i4>0</vt:i4>
      </vt:variant>
      <vt:variant>
        <vt:i4>5</vt:i4>
      </vt:variant>
      <vt:variant>
        <vt:lpwstr>http://www.nevo.co.il/case/30106052</vt:lpwstr>
      </vt:variant>
      <vt:variant>
        <vt:lpwstr/>
      </vt:variant>
      <vt:variant>
        <vt:i4>3604606</vt:i4>
      </vt:variant>
      <vt:variant>
        <vt:i4>216</vt:i4>
      </vt:variant>
      <vt:variant>
        <vt:i4>0</vt:i4>
      </vt:variant>
      <vt:variant>
        <vt:i4>5</vt:i4>
      </vt:variant>
      <vt:variant>
        <vt:lpwstr>http://www.nevo.co.il/case/30182276</vt:lpwstr>
      </vt:variant>
      <vt:variant>
        <vt:lpwstr/>
      </vt:variant>
      <vt:variant>
        <vt:i4>3211382</vt:i4>
      </vt:variant>
      <vt:variant>
        <vt:i4>213</vt:i4>
      </vt:variant>
      <vt:variant>
        <vt:i4>0</vt:i4>
      </vt:variant>
      <vt:variant>
        <vt:i4>5</vt:i4>
      </vt:variant>
      <vt:variant>
        <vt:lpwstr>http://www.nevo.co.il/case/30177541</vt:lpwstr>
      </vt:variant>
      <vt:variant>
        <vt:lpwstr/>
      </vt:variant>
      <vt:variant>
        <vt:i4>3145840</vt:i4>
      </vt:variant>
      <vt:variant>
        <vt:i4>207</vt:i4>
      </vt:variant>
      <vt:variant>
        <vt:i4>0</vt:i4>
      </vt:variant>
      <vt:variant>
        <vt:i4>5</vt:i4>
      </vt:variant>
      <vt:variant>
        <vt:lpwstr>http://www.nevo.co.il/case/22702670</vt:lpwstr>
      </vt:variant>
      <vt:variant>
        <vt:lpwstr/>
      </vt:variant>
      <vt:variant>
        <vt:i4>3342449</vt:i4>
      </vt:variant>
      <vt:variant>
        <vt:i4>204</vt:i4>
      </vt:variant>
      <vt:variant>
        <vt:i4>0</vt:i4>
      </vt:variant>
      <vt:variant>
        <vt:i4>5</vt:i4>
      </vt:variant>
      <vt:variant>
        <vt:lpwstr>http://www.nevo.co.il/case/25280833</vt:lpwstr>
      </vt:variant>
      <vt:variant>
        <vt:lpwstr/>
      </vt:variant>
      <vt:variant>
        <vt:i4>3342462</vt:i4>
      </vt:variant>
      <vt:variant>
        <vt:i4>201</vt:i4>
      </vt:variant>
      <vt:variant>
        <vt:i4>0</vt:i4>
      </vt:variant>
      <vt:variant>
        <vt:i4>5</vt:i4>
      </vt:variant>
      <vt:variant>
        <vt:lpwstr>http://www.nevo.co.il/case/28713358</vt:lpwstr>
      </vt:variant>
      <vt:variant>
        <vt:lpwstr/>
      </vt:variant>
      <vt:variant>
        <vt:i4>4128889</vt:i4>
      </vt:variant>
      <vt:variant>
        <vt:i4>198</vt:i4>
      </vt:variant>
      <vt:variant>
        <vt:i4>0</vt:i4>
      </vt:variant>
      <vt:variant>
        <vt:i4>5</vt:i4>
      </vt:variant>
      <vt:variant>
        <vt:lpwstr>http://www.nevo.co.il/case/24987138</vt:lpwstr>
      </vt:variant>
      <vt:variant>
        <vt:lpwstr/>
      </vt:variant>
      <vt:variant>
        <vt:i4>3932287</vt:i4>
      </vt:variant>
      <vt:variant>
        <vt:i4>195</vt:i4>
      </vt:variant>
      <vt:variant>
        <vt:i4>0</vt:i4>
      </vt:variant>
      <vt:variant>
        <vt:i4>5</vt:i4>
      </vt:variant>
      <vt:variant>
        <vt:lpwstr>http://www.nevo.co.il/case/26453895</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6619233</vt:i4>
      </vt:variant>
      <vt:variant>
        <vt:i4>189</vt:i4>
      </vt:variant>
      <vt:variant>
        <vt:i4>0</vt:i4>
      </vt:variant>
      <vt:variant>
        <vt:i4>5</vt:i4>
      </vt:variant>
      <vt:variant>
        <vt:lpwstr>http://www.nevo.co.il/law/70301/40i</vt:lpwstr>
      </vt:variant>
      <vt:variant>
        <vt:lpwstr/>
      </vt:variant>
      <vt:variant>
        <vt:i4>3670143</vt:i4>
      </vt:variant>
      <vt:variant>
        <vt:i4>186</vt:i4>
      </vt:variant>
      <vt:variant>
        <vt:i4>0</vt:i4>
      </vt:variant>
      <vt:variant>
        <vt:i4>5</vt:i4>
      </vt:variant>
      <vt:variant>
        <vt:lpwstr>http://www.nevo.co.il/case/20923902</vt:lpwstr>
      </vt:variant>
      <vt:variant>
        <vt:lpwstr/>
      </vt:variant>
      <vt:variant>
        <vt:i4>3342450</vt:i4>
      </vt:variant>
      <vt:variant>
        <vt:i4>183</vt:i4>
      </vt:variant>
      <vt:variant>
        <vt:i4>0</vt:i4>
      </vt:variant>
      <vt:variant>
        <vt:i4>5</vt:i4>
      </vt:variant>
      <vt:variant>
        <vt:lpwstr>http://www.nevo.co.il/case/5839570</vt:lpwstr>
      </vt:variant>
      <vt:variant>
        <vt:lpwstr/>
      </vt:variant>
      <vt:variant>
        <vt:i4>3342452</vt:i4>
      </vt:variant>
      <vt:variant>
        <vt:i4>180</vt:i4>
      </vt:variant>
      <vt:variant>
        <vt:i4>0</vt:i4>
      </vt:variant>
      <vt:variant>
        <vt:i4>5</vt:i4>
      </vt:variant>
      <vt:variant>
        <vt:lpwstr>http://www.nevo.co.il/case/27773056</vt:lpwstr>
      </vt:variant>
      <vt:variant>
        <vt:lpwstr/>
      </vt:variant>
      <vt:variant>
        <vt:i4>3473535</vt:i4>
      </vt:variant>
      <vt:variant>
        <vt:i4>177</vt:i4>
      </vt:variant>
      <vt:variant>
        <vt:i4>0</vt:i4>
      </vt:variant>
      <vt:variant>
        <vt:i4>5</vt:i4>
      </vt:variant>
      <vt:variant>
        <vt:lpwstr>http://www.nevo.co.il/case/30027912</vt:lpwstr>
      </vt:variant>
      <vt:variant>
        <vt:lpwstr/>
      </vt:variant>
      <vt:variant>
        <vt:i4>4128892</vt:i4>
      </vt:variant>
      <vt:variant>
        <vt:i4>174</vt:i4>
      </vt:variant>
      <vt:variant>
        <vt:i4>0</vt:i4>
      </vt:variant>
      <vt:variant>
        <vt:i4>5</vt:i4>
      </vt:variant>
      <vt:variant>
        <vt:lpwstr>http://www.nevo.co.il/case/29266793</vt:lpwstr>
      </vt:variant>
      <vt:variant>
        <vt:lpwstr/>
      </vt:variant>
      <vt:variant>
        <vt:i4>3145851</vt:i4>
      </vt:variant>
      <vt:variant>
        <vt:i4>171</vt:i4>
      </vt:variant>
      <vt:variant>
        <vt:i4>0</vt:i4>
      </vt:variant>
      <vt:variant>
        <vt:i4>5</vt:i4>
      </vt:variant>
      <vt:variant>
        <vt:lpwstr>http://www.nevo.co.il/case/29644207</vt:lpwstr>
      </vt:variant>
      <vt:variant>
        <vt:lpwstr/>
      </vt:variant>
      <vt:variant>
        <vt:i4>3735668</vt:i4>
      </vt:variant>
      <vt:variant>
        <vt:i4>168</vt:i4>
      </vt:variant>
      <vt:variant>
        <vt:i4>0</vt:i4>
      </vt:variant>
      <vt:variant>
        <vt:i4>5</vt:i4>
      </vt:variant>
      <vt:variant>
        <vt:lpwstr>http://www.nevo.co.il/case/29995070</vt:lpwstr>
      </vt:variant>
      <vt:variant>
        <vt:lpwstr/>
      </vt:variant>
      <vt:variant>
        <vt:i4>3145847</vt:i4>
      </vt:variant>
      <vt:variant>
        <vt:i4>165</vt:i4>
      </vt:variant>
      <vt:variant>
        <vt:i4>0</vt:i4>
      </vt:variant>
      <vt:variant>
        <vt:i4>5</vt:i4>
      </vt:variant>
      <vt:variant>
        <vt:lpwstr>http://www.nevo.co.il/case/28426907</vt:lpwstr>
      </vt:variant>
      <vt:variant>
        <vt:lpwstr/>
      </vt:variant>
      <vt:variant>
        <vt:i4>3276923</vt:i4>
      </vt:variant>
      <vt:variant>
        <vt:i4>162</vt:i4>
      </vt:variant>
      <vt:variant>
        <vt:i4>0</vt:i4>
      </vt:variant>
      <vt:variant>
        <vt:i4>5</vt:i4>
      </vt:variant>
      <vt:variant>
        <vt:lpwstr>http://www.nevo.co.il/case/28612649</vt:lpwstr>
      </vt:variant>
      <vt:variant>
        <vt:lpwstr/>
      </vt:variant>
      <vt:variant>
        <vt:i4>3604604</vt:i4>
      </vt:variant>
      <vt:variant>
        <vt:i4>159</vt:i4>
      </vt:variant>
      <vt:variant>
        <vt:i4>0</vt:i4>
      </vt:variant>
      <vt:variant>
        <vt:i4>5</vt:i4>
      </vt:variant>
      <vt:variant>
        <vt:lpwstr>http://www.nevo.co.il/case/27666952</vt:lpwstr>
      </vt:variant>
      <vt:variant>
        <vt:lpwstr/>
      </vt:variant>
      <vt:variant>
        <vt:i4>3866751</vt:i4>
      </vt:variant>
      <vt:variant>
        <vt:i4>156</vt:i4>
      </vt:variant>
      <vt:variant>
        <vt:i4>0</vt:i4>
      </vt:variant>
      <vt:variant>
        <vt:i4>5</vt:i4>
      </vt:variant>
      <vt:variant>
        <vt:lpwstr>http://www.nevo.co.il/case/29869489</vt:lpwstr>
      </vt:variant>
      <vt:variant>
        <vt:lpwstr/>
      </vt:variant>
      <vt:variant>
        <vt:i4>4063345</vt:i4>
      </vt:variant>
      <vt:variant>
        <vt:i4>153</vt:i4>
      </vt:variant>
      <vt:variant>
        <vt:i4>0</vt:i4>
      </vt:variant>
      <vt:variant>
        <vt:i4>5</vt:i4>
      </vt:variant>
      <vt:variant>
        <vt:lpwstr>http://www.nevo.co.il/case/30168342</vt:lpwstr>
      </vt:variant>
      <vt:variant>
        <vt:lpwstr/>
      </vt:variant>
      <vt:variant>
        <vt:i4>3211383</vt:i4>
      </vt:variant>
      <vt:variant>
        <vt:i4>150</vt:i4>
      </vt:variant>
      <vt:variant>
        <vt:i4>0</vt:i4>
      </vt:variant>
      <vt:variant>
        <vt:i4>5</vt:i4>
      </vt:variant>
      <vt:variant>
        <vt:lpwstr>http://www.nevo.co.il/case/28697227</vt:lpwstr>
      </vt:variant>
      <vt:variant>
        <vt:lpwstr/>
      </vt:variant>
      <vt:variant>
        <vt:i4>3211380</vt:i4>
      </vt:variant>
      <vt:variant>
        <vt:i4>147</vt:i4>
      </vt:variant>
      <vt:variant>
        <vt:i4>0</vt:i4>
      </vt:variant>
      <vt:variant>
        <vt:i4>5</vt:i4>
      </vt:variant>
      <vt:variant>
        <vt:lpwstr>http://www.nevo.co.il/case/28883087</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http://www.nevo.co.il/law/70301/144.g</vt:lpwstr>
      </vt:variant>
      <vt:variant>
        <vt:lpwstr/>
      </vt:variant>
      <vt:variant>
        <vt:i4>3604606</vt:i4>
      </vt:variant>
      <vt:variant>
        <vt:i4>138</vt:i4>
      </vt:variant>
      <vt:variant>
        <vt:i4>0</vt:i4>
      </vt:variant>
      <vt:variant>
        <vt:i4>5</vt:i4>
      </vt:variant>
      <vt:variant>
        <vt:lpwstr>http://www.nevo.co.il/case/28643606</vt:lpwstr>
      </vt:variant>
      <vt:variant>
        <vt:lpwstr/>
      </vt:variant>
      <vt:variant>
        <vt:i4>3604592</vt:i4>
      </vt:variant>
      <vt:variant>
        <vt:i4>135</vt:i4>
      </vt:variant>
      <vt:variant>
        <vt:i4>0</vt:i4>
      </vt:variant>
      <vt:variant>
        <vt:i4>5</vt:i4>
      </vt:variant>
      <vt:variant>
        <vt:lpwstr>http://www.nevo.co.il/case/28452933</vt:lpwstr>
      </vt:variant>
      <vt:variant>
        <vt:lpwstr/>
      </vt:variant>
      <vt:variant>
        <vt:i4>3473530</vt:i4>
      </vt:variant>
      <vt:variant>
        <vt:i4>132</vt:i4>
      </vt:variant>
      <vt:variant>
        <vt:i4>0</vt:i4>
      </vt:variant>
      <vt:variant>
        <vt:i4>5</vt:i4>
      </vt:variant>
      <vt:variant>
        <vt:lpwstr>http://www.nevo.co.il/case/28660017</vt:lpwstr>
      </vt:variant>
      <vt:variant>
        <vt:lpwstr/>
      </vt:variant>
      <vt:variant>
        <vt:i4>3473531</vt:i4>
      </vt:variant>
      <vt:variant>
        <vt:i4>129</vt:i4>
      </vt:variant>
      <vt:variant>
        <vt:i4>0</vt:i4>
      </vt:variant>
      <vt:variant>
        <vt:i4>5</vt:i4>
      </vt:variant>
      <vt:variant>
        <vt:lpwstr>http://www.nevo.co.il/case/28266138</vt:lpwstr>
      </vt:variant>
      <vt:variant>
        <vt:lpwstr/>
      </vt:variant>
      <vt:variant>
        <vt:i4>5308508</vt:i4>
      </vt:variant>
      <vt:variant>
        <vt:i4>126</vt:i4>
      </vt:variant>
      <vt:variant>
        <vt:i4>0</vt:i4>
      </vt:variant>
      <vt:variant>
        <vt:i4>5</vt:i4>
      </vt:variant>
      <vt:variant>
        <vt:lpwstr>http://www.nevo.co.il/law/70301/40i.a.6.;40.i.a.7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4915208</vt:i4>
      </vt:variant>
      <vt:variant>
        <vt:i4>120</vt:i4>
      </vt:variant>
      <vt:variant>
        <vt:i4>0</vt:i4>
      </vt:variant>
      <vt:variant>
        <vt:i4>5</vt:i4>
      </vt:variant>
      <vt:variant>
        <vt:lpwstr>http://www.nevo.co.il/law/70301/40i.a</vt:lpwstr>
      </vt:variant>
      <vt:variant>
        <vt:lpwstr/>
      </vt:variant>
      <vt:variant>
        <vt:i4>4128881</vt:i4>
      </vt:variant>
      <vt:variant>
        <vt:i4>117</vt:i4>
      </vt:variant>
      <vt:variant>
        <vt:i4>0</vt:i4>
      </vt:variant>
      <vt:variant>
        <vt:i4>5</vt:i4>
      </vt:variant>
      <vt:variant>
        <vt:lpwstr>http://www.nevo.co.il/case/27309272</vt:lpwstr>
      </vt:variant>
      <vt:variant>
        <vt:lpwstr/>
      </vt:variant>
      <vt:variant>
        <vt:i4>3473534</vt:i4>
      </vt:variant>
      <vt:variant>
        <vt:i4>114</vt:i4>
      </vt:variant>
      <vt:variant>
        <vt:i4>0</vt:i4>
      </vt:variant>
      <vt:variant>
        <vt:i4>5</vt:i4>
      </vt:variant>
      <vt:variant>
        <vt:lpwstr>http://www.nevo.co.il/case/26193556</vt:lpwstr>
      </vt:variant>
      <vt:variant>
        <vt:lpwstr/>
      </vt:variant>
      <vt:variant>
        <vt:i4>3276919</vt:i4>
      </vt:variant>
      <vt:variant>
        <vt:i4>111</vt:i4>
      </vt:variant>
      <vt:variant>
        <vt:i4>0</vt:i4>
      </vt:variant>
      <vt:variant>
        <vt:i4>5</vt:i4>
      </vt:variant>
      <vt:variant>
        <vt:lpwstr>http://www.nevo.co.il/case/28697218</vt:lpwstr>
      </vt:variant>
      <vt:variant>
        <vt:lpwstr/>
      </vt:variant>
      <vt:variant>
        <vt:i4>3407994</vt:i4>
      </vt:variant>
      <vt:variant>
        <vt:i4>108</vt:i4>
      </vt:variant>
      <vt:variant>
        <vt:i4>0</vt:i4>
      </vt:variant>
      <vt:variant>
        <vt:i4>5</vt:i4>
      </vt:variant>
      <vt:variant>
        <vt:lpwstr>http://www.nevo.co.il/case/28243273</vt:lpwstr>
      </vt:variant>
      <vt:variant>
        <vt:lpwstr/>
      </vt:variant>
      <vt:variant>
        <vt:i4>4128881</vt:i4>
      </vt:variant>
      <vt:variant>
        <vt:i4>105</vt:i4>
      </vt:variant>
      <vt:variant>
        <vt:i4>0</vt:i4>
      </vt:variant>
      <vt:variant>
        <vt:i4>5</vt:i4>
      </vt:variant>
      <vt:variant>
        <vt:lpwstr>http://www.nevo.co.il/case/27309272</vt:lpwstr>
      </vt:variant>
      <vt:variant>
        <vt:lpwstr/>
      </vt:variant>
      <vt:variant>
        <vt:i4>3145849</vt:i4>
      </vt:variant>
      <vt:variant>
        <vt:i4>102</vt:i4>
      </vt:variant>
      <vt:variant>
        <vt:i4>0</vt:i4>
      </vt:variant>
      <vt:variant>
        <vt:i4>5</vt:i4>
      </vt:variant>
      <vt:variant>
        <vt:lpwstr>http://www.nevo.co.il/case/13093721</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7274619</vt:i4>
      </vt:variant>
      <vt:variant>
        <vt:i4>96</vt:i4>
      </vt:variant>
      <vt:variant>
        <vt:i4>0</vt:i4>
      </vt:variant>
      <vt:variant>
        <vt:i4>5</vt:i4>
      </vt:variant>
      <vt:variant>
        <vt:lpwstr>http://www.nevo.co.il/law/70301/40.f.;40.g</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4915202</vt:i4>
      </vt:variant>
      <vt:variant>
        <vt:i4>90</vt:i4>
      </vt:variant>
      <vt:variant>
        <vt:i4>0</vt:i4>
      </vt:variant>
      <vt:variant>
        <vt:i4>5</vt:i4>
      </vt:variant>
      <vt:variant>
        <vt:lpwstr>http://www.nevo.co.il/law/70301/40c.b</vt:lpwstr>
      </vt:variant>
      <vt:variant>
        <vt:lpwstr/>
      </vt:variant>
      <vt:variant>
        <vt:i4>458763</vt:i4>
      </vt:variant>
      <vt:variant>
        <vt:i4>87</vt:i4>
      </vt:variant>
      <vt:variant>
        <vt:i4>0</vt:i4>
      </vt:variant>
      <vt:variant>
        <vt:i4>5</vt:i4>
      </vt:variant>
      <vt:variant>
        <vt:lpwstr>http://www.nevo.co.il/law/70301/40jb</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http://www.nevo.co.il/law/70301/40b</vt:lpwstr>
      </vt:variant>
      <vt:variant>
        <vt:lpwstr/>
      </vt:variant>
      <vt:variant>
        <vt:i4>3211378</vt:i4>
      </vt:variant>
      <vt:variant>
        <vt:i4>72</vt:i4>
      </vt:variant>
      <vt:variant>
        <vt:i4>0</vt:i4>
      </vt:variant>
      <vt:variant>
        <vt:i4>5</vt:i4>
      </vt:variant>
      <vt:variant>
        <vt:lpwstr>http://www.nevo.co.il/case/27460777</vt:lpwstr>
      </vt:variant>
      <vt:variant>
        <vt:lpwstr/>
      </vt:variant>
      <vt:variant>
        <vt:i4>7995437</vt:i4>
      </vt:variant>
      <vt:variant>
        <vt:i4>69</vt:i4>
      </vt:variant>
      <vt:variant>
        <vt:i4>0</vt:i4>
      </vt:variant>
      <vt:variant>
        <vt:i4>5</vt:i4>
      </vt:variant>
      <vt:variant>
        <vt:lpwstr>http://www.nevo.co.il/law/141771/24.a.1</vt:lpwstr>
      </vt:variant>
      <vt:variant>
        <vt:lpwstr/>
      </vt:variant>
      <vt:variant>
        <vt:i4>4718679</vt:i4>
      </vt:variant>
      <vt:variant>
        <vt:i4>66</vt:i4>
      </vt:variant>
      <vt:variant>
        <vt:i4>0</vt:i4>
      </vt:variant>
      <vt:variant>
        <vt:i4>5</vt:i4>
      </vt:variant>
      <vt:variant>
        <vt:lpwstr>http://www.nevo.co.il/law/141771</vt:lpwstr>
      </vt:variant>
      <vt:variant>
        <vt:lpwstr/>
      </vt:variant>
      <vt:variant>
        <vt:i4>7995438</vt:i4>
      </vt:variant>
      <vt:variant>
        <vt:i4>63</vt:i4>
      </vt:variant>
      <vt:variant>
        <vt:i4>0</vt:i4>
      </vt:variant>
      <vt:variant>
        <vt:i4>5</vt:i4>
      </vt:variant>
      <vt:variant>
        <vt:lpwstr>http://www.nevo.co.il/law/141771/24.b.2</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7995438</vt:i4>
      </vt:variant>
      <vt:variant>
        <vt:i4>54</vt:i4>
      </vt:variant>
      <vt:variant>
        <vt:i4>0</vt:i4>
      </vt:variant>
      <vt:variant>
        <vt:i4>5</vt:i4>
      </vt:variant>
      <vt:variant>
        <vt:lpwstr>http://www.nevo.co.il/law/141771/24.b.2</vt:lpwstr>
      </vt:variant>
      <vt:variant>
        <vt:lpwstr/>
      </vt:variant>
      <vt:variant>
        <vt:i4>7995437</vt:i4>
      </vt:variant>
      <vt:variant>
        <vt:i4>51</vt:i4>
      </vt:variant>
      <vt:variant>
        <vt:i4>0</vt:i4>
      </vt:variant>
      <vt:variant>
        <vt:i4>5</vt:i4>
      </vt:variant>
      <vt:variant>
        <vt:lpwstr>http://www.nevo.co.il/law/141771/24.a.1</vt:lpwstr>
      </vt:variant>
      <vt:variant>
        <vt:lpwstr/>
      </vt:variant>
      <vt:variant>
        <vt:i4>4718679</vt:i4>
      </vt:variant>
      <vt:variant>
        <vt:i4>48</vt:i4>
      </vt:variant>
      <vt:variant>
        <vt:i4>0</vt:i4>
      </vt:variant>
      <vt:variant>
        <vt:i4>5</vt:i4>
      </vt:variant>
      <vt:variant>
        <vt:lpwstr>http://www.nevo.co.il/law/141771</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458763</vt:i4>
      </vt:variant>
      <vt:variant>
        <vt:i4>42</vt:i4>
      </vt:variant>
      <vt:variant>
        <vt:i4>0</vt:i4>
      </vt:variant>
      <vt:variant>
        <vt:i4>5</vt:i4>
      </vt:variant>
      <vt:variant>
        <vt:lpwstr>http://www.nevo.co.il/law/70301/40jb</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131151</vt:i4>
      </vt:variant>
      <vt:variant>
        <vt:i4>30</vt:i4>
      </vt:variant>
      <vt:variant>
        <vt:i4>0</vt:i4>
      </vt:variant>
      <vt:variant>
        <vt:i4>5</vt:i4>
      </vt:variant>
      <vt:variant>
        <vt:lpwstr>http://www.nevo.co.il/law/70301/45.b</vt:lpwstr>
      </vt:variant>
      <vt:variant>
        <vt:lpwstr/>
      </vt:variant>
      <vt:variant>
        <vt:i4>4915295</vt:i4>
      </vt:variant>
      <vt:variant>
        <vt:i4>27</vt:i4>
      </vt:variant>
      <vt:variant>
        <vt:i4>0</vt:i4>
      </vt:variant>
      <vt:variant>
        <vt:i4>5</vt:i4>
      </vt:variant>
      <vt:variant>
        <vt:lpwstr>http://www.nevo.co.il/law/70301/40i.a.6.</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5898319</vt:i4>
      </vt:variant>
      <vt:variant>
        <vt:i4>9</vt:i4>
      </vt:variant>
      <vt:variant>
        <vt:i4>0</vt:i4>
      </vt:variant>
      <vt:variant>
        <vt:i4>5</vt:i4>
      </vt:variant>
      <vt:variant>
        <vt:lpwstr>http://www.nevo.co.il/law/70301/40.i.a.7</vt:lpwstr>
      </vt:variant>
      <vt:variant>
        <vt:lpwstr/>
      </vt:variant>
      <vt:variant>
        <vt:i4>131151</vt:i4>
      </vt:variant>
      <vt:variant>
        <vt:i4>6</vt:i4>
      </vt:variant>
      <vt:variant>
        <vt:i4>0</vt:i4>
      </vt:variant>
      <vt:variant>
        <vt:i4>5</vt:i4>
      </vt:variant>
      <vt:variant>
        <vt:lpwstr>http://www.nevo.co.il/law/70301/40.g</vt:lpwstr>
      </vt:variant>
      <vt:variant>
        <vt:lpwstr/>
      </vt:variant>
      <vt:variant>
        <vt:i4>196687</vt:i4>
      </vt:variant>
      <vt:variant>
        <vt:i4>3</vt:i4>
      </vt:variant>
      <vt:variant>
        <vt:i4>0</vt:i4>
      </vt:variant>
      <vt:variant>
        <vt:i4>5</vt:i4>
      </vt:variant>
      <vt:variant>
        <vt:lpwstr>http://www.nevo.co.il/law/70301/40.f.</vt:lpwstr>
      </vt:variant>
      <vt:variant>
        <vt:lpwstr/>
      </vt:variant>
      <vt:variant>
        <vt:i4>7995492</vt:i4>
      </vt:variant>
      <vt:variant>
        <vt:i4>0</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2025-01-19T17:08:00Z</dcterms:created>
  <dcterms:modified xsi:type="dcterms:W3CDTF">2025-01-19T17:08:00Z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35488</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אנס שלודי</vt:lpwstr>
  </property>
  <property fmtid="{D5CDD505-2E9C-101B-9397-08002B2CF9AE}" pid="10" name="LAWYER">
    <vt:lpwstr>ליזו אבקסיס וולפוס;אדר ארז;רמזי קטילאת</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20240709</vt:lpwstr>
  </property>
  <property fmtid="{D5CDD505-2E9C-101B-9397-08002B2CF9AE}" pid="14" name="TYPE_N_DATE">
    <vt:lpwstr>39020240709</vt:lpwstr>
  </property>
  <property fmtid="{D5CDD505-2E9C-101B-9397-08002B2CF9AE}" pid="15" name="CASESLISTTMP1">
    <vt:lpwstr>27460777;13093721;27309272:2;28243273;28697218;26193556;28266138;28660017;28452933;28643606;28883087;28697227;30168342;29869489;27666952;28612649;28426907;29995070;29644207;29266793;30027912;27773056;5839570;20923902;26453895;24987138;28713358;25280833</vt:lpwstr>
  </property>
  <property fmtid="{D5CDD505-2E9C-101B-9397-08002B2CF9AE}" pid="16" name="CASESLISTTMP2">
    <vt:lpwstr>22702670;30177541;30182276;30106052;30113629;30103318;30183610;30193420;30123608;30151575;30178870;30178854;25386231;28092428;22578455;18654248;20244332;25690639</vt:lpwstr>
  </property>
  <property fmtid="{D5CDD505-2E9C-101B-9397-08002B2CF9AE}" pid="17" name="CASENOTES1">
    <vt:lpwstr>ProcID=209&amp;PartA=46340&amp;PartB=07&amp;PartC=23</vt:lpwstr>
  </property>
  <property fmtid="{D5CDD505-2E9C-101B-9397-08002B2CF9AE}" pid="18" name="CASENOTES2">
    <vt:lpwstr>ProcID=209&amp;PartA=19003&amp;PartB=10&amp;PartC=23</vt:lpwstr>
  </property>
  <property fmtid="{D5CDD505-2E9C-101B-9397-08002B2CF9AE}" pid="19" name="CASENOTES3">
    <vt:lpwstr>ProcID=213&amp;PartA=14&amp;PartC=13</vt:lpwstr>
  </property>
  <property fmtid="{D5CDD505-2E9C-101B-9397-08002B2CF9AE}" pid="20" name="CASENOTES4">
    <vt:lpwstr>ProcID=213&amp;PartA=62&amp;PartC=61</vt:lpwstr>
  </property>
  <property fmtid="{D5CDD505-2E9C-101B-9397-08002B2CF9AE}" pid="21" name="WORDNUMPAGES">
    <vt:lpwstr>16</vt:lpwstr>
  </property>
  <property fmtid="{D5CDD505-2E9C-101B-9397-08002B2CF9AE}" pid="22" name="TYPE_ABS_DATE">
    <vt:lpwstr>390020240709</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ISABSTRACT">
    <vt:lpwstr>Y</vt:lpwstr>
  </property>
  <property fmtid="{D5CDD505-2E9C-101B-9397-08002B2CF9AE}" pid="41" name="LAWLISTTMP1">
    <vt:lpwstr>70301/144.b:2;040b:2;040c.a:2;040i:4;40jb:2;040c.b:2;40ja:4;040.f:4;040.g:4;40jc:2;040i.a:2;040i.a.6:2;040.i.a.7:2;144.g:2;045.b:2</vt:lpwstr>
  </property>
  <property fmtid="{D5CDD505-2E9C-101B-9397-08002B2CF9AE}" pid="42" name="LAWLISTTMP2">
    <vt:lpwstr>141771/024.b.2:2;024.a.1:2</vt:lpwstr>
  </property>
</Properties>
</file>