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7"/>
        <w:gridCol w:w="3662"/>
        <w:gridCol w:w="99"/>
      </w:tblGrid>
      <w:tr w:rsidR="006234AD" w:rsidRPr="005A4EC8" w14:paraId="027CDD30" w14:textId="77777777" w:rsidTr="00A3651E">
        <w:trPr>
          <w:gridAfter w:val="1"/>
          <w:wAfter w:w="99" w:type="dxa"/>
          <w:trHeight w:hRule="exact" w:val="418"/>
          <w:jc w:val="center"/>
        </w:trPr>
        <w:tc>
          <w:tcPr>
            <w:tcW w:w="8721" w:type="dxa"/>
            <w:gridSpan w:val="4"/>
          </w:tcPr>
          <w:p w14:paraId="3A55A3E2" w14:textId="77777777" w:rsidR="006234AD" w:rsidRPr="005A4EC8" w:rsidRDefault="006234AD" w:rsidP="00915177">
            <w:pPr>
              <w:pStyle w:val="a3"/>
              <w:jc w:val="center"/>
              <w:rPr>
                <w:rFonts w:ascii="Tahoma" w:hAnsi="Tahoma" w:cs="Tahoma"/>
                <w:color w:val="000080"/>
                <w:rtl/>
              </w:rPr>
            </w:pPr>
            <w:bookmarkStart w:id="0" w:name="LastJudge"/>
            <w:r w:rsidRPr="005A4EC8">
              <w:rPr>
                <w:rFonts w:ascii="Tahoma" w:hAnsi="Tahoma" w:cs="Tahoma"/>
                <w:b/>
                <w:bCs/>
                <w:color w:val="000080"/>
                <w:rtl/>
              </w:rPr>
              <w:t>בית המשפט המחוזי מרכז-לוד</w:t>
            </w:r>
          </w:p>
        </w:tc>
      </w:tr>
      <w:tr w:rsidR="006234AD" w:rsidRPr="005A4EC8" w14:paraId="3BA11249" w14:textId="77777777" w:rsidTr="00A3651E">
        <w:trPr>
          <w:gridAfter w:val="1"/>
          <w:wAfter w:w="99" w:type="dxa"/>
          <w:trHeight w:val="337"/>
          <w:jc w:val="center"/>
        </w:trPr>
        <w:tc>
          <w:tcPr>
            <w:tcW w:w="5059" w:type="dxa"/>
            <w:gridSpan w:val="3"/>
          </w:tcPr>
          <w:p w14:paraId="0B3E23E0" w14:textId="77777777" w:rsidR="006234AD" w:rsidRPr="005A4EC8" w:rsidRDefault="006234AD" w:rsidP="00915177">
            <w:pPr>
              <w:rPr>
                <w:rFonts w:cs="FrankRuehl"/>
                <w:sz w:val="28"/>
                <w:szCs w:val="28"/>
                <w:rtl/>
              </w:rPr>
            </w:pPr>
            <w:r w:rsidRPr="005A4EC8">
              <w:rPr>
                <w:rFonts w:cs="FrankRuehl"/>
                <w:sz w:val="28"/>
                <w:szCs w:val="28"/>
                <w:rtl/>
              </w:rPr>
              <w:t>ת"פ</w:t>
            </w:r>
            <w:r w:rsidRPr="005A4EC8">
              <w:rPr>
                <w:rFonts w:cs="FrankRuehl" w:hint="cs"/>
                <w:sz w:val="28"/>
                <w:szCs w:val="28"/>
                <w:rtl/>
              </w:rPr>
              <w:t xml:space="preserve"> </w:t>
            </w:r>
            <w:r w:rsidRPr="005A4EC8">
              <w:rPr>
                <w:rFonts w:cs="FrankRuehl"/>
                <w:sz w:val="28"/>
                <w:szCs w:val="28"/>
                <w:rtl/>
              </w:rPr>
              <w:t>38193-11-23</w:t>
            </w:r>
            <w:r w:rsidRPr="005A4EC8">
              <w:rPr>
                <w:rFonts w:cs="FrankRuehl" w:hint="cs"/>
                <w:sz w:val="28"/>
                <w:szCs w:val="28"/>
                <w:rtl/>
              </w:rPr>
              <w:t xml:space="preserve"> </w:t>
            </w:r>
            <w:r w:rsidRPr="005A4EC8">
              <w:rPr>
                <w:rFonts w:cs="FrankRuehl"/>
                <w:sz w:val="28"/>
                <w:szCs w:val="28"/>
                <w:rtl/>
              </w:rPr>
              <w:t>מדינת ישראל נ' נעאלוה(עציר)</w:t>
            </w:r>
          </w:p>
          <w:p w14:paraId="69F30D02" w14:textId="77777777" w:rsidR="006234AD" w:rsidRPr="005A4EC8" w:rsidRDefault="006234AD" w:rsidP="00915177">
            <w:pPr>
              <w:pStyle w:val="a3"/>
              <w:rPr>
                <w:rFonts w:cs="FrankRuehl"/>
                <w:sz w:val="28"/>
                <w:szCs w:val="28"/>
                <w:rtl/>
              </w:rPr>
            </w:pPr>
          </w:p>
        </w:tc>
        <w:tc>
          <w:tcPr>
            <w:tcW w:w="3662" w:type="dxa"/>
          </w:tcPr>
          <w:p w14:paraId="2C47053F" w14:textId="77777777" w:rsidR="006234AD" w:rsidRPr="005A4EC8" w:rsidRDefault="006234AD" w:rsidP="00915177">
            <w:pPr>
              <w:pStyle w:val="a3"/>
              <w:jc w:val="right"/>
              <w:rPr>
                <w:rFonts w:cs="FrankRuehl"/>
                <w:sz w:val="28"/>
                <w:szCs w:val="28"/>
                <w:rtl/>
              </w:rPr>
            </w:pPr>
          </w:p>
        </w:tc>
      </w:tr>
      <w:tr w:rsidR="006234AD" w:rsidRPr="005A4EC8" w14:paraId="51F649FD" w14:textId="77777777" w:rsidTr="00A365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D47508A" w14:textId="77777777" w:rsidR="006234AD" w:rsidRPr="005A4EC8" w:rsidRDefault="006234AD" w:rsidP="006234AD">
            <w:pPr>
              <w:jc w:val="both"/>
              <w:rPr>
                <w:rFonts w:ascii="David" w:hAnsi="David"/>
                <w:sz w:val="26"/>
                <w:szCs w:val="26"/>
              </w:rPr>
            </w:pPr>
            <w:r w:rsidRPr="005A4EC8">
              <w:rPr>
                <w:rFonts w:hint="cs"/>
                <w:rtl/>
              </w:rPr>
              <w:t xml:space="preserve"> </w:t>
            </w:r>
            <w:r w:rsidRPr="005A4EC8">
              <w:rPr>
                <w:rFonts w:ascii="David" w:hAnsi="David" w:hint="cs"/>
                <w:sz w:val="26"/>
                <w:szCs w:val="26"/>
                <w:rtl/>
              </w:rPr>
              <w:t>ל</w:t>
            </w:r>
            <w:r w:rsidRPr="005A4EC8">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23E985B1" w14:textId="77777777" w:rsidR="006234AD" w:rsidRPr="005A4EC8" w:rsidRDefault="006234AD" w:rsidP="00915177">
            <w:pPr>
              <w:rPr>
                <w:rFonts w:ascii="David" w:hAnsi="David"/>
                <w:b/>
                <w:bCs/>
                <w:sz w:val="26"/>
                <w:szCs w:val="26"/>
                <w:rtl/>
              </w:rPr>
            </w:pPr>
            <w:r w:rsidRPr="005A4EC8">
              <w:rPr>
                <w:rFonts w:ascii="David" w:hAnsi="David"/>
                <w:b/>
                <w:bCs/>
                <w:sz w:val="26"/>
                <w:szCs w:val="26"/>
                <w:rtl/>
              </w:rPr>
              <w:t>כבוד השופטת  מרב גרינברג</w:t>
            </w:r>
          </w:p>
          <w:p w14:paraId="50BA9CAF" w14:textId="77777777" w:rsidR="006234AD" w:rsidRPr="005A4EC8" w:rsidRDefault="006234AD" w:rsidP="00915177">
            <w:pPr>
              <w:rPr>
                <w:rFonts w:ascii="David" w:hAnsi="David"/>
                <w:sz w:val="26"/>
                <w:szCs w:val="26"/>
                <w:rtl/>
              </w:rPr>
            </w:pPr>
          </w:p>
          <w:p w14:paraId="2219C70F" w14:textId="77777777" w:rsidR="006234AD" w:rsidRPr="005A4EC8" w:rsidRDefault="006234AD" w:rsidP="006234AD">
            <w:pPr>
              <w:jc w:val="both"/>
              <w:rPr>
                <w:rFonts w:ascii="David" w:hAnsi="David"/>
                <w:sz w:val="26"/>
                <w:szCs w:val="26"/>
              </w:rPr>
            </w:pPr>
          </w:p>
        </w:tc>
      </w:tr>
      <w:tr w:rsidR="006234AD" w:rsidRPr="005A4EC8" w14:paraId="35F61DAA" w14:textId="77777777" w:rsidTr="00A365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08149F2" w14:textId="77777777" w:rsidR="006234AD" w:rsidRPr="005A4EC8" w:rsidRDefault="006234AD" w:rsidP="006234AD">
            <w:pPr>
              <w:jc w:val="both"/>
              <w:rPr>
                <w:rFonts w:ascii="David" w:hAnsi="David"/>
                <w:sz w:val="26"/>
                <w:szCs w:val="26"/>
              </w:rPr>
            </w:pPr>
            <w:bookmarkStart w:id="1" w:name="FirstAppellant"/>
            <w:r w:rsidRPr="005A4EC8">
              <w:rPr>
                <w:rFonts w:ascii="David" w:hAnsi="David"/>
                <w:sz w:val="26"/>
                <w:szCs w:val="26"/>
                <w:rtl/>
              </w:rPr>
              <w:t>בעניין:</w:t>
            </w:r>
          </w:p>
        </w:tc>
        <w:tc>
          <w:tcPr>
            <w:tcW w:w="3219" w:type="dxa"/>
            <w:tcBorders>
              <w:top w:val="nil"/>
              <w:left w:val="nil"/>
              <w:bottom w:val="nil"/>
              <w:right w:val="nil"/>
            </w:tcBorders>
            <w:shd w:val="clear" w:color="auto" w:fill="auto"/>
          </w:tcPr>
          <w:p w14:paraId="2AFEBD5B" w14:textId="77777777" w:rsidR="006234AD" w:rsidRPr="005A4EC8" w:rsidRDefault="006234AD" w:rsidP="006234AD">
            <w:pPr>
              <w:suppressLineNumbers/>
            </w:pPr>
            <w:r w:rsidRPr="005A4EC8">
              <w:rPr>
                <w:rFonts w:ascii="Arial" w:hAnsi="Arial" w:hint="cs"/>
                <w:b/>
                <w:bCs/>
                <w:sz w:val="26"/>
                <w:szCs w:val="26"/>
                <w:rtl/>
              </w:rPr>
              <w:t>ה</w:t>
            </w:r>
            <w:r w:rsidRPr="005A4EC8">
              <w:rPr>
                <w:rFonts w:ascii="Arial" w:hAnsi="Arial"/>
                <w:b/>
                <w:bCs/>
                <w:sz w:val="26"/>
                <w:szCs w:val="26"/>
                <w:rtl/>
              </w:rPr>
              <w:t>מאשימה</w:t>
            </w:r>
          </w:p>
          <w:p w14:paraId="09B30A07" w14:textId="77777777" w:rsidR="006234AD" w:rsidRPr="005A4EC8" w:rsidRDefault="006234AD" w:rsidP="00915177">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4946A56" w14:textId="77777777" w:rsidR="006234AD" w:rsidRPr="005A4EC8" w:rsidRDefault="006234AD" w:rsidP="006234AD">
            <w:pPr>
              <w:suppressLineNumbers/>
            </w:pPr>
            <w:r w:rsidRPr="005A4EC8">
              <w:rPr>
                <w:rFonts w:ascii="Arial" w:hAnsi="Arial"/>
                <w:b/>
                <w:bCs/>
                <w:sz w:val="26"/>
                <w:szCs w:val="26"/>
                <w:rtl/>
              </w:rPr>
              <w:t>מדינת ישראל</w:t>
            </w:r>
            <w:r w:rsidRPr="005A4EC8">
              <w:rPr>
                <w:rFonts w:ascii="Arial" w:hAnsi="Arial" w:hint="cs"/>
                <w:b/>
                <w:bCs/>
                <w:sz w:val="26"/>
                <w:szCs w:val="26"/>
                <w:rtl/>
              </w:rPr>
              <w:t xml:space="preserve"> </w:t>
            </w:r>
          </w:p>
          <w:p w14:paraId="3CC03D22" w14:textId="77777777" w:rsidR="006234AD" w:rsidRPr="005A4EC8" w:rsidRDefault="006234AD" w:rsidP="00915177">
            <w:pPr>
              <w:rPr>
                <w:rFonts w:ascii="David" w:hAnsi="David"/>
                <w:sz w:val="26"/>
                <w:szCs w:val="26"/>
              </w:rPr>
            </w:pPr>
          </w:p>
        </w:tc>
      </w:tr>
      <w:bookmarkEnd w:id="1"/>
      <w:tr w:rsidR="006234AD" w:rsidRPr="005A4EC8" w14:paraId="4FA7BD48" w14:textId="77777777" w:rsidTr="00A365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DDCD435" w14:textId="77777777" w:rsidR="006234AD" w:rsidRPr="005A4EC8" w:rsidRDefault="006234AD" w:rsidP="006234AD">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BC5B9BD" w14:textId="77777777" w:rsidR="006234AD" w:rsidRPr="005A4EC8" w:rsidRDefault="006234AD" w:rsidP="006234AD">
            <w:pPr>
              <w:jc w:val="center"/>
              <w:rPr>
                <w:rFonts w:ascii="David" w:hAnsi="David"/>
                <w:b/>
                <w:bCs/>
                <w:sz w:val="26"/>
                <w:szCs w:val="26"/>
                <w:rtl/>
              </w:rPr>
            </w:pPr>
          </w:p>
          <w:p w14:paraId="4B736240" w14:textId="77777777" w:rsidR="006234AD" w:rsidRPr="005A4EC8" w:rsidRDefault="006234AD" w:rsidP="006234AD">
            <w:pPr>
              <w:jc w:val="center"/>
              <w:rPr>
                <w:rFonts w:ascii="David" w:hAnsi="David"/>
                <w:b/>
                <w:bCs/>
                <w:sz w:val="26"/>
                <w:szCs w:val="26"/>
                <w:rtl/>
              </w:rPr>
            </w:pPr>
            <w:r w:rsidRPr="005A4EC8">
              <w:rPr>
                <w:rFonts w:ascii="David" w:hAnsi="David"/>
                <w:b/>
                <w:bCs/>
                <w:sz w:val="26"/>
                <w:szCs w:val="26"/>
                <w:rtl/>
              </w:rPr>
              <w:t>נגד</w:t>
            </w:r>
          </w:p>
          <w:p w14:paraId="248CFBE1" w14:textId="77777777" w:rsidR="006234AD" w:rsidRPr="005A4EC8" w:rsidRDefault="006234AD" w:rsidP="006234AD">
            <w:pPr>
              <w:jc w:val="both"/>
              <w:rPr>
                <w:rFonts w:ascii="David" w:hAnsi="David"/>
                <w:sz w:val="26"/>
                <w:szCs w:val="26"/>
              </w:rPr>
            </w:pPr>
          </w:p>
        </w:tc>
      </w:tr>
      <w:tr w:rsidR="006234AD" w:rsidRPr="005A4EC8" w14:paraId="4260D807" w14:textId="77777777" w:rsidTr="00A365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1154520" w14:textId="77777777" w:rsidR="006234AD" w:rsidRPr="005A4EC8" w:rsidRDefault="006234AD" w:rsidP="00915177">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5809D1E3" w14:textId="77777777" w:rsidR="006234AD" w:rsidRPr="005A4EC8" w:rsidRDefault="006234AD" w:rsidP="00915177">
            <w:pPr>
              <w:rPr>
                <w:rFonts w:ascii="Arial" w:hAnsi="Arial"/>
                <w:b/>
                <w:bCs/>
                <w:sz w:val="26"/>
                <w:szCs w:val="26"/>
                <w:rtl/>
              </w:rPr>
            </w:pPr>
            <w:r w:rsidRPr="005A4EC8">
              <w:rPr>
                <w:rFonts w:ascii="Arial" w:hAnsi="Arial"/>
                <w:b/>
                <w:bCs/>
                <w:sz w:val="26"/>
                <w:szCs w:val="26"/>
                <w:rtl/>
              </w:rPr>
              <w:t>הנאש</w:t>
            </w:r>
            <w:r w:rsidRPr="005A4EC8">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0BC5D5A6" w14:textId="77777777" w:rsidR="006234AD" w:rsidRPr="005A4EC8" w:rsidRDefault="006234AD" w:rsidP="006234AD">
            <w:pPr>
              <w:suppressLineNumbers/>
            </w:pPr>
            <w:r w:rsidRPr="005A4EC8">
              <w:rPr>
                <w:rFonts w:ascii="Arial" w:hAnsi="Arial"/>
                <w:b/>
                <w:bCs/>
                <w:sz w:val="26"/>
                <w:szCs w:val="26"/>
                <w:rtl/>
              </w:rPr>
              <w:t>עלאא נעאלוה גדבאן (עציר)</w:t>
            </w:r>
            <w:r w:rsidRPr="005A4EC8">
              <w:rPr>
                <w:rFonts w:ascii="Arial" w:hAnsi="Arial" w:hint="cs"/>
                <w:b/>
                <w:bCs/>
                <w:sz w:val="26"/>
                <w:szCs w:val="26"/>
                <w:rtl/>
              </w:rPr>
              <w:t xml:space="preserve"> </w:t>
            </w:r>
            <w:r w:rsidRPr="005A4EC8">
              <w:rPr>
                <w:rFonts w:ascii="Arial" w:hAnsi="Arial"/>
                <w:b/>
                <w:bCs/>
                <w:sz w:val="26"/>
                <w:szCs w:val="26"/>
                <w:rtl/>
              </w:rPr>
              <w:t>ע"י ב"כ עוה"ד</w:t>
            </w:r>
            <w:r w:rsidRPr="005A4EC8">
              <w:rPr>
                <w:rFonts w:hint="cs"/>
                <w:rtl/>
              </w:rPr>
              <w:t xml:space="preserve"> שוורצברג</w:t>
            </w:r>
          </w:p>
          <w:p w14:paraId="3FA1EF29" w14:textId="77777777" w:rsidR="006234AD" w:rsidRPr="005A4EC8" w:rsidRDefault="006234AD" w:rsidP="00915177">
            <w:pPr>
              <w:rPr>
                <w:rFonts w:ascii="David" w:hAnsi="David"/>
                <w:sz w:val="26"/>
                <w:szCs w:val="26"/>
              </w:rPr>
            </w:pPr>
          </w:p>
        </w:tc>
      </w:tr>
      <w:bookmarkEnd w:id="2"/>
    </w:tbl>
    <w:p w14:paraId="184C601C" w14:textId="77777777" w:rsidR="005A4EC8" w:rsidRPr="005A4EC8" w:rsidRDefault="005A4EC8" w:rsidP="005A4EC8">
      <w:pPr>
        <w:spacing w:before="120" w:after="120" w:line="240" w:lineRule="exact"/>
        <w:ind w:left="283" w:hanging="283"/>
        <w:jc w:val="both"/>
        <w:rPr>
          <w:rFonts w:ascii="FrankRuehl" w:hAnsi="FrankRuehl" w:cs="FrankRuehl"/>
          <w:rtl/>
        </w:rPr>
      </w:pPr>
    </w:p>
    <w:p w14:paraId="450FC44D" w14:textId="77777777" w:rsidR="005A4EC8" w:rsidRPr="005A4EC8" w:rsidRDefault="005A4EC8" w:rsidP="005A4EC8">
      <w:pPr>
        <w:rPr>
          <w:sz w:val="26"/>
          <w:szCs w:val="26"/>
          <w:rtl/>
        </w:rPr>
      </w:pPr>
    </w:p>
    <w:p w14:paraId="08EA854F" w14:textId="77777777" w:rsidR="00A3651E" w:rsidRPr="00A3651E" w:rsidRDefault="00A3651E" w:rsidP="00A3651E">
      <w:pPr>
        <w:spacing w:before="120" w:after="120" w:line="240" w:lineRule="exact"/>
        <w:ind w:left="283" w:hanging="283"/>
        <w:jc w:val="both"/>
        <w:rPr>
          <w:rFonts w:ascii="FrankRuehl" w:hAnsi="FrankRuehl" w:cs="FrankRuehl"/>
          <w:rtl/>
        </w:rPr>
      </w:pPr>
      <w:bookmarkStart w:id="3" w:name="LawTable"/>
      <w:bookmarkEnd w:id="3"/>
    </w:p>
    <w:p w14:paraId="2808D82E" w14:textId="77777777" w:rsidR="00A3651E" w:rsidRPr="00A3651E" w:rsidRDefault="00A3651E" w:rsidP="00A3651E">
      <w:pPr>
        <w:spacing w:before="120" w:after="120" w:line="240" w:lineRule="exact"/>
        <w:ind w:left="283" w:hanging="283"/>
        <w:jc w:val="both"/>
        <w:rPr>
          <w:rFonts w:ascii="FrankRuehl" w:hAnsi="FrankRuehl" w:cs="FrankRuehl"/>
          <w:rtl/>
        </w:rPr>
      </w:pPr>
      <w:r w:rsidRPr="00A3651E">
        <w:rPr>
          <w:rFonts w:ascii="FrankRuehl" w:hAnsi="FrankRuehl" w:cs="FrankRuehl"/>
          <w:rtl/>
        </w:rPr>
        <w:t xml:space="preserve">חקיקה שאוזכרה: </w:t>
      </w:r>
    </w:p>
    <w:p w14:paraId="765A2431" w14:textId="77777777" w:rsidR="00A3651E" w:rsidRPr="00A3651E" w:rsidRDefault="00A3651E" w:rsidP="00A3651E">
      <w:pPr>
        <w:spacing w:before="120" w:after="120" w:line="240" w:lineRule="exact"/>
        <w:ind w:left="283" w:hanging="283"/>
        <w:jc w:val="both"/>
        <w:rPr>
          <w:rFonts w:ascii="FrankRuehl" w:hAnsi="FrankRuehl" w:cs="FrankRuehl"/>
          <w:color w:val="0000FF"/>
          <w:rtl/>
        </w:rPr>
      </w:pPr>
      <w:hyperlink r:id="rId7" w:history="1">
        <w:r w:rsidRPr="00A3651E">
          <w:rPr>
            <w:rStyle w:val="Hyperlink"/>
            <w:rFonts w:ascii="FrankRuehl" w:hAnsi="FrankRuehl" w:cs="FrankRuehl"/>
            <w:u w:val="none"/>
            <w:rtl/>
          </w:rPr>
          <w:t>חוק העונשין, תשל"ז-1977</w:t>
        </w:r>
      </w:hyperlink>
      <w:r w:rsidRPr="00A3651E">
        <w:rPr>
          <w:rFonts w:ascii="FrankRuehl" w:hAnsi="FrankRuehl" w:cs="FrankRuehl"/>
          <w:color w:val="0000FF"/>
          <w:rtl/>
        </w:rPr>
        <w:t xml:space="preserve">: סע'  </w:t>
      </w:r>
      <w:hyperlink r:id="rId8" w:history="1">
        <w:r w:rsidRPr="00A3651E">
          <w:rPr>
            <w:rStyle w:val="Hyperlink"/>
            <w:rFonts w:ascii="FrankRuehl" w:hAnsi="FrankRuehl" w:cs="FrankRuehl"/>
            <w:u w:val="none"/>
          </w:rPr>
          <w:t>144</w:t>
        </w:r>
      </w:hyperlink>
      <w:r w:rsidRPr="00A3651E">
        <w:rPr>
          <w:rFonts w:ascii="FrankRuehl" w:hAnsi="FrankRuehl" w:cs="FrankRuehl"/>
          <w:color w:val="0000FF"/>
          <w:rtl/>
        </w:rPr>
        <w:t>(ב)</w:t>
      </w:r>
    </w:p>
    <w:p w14:paraId="7B2B5093" w14:textId="77777777" w:rsidR="006234AD" w:rsidRPr="00A3651E" w:rsidRDefault="006234AD" w:rsidP="00A3651E">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234AD" w14:paraId="7268BF2A" w14:textId="77777777" w:rsidTr="006234AD">
        <w:trPr>
          <w:trHeight w:val="355"/>
          <w:jc w:val="center"/>
        </w:trPr>
        <w:tc>
          <w:tcPr>
            <w:tcW w:w="8820" w:type="dxa"/>
            <w:tcBorders>
              <w:top w:val="nil"/>
              <w:left w:val="nil"/>
              <w:bottom w:val="nil"/>
              <w:right w:val="nil"/>
            </w:tcBorders>
            <w:shd w:val="clear" w:color="auto" w:fill="auto"/>
          </w:tcPr>
          <w:p w14:paraId="47BF2371" w14:textId="77777777" w:rsidR="005A4EC8" w:rsidRPr="005A4EC8" w:rsidRDefault="005A4EC8" w:rsidP="005A4EC8">
            <w:pPr>
              <w:jc w:val="center"/>
              <w:rPr>
                <w:rFonts w:ascii="David" w:hAnsi="David"/>
                <w:b/>
                <w:bCs/>
                <w:sz w:val="32"/>
                <w:szCs w:val="32"/>
                <w:u w:val="single"/>
                <w:rtl/>
              </w:rPr>
            </w:pPr>
            <w:bookmarkStart w:id="5" w:name="PsakDin" w:colFirst="0" w:colLast="0"/>
            <w:bookmarkEnd w:id="0"/>
            <w:r w:rsidRPr="005A4EC8">
              <w:rPr>
                <w:rFonts w:ascii="David" w:hAnsi="David"/>
                <w:b/>
                <w:bCs/>
                <w:sz w:val="32"/>
                <w:szCs w:val="32"/>
                <w:u w:val="single"/>
                <w:rtl/>
              </w:rPr>
              <w:t>גזר דין</w:t>
            </w:r>
          </w:p>
          <w:p w14:paraId="0ABF92A0" w14:textId="77777777" w:rsidR="006234AD" w:rsidRPr="005A4EC8" w:rsidRDefault="006234AD" w:rsidP="005A4EC8">
            <w:pPr>
              <w:jc w:val="center"/>
              <w:rPr>
                <w:rFonts w:ascii="David" w:hAnsi="David"/>
                <w:bCs/>
                <w:sz w:val="32"/>
                <w:szCs w:val="32"/>
                <w:u w:val="single"/>
                <w:rtl/>
              </w:rPr>
            </w:pPr>
          </w:p>
        </w:tc>
      </w:tr>
      <w:bookmarkEnd w:id="5"/>
    </w:tbl>
    <w:p w14:paraId="377AB38E" w14:textId="77777777" w:rsidR="006234AD" w:rsidRDefault="006234AD" w:rsidP="006234AD">
      <w:pPr>
        <w:spacing w:line="360" w:lineRule="auto"/>
        <w:ind w:left="720"/>
        <w:contextualSpacing/>
        <w:jc w:val="both"/>
        <w:rPr>
          <w:b/>
          <w:bCs/>
          <w:rtl/>
        </w:rPr>
      </w:pPr>
    </w:p>
    <w:p w14:paraId="79472DD1" w14:textId="77777777" w:rsidR="006234AD" w:rsidRDefault="006234AD" w:rsidP="006234AD">
      <w:pPr>
        <w:spacing w:line="360" w:lineRule="auto"/>
        <w:ind w:left="720"/>
        <w:contextualSpacing/>
        <w:jc w:val="both"/>
        <w:rPr>
          <w:rFonts w:ascii="Miriam" w:hAnsi="Miriam" w:cs="Miriam"/>
          <w:rtl/>
        </w:rPr>
      </w:pPr>
      <w:r>
        <w:rPr>
          <w:rFonts w:ascii="Miriam" w:hAnsi="Miriam" w:cs="Miriam"/>
          <w:rtl/>
        </w:rPr>
        <w:t>כללי</w:t>
      </w:r>
    </w:p>
    <w:p w14:paraId="3AB5A5F5" w14:textId="77777777" w:rsidR="006234AD" w:rsidRDefault="006234AD" w:rsidP="006234AD">
      <w:pPr>
        <w:numPr>
          <w:ilvl w:val="0"/>
          <w:numId w:val="1"/>
        </w:numPr>
        <w:spacing w:line="360" w:lineRule="auto"/>
        <w:jc w:val="both"/>
        <w:rPr>
          <w:rFonts w:ascii="David" w:hAnsi="David"/>
        </w:rPr>
      </w:pPr>
      <w:bookmarkStart w:id="6" w:name="ABSTRACT_START"/>
      <w:bookmarkEnd w:id="6"/>
      <w:r>
        <w:rPr>
          <w:rFonts w:hint="cs"/>
          <w:rtl/>
        </w:rPr>
        <w:t xml:space="preserve">הנאשם הורשע, במסגרת הסדר דיוני, בעובדות כתב אישום מתוקן, בעבירה של נשיאה והובלת נשק </w:t>
      </w:r>
      <w:r>
        <w:rPr>
          <w:rFonts w:hint="cs"/>
          <w:b/>
          <w:bCs/>
          <w:rtl/>
        </w:rPr>
        <w:t xml:space="preserve">לפי </w:t>
      </w:r>
      <w:hyperlink r:id="rId9" w:history="1">
        <w:r w:rsidR="00A3651E" w:rsidRPr="00A3651E">
          <w:rPr>
            <w:rStyle w:val="Hyperlink"/>
            <w:rFonts w:hint="eastAsia"/>
            <w:b/>
            <w:bCs/>
            <w:color w:val="0000FF"/>
            <w:rtl/>
          </w:rPr>
          <w:t>סעיף</w:t>
        </w:r>
        <w:r w:rsidR="00A3651E" w:rsidRPr="00A3651E">
          <w:rPr>
            <w:rStyle w:val="Hyperlink"/>
            <w:b/>
            <w:bCs/>
            <w:color w:val="0000FF"/>
            <w:rtl/>
          </w:rPr>
          <w:t xml:space="preserve"> 144(ב)</w:t>
        </w:r>
      </w:hyperlink>
      <w:r>
        <w:rPr>
          <w:rFonts w:hint="cs"/>
          <w:b/>
          <w:bCs/>
          <w:rtl/>
        </w:rPr>
        <w:t xml:space="preserve"> רישא ל</w:t>
      </w:r>
      <w:hyperlink r:id="rId10" w:history="1">
        <w:r w:rsidR="005A4EC8" w:rsidRPr="005A4EC8">
          <w:rPr>
            <w:b/>
            <w:bCs/>
            <w:color w:val="0000FF"/>
            <w:u w:val="single"/>
            <w:rtl/>
          </w:rPr>
          <w:t>חוק העונשין</w:t>
        </w:r>
      </w:hyperlink>
      <w:r>
        <w:rPr>
          <w:rFonts w:hint="cs"/>
          <w:b/>
          <w:bCs/>
          <w:rtl/>
        </w:rPr>
        <w:t>, תשל"ז-1977</w:t>
      </w:r>
      <w:r>
        <w:rPr>
          <w:rFonts w:hint="cs"/>
          <w:rtl/>
        </w:rPr>
        <w:t xml:space="preserve">. </w:t>
      </w:r>
    </w:p>
    <w:p w14:paraId="65AC8BBB" w14:textId="77777777" w:rsidR="006234AD" w:rsidRDefault="006234AD" w:rsidP="006234AD">
      <w:pPr>
        <w:spacing w:line="360" w:lineRule="auto"/>
        <w:ind w:left="720"/>
        <w:contextualSpacing/>
        <w:jc w:val="both"/>
      </w:pPr>
    </w:p>
    <w:p w14:paraId="27797C12" w14:textId="77777777" w:rsidR="006234AD" w:rsidRDefault="006234AD" w:rsidP="006234AD">
      <w:pPr>
        <w:numPr>
          <w:ilvl w:val="0"/>
          <w:numId w:val="1"/>
        </w:numPr>
        <w:spacing w:line="360" w:lineRule="auto"/>
        <w:jc w:val="both"/>
        <w:rPr>
          <w:rtl/>
        </w:rPr>
      </w:pPr>
      <w:r>
        <w:rPr>
          <w:rFonts w:hint="cs"/>
          <w:rtl/>
        </w:rPr>
        <w:t xml:space="preserve">כמפורט בעובדות כתב האישום המתוקן, ביום 8.11.23 נהג הנאשם ברכבו על כביש 6 סמוך למחלף ניצני עוז, כשהוא נושא ומוביל על רצפת המושב שליד הנהג קופסת מתכת ובה שישה רימוני יד מספר 26 מסוג רסס שבכוחו של כל אחד מהם להמית אדם. </w:t>
      </w:r>
    </w:p>
    <w:p w14:paraId="7A999108" w14:textId="77777777" w:rsidR="006234AD" w:rsidRDefault="006234AD" w:rsidP="006234AD">
      <w:pPr>
        <w:pStyle w:val="a9"/>
      </w:pPr>
    </w:p>
    <w:p w14:paraId="705DDF95" w14:textId="77777777" w:rsidR="006234AD" w:rsidRDefault="006234AD" w:rsidP="006234AD">
      <w:pPr>
        <w:numPr>
          <w:ilvl w:val="0"/>
          <w:numId w:val="1"/>
        </w:numPr>
        <w:spacing w:line="360" w:lineRule="auto"/>
        <w:jc w:val="both"/>
        <w:rPr>
          <w:rtl/>
        </w:rPr>
      </w:pPr>
      <w:bookmarkStart w:id="7" w:name="ABSTRACT_END"/>
      <w:bookmarkEnd w:id="7"/>
      <w:r>
        <w:rPr>
          <w:rFonts w:hint="cs"/>
          <w:rtl/>
        </w:rPr>
        <w:t xml:space="preserve">הנאשם הופנה לתסקיר שירות מבחן בהסכמת הצדדים, עוד הוצהר כי המאשימה תעתור לעונש ראוי של 5 שנות מאסר, ההגנה חופשייה בטיעוניה. </w:t>
      </w:r>
    </w:p>
    <w:p w14:paraId="5C5744BF" w14:textId="77777777" w:rsidR="006234AD" w:rsidRDefault="006234AD" w:rsidP="006234AD">
      <w:pPr>
        <w:pStyle w:val="a9"/>
        <w:rPr>
          <w:b/>
          <w:bCs/>
          <w:u w:val="single"/>
          <w:rtl/>
        </w:rPr>
      </w:pPr>
    </w:p>
    <w:p w14:paraId="1AF549B3" w14:textId="77777777" w:rsidR="006234AD" w:rsidRDefault="006234AD" w:rsidP="006234AD">
      <w:pPr>
        <w:spacing w:line="360" w:lineRule="auto"/>
        <w:ind w:left="720"/>
        <w:contextualSpacing/>
        <w:jc w:val="both"/>
        <w:rPr>
          <w:rFonts w:ascii="Miriam" w:hAnsi="Miriam" w:cs="Miriam"/>
          <w:rtl/>
        </w:rPr>
      </w:pPr>
      <w:r>
        <w:rPr>
          <w:rFonts w:ascii="Miriam" w:hAnsi="Miriam" w:cs="Miriam"/>
          <w:rtl/>
        </w:rPr>
        <w:t xml:space="preserve">תסקיר שירות המבחן </w:t>
      </w:r>
    </w:p>
    <w:p w14:paraId="4F192A99" w14:textId="77777777" w:rsidR="006234AD" w:rsidRDefault="006234AD" w:rsidP="006234AD">
      <w:pPr>
        <w:numPr>
          <w:ilvl w:val="0"/>
          <w:numId w:val="1"/>
        </w:numPr>
        <w:spacing w:line="360" w:lineRule="auto"/>
        <w:jc w:val="both"/>
        <w:rPr>
          <w:rFonts w:ascii="David" w:hAnsi="David"/>
          <w:rtl/>
        </w:rPr>
      </w:pPr>
      <w:r>
        <w:rPr>
          <w:rFonts w:hint="cs"/>
          <w:rtl/>
        </w:rPr>
        <w:t xml:space="preserve">הנאשם בן 25, טרם מעצרו עבד במפעל דגים. סיים 12 שנות לימוד,  בעל תעודת בגרות מלאה, לאורך השנים עבר מספר מסגרות לימוד, בגיל 10 שולב במסגרת חוץ ביתית על רקע מצבה הנפשי של אמו. האם ממוצא דרוזי שהתאסלמה, לאורך השנים שורר סכסוך אלים עם משפחתה ואף נעשו מספר נסיונות להתנקש בחייה. אביו ניתק עם המשפחה קשר  </w:t>
      </w:r>
      <w:r>
        <w:rPr>
          <w:rFonts w:hint="cs"/>
          <w:rtl/>
        </w:rPr>
        <w:lastRenderedPageBreak/>
        <w:t xml:space="preserve">והנאשם גדל ללא דמות אב. בסיום לימודיו פנה ללימודי תואר ראשון בהנדסת חשמל אולם התקשה להשלים את לימודיו נוכח ההחמרה במצבה של אמו, ובשל קשיים כללכליים החל לעבוד במפעל דגים. הנאשם האחראי על פרנסת המשפחה חב חובות כספיים לבנק. הנאשם ללא עבר פלילי, מנהל קשר זוגי, קיבל אחריות חלקית לביצוע העבירה והתייחס בצמצום לקשריו השוליים ולרקע לעבירה. בחלוף הזמן מצליח לבחון את התנהלותו הבעייתית וביטא הכרה בחומרת המעשים. הנאשם נכח במסיבת הנובה ועל רקע זה מקבל שיחות פרטניות אך שלל תסמינים פוסט טראומטיים. שירות המבחן התרשם מנאשם צעיר שגדל בתא משפחתי כאוטי וללא דמות אב, מגיל צעיר נטל על עצמו את פרנסת המשפחה. להערכתם, העבירה בוצעה על רקע המצוקה הכלכלית והמשפחתית עימה התקשה להתמודד ועל כן פנה להתנהגות עוברת חוק תוך שנתן לגיטימציה וצידוק לכך על רקע מצוקותיו ובהעדר גורמי תמיכה, עוד לא הביע נכונות טיפולית. בשקלול כלל הגורמים התרשמו כי נשקף מהנאשם סיכון להישנות התנהגות עוברת חוק, לפיכך המליצו על ענישה מוחשית שתמחיש את חומרת העבירה ותצמצם את הסיכון הנשקף ממנו. </w:t>
      </w:r>
    </w:p>
    <w:p w14:paraId="13840FDE" w14:textId="77777777" w:rsidR="006234AD" w:rsidRDefault="006234AD" w:rsidP="006234AD">
      <w:pPr>
        <w:spacing w:line="360" w:lineRule="auto"/>
        <w:ind w:left="720"/>
        <w:contextualSpacing/>
        <w:jc w:val="both"/>
      </w:pPr>
    </w:p>
    <w:p w14:paraId="4C617AC9" w14:textId="77777777" w:rsidR="006234AD" w:rsidRDefault="006234AD" w:rsidP="006234AD">
      <w:pPr>
        <w:spacing w:line="360" w:lineRule="auto"/>
        <w:ind w:firstLine="720"/>
        <w:jc w:val="both"/>
        <w:rPr>
          <w:rFonts w:ascii="Miriam" w:hAnsi="Miriam" w:cs="Miriam"/>
        </w:rPr>
      </w:pPr>
      <w:r>
        <w:rPr>
          <w:rFonts w:ascii="Miriam" w:hAnsi="Miriam" w:cs="Miriam"/>
          <w:rtl/>
        </w:rPr>
        <w:t>תמצית הטיעונים לעונש</w:t>
      </w:r>
    </w:p>
    <w:p w14:paraId="52B04144" w14:textId="77777777" w:rsidR="006234AD" w:rsidRDefault="006234AD" w:rsidP="006234AD">
      <w:pPr>
        <w:numPr>
          <w:ilvl w:val="0"/>
          <w:numId w:val="1"/>
        </w:numPr>
        <w:spacing w:line="360" w:lineRule="auto"/>
        <w:jc w:val="both"/>
        <w:rPr>
          <w:rFonts w:ascii="David" w:hAnsi="David"/>
          <w:rtl/>
        </w:rPr>
      </w:pPr>
      <w:r>
        <w:rPr>
          <w:rFonts w:hint="cs"/>
          <w:rtl/>
        </w:rPr>
        <w:t xml:space="preserve">ב"כ המאשימה, עו"ד ג.פאר, עמד בטיעוניו על מגמת ההחמרה בעבירות נשק וחומרת מעשי הנאשם שפגעו פגיעה משמעותית בערכים המוגנים ברף הגבוה ביותר. המאשימה עתרה לעונש ראוי של 5 שנות מאסר, סבורה שמדובר בתיק חריג בחומרתו שמוצדק ליישם בו באופן מלא את מדיניות ההחמרה ולגזור על הנאשם עונש מכביד תוך מתן משקל רב לשיקולי הרתעת היחיד והרבים. עוד עמד על סוג הנשק אותו נשא הנאשם, רימוני רסס ופוטנציאל פגיעתם בחיי אדם, וכמות הרימונים שנשא. לטענת המאשימה, נשיאת הרימונים בעורק תעבורה מרכזי, בשעת עומס עלולה הייתה לפגוע בחפים מפשע. המאשימה הפנתה למדיניות הענישה הנוהגת בעבירות נשק ולכך שנסיבות המעשה מחייבות הטלת עונש גבוה משמעותית מעונש המינימום. אשר לנאשם נטען כי הוא צעיר, עברו נקי אך קיבל אחריות חלקית על מעשיו ולא הרחיב באשר לקשריו השוליים. הנאשם לא גילה מוטיבציה טיפולית ועל כן נמנע שירות המבחן מהמלצה. לסיכום ביקש לגזור על הנאשם עונש מאסר בן 5 שנים, מאסר על תנאי, קנס מכביד ולפסול את רשיונו מאחר שביצע את העבירה באמצעות רכבו. </w:t>
      </w:r>
    </w:p>
    <w:p w14:paraId="4EC4BC26" w14:textId="77777777" w:rsidR="006234AD" w:rsidRDefault="006234AD" w:rsidP="006234AD">
      <w:pPr>
        <w:spacing w:line="360" w:lineRule="auto"/>
        <w:ind w:left="720"/>
        <w:contextualSpacing/>
        <w:jc w:val="both"/>
      </w:pPr>
    </w:p>
    <w:p w14:paraId="6C72CD9A" w14:textId="77777777" w:rsidR="006234AD" w:rsidRDefault="006234AD" w:rsidP="006234AD">
      <w:pPr>
        <w:spacing w:line="360" w:lineRule="auto"/>
        <w:ind w:left="720"/>
        <w:contextualSpacing/>
        <w:jc w:val="both"/>
      </w:pPr>
      <w:r>
        <w:rPr>
          <w:rFonts w:hint="cs"/>
          <w:rtl/>
        </w:rPr>
        <w:t xml:space="preserve">המאשימה הגישה אסופת פסיקה לתמיכה בעתירתה. </w:t>
      </w:r>
    </w:p>
    <w:p w14:paraId="0B4677F2" w14:textId="77777777" w:rsidR="006234AD" w:rsidRDefault="006234AD" w:rsidP="006234AD">
      <w:pPr>
        <w:spacing w:line="360" w:lineRule="auto"/>
        <w:ind w:left="720"/>
        <w:contextualSpacing/>
        <w:jc w:val="both"/>
      </w:pPr>
    </w:p>
    <w:p w14:paraId="29744114" w14:textId="77777777" w:rsidR="006234AD" w:rsidRDefault="006234AD" w:rsidP="006234AD">
      <w:pPr>
        <w:numPr>
          <w:ilvl w:val="0"/>
          <w:numId w:val="1"/>
        </w:numPr>
        <w:spacing w:line="360" w:lineRule="auto"/>
        <w:jc w:val="both"/>
      </w:pPr>
      <w:r>
        <w:rPr>
          <w:rFonts w:hint="cs"/>
          <w:rtl/>
        </w:rPr>
        <w:t xml:space="preserve">ב"כ הנאשם , עוד שוורצברג, לא הקל ראש במעשה אך ביקש לגזור על הנאשם עונש מתון יותר. לדבריו לא מדובר בשש הובלות של נשק אלא בהובלה אחת של מצבור רימונים, הנאשם לא יזם את העבירה, הרימונים הונחו גלויים בתוך קופסא. לטענתו הנאשם נהג בטפשות אך לא ממניעים עבריניים, עוד נטען שעל הקופסה נמצאו טביעות אצבע של חייל ואי הגשת כתב אישום נגדו מלמדת על אכיפה בררנית. לדבריו, תסקירו של הנאשם חיובי, </w:t>
      </w:r>
      <w:r>
        <w:rPr>
          <w:rFonts w:hint="cs"/>
          <w:rtl/>
        </w:rPr>
        <w:lastRenderedPageBreak/>
        <w:t xml:space="preserve">הנאשם הודה במיוחס לו, נסיבותיו המשפחתיות קשות (מסמכים על מצב האם-נ/1), רכבו הושב לו אך מייד נאלץ לוותר עליו בשל בעיות מימון. לפיכך עותר לעונש מאסר בן 3 שנים. </w:t>
      </w:r>
    </w:p>
    <w:p w14:paraId="6BF15EA6" w14:textId="77777777" w:rsidR="006234AD" w:rsidRDefault="006234AD" w:rsidP="006234AD">
      <w:pPr>
        <w:spacing w:line="360" w:lineRule="auto"/>
        <w:ind w:left="720"/>
        <w:contextualSpacing/>
        <w:jc w:val="both"/>
      </w:pPr>
    </w:p>
    <w:p w14:paraId="25C903F6" w14:textId="77777777" w:rsidR="006234AD" w:rsidRDefault="006234AD" w:rsidP="006234AD">
      <w:pPr>
        <w:ind w:left="720"/>
        <w:contextualSpacing/>
      </w:pPr>
    </w:p>
    <w:p w14:paraId="2BA9BF5F" w14:textId="77777777" w:rsidR="006234AD" w:rsidRDefault="006234AD" w:rsidP="006234AD">
      <w:pPr>
        <w:numPr>
          <w:ilvl w:val="0"/>
          <w:numId w:val="1"/>
        </w:numPr>
        <w:spacing w:line="360" w:lineRule="auto"/>
        <w:jc w:val="both"/>
        <w:rPr>
          <w:b/>
          <w:bCs/>
          <w:u w:val="single"/>
          <w:rtl/>
        </w:rPr>
      </w:pPr>
      <w:r>
        <w:rPr>
          <w:rFonts w:hint="cs"/>
          <w:rtl/>
        </w:rPr>
        <w:t>אחיו של הנאשם, מר עובדייה נעאלוה, שעשה רושם חיובי, ביקש להתחשב בנאשם. לדבריו, הנאשם סבל בשל מצבה הנפשי של האם, נאלץ לעבור לפנימיה , מסור לאם ומלווה אותה. הנאשם ויתר על לימודיו כדי לאפשר לו להשלים את לימודיו במכללה, מאז שנעצר מצבה של האם החמיר, היא מרותקת לכסא גלגלים ולא יכולה לבקר אותו.</w:t>
      </w:r>
      <w:r>
        <w:rPr>
          <w:rFonts w:hint="cs"/>
          <w:b/>
          <w:bCs/>
          <w:rtl/>
        </w:rPr>
        <w:t xml:space="preserve"> הנאשם  בדברו האחרון</w:t>
      </w:r>
      <w:r>
        <w:rPr>
          <w:rFonts w:hint="cs"/>
          <w:rtl/>
        </w:rPr>
        <w:t xml:space="preserve"> הביע צער על מעורבותו בעבירה, לדבריו כשהבין שטעה זה היה מאוחר מדי וביקש להתחשב בו. </w:t>
      </w:r>
    </w:p>
    <w:p w14:paraId="2A1F7289" w14:textId="77777777" w:rsidR="006234AD" w:rsidRDefault="006234AD" w:rsidP="006234AD">
      <w:pPr>
        <w:ind w:left="720"/>
        <w:contextualSpacing/>
        <w:rPr>
          <w:b/>
          <w:bCs/>
          <w:u w:val="single"/>
        </w:rPr>
      </w:pPr>
    </w:p>
    <w:p w14:paraId="1379AF24" w14:textId="77777777" w:rsidR="006234AD" w:rsidRDefault="006234AD" w:rsidP="006234AD">
      <w:pPr>
        <w:spacing w:line="360" w:lineRule="auto"/>
        <w:ind w:firstLine="360"/>
        <w:jc w:val="both"/>
        <w:rPr>
          <w:b/>
          <w:bCs/>
          <w:rtl/>
        </w:rPr>
      </w:pPr>
      <w:r>
        <w:rPr>
          <w:rFonts w:ascii="Miriam" w:hAnsi="Miriam" w:cs="Miriam"/>
          <w:rtl/>
        </w:rPr>
        <w:t>קביעת מתחם העונש ההולם</w:t>
      </w:r>
    </w:p>
    <w:p w14:paraId="3E40A27D" w14:textId="77777777" w:rsidR="006234AD" w:rsidRDefault="006234AD" w:rsidP="006234AD">
      <w:pPr>
        <w:numPr>
          <w:ilvl w:val="0"/>
          <w:numId w:val="1"/>
        </w:numPr>
        <w:spacing w:line="360" w:lineRule="auto"/>
        <w:jc w:val="both"/>
        <w:rPr>
          <w:rtl/>
        </w:rPr>
      </w:pPr>
      <w:r>
        <w:rPr>
          <w:rFonts w:hint="cs"/>
          <w:color w:val="000000"/>
          <w:rtl/>
        </w:rPr>
        <w:t xml:space="preserve">עתירת המאשימה לעונש ראוי, בהמשך להסכמת הצדדים, אינה פוטרת את בית המשפט מקביעת מתחם ענישה הולם. </w:t>
      </w:r>
    </w:p>
    <w:p w14:paraId="50A667E8" w14:textId="77777777" w:rsidR="006234AD" w:rsidRDefault="006234AD" w:rsidP="006234AD">
      <w:pPr>
        <w:spacing w:line="360" w:lineRule="auto"/>
        <w:ind w:left="720"/>
        <w:contextualSpacing/>
        <w:jc w:val="both"/>
      </w:pPr>
    </w:p>
    <w:p w14:paraId="1AED0899" w14:textId="77777777" w:rsidR="006234AD" w:rsidRDefault="006234AD" w:rsidP="006234AD">
      <w:pPr>
        <w:numPr>
          <w:ilvl w:val="0"/>
          <w:numId w:val="1"/>
        </w:numPr>
        <w:spacing w:after="120" w:line="360" w:lineRule="auto"/>
        <w:contextualSpacing/>
        <w:jc w:val="both"/>
        <w:rPr>
          <w:rFonts w:ascii="David" w:eastAsia="David" w:hAnsi="David"/>
          <w:rtl/>
        </w:rPr>
      </w:pPr>
      <w:r>
        <w:rPr>
          <w:rFonts w:hint="cs"/>
          <w:rtl/>
        </w:rPr>
        <w:t>דומה שאין צורך להכביר מילים ביחס לחומרתן של עבירות הנשק והסיכון הנשקף מהן לשלום הציבור וביטחונו, למרבה הצער עבירות בנשק חם הפכו להיות תופעה נפוצה במחוזותינו ולעיתים תכופות אנו עדים לנזקי עבירות אלו, בדמות פגיעות בגוף או בנפש, ואף אובדן חיי אדם (</w:t>
      </w:r>
      <w:hyperlink r:id="rId11" w:history="1">
        <w:r w:rsidR="005A4EC8" w:rsidRPr="005A4EC8">
          <w:rPr>
            <w:color w:val="0000FF"/>
            <w:u w:val="single"/>
            <w:rtl/>
          </w:rPr>
          <w:t>ע"פ 4456/21</w:t>
        </w:r>
      </w:hyperlink>
      <w:r>
        <w:rPr>
          <w:rFonts w:hint="cs"/>
          <w:rtl/>
        </w:rPr>
        <w:t xml:space="preserve"> </w:t>
      </w:r>
      <w:r>
        <w:rPr>
          <w:rFonts w:hint="cs"/>
          <w:b/>
          <w:bCs/>
          <w:rtl/>
        </w:rPr>
        <w:t>מדינת ישראל נ' אבו עבסה</w:t>
      </w:r>
      <w:r>
        <w:rPr>
          <w:rFonts w:hint="cs"/>
          <w:rtl/>
        </w:rPr>
        <w:t xml:space="preserve"> (23.1.2022)). צורך השעה הוא להחמיר בענישה בגין עבירות נשק, תוך מתן משקל בכורה לשיקולי הרתעה, אף אם הנאשמים נעדרי עבר פלילי, והאירוע הוא בגדר חריג בנוף חייהם הנורמטיבי </w:t>
      </w:r>
      <w:r w:rsidRPr="006234AD">
        <w:rPr>
          <w:rFonts w:ascii="Calibri" w:eastAsia="Calibri" w:hAnsi="Calibri" w:hint="cs"/>
          <w:rtl/>
        </w:rPr>
        <w:t>"</w:t>
      </w:r>
      <w:r w:rsidRPr="006234AD">
        <w:rPr>
          <w:rFonts w:ascii="Calibri" w:eastAsia="Calibri" w:hAnsi="Calibri" w:hint="cs"/>
          <w:b/>
          <w:bCs/>
          <w:rtl/>
        </w:rPr>
        <w:t>ההלכה כי בעת גזירת עונשו של מי שהורשע בעבירות נשק, על בית המשפט לבכר את האינטרס הציבורי שבהרתעת הרבים, על פני נסיבותיו האישיות של הנידון</w:t>
      </w:r>
      <w:r w:rsidRPr="006234AD">
        <w:rPr>
          <w:rFonts w:ascii="Calibri" w:eastAsia="Calibri" w:hAnsi="Calibri" w:hint="cs"/>
          <w:rtl/>
        </w:rPr>
        <w:t>" (</w:t>
      </w:r>
      <w:hyperlink r:id="rId12" w:history="1">
        <w:r w:rsidR="005A4EC8" w:rsidRPr="005A4EC8">
          <w:rPr>
            <w:rFonts w:ascii="Calibri" w:eastAsia="Calibri" w:hAnsi="Calibri" w:hint="cs"/>
            <w:color w:val="0000FF"/>
            <w:u w:val="single"/>
            <w:rtl/>
          </w:rPr>
          <w:t>ע</w:t>
        </w:r>
        <w:r w:rsidR="005A4EC8" w:rsidRPr="005A4EC8">
          <w:rPr>
            <w:rFonts w:ascii="Calibri" w:eastAsia="Calibri" w:hAnsi="Calibri"/>
            <w:color w:val="0000FF"/>
            <w:u w:val="single"/>
            <w:rtl/>
          </w:rPr>
          <w:t>"</w:t>
        </w:r>
        <w:r w:rsidR="005A4EC8" w:rsidRPr="005A4EC8">
          <w:rPr>
            <w:rFonts w:ascii="Calibri" w:eastAsia="Calibri" w:hAnsi="Calibri" w:hint="cs"/>
            <w:color w:val="0000FF"/>
            <w:u w:val="single"/>
            <w:rtl/>
          </w:rPr>
          <w:t>פ</w:t>
        </w:r>
        <w:r w:rsidR="005A4EC8" w:rsidRPr="005A4EC8">
          <w:rPr>
            <w:rFonts w:ascii="Calibri" w:eastAsia="Calibri" w:hAnsi="Calibri"/>
            <w:color w:val="0000FF"/>
            <w:u w:val="single"/>
            <w:rtl/>
          </w:rPr>
          <w:t xml:space="preserve"> 587/22</w:t>
        </w:r>
      </w:hyperlink>
      <w:r w:rsidRPr="006234AD">
        <w:rPr>
          <w:rFonts w:ascii="Calibri" w:eastAsia="Calibri" w:hAnsi="Calibri" w:hint="cs"/>
          <w:rtl/>
        </w:rPr>
        <w:t xml:space="preserve"> </w:t>
      </w:r>
      <w:r w:rsidRPr="006234AD">
        <w:rPr>
          <w:rFonts w:ascii="Calibri" w:eastAsia="Calibri" w:hAnsi="Calibri" w:hint="cs"/>
          <w:b/>
          <w:bCs/>
          <w:rtl/>
        </w:rPr>
        <w:t>עדאב אבו נאעסה נ' מדינת ישראל</w:t>
      </w:r>
      <w:r w:rsidRPr="006234AD">
        <w:rPr>
          <w:rFonts w:ascii="Calibri" w:eastAsia="Calibri" w:hAnsi="Calibri" w:hint="cs"/>
          <w:rtl/>
        </w:rPr>
        <w:t xml:space="preserve"> פסקה 13 (22.5.2022)) </w:t>
      </w:r>
      <w:r>
        <w:rPr>
          <w:rFonts w:hint="cs"/>
          <w:rtl/>
        </w:rPr>
        <w:t>(</w:t>
      </w:r>
      <w:hyperlink r:id="rId13" w:history="1">
        <w:r w:rsidR="005A4EC8" w:rsidRPr="005A4EC8">
          <w:rPr>
            <w:color w:val="0000FF"/>
            <w:u w:val="single"/>
            <w:rtl/>
          </w:rPr>
          <w:t>ע"פ 2482/22</w:t>
        </w:r>
      </w:hyperlink>
      <w:r>
        <w:rPr>
          <w:rFonts w:hint="cs"/>
          <w:rtl/>
        </w:rPr>
        <w:t xml:space="preserve"> </w:t>
      </w:r>
      <w:r>
        <w:rPr>
          <w:rFonts w:hint="cs"/>
          <w:b/>
          <w:bCs/>
          <w:rtl/>
        </w:rPr>
        <w:t>מדינת ישראל נ' אחמד קדורה</w:t>
      </w:r>
      <w:r>
        <w:rPr>
          <w:rFonts w:hint="cs"/>
          <w:rtl/>
        </w:rPr>
        <w:t xml:space="preserve">, פסקה 5-6 (14.4.2022); </w:t>
      </w:r>
      <w:hyperlink r:id="rId14" w:history="1">
        <w:r w:rsidR="005A4EC8" w:rsidRPr="005A4EC8">
          <w:rPr>
            <w:color w:val="0000FF"/>
            <w:u w:val="single"/>
            <w:rtl/>
          </w:rPr>
          <w:t>ע"פ 5813/21</w:t>
        </w:r>
      </w:hyperlink>
      <w:r>
        <w:rPr>
          <w:rFonts w:hint="cs"/>
          <w:rtl/>
        </w:rPr>
        <w:t xml:space="preserve"> </w:t>
      </w:r>
      <w:r>
        <w:rPr>
          <w:rFonts w:hint="cs"/>
          <w:b/>
          <w:bCs/>
          <w:rtl/>
        </w:rPr>
        <w:t>מוחמד ג'בארין נ' מדינת ישראל</w:t>
      </w:r>
      <w:r>
        <w:rPr>
          <w:rFonts w:hint="cs"/>
          <w:rtl/>
        </w:rPr>
        <w:t>, פסקה 14</w:t>
      </w:r>
      <w:r>
        <w:rPr>
          <w:rFonts w:hint="cs"/>
          <w:b/>
          <w:bCs/>
          <w:rtl/>
        </w:rPr>
        <w:t xml:space="preserve"> </w:t>
      </w:r>
      <w:r>
        <w:rPr>
          <w:rFonts w:hint="cs"/>
          <w:rtl/>
        </w:rPr>
        <w:t xml:space="preserve">(31.5.2022); </w:t>
      </w:r>
      <w:hyperlink r:id="rId15" w:history="1">
        <w:r w:rsidR="005A4EC8" w:rsidRPr="005A4EC8">
          <w:rPr>
            <w:color w:val="0000FF"/>
            <w:u w:val="single"/>
            <w:rtl/>
          </w:rPr>
          <w:t>ע"פ 6011/21</w:t>
        </w:r>
      </w:hyperlink>
      <w:r>
        <w:rPr>
          <w:rFonts w:hint="cs"/>
          <w:rtl/>
        </w:rPr>
        <w:t xml:space="preserve"> </w:t>
      </w:r>
      <w:r>
        <w:rPr>
          <w:rFonts w:hint="cs"/>
          <w:b/>
          <w:bCs/>
          <w:rtl/>
        </w:rPr>
        <w:t>חאלד דסוקי נ' מדנית ישראל</w:t>
      </w:r>
      <w:r>
        <w:rPr>
          <w:rFonts w:hint="cs"/>
          <w:rtl/>
        </w:rPr>
        <w:t xml:space="preserve">  (25.11.2021); </w:t>
      </w:r>
      <w:hyperlink r:id="rId16" w:history="1">
        <w:r w:rsidR="005A4EC8" w:rsidRPr="005A4EC8">
          <w:rPr>
            <w:color w:val="0000FF"/>
            <w:spacing w:val="10"/>
            <w:sz w:val="20"/>
            <w:u w:val="single"/>
            <w:shd w:val="clear" w:color="auto" w:fill="FFFFFF"/>
            <w:rtl/>
          </w:rPr>
          <w:t>ע"פ 8320/21</w:t>
        </w:r>
      </w:hyperlink>
      <w:r>
        <w:rPr>
          <w:rFonts w:hint="cs"/>
          <w:spacing w:val="10"/>
          <w:sz w:val="20"/>
          <w:shd w:val="clear" w:color="auto" w:fill="FFFFFF"/>
          <w:rtl/>
        </w:rPr>
        <w:t xml:space="preserve"> </w:t>
      </w:r>
      <w:r>
        <w:rPr>
          <w:rFonts w:hint="cs"/>
          <w:b/>
          <w:bCs/>
          <w:spacing w:val="10"/>
          <w:sz w:val="20"/>
          <w:shd w:val="clear" w:color="auto" w:fill="FFFFFF"/>
          <w:rtl/>
        </w:rPr>
        <w:t>מדינת ישראל נ' מחמד בסילה</w:t>
      </w:r>
      <w:r>
        <w:rPr>
          <w:rFonts w:hint="cs"/>
          <w:spacing w:val="10"/>
          <w:sz w:val="20"/>
          <w:shd w:val="clear" w:color="auto" w:fill="FFFFFF"/>
          <w:rtl/>
        </w:rPr>
        <w:t>, פסקה 10 (28.12.2021)</w:t>
      </w:r>
      <w:r>
        <w:rPr>
          <w:rFonts w:hint="cs"/>
          <w:rtl/>
        </w:rPr>
        <w:t xml:space="preserve">; </w:t>
      </w:r>
      <w:hyperlink r:id="rId17" w:history="1">
        <w:r w:rsidR="005A4EC8" w:rsidRPr="005A4EC8">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(31.7.2022); ע"פ 78/21 </w:t>
      </w:r>
      <w:r>
        <w:rPr>
          <w:rFonts w:hint="cs"/>
          <w:b/>
          <w:bCs/>
          <w:rtl/>
        </w:rPr>
        <w:t>פלוני נ' מדינת</w:t>
      </w:r>
      <w:r>
        <w:rPr>
          <w:rFonts w:hint="cs"/>
          <w:rtl/>
        </w:rPr>
        <w:t xml:space="preserve"> </w:t>
      </w:r>
      <w:r>
        <w:rPr>
          <w:rFonts w:hint="cs"/>
          <w:b/>
          <w:bCs/>
          <w:rtl/>
        </w:rPr>
        <w:t>ישראל</w:t>
      </w:r>
      <w:r>
        <w:rPr>
          <w:rFonts w:hint="cs"/>
          <w:rtl/>
        </w:rPr>
        <w:t xml:space="preserve"> (26.7.2022)). </w:t>
      </w:r>
    </w:p>
    <w:p w14:paraId="126F9CD8" w14:textId="77777777" w:rsidR="006234AD" w:rsidRDefault="006234AD" w:rsidP="006234AD">
      <w:pPr>
        <w:spacing w:after="120" w:line="360" w:lineRule="auto"/>
        <w:ind w:left="720"/>
        <w:contextualSpacing/>
        <w:jc w:val="both"/>
      </w:pPr>
    </w:p>
    <w:p w14:paraId="5EE0B3FA" w14:textId="77777777" w:rsidR="006234AD" w:rsidRDefault="006234AD" w:rsidP="006234AD">
      <w:pPr>
        <w:spacing w:after="160" w:line="360" w:lineRule="auto"/>
        <w:ind w:left="720"/>
        <w:contextualSpacing/>
        <w:jc w:val="both"/>
        <w:rPr>
          <w:rtl/>
        </w:rPr>
      </w:pPr>
      <w:r>
        <w:rPr>
          <w:rFonts w:hint="cs"/>
          <w:rtl/>
        </w:rPr>
        <w:t xml:space="preserve">מגמה זו באה לידי ביטוי גם בחקיקה במסגרת תיקון 140 לחוק, בו נקבעו עונשי מינימום לעבירות נשק, באופן שככלל, העונש שיושת בגין עבירות אלו, לא יפחת מרבע העונש המרבי שנקבע לעבירה. </w:t>
      </w:r>
    </w:p>
    <w:p w14:paraId="6D656FC9" w14:textId="77777777" w:rsidR="006234AD" w:rsidRDefault="006234AD" w:rsidP="006234AD">
      <w:pPr>
        <w:pStyle w:val="a9"/>
        <w:numPr>
          <w:ilvl w:val="0"/>
          <w:numId w:val="1"/>
        </w:numPr>
        <w:spacing w:after="160" w:line="360" w:lineRule="auto"/>
        <w:jc w:val="both"/>
        <w:rPr>
          <w:rtl/>
        </w:rPr>
      </w:pPr>
      <w:r>
        <w:rPr>
          <w:rFonts w:hint="cs"/>
          <w:rtl/>
        </w:rPr>
        <w:t xml:space="preserve">עוד יש לתת את הדעת </w:t>
      </w:r>
      <w:r>
        <w:rPr>
          <w:rFonts w:hint="cs"/>
          <w:b/>
          <w:bCs/>
          <w:rtl/>
        </w:rPr>
        <w:t>לנסיבות מעשי הנאשם</w:t>
      </w:r>
      <w:r>
        <w:rPr>
          <w:rFonts w:hint="cs"/>
          <w:rtl/>
        </w:rPr>
        <w:t>, שהוביל שישה רימוני רסס ברכבו בדרך מרכזית ועמוסה ולפוטנציאל הנזק הרב במעשיו:</w:t>
      </w:r>
    </w:p>
    <w:p w14:paraId="677E566C" w14:textId="77777777" w:rsidR="006234AD" w:rsidRDefault="006234AD" w:rsidP="006234AD">
      <w:pPr>
        <w:pStyle w:val="a9"/>
        <w:spacing w:after="160" w:line="360" w:lineRule="auto"/>
        <w:jc w:val="both"/>
      </w:pPr>
    </w:p>
    <w:p w14:paraId="74C6565B" w14:textId="77777777" w:rsidR="006234AD" w:rsidRDefault="006234AD" w:rsidP="006234AD">
      <w:pPr>
        <w:pStyle w:val="a9"/>
        <w:spacing w:after="160" w:line="360" w:lineRule="auto"/>
        <w:jc w:val="both"/>
        <w:rPr>
          <w:rtl/>
        </w:rPr>
      </w:pPr>
      <w:r>
        <w:rPr>
          <w:rFonts w:hint="cs"/>
          <w:rtl/>
        </w:rPr>
        <w:t xml:space="preserve">ראשית יינתן משקל לחומרה </w:t>
      </w:r>
      <w:r>
        <w:rPr>
          <w:rFonts w:ascii="Miriam" w:hAnsi="Miriam" w:cs="Miriam"/>
          <w:rtl/>
        </w:rPr>
        <w:t>לסוג הנשק</w:t>
      </w:r>
      <w:r>
        <w:rPr>
          <w:rFonts w:hint="cs"/>
          <w:rtl/>
        </w:rPr>
        <w:t>, "</w:t>
      </w:r>
      <w:r>
        <w:rPr>
          <w:rFonts w:eastAsia="Times New Roman" w:hint="cs"/>
          <w:b/>
          <w:bCs/>
          <w:color w:val="000000"/>
          <w:rtl/>
        </w:rPr>
        <w:t>מתחם העונש ההולם בעבירות המבוצעות בנשק</w:t>
      </w:r>
      <w:r w:rsidR="005A4EC8">
        <w:rPr>
          <w:rFonts w:eastAsia="Times New Roman" w:hint="cs"/>
          <w:b/>
          <w:bCs/>
          <w:color w:val="000000"/>
          <w:rtl/>
        </w:rPr>
        <w:t xml:space="preserve"> </w:t>
      </w:r>
      <w:r>
        <w:rPr>
          <w:rFonts w:eastAsia="Times New Roman" w:hint="cs"/>
          <w:b/>
          <w:bCs/>
          <w:color w:val="000000"/>
          <w:rtl/>
        </w:rPr>
        <w:t xml:space="preserve"> צריך שיקבע בהתאם לסוג הנשק שבו מדובר. שהרי, סוג הנשק, כמו-גם ההיקף שבו נסחר, הוחזק, הובל וכיוצא באלה, הם נסיבות הקשורות בביצוע העבירה והם שקובעים את פוטנציאל הנזק הכרוך במעשה העבירה... אין כל חידוש בקביעה כי קיים מדרג ענישה בעבירות המבוצעות בנשק, הנקבע, בין השאר, על-פי סוג, איכות וכמות הנשק שנעשה בו שימוש..." </w:t>
      </w:r>
      <w:r>
        <w:rPr>
          <w:rFonts w:eastAsia="Times New Roman" w:hint="cs"/>
          <w:color w:val="000000"/>
          <w:rtl/>
        </w:rPr>
        <w:t>(</w:t>
      </w:r>
      <w:hyperlink r:id="rId18" w:history="1">
        <w:r w:rsidR="005A4EC8" w:rsidRPr="005A4EC8">
          <w:rPr>
            <w:rFonts w:eastAsia="Times New Roman"/>
            <w:color w:val="0000FF"/>
            <w:u w:val="single"/>
            <w:rtl/>
          </w:rPr>
          <w:t>ע"פ 1323/13</w:t>
        </w:r>
      </w:hyperlink>
      <w:r>
        <w:rPr>
          <w:rFonts w:eastAsia="Times New Roman" w:hint="cs"/>
          <w:b/>
          <w:bCs/>
          <w:color w:val="000000"/>
          <w:rtl/>
        </w:rPr>
        <w:t xml:space="preserve"> חסן ואח' נ' מדינת ישראל, </w:t>
      </w:r>
      <w:r>
        <w:rPr>
          <w:rFonts w:eastAsia="Times New Roman" w:hint="cs"/>
          <w:color w:val="000000"/>
          <w:rtl/>
        </w:rPr>
        <w:t>5.6.13). עוד נאמר בפסיקה כי,</w:t>
      </w:r>
      <w:r>
        <w:rPr>
          <w:rFonts w:eastAsia="Times New Roman" w:hint="cs"/>
          <w:b/>
          <w:bCs/>
          <w:color w:val="000000"/>
          <w:rtl/>
        </w:rPr>
        <w:t xml:space="preserve">  </w:t>
      </w:r>
      <w:r>
        <w:rPr>
          <w:rFonts w:eastAsia="Times New Roman" w:hint="cs"/>
          <w:color w:val="000000"/>
          <w:rtl/>
        </w:rPr>
        <w:t xml:space="preserve">כאשר מדובר בנשק שעל-פי טיבו אינו מיועד להגנה עצמית אלא נשק התקפי בעל פוטנציאל קטלני, יש בעבירת ההחזקה והנשיאה של אותו נשק חומרה מיוחדת.  </w:t>
      </w:r>
      <w:r>
        <w:rPr>
          <w:rFonts w:eastAsia="Times New Roman" w:hint="cs"/>
          <w:color w:val="000000"/>
          <w:u w:val="single"/>
          <w:rtl/>
        </w:rPr>
        <w:t>בענייננו הנאשם הוביל רימוני רסס, סוג נשק שהוגדר בפסיקה כנשק התקפי, רב עוצמה, אשר השימוש בו עלול להביא להרג ללא הבחנה</w:t>
      </w:r>
      <w:r>
        <w:rPr>
          <w:rFonts w:eastAsia="Times New Roman" w:hint="cs"/>
          <w:color w:val="000000"/>
          <w:rtl/>
        </w:rPr>
        <w:t xml:space="preserve"> (</w:t>
      </w:r>
      <w:hyperlink r:id="rId19" w:history="1">
        <w:r w:rsidR="005A4EC8" w:rsidRPr="005A4EC8">
          <w:rPr>
            <w:rFonts w:eastAsia="Times New Roman"/>
            <w:color w:val="0000FF"/>
            <w:u w:val="single"/>
            <w:rtl/>
          </w:rPr>
          <w:t>ע"פ 149/12</w:t>
        </w:r>
      </w:hyperlink>
      <w:r>
        <w:rPr>
          <w:rFonts w:eastAsia="Times New Roman" w:hint="cs"/>
          <w:color w:val="000000"/>
          <w:rtl/>
        </w:rPr>
        <w:t xml:space="preserve"> </w:t>
      </w:r>
      <w:r>
        <w:rPr>
          <w:rFonts w:eastAsia="Times New Roman" w:hint="cs"/>
          <w:b/>
          <w:bCs/>
          <w:color w:val="000000"/>
          <w:rtl/>
        </w:rPr>
        <w:t>אלמליח נ' מדינת ישראל,</w:t>
      </w:r>
      <w:r>
        <w:rPr>
          <w:rFonts w:eastAsia="Times New Roman" w:hint="cs"/>
          <w:color w:val="000000"/>
          <w:rtl/>
        </w:rPr>
        <w:t xml:space="preserve"> פס' 59). עוד יובהר, כי פוטנציאל הנזק של רימון הרסס, להבדיל מרימון הלם או רימון גז, עוצמתי יותר (</w:t>
      </w:r>
      <w:hyperlink r:id="rId20" w:history="1">
        <w:r w:rsidR="005A4EC8" w:rsidRPr="005A4EC8">
          <w:rPr>
            <w:rFonts w:eastAsia="Times New Roman"/>
            <w:color w:val="0000FF"/>
            <w:u w:val="single"/>
            <w:rtl/>
          </w:rPr>
          <w:t>ע"פ 5336/16</w:t>
        </w:r>
      </w:hyperlink>
      <w:r>
        <w:rPr>
          <w:rFonts w:eastAsia="Times New Roman" w:hint="cs"/>
          <w:color w:val="000000"/>
          <w:rtl/>
        </w:rPr>
        <w:t xml:space="preserve">, </w:t>
      </w:r>
      <w:r>
        <w:rPr>
          <w:rFonts w:eastAsia="Times New Roman" w:hint="cs"/>
          <w:b/>
          <w:bCs/>
          <w:color w:val="000000"/>
          <w:rtl/>
        </w:rPr>
        <w:t xml:space="preserve">עאזם נ' מדינת ישראל, </w:t>
      </w:r>
      <w:r>
        <w:rPr>
          <w:rFonts w:eastAsia="Times New Roman" w:hint="cs"/>
          <w:color w:val="000000"/>
          <w:rtl/>
        </w:rPr>
        <w:t xml:space="preserve">פס' 3, 8.9.16). </w:t>
      </w:r>
    </w:p>
    <w:p w14:paraId="77EBDB30" w14:textId="77777777" w:rsidR="006234AD" w:rsidRDefault="006234AD" w:rsidP="006234AD">
      <w:pPr>
        <w:spacing w:after="160" w:line="360" w:lineRule="auto"/>
        <w:ind w:left="720"/>
        <w:contextualSpacing/>
        <w:jc w:val="both"/>
        <w:rPr>
          <w:rtl/>
        </w:rPr>
      </w:pPr>
      <w:r>
        <w:rPr>
          <w:rFonts w:hint="cs"/>
          <w:rtl/>
        </w:rPr>
        <w:t xml:space="preserve">בנוסף, יינתן משקל לחומרה </w:t>
      </w:r>
      <w:r>
        <w:rPr>
          <w:rFonts w:ascii="Miriam" w:hAnsi="Miriam" w:cs="Miriam"/>
          <w:rtl/>
        </w:rPr>
        <w:t>לריבוי הרימונים</w:t>
      </w:r>
      <w:r>
        <w:rPr>
          <w:rFonts w:hint="cs"/>
          <w:rtl/>
        </w:rPr>
        <w:t xml:space="preserve">, שישה במספר, </w:t>
      </w:r>
      <w:r>
        <w:rPr>
          <w:rFonts w:ascii="Miriam" w:hAnsi="Miriam" w:cs="Miriam"/>
          <w:rtl/>
        </w:rPr>
        <w:t>לאופן הובלתם,</w:t>
      </w:r>
      <w:r>
        <w:rPr>
          <w:rFonts w:hint="cs"/>
          <w:rtl/>
        </w:rPr>
        <w:t xml:space="preserve"> ברכב, בעורק תעבורה מרכזי ולסיכון העצום לבטחון הציבור ואף לנאשם עצמו. טענת ההגנה, כי על קופסת הרימונים נמצאו טביעות אצבע של חייל מעלה חשש רב כי מדובר בנשק צה"לי גנוב. </w:t>
      </w:r>
    </w:p>
    <w:p w14:paraId="2E44C3A3" w14:textId="77777777" w:rsidR="006234AD" w:rsidRDefault="006234AD" w:rsidP="006234AD">
      <w:pPr>
        <w:spacing w:after="160" w:line="360" w:lineRule="auto"/>
        <w:ind w:left="720"/>
        <w:contextualSpacing/>
        <w:jc w:val="both"/>
        <w:rPr>
          <w:rtl/>
        </w:rPr>
      </w:pPr>
    </w:p>
    <w:p w14:paraId="1F122027" w14:textId="77777777" w:rsidR="006234AD" w:rsidRDefault="006234AD" w:rsidP="006234AD">
      <w:pPr>
        <w:spacing w:after="160" w:line="360" w:lineRule="auto"/>
        <w:ind w:left="720"/>
        <w:contextualSpacing/>
        <w:jc w:val="both"/>
        <w:rPr>
          <w:u w:val="single"/>
          <w:rtl/>
        </w:rPr>
      </w:pPr>
      <w:r>
        <w:rPr>
          <w:rFonts w:hint="cs"/>
          <w:rtl/>
        </w:rPr>
        <w:t xml:space="preserve">הנאשם הוביל את הנשק לבדו, הוא לא נתן הסבר למעשיו אך גם אם אניח לטובתו כי ביצע את המעשה ממניעים כלכליים ולא לצורך שימוש בהם בעצמו לביצוע עבירות פליליות או בטחוניות, </w:t>
      </w:r>
      <w:r>
        <w:rPr>
          <w:rFonts w:hint="cs"/>
          <w:u w:val="single"/>
          <w:rtl/>
        </w:rPr>
        <w:t xml:space="preserve">ברי כי המעשה בוצע ממניעים פליליים גם אם עשה כן עבור גורמים אחרים שוליים. </w:t>
      </w:r>
    </w:p>
    <w:p w14:paraId="15684D24" w14:textId="77777777" w:rsidR="006234AD" w:rsidRPr="00C62424" w:rsidRDefault="006234AD" w:rsidP="006234AD">
      <w:pPr>
        <w:pStyle w:val="a9"/>
        <w:numPr>
          <w:ilvl w:val="0"/>
          <w:numId w:val="1"/>
        </w:numPr>
        <w:spacing w:after="160" w:line="360" w:lineRule="atLeast"/>
        <w:jc w:val="both"/>
        <w:rPr>
          <w:rtl/>
        </w:rPr>
      </w:pPr>
      <w:r>
        <w:rPr>
          <w:rFonts w:hint="cs"/>
          <w:rtl/>
        </w:rPr>
        <w:t xml:space="preserve">בהנתן סוג הנשק וכמותו, נסיבות המעשה ופוטנציאל הנזק הגלום בהם מצאתי לקבוע כי פגיעתם בערכים המוגנים היא ברף גבוה. </w:t>
      </w:r>
      <w:r w:rsidR="005A4EC8">
        <w:rPr>
          <w:rFonts w:ascii="Times New Roman" w:eastAsia="Times New Roman" w:hAnsi="Times New Roman" w:cs="Times New Roman"/>
          <w:color w:val="000000"/>
          <w:sz w:val="14"/>
          <w:szCs w:val="14"/>
          <w:rtl/>
        </w:rPr>
        <w:t xml:space="preserve">  </w:t>
      </w:r>
      <w:r w:rsidRPr="006234AD">
        <w:rPr>
          <w:rFonts w:eastAsia="Calibri" w:hint="cs"/>
          <w:b/>
          <w:bCs/>
          <w:rtl/>
        </w:rPr>
        <w:t xml:space="preserve"> </w:t>
      </w:r>
    </w:p>
    <w:p w14:paraId="5D6410CE" w14:textId="77777777" w:rsidR="006234AD" w:rsidRDefault="006234AD" w:rsidP="006234AD">
      <w:pPr>
        <w:ind w:left="720"/>
        <w:contextualSpacing/>
        <w:rPr>
          <w:rtl/>
        </w:rPr>
      </w:pPr>
    </w:p>
    <w:p w14:paraId="62E5878D" w14:textId="77777777" w:rsidR="006234AD" w:rsidRDefault="006234AD" w:rsidP="006234AD">
      <w:pPr>
        <w:spacing w:after="120" w:line="360" w:lineRule="auto"/>
        <w:ind w:left="84" w:firstLine="636"/>
        <w:contextualSpacing/>
        <w:jc w:val="both"/>
        <w:textAlignment w:val="baseline"/>
        <w:rPr>
          <w:rFonts w:ascii="Miriam" w:hAnsi="Miriam" w:cs="Miriam"/>
          <w:rtl/>
        </w:rPr>
      </w:pPr>
      <w:r>
        <w:rPr>
          <w:rFonts w:ascii="Miriam" w:hAnsi="Miriam" w:cs="Miriam"/>
          <w:rtl/>
        </w:rPr>
        <w:t>מדיניות הענישה הנוהגת</w:t>
      </w:r>
    </w:p>
    <w:p w14:paraId="1A8E0876" w14:textId="77777777" w:rsidR="006234AD" w:rsidRDefault="006234AD" w:rsidP="006234AD">
      <w:pPr>
        <w:pStyle w:val="a9"/>
        <w:numPr>
          <w:ilvl w:val="0"/>
          <w:numId w:val="1"/>
        </w:numPr>
        <w:spacing w:after="160" w:line="360" w:lineRule="auto"/>
        <w:jc w:val="both"/>
        <w:rPr>
          <w:rFonts w:eastAsia="Times New Roman"/>
          <w:color w:val="000000"/>
          <w:rtl/>
        </w:rPr>
      </w:pPr>
      <w:r>
        <w:rPr>
          <w:rFonts w:hint="cs"/>
          <w:rtl/>
        </w:rPr>
        <w:t xml:space="preserve">בפסיקה ענפה הושתו על נושאי נשק עונשי מאסר מאחורי סורג ובריח לתקופות ממושכות, גם במקרים שהנאשמים צעירים וזו להם הסתבכותם הראשונה עם החוק. מעיון בפסיקה, ניתן לומר כי בתי המשפט מתייחסים בחומרה רבה להובלת חומרי נפץ ומטעני חבלה גם מסוג רימוני יד, לעיתים אף יותר מאשר הובלת נשק מסוג אקדח או רובה. ביחס למסוכנות העולה מביצוע עבירות הקשורות בחומרי נפץ אמר </w:t>
      </w:r>
      <w:r>
        <w:rPr>
          <w:rFonts w:eastAsia="Times New Roman" w:hint="cs"/>
          <w:color w:val="000000"/>
          <w:rtl/>
        </w:rPr>
        <w:t xml:space="preserve">בית המשפט העליון </w:t>
      </w:r>
      <w:r>
        <w:rPr>
          <w:rFonts w:hint="cs"/>
          <w:rtl/>
        </w:rPr>
        <w:t>ב</w:t>
      </w:r>
      <w:hyperlink r:id="rId21" w:history="1">
        <w:r w:rsidR="005A4EC8" w:rsidRPr="005A4EC8">
          <w:rPr>
            <w:rFonts w:eastAsia="Times New Roman"/>
            <w:color w:val="0000FF"/>
            <w:u w:val="single"/>
            <w:rtl/>
          </w:rPr>
          <w:t>ע"פ 6210/13</w:t>
        </w:r>
      </w:hyperlink>
      <w:r>
        <w:rPr>
          <w:rFonts w:eastAsia="Times New Roman" w:hint="cs"/>
          <w:color w:val="000000"/>
          <w:rtl/>
        </w:rPr>
        <w:t xml:space="preserve">, </w:t>
      </w:r>
      <w:r>
        <w:rPr>
          <w:rFonts w:eastAsia="Times New Roman" w:hint="cs"/>
          <w:b/>
          <w:bCs/>
          <w:color w:val="000000"/>
          <w:rtl/>
        </w:rPr>
        <w:t>גונן נ' מדינת ישראל,</w:t>
      </w:r>
      <w:r>
        <w:rPr>
          <w:rFonts w:eastAsia="Times New Roman" w:hint="cs"/>
          <w:color w:val="000000"/>
          <w:rtl/>
        </w:rPr>
        <w:t xml:space="preserve"> מפי כב' השופט מזוז את הדברים הבאים :</w:t>
      </w:r>
    </w:p>
    <w:p w14:paraId="55E76158" w14:textId="77777777" w:rsidR="006234AD" w:rsidRDefault="006234AD" w:rsidP="006234AD">
      <w:pPr>
        <w:pStyle w:val="a9"/>
        <w:spacing w:after="160" w:line="360" w:lineRule="auto"/>
        <w:jc w:val="both"/>
        <w:rPr>
          <w:rFonts w:eastAsia="Times New Roman"/>
          <w:color w:val="000000"/>
          <w:rtl/>
        </w:rPr>
      </w:pPr>
    </w:p>
    <w:p w14:paraId="288E5BF0" w14:textId="77777777" w:rsidR="006234AD" w:rsidRDefault="006234AD" w:rsidP="006234AD">
      <w:pPr>
        <w:pStyle w:val="a9"/>
        <w:spacing w:after="160" w:line="360" w:lineRule="auto"/>
        <w:ind w:left="1440" w:right="709"/>
        <w:jc w:val="both"/>
        <w:rPr>
          <w:rFonts w:eastAsia="Times New Roman"/>
          <w:color w:val="000000"/>
          <w:rtl/>
        </w:rPr>
      </w:pPr>
      <w:r>
        <w:rPr>
          <w:rFonts w:eastAsia="Times New Roman" w:hint="cs"/>
          <w:color w:val="000000"/>
          <w:rtl/>
        </w:rPr>
        <w:t>"</w:t>
      </w:r>
      <w:r>
        <w:rPr>
          <w:rFonts w:eastAsia="Times New Roman" w:hint="cs"/>
          <w:b/>
          <w:bCs/>
          <w:color w:val="000000"/>
          <w:rtl/>
        </w:rPr>
        <w:t>אין צורך להכביר מילים על מסוכנותם של חומרי נפץ ומטעני חבלה. מדובר בסכנת נפשות, פשוטו כמשמעו. יש למגר את התופעה של סחר, נשיאה והובלה של נשק. אין ניתן להתפשר. מידת הרחמים צריכה להיות מופנית כלפי הציבור הרחב, מאשר כלפי המערער ואחרים שכמותו, שמסכנים חיי אדם בצורה שכזו"</w:t>
      </w:r>
      <w:r>
        <w:rPr>
          <w:rFonts w:eastAsia="Times New Roman" w:hint="cs"/>
          <w:color w:val="000000"/>
          <w:rtl/>
        </w:rPr>
        <w:t xml:space="preserve"> (שם, 14.11.13). </w:t>
      </w:r>
    </w:p>
    <w:p w14:paraId="7869E066" w14:textId="77777777" w:rsidR="006234AD" w:rsidRDefault="006234AD" w:rsidP="006234AD">
      <w:pPr>
        <w:pStyle w:val="a9"/>
        <w:spacing w:after="160" w:line="360" w:lineRule="auto"/>
        <w:jc w:val="both"/>
        <w:rPr>
          <w:rFonts w:eastAsia="Times New Roman"/>
          <w:color w:val="000000"/>
          <w:rtl/>
        </w:rPr>
      </w:pPr>
    </w:p>
    <w:p w14:paraId="10D29D92" w14:textId="77777777" w:rsidR="006234AD" w:rsidRDefault="005A4EC8" w:rsidP="006234AD">
      <w:pPr>
        <w:pStyle w:val="a9"/>
        <w:spacing w:line="360" w:lineRule="auto"/>
        <w:jc w:val="both"/>
        <w:rPr>
          <w:rtl/>
        </w:rPr>
      </w:pPr>
      <w:hyperlink r:id="rId22" w:history="1">
        <w:r w:rsidRPr="005A4EC8">
          <w:rPr>
            <w:color w:val="0000FF"/>
            <w:u w:val="single"/>
            <w:rtl/>
          </w:rPr>
          <w:t>ע"פ 5602/22</w:t>
        </w:r>
      </w:hyperlink>
      <w:r w:rsidR="006234AD">
        <w:rPr>
          <w:rFonts w:hint="cs"/>
          <w:rtl/>
        </w:rPr>
        <w:t xml:space="preserve"> </w:t>
      </w:r>
      <w:r w:rsidR="006234AD">
        <w:rPr>
          <w:rFonts w:hint="cs"/>
          <w:b/>
          <w:bCs/>
          <w:rtl/>
        </w:rPr>
        <w:t xml:space="preserve">מדינת ישראל נ' פלוני </w:t>
      </w:r>
      <w:r w:rsidR="006234AD">
        <w:rPr>
          <w:rFonts w:hint="cs"/>
          <w:rtl/>
        </w:rPr>
        <w:t xml:space="preserve">(14.9.22) מסמן מגמת החמרה משמעותית בעבירות נשיאת נשק. במקרה זה, התקבל ערעור מדינה בעניינו של תושב האזור, שנשא אקדח טעון ברכב ונגזרו עליו 18 חודשי מאסר. בית המשפט (כב' השופט שטיין) קבע מתחם ענישה ראוי שנע בין 30-42 חודשי מאסר. עונשו של המשיב, ללא עבר, הוחמר, מבלי למצות את הדין, למאסר בן 28 חודשים; </w:t>
      </w:r>
    </w:p>
    <w:p w14:paraId="7AF3AEE5" w14:textId="77777777" w:rsidR="006234AD" w:rsidRDefault="006234AD" w:rsidP="006234AD">
      <w:pPr>
        <w:pStyle w:val="a9"/>
        <w:spacing w:line="360" w:lineRule="auto"/>
        <w:jc w:val="both"/>
        <w:rPr>
          <w:rtl/>
        </w:rPr>
      </w:pPr>
    </w:p>
    <w:p w14:paraId="7189849E" w14:textId="77777777" w:rsidR="006234AD" w:rsidRDefault="005A4EC8" w:rsidP="006234AD">
      <w:pPr>
        <w:pStyle w:val="a9"/>
        <w:spacing w:line="360" w:lineRule="auto"/>
        <w:jc w:val="both"/>
        <w:rPr>
          <w:rtl/>
        </w:rPr>
      </w:pPr>
      <w:hyperlink r:id="rId23" w:history="1">
        <w:r w:rsidRPr="005A4EC8">
          <w:rPr>
            <w:color w:val="0000FF"/>
            <w:u w:val="single"/>
            <w:rtl/>
          </w:rPr>
          <w:t>ע"פ 2633/22</w:t>
        </w:r>
      </w:hyperlink>
      <w:r w:rsidR="006234AD">
        <w:rPr>
          <w:rFonts w:hint="cs"/>
          <w:rtl/>
        </w:rPr>
        <w:t xml:space="preserve"> </w:t>
      </w:r>
      <w:r w:rsidR="006234AD">
        <w:rPr>
          <w:rFonts w:hint="cs"/>
          <w:b/>
          <w:bCs/>
          <w:rtl/>
        </w:rPr>
        <w:t>חדד נ' מדינת ישראל</w:t>
      </w:r>
      <w:r w:rsidR="006234AD">
        <w:rPr>
          <w:rFonts w:hint="cs"/>
          <w:rtl/>
        </w:rPr>
        <w:t xml:space="preserve"> (15.1.23)- במקרה זה הוביל הנאשם לבנת חבלה במשקל 530 גר' ללא מנגנון הפעלה. בית המשפט התייחס בחומרה לסוג הנשק, לבנת חבלה שעלולה להפוך בנקל למטען רב עוצמה, נקבע מתחם עונש הנע בין 3-5 שנות מאסר.  הנאשם צעיר בעל עבר פלילי בתחום הסמים, שניהל את משפטו, נדון ל-4 שנות מאסר. בית המשפט העליון קיבל את ערעור הנאשם על חומרת עונשו, נקבע כי החמרת רמת הענישה צריכה להיעשות באופן הדרגתי , ולפיכך עונשו הופחת ל-42 חודשי מאסר. </w:t>
      </w:r>
    </w:p>
    <w:p w14:paraId="43B1A44C" w14:textId="77777777" w:rsidR="006234AD" w:rsidRDefault="006234AD" w:rsidP="006234AD">
      <w:pPr>
        <w:pStyle w:val="a9"/>
        <w:spacing w:line="360" w:lineRule="auto"/>
        <w:jc w:val="both"/>
        <w:rPr>
          <w:rtl/>
        </w:rPr>
      </w:pPr>
      <w:r>
        <w:rPr>
          <w:rFonts w:hint="cs"/>
          <w:rtl/>
        </w:rPr>
        <w:t xml:space="preserve">לציין כי פסק הדין הוגש ע"י המאשימה למורת רוחו של הסניגור, שסבר שנסיבותיו חמורות משמעותית מהמקרה שלפנינו. אכן משקל חומר הנפץ רב אך מדובר במטען חבלה ללא מנגנון הפעלה, בעוד שבמקרה שלפנינו הוביל הנאשם 6 רימונים עתירי עוצמה ומוכנים להפעלה. </w:t>
      </w:r>
    </w:p>
    <w:p w14:paraId="10F8DE0A" w14:textId="77777777" w:rsidR="006234AD" w:rsidRDefault="006234AD" w:rsidP="006234AD">
      <w:pPr>
        <w:spacing w:line="360" w:lineRule="auto"/>
        <w:ind w:left="84"/>
        <w:contextualSpacing/>
        <w:jc w:val="both"/>
      </w:pPr>
    </w:p>
    <w:p w14:paraId="366AE4B9" w14:textId="77777777" w:rsidR="006234AD" w:rsidRDefault="006234AD" w:rsidP="006234AD">
      <w:pPr>
        <w:spacing w:after="160" w:line="360" w:lineRule="auto"/>
        <w:ind w:left="720"/>
        <w:contextualSpacing/>
        <w:jc w:val="both"/>
      </w:pPr>
      <w:r>
        <w:rPr>
          <w:rFonts w:hint="cs"/>
          <w:rtl/>
        </w:rPr>
        <w:t>ב</w:t>
      </w:r>
      <w:hyperlink r:id="rId24" w:history="1">
        <w:r w:rsidR="005A4EC8" w:rsidRPr="005A4EC8">
          <w:rPr>
            <w:color w:val="0000FF"/>
            <w:u w:val="single"/>
            <w:rtl/>
          </w:rPr>
          <w:t>ע"פ 309/22</w:t>
        </w:r>
      </w:hyperlink>
      <w:r>
        <w:rPr>
          <w:rtl/>
        </w:rPr>
        <w:t xml:space="preserve"> </w:t>
      </w:r>
      <w:r>
        <w:rPr>
          <w:rFonts w:hint="cs"/>
          <w:b/>
          <w:bCs/>
          <w:rtl/>
        </w:rPr>
        <w:t>מדינת ישראל נ' ביאדסה</w:t>
      </w:r>
      <w:r>
        <w:rPr>
          <w:rFonts w:hint="cs"/>
          <w:rtl/>
        </w:rPr>
        <w:t xml:space="preserve"> (10.5.2022), הורשע נאשם נעדר עבר פלילי, בעבירות החזקת נשק, נשיאותו והובלתו – רובה מסוג קלצ'ניקוב, מחסנית תואמת ומלאה, אקדח חצי אוטומטי טעון במחסנית תואמת עם 27 כדורים וכדור נוסף בקנה ומחסנית נוספת. הנאשם ביחד עם שותפו הקטין נסעו ברכב גנוב ומוסווה, כשהם לבושים בשכפ"צים, כובעי גרב ועטו כפפות, כשלצדם בקבוקי דלק ומכשיר קשר. בית המשפט המחוזי קבע מתחם ענישה הנע בין 54-19 חודשי מאסר וגזר על הנאשם עונש בתחתית המתחם לצד מאסר תנאי וקנס בסך 15,000 ₪. ערעור שהגישה המדינה התקבל, בית המשפט העליון נתן משקל של ממש לאפיונים החמורים של נשיאת הנשק, עונשו הוחמר והועמד על 30 חודשי מאסר;</w:t>
      </w:r>
    </w:p>
    <w:p w14:paraId="3DD564CC" w14:textId="77777777" w:rsidR="006234AD" w:rsidRDefault="006234AD" w:rsidP="006234AD">
      <w:pPr>
        <w:spacing w:after="160" w:line="360" w:lineRule="auto"/>
        <w:ind w:left="720"/>
        <w:contextualSpacing/>
        <w:jc w:val="both"/>
        <w:rPr>
          <w:rFonts w:ascii="David" w:hAnsi="David"/>
          <w:rtl/>
        </w:rPr>
      </w:pPr>
    </w:p>
    <w:p w14:paraId="3E88CCE9" w14:textId="77777777" w:rsidR="006234AD" w:rsidRDefault="006234AD" w:rsidP="006234AD">
      <w:pPr>
        <w:spacing w:after="160" w:line="360" w:lineRule="auto"/>
        <w:ind w:left="720"/>
        <w:contextualSpacing/>
        <w:jc w:val="both"/>
        <w:rPr>
          <w:rtl/>
        </w:rPr>
      </w:pPr>
      <w:r>
        <w:rPr>
          <w:rFonts w:hint="cs"/>
          <w:rtl/>
        </w:rPr>
        <w:t>ב</w:t>
      </w:r>
      <w:hyperlink r:id="rId25" w:history="1">
        <w:r w:rsidR="005A4EC8" w:rsidRPr="005A4EC8">
          <w:rPr>
            <w:color w:val="0000FF"/>
            <w:u w:val="single"/>
            <w:rtl/>
          </w:rPr>
          <w:t>ע"פ 1658/22</w:t>
        </w:r>
      </w:hyperlink>
      <w:r>
        <w:rPr>
          <w:rFonts w:hint="cs"/>
          <w:rtl/>
        </w:rPr>
        <w:t xml:space="preserve"> </w:t>
      </w:r>
      <w:r>
        <w:rPr>
          <w:rFonts w:hint="cs"/>
          <w:b/>
          <w:bCs/>
          <w:rtl/>
        </w:rPr>
        <w:t>איהאב נח'אש נ' מדינת ישראל</w:t>
      </w:r>
      <w:r>
        <w:rPr>
          <w:rFonts w:hint="cs"/>
          <w:rtl/>
        </w:rPr>
        <w:t xml:space="preserve"> (19.6.2022) נדון נאשם שהורשע בעבירת נשיאה והובלה של תת מקלע "עוזי" ומחסנית למאסר בן 26 חודשים. הנאשם, ללא עבר פלילי, רכש לטענתו את הנשק לשם הגנה עצמית ועבר הליך טיפולי; </w:t>
      </w:r>
    </w:p>
    <w:p w14:paraId="2129E894" w14:textId="77777777" w:rsidR="006234AD" w:rsidRDefault="006234AD" w:rsidP="006234AD">
      <w:pPr>
        <w:spacing w:after="160" w:line="360" w:lineRule="auto"/>
        <w:ind w:left="720"/>
        <w:contextualSpacing/>
        <w:jc w:val="both"/>
        <w:rPr>
          <w:rtl/>
        </w:rPr>
      </w:pPr>
    </w:p>
    <w:p w14:paraId="5FCC38C0" w14:textId="77777777" w:rsidR="006234AD" w:rsidRDefault="006234AD" w:rsidP="006234AD">
      <w:pPr>
        <w:spacing w:after="160" w:line="360" w:lineRule="auto"/>
        <w:ind w:left="720"/>
        <w:contextualSpacing/>
        <w:jc w:val="both"/>
        <w:rPr>
          <w:rtl/>
        </w:rPr>
      </w:pPr>
      <w:r>
        <w:rPr>
          <w:rFonts w:hint="cs"/>
          <w:rtl/>
        </w:rPr>
        <w:t>ב</w:t>
      </w:r>
      <w:hyperlink r:id="rId26" w:history="1">
        <w:r w:rsidR="005A4EC8" w:rsidRPr="005A4EC8">
          <w:rPr>
            <w:color w:val="0000FF"/>
            <w:u w:val="single"/>
            <w:rtl/>
          </w:rPr>
          <w:t>ע"פ 3877/16</w:t>
        </w:r>
      </w:hyperlink>
      <w:r>
        <w:rPr>
          <w:rFonts w:hint="cs"/>
          <w:rtl/>
        </w:rPr>
        <w:t xml:space="preserve"> </w:t>
      </w:r>
      <w:r>
        <w:rPr>
          <w:rFonts w:hint="cs"/>
          <w:b/>
          <w:bCs/>
          <w:rtl/>
        </w:rPr>
        <w:t>ג'באלי נ' מדינת ישראל</w:t>
      </w:r>
      <w:r>
        <w:rPr>
          <w:rFonts w:hint="cs"/>
          <w:rtl/>
        </w:rPr>
        <w:t xml:space="preserve"> (17.11.16) </w:t>
      </w:r>
      <w:r>
        <w:rPr>
          <w:rFonts w:hint="cs"/>
          <w:color w:val="000000"/>
          <w:rtl/>
        </w:rPr>
        <w:t>הורשע המערער בעבירה של נשיאת נשק בכך שנשא אקדח טעון ומחסנית שהכילה 14 כדורים, אשר נגנב חודשים אחדים קודם לכן בהתפרצות לדירה, הוא הגיע למקום מפגש ליישוב סכסוך, כשהוא נושא עימו ברכב ולאחר מכן במכנסיו את האקדח, וכשהגיעו שוטרים, השליכו. בית המשפט המחוזי קבע מתחם העונש ההולם בין 24 ל-48 חודשי מאסר בפועל וגזר על המערער, בעל עבר פלילי,  34 חדשי מאסר, ערעורו נדחה;</w:t>
      </w:r>
    </w:p>
    <w:p w14:paraId="38AA066D" w14:textId="77777777" w:rsidR="006234AD" w:rsidRDefault="006234AD" w:rsidP="006234AD">
      <w:pPr>
        <w:spacing w:after="160" w:line="360" w:lineRule="auto"/>
        <w:ind w:left="720"/>
        <w:contextualSpacing/>
        <w:jc w:val="both"/>
        <w:rPr>
          <w:rtl/>
        </w:rPr>
      </w:pPr>
    </w:p>
    <w:p w14:paraId="6DC553EB" w14:textId="77777777" w:rsidR="006234AD" w:rsidRDefault="005A4EC8" w:rsidP="006234AD">
      <w:pPr>
        <w:spacing w:after="160" w:line="360" w:lineRule="auto"/>
        <w:ind w:left="720"/>
        <w:contextualSpacing/>
        <w:jc w:val="both"/>
        <w:rPr>
          <w:rtl/>
        </w:rPr>
      </w:pPr>
      <w:hyperlink r:id="rId27" w:history="1">
        <w:r w:rsidRPr="005A4EC8">
          <w:rPr>
            <w:color w:val="0000FF"/>
            <w:u w:val="single"/>
            <w:rtl/>
          </w:rPr>
          <w:t>ת"פ(מח-מרכז) 52462-04-22</w:t>
        </w:r>
      </w:hyperlink>
      <w:r w:rsidR="006234AD">
        <w:rPr>
          <w:rFonts w:hint="cs"/>
          <w:rtl/>
        </w:rPr>
        <w:t xml:space="preserve"> </w:t>
      </w:r>
      <w:r w:rsidR="006234AD">
        <w:rPr>
          <w:rFonts w:hint="cs"/>
          <w:b/>
          <w:bCs/>
          <w:rtl/>
        </w:rPr>
        <w:t>מדינת ישראל נ' עראר</w:t>
      </w:r>
      <w:r w:rsidR="006234AD">
        <w:rPr>
          <w:rFonts w:hint="cs"/>
          <w:rtl/>
        </w:rPr>
        <w:t xml:space="preserve"> (8.5.23)- הנאשם נדון בגין נשיאת שני רובים על גופו לעונש כולל בן 42 חודשי מאסר, 36 חודשים מאסר והפעלת מאסר על תנאי (ערעור הגנה, </w:t>
      </w:r>
      <w:hyperlink r:id="rId28" w:history="1">
        <w:r w:rsidRPr="005A4EC8">
          <w:rPr>
            <w:color w:val="0000FF"/>
            <w:u w:val="single"/>
            <w:rtl/>
          </w:rPr>
          <w:t>ע"פ 4784/23</w:t>
        </w:r>
      </w:hyperlink>
      <w:r w:rsidR="006234AD">
        <w:rPr>
          <w:rFonts w:hint="cs"/>
          <w:rtl/>
        </w:rPr>
        <w:t>, מיום 29.11.23, נדחה);</w:t>
      </w:r>
    </w:p>
    <w:p w14:paraId="463153C9" w14:textId="77777777" w:rsidR="006234AD" w:rsidRDefault="006234AD" w:rsidP="006234AD">
      <w:pPr>
        <w:spacing w:after="160" w:line="360" w:lineRule="auto"/>
        <w:ind w:left="720"/>
        <w:contextualSpacing/>
        <w:jc w:val="both"/>
        <w:rPr>
          <w:rtl/>
        </w:rPr>
      </w:pPr>
    </w:p>
    <w:p w14:paraId="6D6811C5" w14:textId="77777777" w:rsidR="006234AD" w:rsidRDefault="005A4EC8" w:rsidP="006234AD">
      <w:pPr>
        <w:spacing w:after="160" w:line="360" w:lineRule="auto"/>
        <w:ind w:left="720"/>
        <w:contextualSpacing/>
        <w:jc w:val="both"/>
        <w:rPr>
          <w:rtl/>
        </w:rPr>
      </w:pPr>
      <w:hyperlink r:id="rId29" w:history="1">
        <w:r w:rsidRPr="005A4EC8">
          <w:rPr>
            <w:color w:val="0000FF"/>
            <w:u w:val="single"/>
            <w:rtl/>
          </w:rPr>
          <w:t>ת"פ (מח-מרכז) 70309-03-23</w:t>
        </w:r>
      </w:hyperlink>
      <w:r w:rsidR="006234AD">
        <w:rPr>
          <w:rFonts w:hint="cs"/>
          <w:rtl/>
        </w:rPr>
        <w:t xml:space="preserve"> </w:t>
      </w:r>
      <w:r w:rsidR="006234AD">
        <w:rPr>
          <w:rFonts w:hint="cs"/>
          <w:b/>
          <w:bCs/>
          <w:rtl/>
        </w:rPr>
        <w:t>מדינת ישראל נ' מוסראתי</w:t>
      </w:r>
      <w:r w:rsidR="006234AD">
        <w:rPr>
          <w:rFonts w:hint="cs"/>
          <w:rtl/>
        </w:rPr>
        <w:t xml:space="preserve"> (17.12.23)- המדובר בשני אחים שנדונו בגין הובלת ארסנל נשק, נאשם 1 הוביל 3 אקדחים ורובה ונאשם 2 הוביל שני אקדחים והחזיק באקדח נוסף. נאשם 1, בעל עבר פלילי בתחום הסמים, נדון ל-5 שנות מאסר, נאשם 2 נדון לעונש כולל בן 32 חודשי מאסר. נסיבות התיק, שאף הוא נדון בפניי, חמורות יותר, הנשק הובל ממזרח ירושלים לשטחי המדינה כשהמטרה לעשות בו שימוש במסגרת סכסוך משפחות אלים. </w:t>
      </w:r>
    </w:p>
    <w:p w14:paraId="4C7EA4E8" w14:textId="77777777" w:rsidR="006234AD" w:rsidRDefault="006234AD" w:rsidP="006234AD">
      <w:pPr>
        <w:spacing w:after="160" w:line="360" w:lineRule="auto"/>
        <w:ind w:left="720"/>
        <w:contextualSpacing/>
        <w:jc w:val="both"/>
        <w:rPr>
          <w:rtl/>
        </w:rPr>
      </w:pPr>
    </w:p>
    <w:p w14:paraId="31893951" w14:textId="77777777" w:rsidR="006234AD" w:rsidRDefault="005A4EC8" w:rsidP="006234AD">
      <w:pPr>
        <w:spacing w:after="160" w:line="360" w:lineRule="auto"/>
        <w:ind w:left="720"/>
        <w:contextualSpacing/>
        <w:jc w:val="both"/>
        <w:rPr>
          <w:rtl/>
        </w:rPr>
      </w:pPr>
      <w:hyperlink r:id="rId30" w:history="1">
        <w:r w:rsidRPr="005A4EC8">
          <w:rPr>
            <w:color w:val="0000FF"/>
            <w:u w:val="single"/>
            <w:rtl/>
          </w:rPr>
          <w:t>ת"פ (מח-מרכז) 10686-05-20</w:t>
        </w:r>
      </w:hyperlink>
      <w:r w:rsidR="006234AD">
        <w:rPr>
          <w:rFonts w:hint="cs"/>
          <w:rtl/>
        </w:rPr>
        <w:t xml:space="preserve"> </w:t>
      </w:r>
      <w:r w:rsidR="006234AD">
        <w:rPr>
          <w:rFonts w:hint="cs"/>
          <w:b/>
          <w:bCs/>
          <w:rtl/>
        </w:rPr>
        <w:t>מדינת ישראל נ' עאזם</w:t>
      </w:r>
      <w:r w:rsidR="006234AD">
        <w:rPr>
          <w:rFonts w:hint="cs"/>
          <w:rtl/>
        </w:rPr>
        <w:t>, הנאשם, ללא עבר פלילי, הורשע בנשיאת תיק שהכיל רובה קלצ'ניקוב, אקדח ותחמושת, נקבע בעניינו מתחם ענישה שנע בין 28-60 חודשי מאסר. הנאשם עבר הליך טיפולי ובעל סיכויי שיקום נדון לעונש החורג מעט ממתחם הענישה בן 22 חודשים (ערעור שהגיש הנאשם (</w:t>
      </w:r>
      <w:hyperlink r:id="rId31" w:history="1">
        <w:r w:rsidRPr="005A4EC8">
          <w:rPr>
            <w:color w:val="0000FF"/>
            <w:u w:val="single"/>
            <w:rtl/>
          </w:rPr>
          <w:t>ע"פ 9041/22</w:t>
        </w:r>
      </w:hyperlink>
      <w:r w:rsidR="006234AD">
        <w:rPr>
          <w:rFonts w:hint="cs"/>
          <w:rtl/>
        </w:rPr>
        <w:t xml:space="preserve"> מיום 13.7.23), נמחק לאחר שנשמעו הערות בית המשפט). </w:t>
      </w:r>
    </w:p>
    <w:p w14:paraId="78689484" w14:textId="77777777" w:rsidR="006234AD" w:rsidRDefault="006234AD" w:rsidP="006234AD">
      <w:pPr>
        <w:spacing w:after="160" w:line="360" w:lineRule="auto"/>
        <w:ind w:left="720"/>
        <w:contextualSpacing/>
        <w:jc w:val="both"/>
        <w:rPr>
          <w:rtl/>
        </w:rPr>
      </w:pPr>
    </w:p>
    <w:p w14:paraId="5F167FB7" w14:textId="77777777" w:rsidR="006234AD" w:rsidRDefault="005A4EC8" w:rsidP="006234AD">
      <w:pPr>
        <w:spacing w:after="160" w:line="360" w:lineRule="auto"/>
        <w:ind w:left="720"/>
        <w:contextualSpacing/>
        <w:jc w:val="both"/>
        <w:rPr>
          <w:rtl/>
        </w:rPr>
      </w:pPr>
      <w:hyperlink r:id="rId32" w:history="1">
        <w:r w:rsidRPr="005A4EC8">
          <w:rPr>
            <w:color w:val="0000FF"/>
            <w:u w:val="single"/>
            <w:rtl/>
          </w:rPr>
          <w:t>ת"פ (ח') 52099-10-20</w:t>
        </w:r>
      </w:hyperlink>
      <w:r w:rsidR="006234AD">
        <w:rPr>
          <w:rFonts w:hint="cs"/>
          <w:rtl/>
        </w:rPr>
        <w:t xml:space="preserve"> </w:t>
      </w:r>
      <w:r w:rsidR="006234AD">
        <w:rPr>
          <w:rFonts w:hint="cs"/>
          <w:b/>
          <w:bCs/>
          <w:rtl/>
        </w:rPr>
        <w:t>מדינת ישראל נ' ניסן דדון</w:t>
      </w:r>
      <w:r w:rsidR="006234AD">
        <w:rPr>
          <w:rFonts w:hint="cs"/>
          <w:rtl/>
        </w:rPr>
        <w:t xml:space="preserve"> (22.7.21), </w:t>
      </w:r>
      <w:r w:rsidR="006234AD">
        <w:rPr>
          <w:rFonts w:hint="cs"/>
          <w:color w:val="000000"/>
          <w:rtl/>
        </w:rPr>
        <w:t>הנאשם הורשע על פי הודאתו במסגרת הסדר טיעון בעבירות של ניסיון להיזק בחומר נפיץ, החזקה, נשיאה והובלת נשק (רימון ואקדח) והפרעה לשוטר ושיבוש מהלכי משפט. הנאשם השליך רימון רסס שלא התפוצץ לעבר דלת כניסה של משרד בו שהו אנשים. נקבע מתחם ענישה שבין 42-78 חודשי מאסר בפועל והושתו על הנאשם 54 חודשי מאסר בפועל.</w:t>
      </w:r>
      <w:r>
        <w:rPr>
          <w:rFonts w:hint="cs"/>
          <w:color w:val="000000"/>
          <w:sz w:val="27"/>
          <w:szCs w:val="27"/>
          <w:rtl/>
        </w:rPr>
        <w:t xml:space="preserve"> </w:t>
      </w:r>
    </w:p>
    <w:p w14:paraId="7D2E81BE" w14:textId="77777777" w:rsidR="006234AD" w:rsidRDefault="006234AD" w:rsidP="006234AD">
      <w:pPr>
        <w:spacing w:line="360" w:lineRule="auto"/>
        <w:ind w:left="720"/>
        <w:contextualSpacing/>
        <w:jc w:val="both"/>
      </w:pPr>
    </w:p>
    <w:p w14:paraId="7C34564C" w14:textId="77777777" w:rsidR="006234AD" w:rsidRDefault="006234AD" w:rsidP="006234AD">
      <w:pPr>
        <w:pStyle w:val="a9"/>
        <w:numPr>
          <w:ilvl w:val="0"/>
          <w:numId w:val="1"/>
        </w:numPr>
        <w:spacing w:line="360" w:lineRule="auto"/>
        <w:jc w:val="both"/>
        <w:rPr>
          <w:b/>
          <w:bCs/>
          <w:u w:val="single"/>
        </w:rPr>
      </w:pPr>
      <w:r>
        <w:rPr>
          <w:rFonts w:ascii="Times New Roman" w:hAnsi="Times New Roman" w:hint="cs"/>
          <w:rtl/>
        </w:rPr>
        <w:t xml:space="preserve">כאמור, המאשימה עתרה לעונש ראוי של 5 שנות מאסר, ההגנה ביקשה להסתפק ב-3 שנות מאסר. לאחר שבחנתי את נסיבות ביצוע העבירה, מידת הפגיעה בערכים המוגנים ומדיניות הענישה הנוהגת, ראיתי לקבוע </w:t>
      </w:r>
      <w:r>
        <w:rPr>
          <w:rFonts w:ascii="Times New Roman" w:hAnsi="Times New Roman" w:hint="cs"/>
          <w:b/>
          <w:bCs/>
          <w:rtl/>
        </w:rPr>
        <w:t xml:space="preserve">מתחם ענישה הנע 4-7 שנות מאסר. </w:t>
      </w:r>
    </w:p>
    <w:p w14:paraId="7EDFA09C" w14:textId="77777777" w:rsidR="006234AD" w:rsidRDefault="006234AD" w:rsidP="006234AD">
      <w:pPr>
        <w:pStyle w:val="a9"/>
        <w:spacing w:line="360" w:lineRule="auto"/>
        <w:jc w:val="both"/>
        <w:rPr>
          <w:b/>
          <w:bCs/>
          <w:u w:val="single"/>
          <w:rtl/>
        </w:rPr>
      </w:pPr>
    </w:p>
    <w:p w14:paraId="64217C60" w14:textId="77777777" w:rsidR="006234AD" w:rsidRDefault="006234AD" w:rsidP="006234AD">
      <w:pPr>
        <w:pStyle w:val="a9"/>
        <w:spacing w:line="360" w:lineRule="auto"/>
        <w:jc w:val="both"/>
        <w:rPr>
          <w:b/>
          <w:bCs/>
          <w:u w:val="single"/>
          <w:rtl/>
        </w:rPr>
      </w:pPr>
    </w:p>
    <w:p w14:paraId="73AD6AE1" w14:textId="77777777" w:rsidR="006234AD" w:rsidRDefault="006234AD" w:rsidP="006234AD">
      <w:pPr>
        <w:pStyle w:val="a9"/>
        <w:spacing w:line="360" w:lineRule="auto"/>
        <w:jc w:val="both"/>
        <w:rPr>
          <w:b/>
          <w:bCs/>
          <w:u w:val="single"/>
        </w:rPr>
      </w:pPr>
    </w:p>
    <w:p w14:paraId="5EEA2B2E" w14:textId="77777777" w:rsidR="006234AD" w:rsidRDefault="006234AD" w:rsidP="006234AD">
      <w:pPr>
        <w:pStyle w:val="a9"/>
        <w:spacing w:line="360" w:lineRule="auto"/>
        <w:jc w:val="both"/>
        <w:rPr>
          <w:rFonts w:ascii="Miriam" w:hAnsi="Miriam" w:cs="Miriam"/>
          <w:rtl/>
        </w:rPr>
      </w:pPr>
      <w:r>
        <w:rPr>
          <w:rFonts w:ascii="Miriam" w:hAnsi="Miriam" w:cs="Miriam"/>
          <w:rtl/>
        </w:rPr>
        <w:t>גזירת העונש המתאים לנאשם</w:t>
      </w:r>
    </w:p>
    <w:p w14:paraId="58875DD9" w14:textId="77777777" w:rsidR="006234AD" w:rsidRDefault="006234AD" w:rsidP="006234AD">
      <w:pPr>
        <w:pStyle w:val="a9"/>
        <w:numPr>
          <w:ilvl w:val="0"/>
          <w:numId w:val="1"/>
        </w:numPr>
        <w:spacing w:line="360" w:lineRule="auto"/>
        <w:jc w:val="both"/>
      </w:pPr>
      <w:r>
        <w:rPr>
          <w:rFonts w:hint="cs"/>
          <w:rtl/>
        </w:rPr>
        <w:t xml:space="preserve">הנאשם צעיר ללא עבר פלילי, נסיבות משפחתו מורכבות. מתסקירו ניתן להתרשם שאינו בעל מאפיינים עברייניים מושרשים אלא שמצוקתה הכלכלית של משפחתו בצירוף האחריות הכבדה המוטלת על כתפיו לפרנס את משפחתו ולדאוג לאמו החולה (ראו עדות אחיו ומסמכים-נ/1) הובילו אותו לפעול בחוסר שיקול דעת ולחבירה לגורמים שוליים. כיום הנאשם מכיר בחומרת מעשיו, כשנראה שלמעצרו ולמאסרו הצפוי יהיה אפקט מרתיע. </w:t>
      </w:r>
    </w:p>
    <w:p w14:paraId="5C283B60" w14:textId="77777777" w:rsidR="006234AD" w:rsidRDefault="006234AD" w:rsidP="006234AD">
      <w:pPr>
        <w:pStyle w:val="a9"/>
        <w:spacing w:line="360" w:lineRule="auto"/>
        <w:jc w:val="both"/>
      </w:pPr>
    </w:p>
    <w:p w14:paraId="0E7AC126" w14:textId="77777777" w:rsidR="006234AD" w:rsidRDefault="006234AD" w:rsidP="006234AD">
      <w:pPr>
        <w:pStyle w:val="a9"/>
        <w:numPr>
          <w:ilvl w:val="0"/>
          <w:numId w:val="1"/>
        </w:numPr>
        <w:spacing w:line="360" w:lineRule="auto"/>
        <w:jc w:val="both"/>
        <w:rPr>
          <w:rFonts w:ascii="Miriam" w:hAnsi="Miriam" w:cs="Miriam"/>
          <w:rtl/>
        </w:rPr>
      </w:pPr>
      <w:r>
        <w:rPr>
          <w:rFonts w:hint="cs"/>
          <w:rtl/>
        </w:rPr>
        <w:t xml:space="preserve">לסיכום, לאחר שבחנתי את כלל השיקולים, לרבות שיקולי הרתעת הרבים והיחיד, מצאתי לגזור על הנאשם עונש בתחתית המתחם לצד ענישה נלווית. אתחשב במצבו הכלכלי ובנסיבותיו בקביעת גובה הקנס ואטיל עליו עונש פסילת רשיון על תנאי.   </w:t>
      </w:r>
    </w:p>
    <w:p w14:paraId="1650782B" w14:textId="77777777" w:rsidR="006234AD" w:rsidRDefault="006234AD" w:rsidP="006234AD">
      <w:pPr>
        <w:pStyle w:val="a9"/>
        <w:rPr>
          <w:rFonts w:ascii="Miriam" w:hAnsi="Miriam" w:cs="Miriam"/>
        </w:rPr>
      </w:pPr>
    </w:p>
    <w:p w14:paraId="281EC74A" w14:textId="77777777" w:rsidR="006234AD" w:rsidRDefault="006234AD" w:rsidP="006234AD">
      <w:pPr>
        <w:pStyle w:val="a9"/>
        <w:numPr>
          <w:ilvl w:val="0"/>
          <w:numId w:val="1"/>
        </w:numPr>
        <w:spacing w:after="160" w:line="360" w:lineRule="auto"/>
        <w:jc w:val="both"/>
        <w:rPr>
          <w:rtl/>
        </w:rPr>
      </w:pPr>
      <w:r>
        <w:rPr>
          <w:rFonts w:hint="cs"/>
          <w:b/>
          <w:bCs/>
          <w:rtl/>
        </w:rPr>
        <w:t>אני גוזרת על הנאשם את העונשים הבאים:</w:t>
      </w:r>
    </w:p>
    <w:p w14:paraId="3FD0282A" w14:textId="77777777" w:rsidR="006234AD" w:rsidRDefault="006234AD" w:rsidP="006234AD">
      <w:pPr>
        <w:numPr>
          <w:ilvl w:val="0"/>
          <w:numId w:val="2"/>
        </w:numPr>
        <w:spacing w:after="160" w:line="360" w:lineRule="auto"/>
        <w:contextualSpacing/>
        <w:jc w:val="both"/>
        <w:rPr>
          <w:rtl/>
        </w:rPr>
      </w:pPr>
      <w:r>
        <w:rPr>
          <w:rFonts w:hint="cs"/>
          <w:rtl/>
        </w:rPr>
        <w:t xml:space="preserve">4 שנות מאסר החל מיום מעצרו 8.11.23.  </w:t>
      </w:r>
    </w:p>
    <w:p w14:paraId="2FA1BBA2" w14:textId="77777777" w:rsidR="006234AD" w:rsidRDefault="006234AD" w:rsidP="006234AD">
      <w:pPr>
        <w:numPr>
          <w:ilvl w:val="0"/>
          <w:numId w:val="2"/>
        </w:numPr>
        <w:spacing w:after="160" w:line="360" w:lineRule="auto"/>
        <w:contextualSpacing/>
        <w:jc w:val="both"/>
      </w:pPr>
      <w:r>
        <w:rPr>
          <w:rFonts w:hint="cs"/>
          <w:rtl/>
        </w:rPr>
        <w:t xml:space="preserve">מאסר על תנאי בן 12 חודשים לבל יעבור הנאשם עבירת נשק תוך 3 שנים מיום שחרורו ממאסר. </w:t>
      </w:r>
    </w:p>
    <w:p w14:paraId="6AA810AA" w14:textId="77777777" w:rsidR="006234AD" w:rsidRDefault="006234AD" w:rsidP="006234AD">
      <w:pPr>
        <w:numPr>
          <w:ilvl w:val="0"/>
          <w:numId w:val="2"/>
        </w:numPr>
        <w:spacing w:after="160" w:line="360" w:lineRule="auto"/>
        <w:contextualSpacing/>
        <w:jc w:val="both"/>
      </w:pPr>
      <w:r>
        <w:rPr>
          <w:rFonts w:hint="cs"/>
          <w:rtl/>
        </w:rPr>
        <w:t>קנס בסך 5000 ₪ או 40 ימי מאסר. הקנס ישולם בעשרה תשלומים החל מיום 10.9.24.</w:t>
      </w:r>
    </w:p>
    <w:p w14:paraId="4C94294A" w14:textId="77777777" w:rsidR="006234AD" w:rsidRDefault="006234AD" w:rsidP="006234AD">
      <w:pPr>
        <w:numPr>
          <w:ilvl w:val="0"/>
          <w:numId w:val="2"/>
        </w:numPr>
        <w:spacing w:after="160" w:line="360" w:lineRule="auto"/>
        <w:contextualSpacing/>
        <w:jc w:val="both"/>
        <w:rPr>
          <w:b/>
          <w:bCs/>
          <w:u w:val="single"/>
        </w:rPr>
      </w:pPr>
      <w:r>
        <w:rPr>
          <w:rFonts w:hint="cs"/>
          <w:rtl/>
        </w:rPr>
        <w:t xml:space="preserve">פוסלת את הנאשם מלנהוג למשך 12 חודשים ככל שיבצע עבירה מסוג פשע באמצעות רכב במשך 3 שנים מיום שחרורו. </w:t>
      </w:r>
    </w:p>
    <w:p w14:paraId="6B00EC6C" w14:textId="77777777" w:rsidR="006234AD" w:rsidRDefault="006234AD" w:rsidP="006234AD">
      <w:pPr>
        <w:spacing w:after="160" w:line="360" w:lineRule="auto"/>
        <w:ind w:left="720"/>
        <w:jc w:val="both"/>
        <w:rPr>
          <w:b/>
          <w:bCs/>
          <w:u w:val="single"/>
        </w:rPr>
      </w:pPr>
    </w:p>
    <w:p w14:paraId="1D7AE4B2" w14:textId="77777777" w:rsidR="006234AD" w:rsidRDefault="006234AD" w:rsidP="006234AD">
      <w:pPr>
        <w:spacing w:line="360" w:lineRule="auto"/>
        <w:jc w:val="both"/>
      </w:pPr>
      <w:r>
        <w:rPr>
          <w:rFonts w:hint="cs"/>
          <w:rtl/>
        </w:rPr>
        <w:t>צו כללי למוצגים</w:t>
      </w:r>
    </w:p>
    <w:p w14:paraId="0EA44514" w14:textId="77777777" w:rsidR="006234AD" w:rsidRDefault="006234AD" w:rsidP="006234AD">
      <w:pPr>
        <w:spacing w:line="360" w:lineRule="auto"/>
        <w:jc w:val="both"/>
        <w:rPr>
          <w:rtl/>
        </w:rPr>
      </w:pPr>
      <w:r>
        <w:rPr>
          <w:rFonts w:hint="cs"/>
          <w:rtl/>
        </w:rPr>
        <w:t xml:space="preserve">הנשק יושמד. </w:t>
      </w:r>
    </w:p>
    <w:p w14:paraId="4EFABD86" w14:textId="77777777" w:rsidR="006234AD" w:rsidRDefault="006234AD" w:rsidP="006234AD">
      <w:pPr>
        <w:spacing w:line="360" w:lineRule="auto"/>
        <w:jc w:val="both"/>
        <w:rPr>
          <w:rtl/>
        </w:rPr>
      </w:pPr>
    </w:p>
    <w:p w14:paraId="04458C6F" w14:textId="77777777" w:rsidR="006234AD" w:rsidRDefault="006234AD" w:rsidP="006234AD">
      <w:pPr>
        <w:spacing w:line="360" w:lineRule="auto"/>
        <w:jc w:val="both"/>
      </w:pPr>
      <w:r>
        <w:rPr>
          <w:rFonts w:hint="cs"/>
          <w:b/>
          <w:bCs/>
          <w:rtl/>
        </w:rPr>
        <w:t xml:space="preserve">זכות ערעור לבית המשפט העליון תוך 45 יום. </w:t>
      </w:r>
    </w:p>
    <w:p w14:paraId="7B292E20" w14:textId="77777777" w:rsidR="006234AD" w:rsidRPr="005A4EC8" w:rsidRDefault="005A4EC8" w:rsidP="006234AD">
      <w:pPr>
        <w:rPr>
          <w:rFonts w:ascii="Arial" w:hAnsi="Arial"/>
          <w:b/>
          <w:bCs/>
          <w:color w:val="FFFFFF"/>
          <w:sz w:val="2"/>
          <w:szCs w:val="2"/>
          <w:rtl/>
        </w:rPr>
      </w:pPr>
      <w:r w:rsidRPr="005A4EC8">
        <w:rPr>
          <w:rFonts w:ascii="Arial" w:hAnsi="Arial"/>
          <w:b/>
          <w:bCs/>
          <w:color w:val="FFFFFF"/>
          <w:sz w:val="2"/>
          <w:szCs w:val="2"/>
          <w:rtl/>
        </w:rPr>
        <w:t>5129371</w:t>
      </w:r>
    </w:p>
    <w:p w14:paraId="75DB7D7A" w14:textId="77777777" w:rsidR="006234AD" w:rsidRPr="005A4EC8" w:rsidRDefault="005A4EC8" w:rsidP="006234AD">
      <w:pPr>
        <w:rPr>
          <w:rFonts w:ascii="Arial" w:hAnsi="Arial"/>
          <w:b/>
          <w:bCs/>
          <w:color w:val="FFFFFF"/>
          <w:sz w:val="2"/>
          <w:szCs w:val="2"/>
          <w:rtl/>
        </w:rPr>
      </w:pPr>
      <w:r w:rsidRPr="005A4EC8">
        <w:rPr>
          <w:rFonts w:ascii="Arial" w:hAnsi="Arial"/>
          <w:b/>
          <w:bCs/>
          <w:color w:val="FFFFFF"/>
          <w:sz w:val="2"/>
          <w:szCs w:val="2"/>
          <w:rtl/>
        </w:rPr>
        <w:t>54678313</w:t>
      </w:r>
    </w:p>
    <w:p w14:paraId="0069BB44" w14:textId="77777777" w:rsidR="006234AD" w:rsidRPr="000F2247" w:rsidRDefault="006234AD" w:rsidP="006234AD">
      <w:pPr>
        <w:rPr>
          <w:rFonts w:ascii="Arial" w:hAnsi="Arial"/>
          <w:b/>
          <w:bCs/>
          <w:sz w:val="26"/>
          <w:szCs w:val="26"/>
          <w:rtl/>
        </w:rPr>
      </w:pPr>
    </w:p>
    <w:p w14:paraId="7341E29C" w14:textId="77777777" w:rsidR="006234AD" w:rsidRPr="000F2247" w:rsidRDefault="005A4EC8" w:rsidP="006234AD">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ח' תמוז תשפ"ד, 14 יולי 2024, במעמד הצדדים. </w:t>
      </w:r>
      <w:bookmarkEnd w:id="8"/>
      <w:r w:rsidR="006234AD">
        <w:rPr>
          <w:rFonts w:ascii="Arial" w:hAnsi="Arial"/>
          <w:b/>
          <w:bCs/>
          <w:sz w:val="26"/>
          <w:szCs w:val="26"/>
          <w:rtl/>
        </w:rPr>
        <w:tab/>
      </w:r>
      <w:r w:rsidR="006234AD">
        <w:rPr>
          <w:rFonts w:ascii="Arial" w:hAnsi="Arial"/>
          <w:b/>
          <w:bCs/>
          <w:sz w:val="26"/>
          <w:szCs w:val="26"/>
          <w:rtl/>
        </w:rPr>
        <w:tab/>
      </w:r>
      <w:r w:rsidR="006234AD">
        <w:rPr>
          <w:rFonts w:ascii="Arial" w:hAnsi="Arial"/>
          <w:b/>
          <w:bCs/>
          <w:sz w:val="26"/>
          <w:szCs w:val="26"/>
          <w:rtl/>
        </w:rPr>
        <w:tab/>
      </w:r>
      <w:r w:rsidR="006234AD">
        <w:rPr>
          <w:rFonts w:ascii="Arial" w:hAnsi="Arial"/>
          <w:b/>
          <w:bCs/>
          <w:sz w:val="26"/>
          <w:szCs w:val="26"/>
          <w:rtl/>
        </w:rPr>
        <w:tab/>
      </w:r>
      <w:r w:rsidR="006234AD">
        <w:rPr>
          <w:rFonts w:ascii="Arial" w:hAnsi="Arial"/>
          <w:b/>
          <w:bCs/>
          <w:sz w:val="26"/>
          <w:szCs w:val="26"/>
          <w:rtl/>
        </w:rPr>
        <w:tab/>
      </w:r>
      <w:r w:rsidR="006234AD">
        <w:rPr>
          <w:rFonts w:ascii="Arial" w:hAnsi="Arial"/>
          <w:b/>
          <w:bCs/>
          <w:sz w:val="26"/>
          <w:szCs w:val="26"/>
          <w:rtl/>
        </w:rPr>
        <w:tab/>
      </w:r>
      <w:r w:rsidR="006234AD">
        <w:rPr>
          <w:rFonts w:ascii="Arial" w:hAnsi="Arial"/>
          <w:b/>
          <w:bCs/>
          <w:sz w:val="26"/>
          <w:szCs w:val="26"/>
          <w:rtl/>
        </w:rPr>
        <w:tab/>
      </w:r>
      <w:r w:rsidR="006234AD">
        <w:rPr>
          <w:rFonts w:ascii="Arial" w:hAnsi="Arial" w:hint="cs"/>
          <w:b/>
          <w:bCs/>
          <w:sz w:val="26"/>
          <w:szCs w:val="26"/>
          <w:rtl/>
        </w:rPr>
        <w:t xml:space="preserve">         </w:t>
      </w:r>
    </w:p>
    <w:p w14:paraId="419F82BE" w14:textId="77777777" w:rsidR="006234AD" w:rsidRPr="000F2247" w:rsidRDefault="006234AD" w:rsidP="005A4EC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F6795DB" w14:textId="77777777" w:rsidR="005A4EC8" w:rsidRDefault="00A3651E" w:rsidP="005A4EC8">
      <w:r w:rsidRPr="00A3651E">
        <w:rPr>
          <w:rFonts w:ascii="Arial" w:hAnsi="Arial"/>
          <w:b/>
          <w:bCs/>
          <w:color w:val="FFFFFF"/>
          <w:sz w:val="2"/>
          <w:szCs w:val="2"/>
          <w:rtl/>
        </w:rPr>
        <w:t>5129371</w:t>
      </w:r>
    </w:p>
    <w:p w14:paraId="63ECBC70" w14:textId="77777777" w:rsidR="005A4EC8" w:rsidRDefault="005A4EC8" w:rsidP="005A4EC8">
      <w:pPr>
        <w:rPr>
          <w:rtl/>
        </w:rPr>
      </w:pPr>
    </w:p>
    <w:p w14:paraId="0C05F247" w14:textId="77777777" w:rsidR="005A4EC8" w:rsidRDefault="005A4EC8" w:rsidP="005A4EC8">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5B2C3C3F" w14:textId="77777777" w:rsidR="00A3651E" w:rsidRPr="00A3651E" w:rsidRDefault="00A3651E" w:rsidP="00A3651E">
      <w:pPr>
        <w:keepNext/>
        <w:rPr>
          <w:rFonts w:ascii="David" w:hAnsi="David"/>
          <w:color w:val="000000"/>
          <w:sz w:val="22"/>
          <w:szCs w:val="22"/>
          <w:rtl/>
        </w:rPr>
      </w:pPr>
    </w:p>
    <w:p w14:paraId="4B102E67" w14:textId="77777777" w:rsidR="00A3651E" w:rsidRPr="00A3651E" w:rsidRDefault="00A3651E" w:rsidP="00A3651E">
      <w:pPr>
        <w:keepNext/>
        <w:rPr>
          <w:rFonts w:ascii="David" w:hAnsi="David"/>
          <w:color w:val="000000"/>
          <w:sz w:val="22"/>
          <w:szCs w:val="22"/>
          <w:rtl/>
        </w:rPr>
      </w:pPr>
      <w:r w:rsidRPr="00A3651E">
        <w:rPr>
          <w:rFonts w:ascii="David" w:hAnsi="David"/>
          <w:color w:val="000000"/>
          <w:sz w:val="22"/>
          <w:szCs w:val="22"/>
          <w:rtl/>
        </w:rPr>
        <w:t>מרב גרינברג 54678313-/</w:t>
      </w:r>
    </w:p>
    <w:p w14:paraId="46D10660" w14:textId="77777777" w:rsidR="005A4EC8" w:rsidRPr="005A4EC8" w:rsidRDefault="00A3651E" w:rsidP="00A3651E">
      <w:pPr>
        <w:rPr>
          <w:color w:val="0000FF"/>
          <w:u w:val="single"/>
        </w:rPr>
      </w:pPr>
      <w:r w:rsidRPr="00A3651E">
        <w:rPr>
          <w:color w:val="000000"/>
          <w:u w:val="single"/>
          <w:rtl/>
        </w:rPr>
        <w:t>נוסח מסמך זה כפוף לשינויי ניסוח ועריכה</w:t>
      </w:r>
    </w:p>
    <w:sectPr w:rsidR="005A4EC8" w:rsidRPr="005A4EC8" w:rsidSect="00A3651E">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9EE45D" w14:textId="77777777" w:rsidR="00A36C9C" w:rsidRDefault="00A36C9C" w:rsidP="008A1089">
      <w:r>
        <w:separator/>
      </w:r>
    </w:p>
  </w:endnote>
  <w:endnote w:type="continuationSeparator" w:id="0">
    <w:p w14:paraId="154643BB" w14:textId="77777777" w:rsidR="00A36C9C" w:rsidRDefault="00A36C9C" w:rsidP="008A1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3651F" w14:textId="77777777" w:rsidR="00A3651E" w:rsidRDefault="00A3651E" w:rsidP="00A3651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50B3726" w14:textId="77777777" w:rsidR="00915177" w:rsidRPr="00A3651E" w:rsidRDefault="00A3651E" w:rsidP="00A3651E">
    <w:pPr>
      <w:pStyle w:val="a5"/>
      <w:pBdr>
        <w:top w:val="single" w:sz="4" w:space="1" w:color="auto"/>
        <w:between w:val="single" w:sz="4" w:space="0" w:color="auto"/>
      </w:pBdr>
      <w:spacing w:after="60"/>
      <w:jc w:val="center"/>
      <w:rPr>
        <w:rFonts w:ascii="FrankRuehl" w:hAnsi="FrankRuehl" w:cs="FrankRuehl"/>
        <w:color w:val="000000"/>
      </w:rPr>
    </w:pPr>
    <w:r w:rsidRPr="00A3651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16504" w14:textId="77777777" w:rsidR="00A3651E" w:rsidRDefault="00A3651E" w:rsidP="00A3651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A2B8C">
      <w:rPr>
        <w:rFonts w:ascii="FrankRuehl" w:hAnsi="FrankRuehl" w:cs="FrankRuehl"/>
        <w:noProof/>
        <w:rtl/>
      </w:rPr>
      <w:t>1</w:t>
    </w:r>
    <w:r>
      <w:rPr>
        <w:rFonts w:ascii="FrankRuehl" w:hAnsi="FrankRuehl" w:cs="FrankRuehl"/>
        <w:rtl/>
      </w:rPr>
      <w:fldChar w:fldCharType="end"/>
    </w:r>
  </w:p>
  <w:p w14:paraId="106CEF2C" w14:textId="77777777" w:rsidR="00915177" w:rsidRPr="00A3651E" w:rsidRDefault="00A3651E" w:rsidP="00A3651E">
    <w:pPr>
      <w:pStyle w:val="a5"/>
      <w:pBdr>
        <w:top w:val="single" w:sz="4" w:space="1" w:color="auto"/>
        <w:between w:val="single" w:sz="4" w:space="0" w:color="auto"/>
      </w:pBdr>
      <w:spacing w:after="60"/>
      <w:jc w:val="center"/>
      <w:rPr>
        <w:rFonts w:ascii="FrankRuehl" w:hAnsi="FrankRuehl" w:cs="FrankRuehl"/>
        <w:color w:val="000000"/>
      </w:rPr>
    </w:pPr>
    <w:r w:rsidRPr="00A3651E">
      <w:rPr>
        <w:rFonts w:ascii="FrankRuehl" w:hAnsi="FrankRuehl" w:cs="FrankRuehl"/>
        <w:color w:val="000000"/>
      </w:rPr>
      <w:pict w14:anchorId="39D9A5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FFD4E" w14:textId="77777777" w:rsidR="00A36C9C" w:rsidRDefault="00A36C9C" w:rsidP="008A1089">
      <w:r>
        <w:separator/>
      </w:r>
    </w:p>
  </w:footnote>
  <w:footnote w:type="continuationSeparator" w:id="0">
    <w:p w14:paraId="36982DA3" w14:textId="77777777" w:rsidR="00A36C9C" w:rsidRDefault="00A36C9C" w:rsidP="008A1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5AA7E" w14:textId="77777777" w:rsidR="005A4EC8" w:rsidRPr="00A3651E" w:rsidRDefault="00A3651E" w:rsidP="00A3651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38193-11-23</w:t>
    </w:r>
    <w:r>
      <w:rPr>
        <w:rFonts w:ascii="David" w:hAnsi="David"/>
        <w:color w:val="000000"/>
        <w:sz w:val="22"/>
        <w:szCs w:val="22"/>
        <w:rtl/>
      </w:rPr>
      <w:tab/>
      <w:t xml:space="preserve"> מדינת ישראל נ' עלאא נעאלוה גדבאן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8E1C8" w14:textId="77777777" w:rsidR="005A4EC8" w:rsidRPr="00A3651E" w:rsidRDefault="00A3651E" w:rsidP="00A3651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38193-11-23</w:t>
    </w:r>
    <w:r>
      <w:rPr>
        <w:rFonts w:ascii="David" w:hAnsi="David"/>
        <w:color w:val="000000"/>
        <w:sz w:val="22"/>
        <w:szCs w:val="22"/>
        <w:rtl/>
      </w:rPr>
      <w:tab/>
      <w:t xml:space="preserve"> מדינת ישראל נ' עלאא נעאלוה גדבאן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A0D32"/>
    <w:multiLevelType w:val="hybridMultilevel"/>
    <w:tmpl w:val="98E4CE56"/>
    <w:lvl w:ilvl="0" w:tplc="BEDC841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EC356E9"/>
    <w:multiLevelType w:val="hybridMultilevel"/>
    <w:tmpl w:val="7B5841F0"/>
    <w:lvl w:ilvl="0" w:tplc="3E76A852">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926622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62962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34AD"/>
    <w:rsid w:val="001B5A3B"/>
    <w:rsid w:val="005A4EC8"/>
    <w:rsid w:val="006234AD"/>
    <w:rsid w:val="007B3099"/>
    <w:rsid w:val="0082735F"/>
    <w:rsid w:val="008A1089"/>
    <w:rsid w:val="00915177"/>
    <w:rsid w:val="00A3651E"/>
    <w:rsid w:val="00A36C9C"/>
    <w:rsid w:val="00DA2B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F4F7B1"/>
  <w15:chartTrackingRefBased/>
  <w15:docId w15:val="{F8F680B3-91E6-43DE-A8B1-398B23A2D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34A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234AD"/>
    <w:pPr>
      <w:tabs>
        <w:tab w:val="center" w:pos="4153"/>
        <w:tab w:val="right" w:pos="8306"/>
      </w:tabs>
    </w:pPr>
  </w:style>
  <w:style w:type="character" w:customStyle="1" w:styleId="a4">
    <w:name w:val="כותרת עליונה תו"/>
    <w:link w:val="a3"/>
    <w:rsid w:val="006234AD"/>
    <w:rPr>
      <w:rFonts w:ascii="Times New Roman" w:eastAsia="Times New Roman" w:hAnsi="Times New Roman" w:cs="David"/>
      <w:sz w:val="24"/>
      <w:szCs w:val="24"/>
    </w:rPr>
  </w:style>
  <w:style w:type="paragraph" w:styleId="a5">
    <w:name w:val="footer"/>
    <w:basedOn w:val="a"/>
    <w:link w:val="a6"/>
    <w:rsid w:val="006234AD"/>
    <w:pPr>
      <w:tabs>
        <w:tab w:val="center" w:pos="4153"/>
        <w:tab w:val="right" w:pos="8306"/>
      </w:tabs>
    </w:pPr>
  </w:style>
  <w:style w:type="character" w:customStyle="1" w:styleId="a6">
    <w:name w:val="כותרת תחתונה תו"/>
    <w:link w:val="a5"/>
    <w:rsid w:val="006234AD"/>
    <w:rPr>
      <w:rFonts w:ascii="Times New Roman" w:eastAsia="Times New Roman" w:hAnsi="Times New Roman" w:cs="David"/>
      <w:sz w:val="24"/>
      <w:szCs w:val="24"/>
    </w:rPr>
  </w:style>
  <w:style w:type="table" w:styleId="a7">
    <w:name w:val="Table Grid"/>
    <w:basedOn w:val="a1"/>
    <w:rsid w:val="006234A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234AD"/>
  </w:style>
  <w:style w:type="paragraph" w:styleId="a9">
    <w:name w:val="List Paragraph"/>
    <w:basedOn w:val="a"/>
    <w:qFormat/>
    <w:rsid w:val="006234AD"/>
    <w:pPr>
      <w:ind w:left="720"/>
      <w:contextualSpacing/>
    </w:pPr>
    <w:rPr>
      <w:rFonts w:ascii="David" w:eastAsia="David" w:hAnsi="David"/>
    </w:rPr>
  </w:style>
  <w:style w:type="character" w:styleId="Hyperlink">
    <w:name w:val="Hyperlink"/>
    <w:rsid w:val="005A4EC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8513828" TargetMode="External"/><Relationship Id="rId18" Type="http://schemas.openxmlformats.org/officeDocument/2006/relationships/hyperlink" Target="http://www.nevo.co.il/case/6473037" TargetMode="External"/><Relationship Id="rId26" Type="http://schemas.openxmlformats.org/officeDocument/2006/relationships/hyperlink" Target="http://www.nevo.co.il/case/21474168" TargetMode="External"/><Relationship Id="rId39" Type="http://schemas.openxmlformats.org/officeDocument/2006/relationships/theme" Target="theme/theme1.xml"/><Relationship Id="rId21" Type="http://schemas.openxmlformats.org/officeDocument/2006/relationships/hyperlink" Target="http://www.nevo.co.il/case/10485614"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case/28268880" TargetMode="External"/><Relationship Id="rId17" Type="http://schemas.openxmlformats.org/officeDocument/2006/relationships/hyperlink" Target="http://www.nevo.co.il/case/28452933" TargetMode="External"/><Relationship Id="rId25" Type="http://schemas.openxmlformats.org/officeDocument/2006/relationships/hyperlink" Target="http://www.nevo.co.il/case/28380863"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8152132" TargetMode="External"/><Relationship Id="rId20" Type="http://schemas.openxmlformats.org/officeDocument/2006/relationships/hyperlink" Target="http://www.nevo.co.il/case/21477388" TargetMode="External"/><Relationship Id="rId29" Type="http://schemas.openxmlformats.org/officeDocument/2006/relationships/hyperlink" Target="http://www.nevo.co.il/case/295873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7734980" TargetMode="External"/><Relationship Id="rId24" Type="http://schemas.openxmlformats.org/officeDocument/2006/relationships/hyperlink" Target="http://www.nevo.co.il/case/28243273" TargetMode="External"/><Relationship Id="rId32" Type="http://schemas.openxmlformats.org/officeDocument/2006/relationships/hyperlink" Target="http://www.nevo.co.il/case/27101361"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7911638" TargetMode="External"/><Relationship Id="rId23" Type="http://schemas.openxmlformats.org/officeDocument/2006/relationships/hyperlink" Target="http://www.nevo.co.il/case/28538206" TargetMode="External"/><Relationship Id="rId28" Type="http://schemas.openxmlformats.org/officeDocument/2006/relationships/hyperlink" Target="http://www.nevo.co.il/case/29776481"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5571066" TargetMode="External"/><Relationship Id="rId31" Type="http://schemas.openxmlformats.org/officeDocument/2006/relationships/hyperlink" Target="http://www.nevo.co.il/case/29261811"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7894608" TargetMode="External"/><Relationship Id="rId22" Type="http://schemas.openxmlformats.org/officeDocument/2006/relationships/hyperlink" Target="http://www.nevo.co.il/case/28883087" TargetMode="External"/><Relationship Id="rId27" Type="http://schemas.openxmlformats.org/officeDocument/2006/relationships/hyperlink" Target="http://www.nevo.co.il/case/28563759" TargetMode="External"/><Relationship Id="rId30" Type="http://schemas.openxmlformats.org/officeDocument/2006/relationships/hyperlink" Target="http://www.nevo.co.il/case/26645989" TargetMode="External"/><Relationship Id="rId35" Type="http://schemas.openxmlformats.org/officeDocument/2006/relationships/header" Target="header2.xml"/><Relationship Id="rId8" Type="http://schemas.openxmlformats.org/officeDocument/2006/relationships/hyperlink" Target="http://www.nevo.co.il/law/70301/144.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2334</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13980</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3407984</vt:i4>
      </vt:variant>
      <vt:variant>
        <vt:i4>75</vt:i4>
      </vt:variant>
      <vt:variant>
        <vt:i4>0</vt:i4>
      </vt:variant>
      <vt:variant>
        <vt:i4>5</vt:i4>
      </vt:variant>
      <vt:variant>
        <vt:lpwstr>http://www.nevo.co.il/case/27101361</vt:lpwstr>
      </vt:variant>
      <vt:variant>
        <vt:lpwstr/>
      </vt:variant>
      <vt:variant>
        <vt:i4>3145843</vt:i4>
      </vt:variant>
      <vt:variant>
        <vt:i4>72</vt:i4>
      </vt:variant>
      <vt:variant>
        <vt:i4>0</vt:i4>
      </vt:variant>
      <vt:variant>
        <vt:i4>5</vt:i4>
      </vt:variant>
      <vt:variant>
        <vt:lpwstr>http://www.nevo.co.il/case/29261811</vt:lpwstr>
      </vt:variant>
      <vt:variant>
        <vt:lpwstr/>
      </vt:variant>
      <vt:variant>
        <vt:i4>3735679</vt:i4>
      </vt:variant>
      <vt:variant>
        <vt:i4>69</vt:i4>
      </vt:variant>
      <vt:variant>
        <vt:i4>0</vt:i4>
      </vt:variant>
      <vt:variant>
        <vt:i4>5</vt:i4>
      </vt:variant>
      <vt:variant>
        <vt:lpwstr>http://www.nevo.co.il/case/26645989</vt:lpwstr>
      </vt:variant>
      <vt:variant>
        <vt:lpwstr/>
      </vt:variant>
      <vt:variant>
        <vt:i4>3276918</vt:i4>
      </vt:variant>
      <vt:variant>
        <vt:i4>66</vt:i4>
      </vt:variant>
      <vt:variant>
        <vt:i4>0</vt:i4>
      </vt:variant>
      <vt:variant>
        <vt:i4>5</vt:i4>
      </vt:variant>
      <vt:variant>
        <vt:lpwstr>http://www.nevo.co.il/case/29587327</vt:lpwstr>
      </vt:variant>
      <vt:variant>
        <vt:lpwstr/>
      </vt:variant>
      <vt:variant>
        <vt:i4>3866750</vt:i4>
      </vt:variant>
      <vt:variant>
        <vt:i4>63</vt:i4>
      </vt:variant>
      <vt:variant>
        <vt:i4>0</vt:i4>
      </vt:variant>
      <vt:variant>
        <vt:i4>5</vt:i4>
      </vt:variant>
      <vt:variant>
        <vt:lpwstr>http://www.nevo.co.il/case/29776481</vt:lpwstr>
      </vt:variant>
      <vt:variant>
        <vt:lpwstr/>
      </vt:variant>
      <vt:variant>
        <vt:i4>3211389</vt:i4>
      </vt:variant>
      <vt:variant>
        <vt:i4>60</vt:i4>
      </vt:variant>
      <vt:variant>
        <vt:i4>0</vt:i4>
      </vt:variant>
      <vt:variant>
        <vt:i4>5</vt:i4>
      </vt:variant>
      <vt:variant>
        <vt:lpwstr>http://www.nevo.co.il/case/28563759</vt:lpwstr>
      </vt:variant>
      <vt:variant>
        <vt:lpwstr/>
      </vt:variant>
      <vt:variant>
        <vt:i4>3407987</vt:i4>
      </vt:variant>
      <vt:variant>
        <vt:i4>57</vt:i4>
      </vt:variant>
      <vt:variant>
        <vt:i4>0</vt:i4>
      </vt:variant>
      <vt:variant>
        <vt:i4>5</vt:i4>
      </vt:variant>
      <vt:variant>
        <vt:lpwstr>http://www.nevo.co.il/case/21474168</vt:lpwstr>
      </vt:variant>
      <vt:variant>
        <vt:lpwstr/>
      </vt:variant>
      <vt:variant>
        <vt:i4>3604604</vt:i4>
      </vt:variant>
      <vt:variant>
        <vt:i4>54</vt:i4>
      </vt:variant>
      <vt:variant>
        <vt:i4>0</vt:i4>
      </vt:variant>
      <vt:variant>
        <vt:i4>5</vt:i4>
      </vt:variant>
      <vt:variant>
        <vt:lpwstr>http://www.nevo.co.il/case/28380863</vt:lpwstr>
      </vt:variant>
      <vt:variant>
        <vt:lpwstr/>
      </vt:variant>
      <vt:variant>
        <vt:i4>3407994</vt:i4>
      </vt:variant>
      <vt:variant>
        <vt:i4>51</vt:i4>
      </vt:variant>
      <vt:variant>
        <vt:i4>0</vt:i4>
      </vt:variant>
      <vt:variant>
        <vt:i4>5</vt:i4>
      </vt:variant>
      <vt:variant>
        <vt:lpwstr>http://www.nevo.co.il/case/28243273</vt:lpwstr>
      </vt:variant>
      <vt:variant>
        <vt:lpwstr/>
      </vt:variant>
      <vt:variant>
        <vt:i4>4128893</vt:i4>
      </vt:variant>
      <vt:variant>
        <vt:i4>48</vt:i4>
      </vt:variant>
      <vt:variant>
        <vt:i4>0</vt:i4>
      </vt:variant>
      <vt:variant>
        <vt:i4>5</vt:i4>
      </vt:variant>
      <vt:variant>
        <vt:lpwstr>http://www.nevo.co.il/case/28538206</vt:lpwstr>
      </vt:variant>
      <vt:variant>
        <vt:lpwstr/>
      </vt:variant>
      <vt:variant>
        <vt:i4>3211380</vt:i4>
      </vt:variant>
      <vt:variant>
        <vt:i4>45</vt:i4>
      </vt:variant>
      <vt:variant>
        <vt:i4>0</vt:i4>
      </vt:variant>
      <vt:variant>
        <vt:i4>5</vt:i4>
      </vt:variant>
      <vt:variant>
        <vt:lpwstr>http://www.nevo.co.il/case/28883087</vt:lpwstr>
      </vt:variant>
      <vt:variant>
        <vt:lpwstr/>
      </vt:variant>
      <vt:variant>
        <vt:i4>3211386</vt:i4>
      </vt:variant>
      <vt:variant>
        <vt:i4>42</vt:i4>
      </vt:variant>
      <vt:variant>
        <vt:i4>0</vt:i4>
      </vt:variant>
      <vt:variant>
        <vt:i4>5</vt:i4>
      </vt:variant>
      <vt:variant>
        <vt:lpwstr>http://www.nevo.co.il/case/10485614</vt:lpwstr>
      </vt:variant>
      <vt:variant>
        <vt:lpwstr/>
      </vt:variant>
      <vt:variant>
        <vt:i4>3735665</vt:i4>
      </vt:variant>
      <vt:variant>
        <vt:i4>39</vt:i4>
      </vt:variant>
      <vt:variant>
        <vt:i4>0</vt:i4>
      </vt:variant>
      <vt:variant>
        <vt:i4>5</vt:i4>
      </vt:variant>
      <vt:variant>
        <vt:lpwstr>http://www.nevo.co.il/case/21477388</vt:lpwstr>
      </vt:variant>
      <vt:variant>
        <vt:lpwstr/>
      </vt:variant>
      <vt:variant>
        <vt:i4>3407990</vt:i4>
      </vt:variant>
      <vt:variant>
        <vt:i4>36</vt:i4>
      </vt:variant>
      <vt:variant>
        <vt:i4>0</vt:i4>
      </vt:variant>
      <vt:variant>
        <vt:i4>5</vt:i4>
      </vt:variant>
      <vt:variant>
        <vt:lpwstr>http://www.nevo.co.il/case/5571066</vt:lpwstr>
      </vt:variant>
      <vt:variant>
        <vt:lpwstr/>
      </vt:variant>
      <vt:variant>
        <vt:i4>3539056</vt:i4>
      </vt:variant>
      <vt:variant>
        <vt:i4>33</vt:i4>
      </vt:variant>
      <vt:variant>
        <vt:i4>0</vt:i4>
      </vt:variant>
      <vt:variant>
        <vt:i4>5</vt:i4>
      </vt:variant>
      <vt:variant>
        <vt:lpwstr>http://www.nevo.co.il/case/6473037</vt:lpwstr>
      </vt:variant>
      <vt:variant>
        <vt:lpwstr/>
      </vt:variant>
      <vt:variant>
        <vt:i4>3604592</vt:i4>
      </vt:variant>
      <vt:variant>
        <vt:i4>30</vt:i4>
      </vt:variant>
      <vt:variant>
        <vt:i4>0</vt:i4>
      </vt:variant>
      <vt:variant>
        <vt:i4>5</vt:i4>
      </vt:variant>
      <vt:variant>
        <vt:lpwstr>http://www.nevo.co.il/case/28452933</vt:lpwstr>
      </vt:variant>
      <vt:variant>
        <vt:lpwstr/>
      </vt:variant>
      <vt:variant>
        <vt:i4>3276920</vt:i4>
      </vt:variant>
      <vt:variant>
        <vt:i4>27</vt:i4>
      </vt:variant>
      <vt:variant>
        <vt:i4>0</vt:i4>
      </vt:variant>
      <vt:variant>
        <vt:i4>5</vt:i4>
      </vt:variant>
      <vt:variant>
        <vt:lpwstr>http://www.nevo.co.il/case/28152132</vt:lpwstr>
      </vt:variant>
      <vt:variant>
        <vt:lpwstr/>
      </vt:variant>
      <vt:variant>
        <vt:i4>3735668</vt:i4>
      </vt:variant>
      <vt:variant>
        <vt:i4>24</vt:i4>
      </vt:variant>
      <vt:variant>
        <vt:i4>0</vt:i4>
      </vt:variant>
      <vt:variant>
        <vt:i4>5</vt:i4>
      </vt:variant>
      <vt:variant>
        <vt:lpwstr>http://www.nevo.co.il/case/27911638</vt:lpwstr>
      </vt:variant>
      <vt:variant>
        <vt:lpwstr/>
      </vt:variant>
      <vt:variant>
        <vt:i4>4063356</vt:i4>
      </vt:variant>
      <vt:variant>
        <vt:i4>21</vt:i4>
      </vt:variant>
      <vt:variant>
        <vt:i4>0</vt:i4>
      </vt:variant>
      <vt:variant>
        <vt:i4>5</vt:i4>
      </vt:variant>
      <vt:variant>
        <vt:lpwstr>http://www.nevo.co.il/case/27894608</vt:lpwstr>
      </vt:variant>
      <vt:variant>
        <vt:lpwstr/>
      </vt:variant>
      <vt:variant>
        <vt:i4>3539061</vt:i4>
      </vt:variant>
      <vt:variant>
        <vt:i4>18</vt:i4>
      </vt:variant>
      <vt:variant>
        <vt:i4>0</vt:i4>
      </vt:variant>
      <vt:variant>
        <vt:i4>5</vt:i4>
      </vt:variant>
      <vt:variant>
        <vt:lpwstr>http://www.nevo.co.il/case/28513828</vt:lpwstr>
      </vt:variant>
      <vt:variant>
        <vt:lpwstr/>
      </vt:variant>
      <vt:variant>
        <vt:i4>3145842</vt:i4>
      </vt:variant>
      <vt:variant>
        <vt:i4>15</vt:i4>
      </vt:variant>
      <vt:variant>
        <vt:i4>0</vt:i4>
      </vt:variant>
      <vt:variant>
        <vt:i4>5</vt:i4>
      </vt:variant>
      <vt:variant>
        <vt:lpwstr>http://www.nevo.co.il/case/28268880</vt:lpwstr>
      </vt:variant>
      <vt:variant>
        <vt:lpwstr/>
      </vt:variant>
      <vt:variant>
        <vt:i4>3735673</vt:i4>
      </vt:variant>
      <vt:variant>
        <vt:i4>12</vt:i4>
      </vt:variant>
      <vt:variant>
        <vt:i4>0</vt:i4>
      </vt:variant>
      <vt:variant>
        <vt:i4>5</vt:i4>
      </vt:variant>
      <vt:variant>
        <vt:lpwstr>http://www.nevo.co.il/case/27734980</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2025-01-19T17:08:00Z</dcterms:created>
  <dcterms:modified xsi:type="dcterms:W3CDTF">2025-01-19T17:08:00Z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38193</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עלאא נעאלוה גדבאן</vt:lpwstr>
  </property>
  <property fmtid="{D5CDD505-2E9C-101B-9397-08002B2CF9AE}" pid="10" name="LAWYER">
    <vt:lpwstr>שוורצברג</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20240714</vt:lpwstr>
  </property>
  <property fmtid="{D5CDD505-2E9C-101B-9397-08002B2CF9AE}" pid="14" name="TYPE_N_DATE">
    <vt:lpwstr>39020240714</vt:lpwstr>
  </property>
  <property fmtid="{D5CDD505-2E9C-101B-9397-08002B2CF9AE}" pid="15" name="CASESLISTTMP1">
    <vt:lpwstr>27734980;28268880;28513828;27894608;27911638;28152132;28452933;6473037;5571066;21477388;10485614;28883087;28538206;28243273;28380863;21474168;28563759;29776481;29587327;26645989;29261811;27101361</vt:lpwstr>
  </property>
  <property fmtid="{D5CDD505-2E9C-101B-9397-08002B2CF9AE}" pid="16" name="CASENOTES1">
    <vt:lpwstr>ProcID=133;209&amp;PartA=78&amp;PartC=21</vt:lpwstr>
  </property>
  <property fmtid="{D5CDD505-2E9C-101B-9397-08002B2CF9AE}" pid="17" name="WORDNUMPAGES">
    <vt:lpwstr>7</vt:lpwstr>
  </property>
  <property fmtid="{D5CDD505-2E9C-101B-9397-08002B2CF9AE}" pid="18" name="TYPE_ABS_DATE">
    <vt:lpwstr>390020240714</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70301/144.b</vt:lpwstr>
  </property>
</Properties>
</file>