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1"/>
        <w:gridCol w:w="3127"/>
        <w:gridCol w:w="1059"/>
        <w:gridCol w:w="3448"/>
        <w:gridCol w:w="216"/>
      </w:tblGrid>
      <w:tr w:rsidR="005437DA" w:rsidRPr="00523B82" w14:paraId="38A6C6D3" w14:textId="77777777" w:rsidTr="00317CE7">
        <w:trPr>
          <w:trHeight w:hRule="exact" w:val="418"/>
          <w:jc w:val="center"/>
        </w:trPr>
        <w:tc>
          <w:tcPr>
            <w:tcW w:w="8721" w:type="dxa"/>
            <w:gridSpan w:val="5"/>
          </w:tcPr>
          <w:p w14:paraId="1870C0F2" w14:textId="77777777" w:rsidR="005437DA" w:rsidRPr="00523B82" w:rsidRDefault="005437DA" w:rsidP="0099086A">
            <w:pPr>
              <w:pStyle w:val="a3"/>
              <w:jc w:val="center"/>
              <w:rPr>
                <w:rFonts w:ascii="Tahoma" w:hAnsi="Tahoma" w:cs="Tahoma"/>
                <w:color w:val="000080"/>
                <w:rtl/>
              </w:rPr>
            </w:pPr>
            <w:bookmarkStart w:id="0" w:name="LastJudge"/>
            <w:r w:rsidRPr="00523B82">
              <w:rPr>
                <w:rFonts w:ascii="Tahoma" w:hAnsi="Tahoma" w:cs="Tahoma"/>
                <w:b/>
                <w:bCs/>
                <w:color w:val="000080"/>
                <w:rtl/>
              </w:rPr>
              <w:t>בית המשפט המחוזי בחיפה</w:t>
            </w:r>
          </w:p>
        </w:tc>
      </w:tr>
      <w:tr w:rsidR="005437DA" w:rsidRPr="00523B82" w14:paraId="48297139" w14:textId="77777777" w:rsidTr="00317CE7">
        <w:trPr>
          <w:trHeight w:val="337"/>
          <w:jc w:val="center"/>
        </w:trPr>
        <w:tc>
          <w:tcPr>
            <w:tcW w:w="5057" w:type="dxa"/>
            <w:gridSpan w:val="3"/>
          </w:tcPr>
          <w:p w14:paraId="71266E5B" w14:textId="77777777" w:rsidR="005437DA" w:rsidRPr="00523B82" w:rsidRDefault="005437DA" w:rsidP="0099086A">
            <w:pPr>
              <w:rPr>
                <w:rFonts w:cs="FrankRuehl"/>
                <w:sz w:val="28"/>
                <w:szCs w:val="28"/>
                <w:rtl/>
              </w:rPr>
            </w:pPr>
            <w:r w:rsidRPr="00523B82">
              <w:rPr>
                <w:rFonts w:cs="FrankRuehl"/>
                <w:sz w:val="28"/>
                <w:szCs w:val="28"/>
                <w:rtl/>
              </w:rPr>
              <w:t>ת"פ</w:t>
            </w:r>
            <w:r w:rsidRPr="00523B82">
              <w:rPr>
                <w:rFonts w:cs="FrankRuehl" w:hint="cs"/>
                <w:sz w:val="28"/>
                <w:szCs w:val="28"/>
                <w:rtl/>
              </w:rPr>
              <w:t xml:space="preserve"> </w:t>
            </w:r>
            <w:r w:rsidRPr="00523B82">
              <w:rPr>
                <w:rFonts w:cs="FrankRuehl"/>
                <w:sz w:val="28"/>
                <w:szCs w:val="28"/>
                <w:rtl/>
              </w:rPr>
              <w:t>49344-11-23</w:t>
            </w:r>
            <w:r w:rsidRPr="00523B82">
              <w:rPr>
                <w:rFonts w:cs="FrankRuehl" w:hint="cs"/>
                <w:sz w:val="28"/>
                <w:szCs w:val="28"/>
                <w:rtl/>
              </w:rPr>
              <w:t xml:space="preserve"> </w:t>
            </w:r>
            <w:r w:rsidRPr="00523B82">
              <w:rPr>
                <w:rFonts w:cs="FrankRuehl"/>
                <w:sz w:val="28"/>
                <w:szCs w:val="28"/>
                <w:rtl/>
              </w:rPr>
              <w:t>מדינת ישראל נ' עקל(עציר)</w:t>
            </w:r>
          </w:p>
          <w:p w14:paraId="6A6493DD" w14:textId="77777777" w:rsidR="005437DA" w:rsidRPr="00523B82" w:rsidRDefault="005437DA" w:rsidP="0099086A">
            <w:pPr>
              <w:pStyle w:val="a3"/>
              <w:rPr>
                <w:rFonts w:cs="FrankRuehl"/>
                <w:sz w:val="28"/>
                <w:szCs w:val="28"/>
                <w:rtl/>
              </w:rPr>
            </w:pPr>
          </w:p>
        </w:tc>
        <w:tc>
          <w:tcPr>
            <w:tcW w:w="3664" w:type="dxa"/>
            <w:gridSpan w:val="2"/>
          </w:tcPr>
          <w:p w14:paraId="2F897A66" w14:textId="77777777" w:rsidR="005437DA" w:rsidRPr="00523B82" w:rsidRDefault="005437DA" w:rsidP="0099086A">
            <w:pPr>
              <w:pStyle w:val="a3"/>
              <w:jc w:val="right"/>
              <w:rPr>
                <w:rFonts w:cs="FrankRuehl"/>
                <w:sz w:val="28"/>
                <w:szCs w:val="28"/>
                <w:rtl/>
              </w:rPr>
            </w:pPr>
          </w:p>
        </w:tc>
      </w:tr>
      <w:tr w:rsidR="005437DA" w:rsidRPr="00523B82" w14:paraId="7A8BA792" w14:textId="77777777" w:rsidTr="00317C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295"/>
          <w:jc w:val="center"/>
        </w:trPr>
        <w:tc>
          <w:tcPr>
            <w:tcW w:w="8505" w:type="dxa"/>
            <w:gridSpan w:val="4"/>
            <w:tcBorders>
              <w:top w:val="nil"/>
              <w:left w:val="nil"/>
              <w:bottom w:val="nil"/>
              <w:right w:val="nil"/>
            </w:tcBorders>
            <w:shd w:val="clear" w:color="auto" w:fill="auto"/>
          </w:tcPr>
          <w:p w14:paraId="78E96D32" w14:textId="77777777" w:rsidR="005437DA" w:rsidRPr="00523B82" w:rsidRDefault="005437DA" w:rsidP="005437DA">
            <w:pPr>
              <w:jc w:val="both"/>
              <w:rPr>
                <w:rFonts w:ascii="David" w:hAnsi="David"/>
                <w:b/>
                <w:bCs/>
                <w:sz w:val="26"/>
                <w:szCs w:val="26"/>
                <w:rtl/>
              </w:rPr>
            </w:pPr>
            <w:r w:rsidRPr="00523B82">
              <w:rPr>
                <w:rFonts w:hint="cs"/>
                <w:rtl/>
              </w:rPr>
              <w:t xml:space="preserve"> </w:t>
            </w:r>
            <w:r w:rsidRPr="00523B82">
              <w:rPr>
                <w:rFonts w:ascii="David" w:hAnsi="David" w:hint="cs"/>
                <w:b/>
                <w:bCs/>
                <w:sz w:val="26"/>
                <w:szCs w:val="26"/>
                <w:rtl/>
              </w:rPr>
              <w:t>ל</w:t>
            </w:r>
            <w:r w:rsidRPr="00523B82">
              <w:rPr>
                <w:rFonts w:ascii="David" w:hAnsi="David"/>
                <w:b/>
                <w:bCs/>
                <w:sz w:val="26"/>
                <w:szCs w:val="26"/>
                <w:rtl/>
              </w:rPr>
              <w:t>פני כבוד השופט  מוחמד עלי</w:t>
            </w:r>
          </w:p>
          <w:p w14:paraId="2E0F2109" w14:textId="77777777" w:rsidR="005437DA" w:rsidRPr="00523B82" w:rsidRDefault="005437DA" w:rsidP="0099086A">
            <w:pPr>
              <w:rPr>
                <w:rFonts w:ascii="David" w:hAnsi="David"/>
                <w:b/>
                <w:bCs/>
                <w:sz w:val="26"/>
                <w:szCs w:val="26"/>
                <w:rtl/>
              </w:rPr>
            </w:pPr>
          </w:p>
          <w:p w14:paraId="15731224" w14:textId="77777777" w:rsidR="005437DA" w:rsidRPr="00523B82" w:rsidRDefault="005437DA" w:rsidP="005437DA">
            <w:pPr>
              <w:jc w:val="both"/>
              <w:rPr>
                <w:rFonts w:ascii="David" w:hAnsi="David"/>
                <w:sz w:val="26"/>
                <w:szCs w:val="26"/>
              </w:rPr>
            </w:pPr>
          </w:p>
        </w:tc>
      </w:tr>
      <w:tr w:rsidR="005437DA" w:rsidRPr="00523B82" w14:paraId="6DD9EE3D" w14:textId="77777777" w:rsidTr="00317C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871" w:type="dxa"/>
            <w:tcBorders>
              <w:top w:val="nil"/>
              <w:left w:val="nil"/>
              <w:bottom w:val="nil"/>
              <w:right w:val="nil"/>
            </w:tcBorders>
            <w:shd w:val="clear" w:color="auto" w:fill="auto"/>
          </w:tcPr>
          <w:p w14:paraId="5AA88A97" w14:textId="77777777" w:rsidR="005437DA" w:rsidRPr="00523B82" w:rsidRDefault="005437DA" w:rsidP="005437DA">
            <w:pPr>
              <w:jc w:val="both"/>
              <w:rPr>
                <w:rFonts w:ascii="David" w:hAnsi="David"/>
                <w:sz w:val="26"/>
                <w:szCs w:val="26"/>
              </w:rPr>
            </w:pPr>
            <w:bookmarkStart w:id="1" w:name="FirstAppellant"/>
            <w:r w:rsidRPr="00523B82">
              <w:rPr>
                <w:rFonts w:ascii="David" w:hAnsi="David"/>
                <w:sz w:val="26"/>
                <w:szCs w:val="26"/>
                <w:rtl/>
              </w:rPr>
              <w:t>בעניין:</w:t>
            </w:r>
          </w:p>
        </w:tc>
        <w:tc>
          <w:tcPr>
            <w:tcW w:w="3127" w:type="dxa"/>
            <w:tcBorders>
              <w:top w:val="nil"/>
              <w:left w:val="nil"/>
              <w:bottom w:val="nil"/>
              <w:right w:val="nil"/>
            </w:tcBorders>
            <w:shd w:val="clear" w:color="auto" w:fill="auto"/>
          </w:tcPr>
          <w:p w14:paraId="0ED9BB1E" w14:textId="77777777" w:rsidR="005437DA" w:rsidRPr="00523B82" w:rsidRDefault="005437DA" w:rsidP="005437DA">
            <w:pPr>
              <w:suppressLineNumbers/>
              <w:rPr>
                <w:rFonts w:ascii="David" w:hAnsi="David"/>
                <w:sz w:val="26"/>
                <w:szCs w:val="26"/>
              </w:rPr>
            </w:pPr>
            <w:r w:rsidRPr="00523B82">
              <w:rPr>
                <w:rFonts w:ascii="Arial" w:hAnsi="Arial" w:hint="cs"/>
                <w:b/>
                <w:bCs/>
                <w:sz w:val="26"/>
                <w:szCs w:val="26"/>
                <w:rtl/>
              </w:rPr>
              <w:t>ה</w:t>
            </w:r>
            <w:r w:rsidRPr="00523B82">
              <w:rPr>
                <w:rFonts w:ascii="Arial" w:hAnsi="Arial"/>
                <w:b/>
                <w:bCs/>
                <w:sz w:val="26"/>
                <w:szCs w:val="26"/>
                <w:rtl/>
              </w:rPr>
              <w:t>מאשימה</w:t>
            </w:r>
          </w:p>
        </w:tc>
        <w:tc>
          <w:tcPr>
            <w:tcW w:w="4507" w:type="dxa"/>
            <w:gridSpan w:val="2"/>
            <w:tcBorders>
              <w:top w:val="nil"/>
              <w:left w:val="nil"/>
              <w:bottom w:val="nil"/>
              <w:right w:val="nil"/>
            </w:tcBorders>
            <w:shd w:val="clear" w:color="auto" w:fill="auto"/>
            <w:vAlign w:val="center"/>
          </w:tcPr>
          <w:p w14:paraId="51EC35D4" w14:textId="77777777" w:rsidR="005437DA" w:rsidRPr="00523B82" w:rsidRDefault="005437DA" w:rsidP="005437DA">
            <w:pPr>
              <w:suppressLineNumbers/>
              <w:rPr>
                <w:rFonts w:ascii="David" w:hAnsi="David"/>
                <w:sz w:val="26"/>
                <w:szCs w:val="26"/>
              </w:rPr>
            </w:pPr>
            <w:r w:rsidRPr="00523B82">
              <w:rPr>
                <w:rFonts w:ascii="Arial" w:hAnsi="Arial"/>
                <w:b/>
                <w:bCs/>
                <w:sz w:val="26"/>
                <w:szCs w:val="26"/>
                <w:rtl/>
              </w:rPr>
              <w:t>מדינת ישראל</w:t>
            </w:r>
            <w:r w:rsidRPr="00523B82">
              <w:rPr>
                <w:rFonts w:ascii="Arial" w:hAnsi="Arial" w:hint="cs"/>
                <w:b/>
                <w:bCs/>
                <w:sz w:val="26"/>
                <w:szCs w:val="26"/>
                <w:rtl/>
              </w:rPr>
              <w:t xml:space="preserve"> </w:t>
            </w:r>
          </w:p>
        </w:tc>
      </w:tr>
      <w:tr w:rsidR="005437DA" w:rsidRPr="00523B82" w14:paraId="259F9503" w14:textId="77777777" w:rsidTr="00317C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871" w:type="dxa"/>
            <w:tcBorders>
              <w:top w:val="nil"/>
              <w:left w:val="nil"/>
              <w:bottom w:val="nil"/>
              <w:right w:val="nil"/>
            </w:tcBorders>
            <w:shd w:val="clear" w:color="auto" w:fill="auto"/>
          </w:tcPr>
          <w:p w14:paraId="5C958D66" w14:textId="77777777" w:rsidR="005437DA" w:rsidRPr="00523B82" w:rsidRDefault="005437DA" w:rsidP="005437DA">
            <w:pPr>
              <w:jc w:val="both"/>
              <w:rPr>
                <w:rFonts w:ascii="David" w:hAnsi="David"/>
                <w:sz w:val="26"/>
                <w:szCs w:val="26"/>
                <w:rtl/>
              </w:rPr>
            </w:pPr>
            <w:bookmarkStart w:id="2" w:name="FirstLawyer"/>
            <w:bookmarkEnd w:id="1"/>
          </w:p>
        </w:tc>
        <w:tc>
          <w:tcPr>
            <w:tcW w:w="3127" w:type="dxa"/>
            <w:tcBorders>
              <w:top w:val="nil"/>
              <w:left w:val="nil"/>
              <w:bottom w:val="nil"/>
              <w:right w:val="nil"/>
            </w:tcBorders>
            <w:shd w:val="clear" w:color="auto" w:fill="auto"/>
          </w:tcPr>
          <w:p w14:paraId="705E69FA" w14:textId="77777777" w:rsidR="005437DA" w:rsidRPr="00523B82" w:rsidRDefault="005437DA" w:rsidP="005437DA">
            <w:pPr>
              <w:suppressLineNumbers/>
              <w:rPr>
                <w:rFonts w:ascii="Arial" w:hAnsi="Arial"/>
                <w:b/>
                <w:bCs/>
                <w:sz w:val="26"/>
                <w:szCs w:val="26"/>
                <w:rtl/>
              </w:rPr>
            </w:pPr>
          </w:p>
        </w:tc>
        <w:tc>
          <w:tcPr>
            <w:tcW w:w="4507" w:type="dxa"/>
            <w:gridSpan w:val="2"/>
            <w:tcBorders>
              <w:top w:val="nil"/>
              <w:left w:val="nil"/>
              <w:bottom w:val="nil"/>
              <w:right w:val="nil"/>
            </w:tcBorders>
            <w:shd w:val="clear" w:color="auto" w:fill="auto"/>
            <w:vAlign w:val="center"/>
          </w:tcPr>
          <w:p w14:paraId="7114998C" w14:textId="77777777" w:rsidR="005437DA" w:rsidRPr="00523B82" w:rsidRDefault="005437DA" w:rsidP="005437DA">
            <w:pPr>
              <w:suppressLineNumbers/>
              <w:rPr>
                <w:rFonts w:ascii="Arial" w:hAnsi="Arial"/>
                <w:rtl/>
              </w:rPr>
            </w:pPr>
            <w:r w:rsidRPr="00523B82">
              <w:rPr>
                <w:rFonts w:ascii="Arial" w:hAnsi="Arial" w:hint="cs"/>
                <w:rtl/>
              </w:rPr>
              <w:t>ע"י ב"כ עו"ד ר' רחאל</w:t>
            </w:r>
          </w:p>
          <w:p w14:paraId="3E538845" w14:textId="77777777" w:rsidR="005437DA" w:rsidRPr="00523B82" w:rsidRDefault="005437DA" w:rsidP="005437DA">
            <w:pPr>
              <w:suppressLineNumbers/>
              <w:rPr>
                <w:rFonts w:ascii="Arial" w:hAnsi="Arial"/>
                <w:sz w:val="26"/>
                <w:szCs w:val="26"/>
                <w:rtl/>
              </w:rPr>
            </w:pPr>
            <w:r w:rsidRPr="00523B82">
              <w:rPr>
                <w:rFonts w:ascii="Arial" w:hAnsi="Arial" w:hint="cs"/>
                <w:rtl/>
              </w:rPr>
              <w:t>מפרקליטות מחוז חיפה</w:t>
            </w:r>
          </w:p>
        </w:tc>
      </w:tr>
      <w:bookmarkEnd w:id="2"/>
      <w:tr w:rsidR="005437DA" w:rsidRPr="00523B82" w14:paraId="759A967C" w14:textId="77777777" w:rsidTr="00317C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871" w:type="dxa"/>
            <w:tcBorders>
              <w:top w:val="nil"/>
              <w:left w:val="nil"/>
              <w:bottom w:val="nil"/>
              <w:right w:val="nil"/>
            </w:tcBorders>
            <w:shd w:val="clear" w:color="auto" w:fill="auto"/>
          </w:tcPr>
          <w:p w14:paraId="762454AD" w14:textId="77777777" w:rsidR="005437DA" w:rsidRPr="00523B82" w:rsidRDefault="005437DA" w:rsidP="005437DA">
            <w:pPr>
              <w:jc w:val="both"/>
              <w:rPr>
                <w:rFonts w:ascii="David" w:hAnsi="David"/>
                <w:sz w:val="26"/>
                <w:szCs w:val="26"/>
                <w:rtl/>
              </w:rPr>
            </w:pPr>
          </w:p>
        </w:tc>
        <w:tc>
          <w:tcPr>
            <w:tcW w:w="7634" w:type="dxa"/>
            <w:gridSpan w:val="3"/>
            <w:tcBorders>
              <w:top w:val="nil"/>
              <w:left w:val="nil"/>
              <w:bottom w:val="nil"/>
              <w:right w:val="nil"/>
            </w:tcBorders>
            <w:shd w:val="clear" w:color="auto" w:fill="auto"/>
          </w:tcPr>
          <w:p w14:paraId="6AD160B7" w14:textId="77777777" w:rsidR="005437DA" w:rsidRPr="00523B82" w:rsidRDefault="005437DA" w:rsidP="005437DA">
            <w:pPr>
              <w:jc w:val="center"/>
              <w:rPr>
                <w:rFonts w:ascii="David" w:hAnsi="David"/>
                <w:b/>
                <w:bCs/>
                <w:sz w:val="26"/>
                <w:szCs w:val="26"/>
                <w:rtl/>
              </w:rPr>
            </w:pPr>
          </w:p>
          <w:p w14:paraId="7D782DA9" w14:textId="77777777" w:rsidR="005437DA" w:rsidRPr="00523B82" w:rsidRDefault="005437DA" w:rsidP="005437DA">
            <w:pPr>
              <w:jc w:val="center"/>
              <w:rPr>
                <w:rFonts w:ascii="David" w:hAnsi="David"/>
                <w:b/>
                <w:bCs/>
                <w:sz w:val="26"/>
                <w:szCs w:val="26"/>
                <w:rtl/>
              </w:rPr>
            </w:pPr>
            <w:r w:rsidRPr="00523B82">
              <w:rPr>
                <w:rFonts w:ascii="David" w:hAnsi="David"/>
                <w:b/>
                <w:bCs/>
                <w:sz w:val="26"/>
                <w:szCs w:val="26"/>
                <w:rtl/>
              </w:rPr>
              <w:t>נגד</w:t>
            </w:r>
          </w:p>
          <w:p w14:paraId="067C9CDE" w14:textId="77777777" w:rsidR="005437DA" w:rsidRPr="00523B82" w:rsidRDefault="005437DA" w:rsidP="005437DA">
            <w:pPr>
              <w:jc w:val="both"/>
              <w:rPr>
                <w:rFonts w:ascii="David" w:hAnsi="David"/>
                <w:sz w:val="26"/>
                <w:szCs w:val="26"/>
              </w:rPr>
            </w:pPr>
          </w:p>
        </w:tc>
      </w:tr>
      <w:tr w:rsidR="005437DA" w:rsidRPr="00523B82" w14:paraId="39440FAB" w14:textId="77777777" w:rsidTr="00317C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871" w:type="dxa"/>
            <w:tcBorders>
              <w:top w:val="nil"/>
              <w:left w:val="nil"/>
              <w:bottom w:val="nil"/>
              <w:right w:val="nil"/>
            </w:tcBorders>
            <w:shd w:val="clear" w:color="auto" w:fill="auto"/>
          </w:tcPr>
          <w:p w14:paraId="468C08D6" w14:textId="77777777" w:rsidR="005437DA" w:rsidRPr="00523B82" w:rsidRDefault="005437DA" w:rsidP="0099086A">
            <w:pPr>
              <w:rPr>
                <w:rFonts w:ascii="David" w:hAnsi="David"/>
                <w:sz w:val="26"/>
                <w:szCs w:val="26"/>
                <w:rtl/>
              </w:rPr>
            </w:pPr>
          </w:p>
        </w:tc>
        <w:tc>
          <w:tcPr>
            <w:tcW w:w="3127" w:type="dxa"/>
            <w:tcBorders>
              <w:top w:val="nil"/>
              <w:left w:val="nil"/>
              <w:bottom w:val="nil"/>
              <w:right w:val="nil"/>
            </w:tcBorders>
            <w:shd w:val="clear" w:color="auto" w:fill="auto"/>
          </w:tcPr>
          <w:p w14:paraId="053BC1E7" w14:textId="77777777" w:rsidR="005437DA" w:rsidRPr="00523B82" w:rsidRDefault="005437DA" w:rsidP="0099086A">
            <w:pPr>
              <w:rPr>
                <w:rFonts w:ascii="Arial" w:hAnsi="Arial"/>
                <w:b/>
                <w:bCs/>
                <w:sz w:val="26"/>
                <w:szCs w:val="26"/>
                <w:rtl/>
              </w:rPr>
            </w:pPr>
            <w:r w:rsidRPr="00523B82">
              <w:rPr>
                <w:rFonts w:ascii="Arial" w:hAnsi="Arial"/>
                <w:b/>
                <w:bCs/>
                <w:sz w:val="26"/>
                <w:szCs w:val="26"/>
                <w:rtl/>
              </w:rPr>
              <w:t>הנאשם</w:t>
            </w:r>
          </w:p>
        </w:tc>
        <w:tc>
          <w:tcPr>
            <w:tcW w:w="4507" w:type="dxa"/>
            <w:gridSpan w:val="2"/>
            <w:tcBorders>
              <w:top w:val="nil"/>
              <w:left w:val="nil"/>
              <w:bottom w:val="nil"/>
              <w:right w:val="nil"/>
            </w:tcBorders>
            <w:shd w:val="clear" w:color="auto" w:fill="auto"/>
            <w:vAlign w:val="center"/>
          </w:tcPr>
          <w:p w14:paraId="608A6B52" w14:textId="77777777" w:rsidR="005437DA" w:rsidRPr="00523B82" w:rsidRDefault="005437DA" w:rsidP="005437DA">
            <w:pPr>
              <w:suppressLineNumbers/>
              <w:rPr>
                <w:rFonts w:ascii="David" w:hAnsi="David"/>
                <w:sz w:val="26"/>
                <w:szCs w:val="26"/>
              </w:rPr>
            </w:pPr>
            <w:r w:rsidRPr="00523B82">
              <w:rPr>
                <w:rFonts w:ascii="Arial" w:hAnsi="Arial"/>
                <w:b/>
                <w:bCs/>
                <w:sz w:val="26"/>
                <w:szCs w:val="26"/>
                <w:rtl/>
              </w:rPr>
              <w:t>מוחמד עקל (עציר)</w:t>
            </w:r>
            <w:r w:rsidRPr="00523B82">
              <w:rPr>
                <w:rFonts w:ascii="Arial" w:hAnsi="Arial" w:hint="cs"/>
                <w:b/>
                <w:bCs/>
                <w:sz w:val="26"/>
                <w:szCs w:val="26"/>
                <w:rtl/>
              </w:rPr>
              <w:t xml:space="preserve"> </w:t>
            </w:r>
          </w:p>
        </w:tc>
      </w:tr>
      <w:tr w:rsidR="005437DA" w:rsidRPr="00523B82" w14:paraId="7BDBB458" w14:textId="77777777" w:rsidTr="00317C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871" w:type="dxa"/>
            <w:tcBorders>
              <w:top w:val="nil"/>
              <w:left w:val="nil"/>
              <w:bottom w:val="nil"/>
              <w:right w:val="nil"/>
            </w:tcBorders>
            <w:shd w:val="clear" w:color="auto" w:fill="auto"/>
          </w:tcPr>
          <w:p w14:paraId="0319D5A9" w14:textId="77777777" w:rsidR="005437DA" w:rsidRPr="00523B82" w:rsidRDefault="005437DA" w:rsidP="0099086A">
            <w:pPr>
              <w:rPr>
                <w:rFonts w:ascii="David" w:hAnsi="David"/>
                <w:sz w:val="26"/>
                <w:szCs w:val="26"/>
                <w:rtl/>
              </w:rPr>
            </w:pPr>
          </w:p>
        </w:tc>
        <w:tc>
          <w:tcPr>
            <w:tcW w:w="3127" w:type="dxa"/>
            <w:tcBorders>
              <w:top w:val="nil"/>
              <w:left w:val="nil"/>
              <w:bottom w:val="nil"/>
              <w:right w:val="nil"/>
            </w:tcBorders>
            <w:shd w:val="clear" w:color="auto" w:fill="auto"/>
          </w:tcPr>
          <w:p w14:paraId="11267343" w14:textId="77777777" w:rsidR="005437DA" w:rsidRPr="00523B82" w:rsidRDefault="005437DA" w:rsidP="0099086A">
            <w:pPr>
              <w:rPr>
                <w:rFonts w:ascii="Arial" w:hAnsi="Arial"/>
                <w:b/>
                <w:bCs/>
                <w:sz w:val="26"/>
                <w:szCs w:val="26"/>
                <w:rtl/>
              </w:rPr>
            </w:pPr>
          </w:p>
        </w:tc>
        <w:tc>
          <w:tcPr>
            <w:tcW w:w="4507" w:type="dxa"/>
            <w:gridSpan w:val="2"/>
            <w:tcBorders>
              <w:top w:val="nil"/>
              <w:left w:val="nil"/>
              <w:bottom w:val="nil"/>
              <w:right w:val="nil"/>
            </w:tcBorders>
            <w:shd w:val="clear" w:color="auto" w:fill="auto"/>
            <w:vAlign w:val="center"/>
          </w:tcPr>
          <w:p w14:paraId="0B209408" w14:textId="77777777" w:rsidR="005437DA" w:rsidRPr="00523B82" w:rsidRDefault="005437DA" w:rsidP="005437DA">
            <w:pPr>
              <w:suppressLineNumbers/>
              <w:rPr>
                <w:rFonts w:ascii="Arial" w:hAnsi="Arial"/>
                <w:rtl/>
              </w:rPr>
            </w:pPr>
            <w:r w:rsidRPr="00523B82">
              <w:rPr>
                <w:rFonts w:ascii="Arial" w:hAnsi="Arial" w:hint="cs"/>
                <w:rtl/>
              </w:rPr>
              <w:t>ע"י ב"כ עו"ד ע' עת'אמנה</w:t>
            </w:r>
          </w:p>
        </w:tc>
      </w:tr>
    </w:tbl>
    <w:p w14:paraId="36A29213" w14:textId="77777777" w:rsidR="00523B82" w:rsidRPr="00523B82" w:rsidRDefault="00523B82" w:rsidP="00523B82">
      <w:pPr>
        <w:spacing w:before="120" w:after="120" w:line="240" w:lineRule="exact"/>
        <w:ind w:left="283" w:hanging="283"/>
        <w:jc w:val="both"/>
        <w:rPr>
          <w:rFonts w:ascii="FrankRuehl" w:hAnsi="FrankRuehl" w:cs="FrankRuehl"/>
          <w:rtl/>
        </w:rPr>
      </w:pPr>
    </w:p>
    <w:p w14:paraId="15CAB15B" w14:textId="77777777" w:rsidR="00317CE7" w:rsidRPr="00317CE7" w:rsidRDefault="00317CE7" w:rsidP="00317CE7">
      <w:pPr>
        <w:spacing w:before="120" w:after="120" w:line="240" w:lineRule="exact"/>
        <w:ind w:left="283" w:hanging="283"/>
        <w:jc w:val="both"/>
        <w:rPr>
          <w:rFonts w:ascii="FrankRuehl" w:hAnsi="FrankRuehl" w:cs="FrankRuehl"/>
          <w:rtl/>
        </w:rPr>
      </w:pPr>
      <w:bookmarkStart w:id="3" w:name="LawTable"/>
      <w:bookmarkEnd w:id="3"/>
    </w:p>
    <w:p w14:paraId="1C02AA5B" w14:textId="77777777" w:rsidR="00317CE7" w:rsidRPr="00317CE7" w:rsidRDefault="00317CE7" w:rsidP="00317CE7">
      <w:pPr>
        <w:spacing w:before="120" w:after="120" w:line="240" w:lineRule="exact"/>
        <w:ind w:left="283" w:hanging="283"/>
        <w:jc w:val="both"/>
        <w:rPr>
          <w:rFonts w:ascii="FrankRuehl" w:hAnsi="FrankRuehl" w:cs="FrankRuehl"/>
          <w:rtl/>
        </w:rPr>
      </w:pPr>
      <w:r w:rsidRPr="00317CE7">
        <w:rPr>
          <w:rFonts w:ascii="FrankRuehl" w:hAnsi="FrankRuehl" w:cs="FrankRuehl"/>
          <w:rtl/>
        </w:rPr>
        <w:t xml:space="preserve">חקיקה שאוזכרה: </w:t>
      </w:r>
    </w:p>
    <w:p w14:paraId="2D4E24AD" w14:textId="77777777" w:rsidR="00317CE7" w:rsidRPr="00317CE7" w:rsidRDefault="00317CE7" w:rsidP="00317CE7">
      <w:pPr>
        <w:spacing w:before="120" w:after="120" w:line="240" w:lineRule="exact"/>
        <w:ind w:left="283" w:hanging="283"/>
        <w:jc w:val="both"/>
        <w:rPr>
          <w:rFonts w:ascii="FrankRuehl" w:hAnsi="FrankRuehl" w:cs="FrankRuehl"/>
          <w:color w:val="0000FF"/>
          <w:rtl/>
        </w:rPr>
      </w:pPr>
      <w:hyperlink r:id="rId7" w:history="1">
        <w:r w:rsidRPr="00317CE7">
          <w:rPr>
            <w:rStyle w:val="Hyperlink"/>
            <w:rFonts w:ascii="FrankRuehl" w:hAnsi="FrankRuehl" w:cs="FrankRuehl"/>
            <w:u w:val="none"/>
            <w:rtl/>
          </w:rPr>
          <w:t>חוק העונשין, תשל"ז-1977</w:t>
        </w:r>
      </w:hyperlink>
      <w:r w:rsidRPr="00317CE7">
        <w:rPr>
          <w:rFonts w:ascii="FrankRuehl" w:hAnsi="FrankRuehl" w:cs="FrankRuehl"/>
          <w:color w:val="0000FF"/>
          <w:rtl/>
        </w:rPr>
        <w:t xml:space="preserve">: סע'  </w:t>
      </w:r>
      <w:hyperlink r:id="rId8" w:history="1">
        <w:r w:rsidRPr="00317CE7">
          <w:rPr>
            <w:rStyle w:val="Hyperlink"/>
            <w:rFonts w:ascii="FrankRuehl" w:hAnsi="FrankRuehl" w:cs="FrankRuehl"/>
            <w:u w:val="none"/>
          </w:rPr>
          <w:t>40</w:t>
        </w:r>
        <w:r w:rsidRPr="00317CE7">
          <w:rPr>
            <w:rStyle w:val="Hyperlink"/>
            <w:rFonts w:ascii="FrankRuehl" w:hAnsi="FrankRuehl" w:cs="FrankRuehl"/>
            <w:u w:val="none"/>
            <w:rtl/>
          </w:rPr>
          <w:t>ג</w:t>
        </w:r>
        <w:r w:rsidRPr="00317CE7">
          <w:rPr>
            <w:rStyle w:val="Hyperlink"/>
            <w:rFonts w:ascii="FrankRuehl" w:hAnsi="FrankRuehl" w:cs="FrankRuehl"/>
            <w:u w:val="none"/>
          </w:rPr>
          <w:t>'</w:t>
        </w:r>
      </w:hyperlink>
      <w:r w:rsidRPr="00317CE7">
        <w:rPr>
          <w:rFonts w:ascii="FrankRuehl" w:hAnsi="FrankRuehl" w:cs="FrankRuehl"/>
          <w:color w:val="0000FF"/>
          <w:rtl/>
        </w:rPr>
        <w:t xml:space="preserve">, </w:t>
      </w:r>
      <w:hyperlink r:id="rId9" w:history="1">
        <w:r w:rsidRPr="00317CE7">
          <w:rPr>
            <w:rStyle w:val="Hyperlink"/>
            <w:rFonts w:ascii="FrankRuehl" w:hAnsi="FrankRuehl" w:cs="FrankRuehl"/>
            <w:u w:val="none"/>
          </w:rPr>
          <w:t>40</w:t>
        </w:r>
        <w:r w:rsidRPr="00317CE7">
          <w:rPr>
            <w:rStyle w:val="Hyperlink"/>
            <w:rFonts w:ascii="FrankRuehl" w:hAnsi="FrankRuehl" w:cs="FrankRuehl"/>
            <w:u w:val="none"/>
            <w:rtl/>
          </w:rPr>
          <w:t>ט</w:t>
        </w:r>
        <w:r w:rsidRPr="00317CE7">
          <w:rPr>
            <w:rStyle w:val="Hyperlink"/>
            <w:rFonts w:ascii="FrankRuehl" w:hAnsi="FrankRuehl" w:cs="FrankRuehl"/>
            <w:u w:val="none"/>
          </w:rPr>
          <w:t>'</w:t>
        </w:r>
      </w:hyperlink>
      <w:r w:rsidRPr="00317CE7">
        <w:rPr>
          <w:rFonts w:ascii="FrankRuehl" w:hAnsi="FrankRuehl" w:cs="FrankRuehl"/>
          <w:color w:val="0000FF"/>
          <w:rtl/>
        </w:rPr>
        <w:t xml:space="preserve">, </w:t>
      </w:r>
      <w:hyperlink r:id="rId10" w:history="1">
        <w:r w:rsidRPr="00317CE7">
          <w:rPr>
            <w:rStyle w:val="Hyperlink"/>
            <w:rFonts w:ascii="FrankRuehl" w:hAnsi="FrankRuehl" w:cs="FrankRuehl"/>
            <w:u w:val="none"/>
          </w:rPr>
          <w:t>144</w:t>
        </w:r>
      </w:hyperlink>
      <w:r w:rsidRPr="00317CE7">
        <w:rPr>
          <w:rFonts w:ascii="FrankRuehl" w:hAnsi="FrankRuehl" w:cs="FrankRuehl"/>
          <w:color w:val="0000FF"/>
          <w:rtl/>
        </w:rPr>
        <w:t xml:space="preserve">(ב), </w:t>
      </w:r>
      <w:hyperlink r:id="rId11" w:history="1">
        <w:r w:rsidRPr="00317CE7">
          <w:rPr>
            <w:rStyle w:val="Hyperlink"/>
            <w:rFonts w:ascii="FrankRuehl" w:hAnsi="FrankRuehl" w:cs="FrankRuehl"/>
            <w:u w:val="none"/>
          </w:rPr>
          <w:t>144</w:t>
        </w:r>
      </w:hyperlink>
      <w:r w:rsidRPr="00317CE7">
        <w:rPr>
          <w:rFonts w:ascii="FrankRuehl" w:hAnsi="FrankRuehl" w:cs="FrankRuehl"/>
          <w:color w:val="0000FF"/>
          <w:rtl/>
        </w:rPr>
        <w:t xml:space="preserve">(ז), </w:t>
      </w:r>
      <w:hyperlink r:id="rId12" w:history="1">
        <w:r w:rsidRPr="00317CE7">
          <w:rPr>
            <w:rStyle w:val="Hyperlink"/>
            <w:rFonts w:ascii="FrankRuehl" w:hAnsi="FrankRuehl" w:cs="FrankRuehl"/>
            <w:u w:val="none"/>
          </w:rPr>
          <w:t>404</w:t>
        </w:r>
      </w:hyperlink>
      <w:r w:rsidRPr="00317CE7">
        <w:rPr>
          <w:rFonts w:ascii="FrankRuehl" w:hAnsi="FrankRuehl" w:cs="FrankRuehl"/>
          <w:color w:val="0000FF"/>
          <w:rtl/>
        </w:rPr>
        <w:t xml:space="preserve">, </w:t>
      </w:r>
      <w:hyperlink r:id="rId13" w:history="1">
        <w:r w:rsidRPr="00317CE7">
          <w:rPr>
            <w:rStyle w:val="Hyperlink"/>
            <w:rFonts w:ascii="FrankRuehl" w:hAnsi="FrankRuehl" w:cs="FrankRuehl"/>
            <w:u w:val="none"/>
          </w:rPr>
          <w:t xml:space="preserve">40 </w:t>
        </w:r>
        <w:r w:rsidRPr="00317CE7">
          <w:rPr>
            <w:rStyle w:val="Hyperlink"/>
            <w:rFonts w:ascii="FrankRuehl" w:hAnsi="FrankRuehl" w:cs="FrankRuehl"/>
            <w:u w:val="none"/>
            <w:rtl/>
          </w:rPr>
          <w:t>יא</w:t>
        </w:r>
        <w:r w:rsidRPr="00317CE7">
          <w:rPr>
            <w:rStyle w:val="Hyperlink"/>
            <w:rFonts w:ascii="FrankRuehl" w:hAnsi="FrankRuehl" w:cs="FrankRuehl"/>
            <w:u w:val="none"/>
          </w:rPr>
          <w:t>'</w:t>
        </w:r>
      </w:hyperlink>
    </w:p>
    <w:p w14:paraId="29E1BC7E" w14:textId="77777777" w:rsidR="005437DA" w:rsidRPr="00317CE7" w:rsidRDefault="005437DA" w:rsidP="00317CE7">
      <w:pPr>
        <w:rPr>
          <w:sz w:val="26"/>
          <w:szCs w:val="26"/>
        </w:rPr>
      </w:pPr>
      <w:bookmarkStart w:id="4" w:name="LawTable_End"/>
      <w:bookmarkEnd w:id="4"/>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5437DA" w14:paraId="685DBF52" w14:textId="77777777" w:rsidTr="005437DA">
        <w:trPr>
          <w:trHeight w:val="355"/>
          <w:jc w:val="center"/>
        </w:trPr>
        <w:tc>
          <w:tcPr>
            <w:tcW w:w="8505" w:type="dxa"/>
            <w:tcBorders>
              <w:top w:val="nil"/>
              <w:left w:val="nil"/>
              <w:bottom w:val="nil"/>
              <w:right w:val="nil"/>
            </w:tcBorders>
            <w:shd w:val="clear" w:color="auto" w:fill="auto"/>
          </w:tcPr>
          <w:p w14:paraId="5408F7BA" w14:textId="77777777" w:rsidR="00523B82" w:rsidRPr="00523B82" w:rsidRDefault="00523B82" w:rsidP="00523B82">
            <w:pPr>
              <w:jc w:val="center"/>
              <w:rPr>
                <w:rFonts w:ascii="David" w:hAnsi="David"/>
                <w:b/>
                <w:bCs/>
                <w:sz w:val="32"/>
                <w:szCs w:val="32"/>
                <w:u w:val="single"/>
                <w:rtl/>
              </w:rPr>
            </w:pPr>
            <w:bookmarkStart w:id="5" w:name="PsakDin" w:colFirst="0" w:colLast="0"/>
            <w:bookmarkEnd w:id="0"/>
            <w:r w:rsidRPr="00523B82">
              <w:rPr>
                <w:rFonts w:ascii="David" w:hAnsi="David"/>
                <w:b/>
                <w:bCs/>
                <w:sz w:val="32"/>
                <w:szCs w:val="32"/>
                <w:u w:val="single"/>
                <w:rtl/>
              </w:rPr>
              <w:t>גזר דין</w:t>
            </w:r>
          </w:p>
          <w:p w14:paraId="77147F1F" w14:textId="77777777" w:rsidR="005437DA" w:rsidRPr="00523B82" w:rsidRDefault="005437DA" w:rsidP="00523B82">
            <w:pPr>
              <w:jc w:val="center"/>
              <w:rPr>
                <w:rFonts w:ascii="David" w:hAnsi="David"/>
                <w:bCs/>
                <w:sz w:val="32"/>
                <w:szCs w:val="32"/>
                <w:u w:val="single"/>
                <w:rtl/>
              </w:rPr>
            </w:pPr>
          </w:p>
        </w:tc>
      </w:tr>
      <w:bookmarkEnd w:id="5"/>
    </w:tbl>
    <w:p w14:paraId="6F819EC1" w14:textId="77777777" w:rsidR="005437DA" w:rsidRPr="000F2247" w:rsidRDefault="005437DA" w:rsidP="005437DA">
      <w:pPr>
        <w:rPr>
          <w:rFonts w:ascii="Arial" w:hAnsi="Arial"/>
          <w:b/>
          <w:bCs/>
          <w:sz w:val="26"/>
          <w:szCs w:val="26"/>
          <w:rtl/>
        </w:rPr>
      </w:pPr>
    </w:p>
    <w:p w14:paraId="5AB43684" w14:textId="77777777" w:rsidR="005437DA" w:rsidRPr="003C565E" w:rsidRDefault="005437DA" w:rsidP="005437DA">
      <w:pPr>
        <w:spacing w:line="360" w:lineRule="auto"/>
        <w:jc w:val="both"/>
        <w:rPr>
          <w:rFonts w:ascii="Arial" w:hAnsi="Arial"/>
          <w:rtl/>
        </w:rPr>
      </w:pPr>
    </w:p>
    <w:p w14:paraId="4E9C4F14" w14:textId="77777777" w:rsidR="005437DA" w:rsidRPr="00ED300F" w:rsidRDefault="005437DA" w:rsidP="005437DA">
      <w:pPr>
        <w:spacing w:line="360" w:lineRule="auto"/>
        <w:jc w:val="both"/>
        <w:rPr>
          <w:rFonts w:cs="Times New Roman"/>
          <w:b/>
          <w:bCs/>
          <w:color w:val="000000"/>
        </w:rPr>
      </w:pPr>
      <w:r w:rsidRPr="00ED300F">
        <w:rPr>
          <w:rFonts w:ascii="David" w:hAnsi="David"/>
          <w:b/>
          <w:bCs/>
          <w:color w:val="000000"/>
          <w:rtl/>
        </w:rPr>
        <w:t>כתב האישום</w:t>
      </w:r>
    </w:p>
    <w:p w14:paraId="5D928609" w14:textId="77777777" w:rsidR="005437DA" w:rsidRDefault="005437DA" w:rsidP="005437DA">
      <w:pPr>
        <w:spacing w:line="360" w:lineRule="auto"/>
        <w:jc w:val="both"/>
        <w:rPr>
          <w:rFonts w:ascii="David" w:hAnsi="David"/>
          <w:color w:val="000000"/>
        </w:rPr>
      </w:pPr>
    </w:p>
    <w:p w14:paraId="592CE3F4" w14:textId="77777777" w:rsidR="005437DA" w:rsidRPr="003C565E" w:rsidRDefault="005437DA" w:rsidP="005437DA">
      <w:pPr>
        <w:pStyle w:val="a9"/>
        <w:numPr>
          <w:ilvl w:val="0"/>
          <w:numId w:val="1"/>
        </w:numPr>
        <w:spacing w:line="360" w:lineRule="auto"/>
        <w:jc w:val="both"/>
        <w:rPr>
          <w:rFonts w:cs="Times New Roman"/>
          <w:color w:val="000000"/>
        </w:rPr>
      </w:pPr>
      <w:bookmarkStart w:id="6" w:name="ABSTRACT_START"/>
      <w:bookmarkEnd w:id="6"/>
      <w:r w:rsidRPr="003C565E">
        <w:rPr>
          <w:rFonts w:ascii="David" w:hAnsi="David"/>
          <w:color w:val="000000"/>
          <w:rtl/>
        </w:rPr>
        <w:t>הנאש</w:t>
      </w:r>
      <w:r>
        <w:rPr>
          <w:rFonts w:ascii="David" w:hAnsi="David"/>
          <w:color w:val="000000"/>
          <w:rtl/>
        </w:rPr>
        <w:t>ם הורשע</w:t>
      </w:r>
      <w:r w:rsidRPr="003C565E">
        <w:rPr>
          <w:rFonts w:ascii="David" w:hAnsi="David"/>
          <w:color w:val="000000"/>
          <w:rtl/>
        </w:rPr>
        <w:t xml:space="preserve"> על פי הודאת</w:t>
      </w:r>
      <w:r>
        <w:rPr>
          <w:rFonts w:ascii="David" w:hAnsi="David" w:hint="cs"/>
          <w:color w:val="000000"/>
          <w:rtl/>
        </w:rPr>
        <w:t>ו</w:t>
      </w:r>
      <w:r w:rsidRPr="003C565E">
        <w:rPr>
          <w:rFonts w:ascii="David" w:hAnsi="David"/>
          <w:color w:val="000000"/>
          <w:rtl/>
        </w:rPr>
        <w:t xml:space="preserve"> בכתב אישום מתוקן במסגרת הסדר טיעון שלא כלל הסכמה לעונש, בעבירת נשק (נשיאה והובלה) </w:t>
      </w:r>
      <w:r w:rsidRPr="003C565E">
        <w:rPr>
          <w:rFonts w:ascii="David" w:hAnsi="David"/>
          <w:rtl/>
        </w:rPr>
        <w:t>לפי</w:t>
      </w:r>
      <w:r w:rsidR="00523B82">
        <w:rPr>
          <w:rFonts w:ascii="David" w:hAnsi="David"/>
          <w:rtl/>
        </w:rPr>
        <w:t xml:space="preserve"> </w:t>
      </w:r>
      <w:hyperlink r:id="rId14" w:history="1">
        <w:r w:rsidR="00317CE7" w:rsidRPr="00317CE7">
          <w:rPr>
            <w:rStyle w:val="Hyperlink"/>
            <w:rFonts w:ascii="David" w:hAnsi="David"/>
            <w:color w:val="0000FF"/>
            <w:rtl/>
          </w:rPr>
          <w:t>סעיף 144(ב)</w:t>
        </w:r>
      </w:hyperlink>
      <w:r w:rsidR="00523B82">
        <w:rPr>
          <w:rFonts w:ascii="David" w:hAnsi="David"/>
          <w:rtl/>
        </w:rPr>
        <w:t xml:space="preserve"> </w:t>
      </w:r>
      <w:r w:rsidRPr="003C565E">
        <w:rPr>
          <w:rFonts w:ascii="David" w:hAnsi="David"/>
          <w:rtl/>
        </w:rPr>
        <w:t>רישא וסיפא</w:t>
      </w:r>
      <w:r w:rsidR="00523B82">
        <w:rPr>
          <w:rFonts w:ascii="David" w:hAnsi="David"/>
          <w:rtl/>
        </w:rPr>
        <w:t xml:space="preserve"> </w:t>
      </w:r>
      <w:r w:rsidRPr="003C565E">
        <w:rPr>
          <w:rFonts w:ascii="David" w:hAnsi="David"/>
          <w:rtl/>
        </w:rPr>
        <w:t>ל</w:t>
      </w:r>
      <w:hyperlink r:id="rId15" w:history="1">
        <w:r w:rsidR="00523B82" w:rsidRPr="00523B82">
          <w:rPr>
            <w:rFonts w:ascii="David" w:hAnsi="David"/>
            <w:color w:val="0000FF"/>
            <w:u w:val="single"/>
            <w:rtl/>
          </w:rPr>
          <w:t>חוק העונשין</w:t>
        </w:r>
      </w:hyperlink>
      <w:r w:rsidRPr="003C565E">
        <w:rPr>
          <w:rFonts w:ascii="David" w:hAnsi="David"/>
          <w:rtl/>
        </w:rPr>
        <w:t xml:space="preserve">, התשל"ז-1977 </w:t>
      </w:r>
      <w:r w:rsidRPr="003C565E">
        <w:rPr>
          <w:rFonts w:ascii="David" w:hAnsi="David"/>
          <w:color w:val="000000"/>
          <w:rtl/>
        </w:rPr>
        <w:t>(להלן:</w:t>
      </w:r>
      <w:r w:rsidR="00523B82">
        <w:rPr>
          <w:rFonts w:ascii="David" w:hAnsi="David"/>
          <w:color w:val="000000"/>
          <w:rtl/>
        </w:rPr>
        <w:t xml:space="preserve"> </w:t>
      </w:r>
      <w:r w:rsidRPr="003C565E">
        <w:rPr>
          <w:rFonts w:ascii="David" w:hAnsi="David"/>
          <w:b/>
          <w:bCs/>
          <w:color w:val="000000"/>
          <w:rtl/>
        </w:rPr>
        <w:t>חוק העונשין</w:t>
      </w:r>
      <w:r w:rsidRPr="003C565E">
        <w:rPr>
          <w:rFonts w:ascii="David" w:hAnsi="David"/>
          <w:color w:val="000000"/>
          <w:rtl/>
        </w:rPr>
        <w:t>)</w:t>
      </w:r>
      <w:r>
        <w:rPr>
          <w:rFonts w:ascii="David" w:hAnsi="David" w:hint="cs"/>
          <w:color w:val="000000"/>
          <w:rtl/>
        </w:rPr>
        <w:t xml:space="preserve">; וכן בעבירה של דרישת נכס באיומים לפי </w:t>
      </w:r>
      <w:hyperlink r:id="rId16" w:history="1">
        <w:r w:rsidR="00317CE7" w:rsidRPr="00317CE7">
          <w:rPr>
            <w:rStyle w:val="Hyperlink"/>
            <w:rFonts w:ascii="David" w:hAnsi="David" w:hint="eastAsia"/>
            <w:color w:val="0000FF"/>
            <w:rtl/>
          </w:rPr>
          <w:t>סעיף</w:t>
        </w:r>
        <w:r w:rsidR="00317CE7" w:rsidRPr="00317CE7">
          <w:rPr>
            <w:rStyle w:val="Hyperlink"/>
            <w:rFonts w:ascii="David" w:hAnsi="David"/>
            <w:color w:val="0000FF"/>
            <w:rtl/>
          </w:rPr>
          <w:t xml:space="preserve"> 404</w:t>
        </w:r>
      </w:hyperlink>
      <w:r>
        <w:rPr>
          <w:rFonts w:ascii="David" w:hAnsi="David" w:hint="cs"/>
          <w:color w:val="000000"/>
          <w:rtl/>
        </w:rPr>
        <w:t xml:space="preserve"> רישא לחוק העונשין.</w:t>
      </w:r>
    </w:p>
    <w:p w14:paraId="2A31FBEE" w14:textId="77777777" w:rsidR="005437DA" w:rsidRDefault="005437DA" w:rsidP="005437DA">
      <w:pPr>
        <w:pStyle w:val="a9"/>
        <w:spacing w:line="360" w:lineRule="auto"/>
        <w:ind w:left="57"/>
        <w:jc w:val="both"/>
        <w:rPr>
          <w:rFonts w:cs="Times New Roman"/>
          <w:color w:val="000000"/>
        </w:rPr>
      </w:pPr>
      <w:bookmarkStart w:id="7" w:name="ABSTRACT_END"/>
      <w:bookmarkEnd w:id="7"/>
    </w:p>
    <w:p w14:paraId="5A9AAFB4" w14:textId="77777777" w:rsidR="005437DA" w:rsidRPr="00934F5E" w:rsidRDefault="005437DA" w:rsidP="005437DA">
      <w:pPr>
        <w:pStyle w:val="a9"/>
        <w:numPr>
          <w:ilvl w:val="0"/>
          <w:numId w:val="1"/>
        </w:numPr>
        <w:spacing w:line="360" w:lineRule="auto"/>
        <w:jc w:val="both"/>
        <w:rPr>
          <w:rFonts w:cs="Times New Roman"/>
          <w:color w:val="000000"/>
        </w:rPr>
      </w:pPr>
      <w:r>
        <w:rPr>
          <w:rFonts w:ascii="David" w:hAnsi="David" w:hint="cs"/>
          <w:color w:val="000000"/>
          <w:rtl/>
        </w:rPr>
        <w:t xml:space="preserve">בפתח כתב האישום המתוקן צוין כי ז"א (להלן: </w:t>
      </w:r>
      <w:r w:rsidRPr="00F25757">
        <w:rPr>
          <w:rFonts w:ascii="David" w:hAnsi="David" w:hint="cs"/>
          <w:b/>
          <w:bCs/>
          <w:color w:val="000000"/>
          <w:rtl/>
        </w:rPr>
        <w:t>המתלונן</w:t>
      </w:r>
      <w:r>
        <w:rPr>
          <w:rFonts w:ascii="David" w:hAnsi="David" w:hint="cs"/>
          <w:color w:val="000000"/>
          <w:rtl/>
        </w:rPr>
        <w:t xml:space="preserve">) הוא הבעלים של בית עסק לממכר דלתות ביישוב באקה-אלע'רביה (להלן: </w:t>
      </w:r>
      <w:r>
        <w:rPr>
          <w:rFonts w:ascii="David" w:hAnsi="David" w:hint="cs"/>
          <w:b/>
          <w:bCs/>
          <w:color w:val="000000"/>
          <w:rtl/>
        </w:rPr>
        <w:t xml:space="preserve">בית </w:t>
      </w:r>
      <w:r w:rsidRPr="00ED59C3">
        <w:rPr>
          <w:rFonts w:ascii="David" w:hAnsi="David" w:hint="cs"/>
          <w:b/>
          <w:bCs/>
          <w:color w:val="000000"/>
          <w:rtl/>
        </w:rPr>
        <w:t>העסק</w:t>
      </w:r>
      <w:r>
        <w:rPr>
          <w:rFonts w:ascii="David" w:hAnsi="David" w:hint="cs"/>
          <w:color w:val="000000"/>
          <w:rtl/>
        </w:rPr>
        <w:t>), וכי בין הנאשם לבין המתלונן סכסוך כספי על רקע חוב של המתלונן לנאשם.</w:t>
      </w:r>
    </w:p>
    <w:p w14:paraId="7B5368D9" w14:textId="77777777" w:rsidR="005437DA" w:rsidRPr="00B8286D" w:rsidRDefault="005437DA" w:rsidP="005437DA">
      <w:pPr>
        <w:pStyle w:val="a9"/>
        <w:rPr>
          <w:rFonts w:cs="Times New Roman"/>
          <w:color w:val="000000"/>
          <w:rtl/>
        </w:rPr>
      </w:pPr>
    </w:p>
    <w:p w14:paraId="49EA5294" w14:textId="77777777" w:rsidR="005437DA" w:rsidRDefault="005437DA" w:rsidP="005437DA">
      <w:pPr>
        <w:pStyle w:val="a9"/>
        <w:spacing w:line="360" w:lineRule="auto"/>
        <w:ind w:left="57" w:firstLine="510"/>
        <w:jc w:val="both"/>
        <w:rPr>
          <w:rFonts w:ascii="David" w:hAnsi="David"/>
          <w:color w:val="000000"/>
          <w:rtl/>
        </w:rPr>
      </w:pPr>
      <w:r w:rsidRPr="00934F5E">
        <w:rPr>
          <w:rFonts w:ascii="David" w:hAnsi="David"/>
          <w:color w:val="000000"/>
          <w:rtl/>
        </w:rPr>
        <w:t xml:space="preserve">על פי עובדות כתב האישום, </w:t>
      </w:r>
      <w:r>
        <w:rPr>
          <w:rFonts w:ascii="David" w:hAnsi="David" w:hint="cs"/>
          <w:color w:val="000000"/>
          <w:rtl/>
        </w:rPr>
        <w:t xml:space="preserve">הנאשם התקשר למתלונן במספר הזדמנויות על מנת לגבות את החוב מהמתלונן, אולם המתלונן לא שילם את החוב. נטען כי לאחר שהמתלונן חדל לענות לשיחותיו של הנאשם, שלח הנאשם למתלונן הודעות קוליות באמצעות אפליקציית הוואטסאפ בהן איים עליו </w:t>
      </w:r>
      <w:r>
        <w:rPr>
          <w:rFonts w:ascii="David" w:hAnsi="David"/>
          <w:color w:val="000000"/>
          <w:rtl/>
        </w:rPr>
        <w:t>–</w:t>
      </w:r>
      <w:r>
        <w:rPr>
          <w:rFonts w:ascii="David" w:hAnsi="David" w:hint="cs"/>
          <w:color w:val="000000"/>
          <w:rtl/>
        </w:rPr>
        <w:t xml:space="preserve"> הכל בכדי להניעו להחזיר לו את החוב אותו דרש ממנו באיומים. בכתב האישום פורטו ההודעות ששלח הנאשם למתלונן: </w:t>
      </w:r>
    </w:p>
    <w:p w14:paraId="3D6EDA72" w14:textId="77777777" w:rsidR="005437DA" w:rsidRDefault="005437DA" w:rsidP="005437DA">
      <w:pPr>
        <w:pStyle w:val="a9"/>
        <w:spacing w:line="360" w:lineRule="auto"/>
        <w:ind w:left="57" w:firstLine="651"/>
        <w:jc w:val="both"/>
        <w:rPr>
          <w:rFonts w:ascii="David" w:hAnsi="David"/>
          <w:color w:val="000000"/>
          <w:rtl/>
        </w:rPr>
      </w:pPr>
    </w:p>
    <w:p w14:paraId="60BF29B8" w14:textId="77777777" w:rsidR="005437DA" w:rsidRDefault="005437DA" w:rsidP="005437DA">
      <w:pPr>
        <w:pStyle w:val="a9"/>
        <w:spacing w:line="360" w:lineRule="auto"/>
        <w:ind w:left="57" w:firstLine="510"/>
        <w:jc w:val="both"/>
        <w:rPr>
          <w:rFonts w:ascii="David" w:hAnsi="David"/>
          <w:color w:val="000000"/>
          <w:rtl/>
        </w:rPr>
      </w:pPr>
      <w:r>
        <w:rPr>
          <w:rFonts w:ascii="David" w:hAnsi="David" w:hint="cs"/>
          <w:color w:val="000000"/>
          <w:rtl/>
        </w:rPr>
        <w:t>(-) בהודעה קולית שנשלחה ביום 10.8.2023, אמר הנאשם למתלונן את הדברים הבאים: "טוב [המתלונן] אל תענה תמשיך כך. אח שלך משלם ואתה לא רוצה לשלם שום שקל ואתה לא מתייחס, אני אראה לך את החוסר התייחסות שלך, על מי תעבוד. אני אראה לך. בגללך הכל ואתה לא מתייחס. מה שהיה עליך היה יותר ממה שהיה על אח שלך והעשר נהיו תשעים ואתה לא מתייחס. תיעזר באלוהים תמשיך לא להתייחס ואל תענה, תיעזר באלוהים".</w:t>
      </w:r>
    </w:p>
    <w:p w14:paraId="20B05DAC" w14:textId="77777777" w:rsidR="005437DA" w:rsidRDefault="005437DA" w:rsidP="005437DA">
      <w:pPr>
        <w:pStyle w:val="a9"/>
        <w:spacing w:line="360" w:lineRule="auto"/>
        <w:ind w:left="57" w:firstLine="651"/>
        <w:jc w:val="both"/>
        <w:rPr>
          <w:rFonts w:ascii="David" w:hAnsi="David"/>
          <w:color w:val="000000"/>
          <w:rtl/>
        </w:rPr>
      </w:pPr>
    </w:p>
    <w:p w14:paraId="2906638E" w14:textId="77777777" w:rsidR="005437DA" w:rsidRDefault="005437DA" w:rsidP="005437DA">
      <w:pPr>
        <w:pStyle w:val="a9"/>
        <w:spacing w:line="360" w:lineRule="auto"/>
        <w:ind w:left="57" w:firstLine="510"/>
        <w:jc w:val="both"/>
        <w:rPr>
          <w:rFonts w:ascii="David" w:hAnsi="David"/>
          <w:color w:val="000000"/>
          <w:rtl/>
        </w:rPr>
      </w:pPr>
      <w:r>
        <w:rPr>
          <w:rFonts w:ascii="David" w:hAnsi="David" w:hint="cs"/>
          <w:color w:val="000000"/>
          <w:rtl/>
        </w:rPr>
        <w:t>(-) בהודעה קולית נוספת שנשלחה ביום 23.89.2023, אמר הנאשם למתלונן את הדברים הבאים: "אל תעז לענות [המתלונן], תמשיך כך, אל תענה תמשיך כך. הם אוספים לך אותם שיהיו הרבה. לאן תלך? אל תעז לענות. אתה רוצה לעבוד בבשר או לעבוד עם אח שלך בדלתות? בסוף הם יביאו אותך. תמשיך, כך כן אל תענה לטלפון, זה מה שאני רוצה ממך. אח שלך ישלם את שלו ואז יגיע התור שלך הכל נרשם והחשבון יידחה, אל תשכח, טוב? אל תחשוב שתשים את עצמך בצד ואח שלך ישלם. לך יש את החלק שלך. שתדע שהכל נרשם, הכל נרשם. אלה שהקבר ייקח אותך ומי שבא אחרייך ישלם, אל תפחד".</w:t>
      </w:r>
    </w:p>
    <w:p w14:paraId="752610C8" w14:textId="77777777" w:rsidR="005437DA" w:rsidRDefault="005437DA" w:rsidP="005437DA">
      <w:pPr>
        <w:pStyle w:val="a9"/>
        <w:spacing w:line="360" w:lineRule="auto"/>
        <w:ind w:left="57" w:firstLine="510"/>
        <w:jc w:val="both"/>
        <w:rPr>
          <w:rFonts w:ascii="David" w:hAnsi="David"/>
          <w:color w:val="000000"/>
        </w:rPr>
      </w:pPr>
    </w:p>
    <w:p w14:paraId="505EAC76" w14:textId="77777777" w:rsidR="005437DA" w:rsidRDefault="005437DA" w:rsidP="005437DA">
      <w:pPr>
        <w:pStyle w:val="a9"/>
        <w:spacing w:line="360" w:lineRule="auto"/>
        <w:ind w:left="57" w:firstLine="510"/>
        <w:jc w:val="both"/>
        <w:rPr>
          <w:rFonts w:ascii="David" w:hAnsi="David"/>
          <w:color w:val="000000"/>
          <w:rtl/>
        </w:rPr>
      </w:pPr>
      <w:r>
        <w:rPr>
          <w:rFonts w:ascii="David" w:hAnsi="David" w:hint="cs"/>
          <w:color w:val="000000"/>
          <w:rtl/>
        </w:rPr>
        <w:t xml:space="preserve">כתב האישום ממשיך ומתאר כי, בהמשך להשתלשלות הדברים שתוארה לעיל,  במועד שאינו ידוע למאשימה, עובר ליום 27.10.2023, הצטייד הנאשם בכלי נשק חם מסוג אקדח חצי אוטומטי או כלי נשק אחר המטביע סימנים סוגיים דומים, ובכדורים תואמים.  </w:t>
      </w:r>
    </w:p>
    <w:p w14:paraId="5B0B029B" w14:textId="77777777" w:rsidR="005437DA" w:rsidRDefault="005437DA" w:rsidP="005437DA">
      <w:pPr>
        <w:pStyle w:val="a9"/>
        <w:spacing w:line="360" w:lineRule="auto"/>
        <w:ind w:left="57" w:firstLine="510"/>
        <w:jc w:val="both"/>
        <w:rPr>
          <w:rFonts w:ascii="David" w:hAnsi="David"/>
          <w:color w:val="000000"/>
          <w:rtl/>
        </w:rPr>
      </w:pPr>
    </w:p>
    <w:p w14:paraId="506FE90C" w14:textId="77777777" w:rsidR="005437DA" w:rsidRPr="0076722E" w:rsidRDefault="005437DA" w:rsidP="005437DA">
      <w:pPr>
        <w:pStyle w:val="a9"/>
        <w:spacing w:line="360" w:lineRule="auto"/>
        <w:ind w:left="57" w:firstLine="510"/>
        <w:jc w:val="both"/>
        <w:rPr>
          <w:rFonts w:ascii="David" w:hAnsi="David"/>
          <w:color w:val="000000"/>
          <w:rtl/>
        </w:rPr>
      </w:pPr>
      <w:r>
        <w:rPr>
          <w:rFonts w:ascii="David" w:hAnsi="David" w:hint="cs"/>
          <w:color w:val="000000"/>
          <w:rtl/>
        </w:rPr>
        <w:t xml:space="preserve">על רקע הסכסוך, ביום 27.10.2023 עובר לשעה 21:47, נסע הנאשם ברכב מסוג קיה שבבעלותו של אחר (להלן: </w:t>
      </w:r>
      <w:r w:rsidRPr="00ED59C3">
        <w:rPr>
          <w:rFonts w:ascii="David" w:hAnsi="David" w:hint="cs"/>
          <w:b/>
          <w:bCs/>
          <w:color w:val="000000"/>
          <w:rtl/>
        </w:rPr>
        <w:t>הרכב</w:t>
      </w:r>
      <w:r>
        <w:rPr>
          <w:rFonts w:ascii="David" w:hAnsi="David" w:hint="cs"/>
          <w:color w:val="000000"/>
          <w:rtl/>
        </w:rPr>
        <w:t xml:space="preserve">), בבאקה אל-ע'רביה. סמוך לשעה 21:47 עצר הנאשם את הרכב סמוך לבית עסק, ירד מהרכב, הביט פנימה לתוך בית העסק, חזר בחזרה לרכב ונסע מהמקום. </w:t>
      </w:r>
      <w:r w:rsidRPr="0076722E">
        <w:rPr>
          <w:rFonts w:ascii="David" w:hAnsi="David" w:hint="cs"/>
          <w:color w:val="000000"/>
          <w:rtl/>
        </w:rPr>
        <w:t>סמוך לשעה 21:51, חזר הנאשם עם הרכב ועצר פעם נוספת סמוך לבית העסק, כשהוא נושא ומוביל את הנשק והתחמושת עמו ברכב ונשאר לשבת ברכב. סמוך לשעה 21:53 בוצע ירי של מספר יריות לעבר בית העסק. לאחר מכן הנאשם עזב את המקום ברכב. בעקבות הירי נגרם נזק לדלת הזכוכית של בית העסק.</w:t>
      </w:r>
    </w:p>
    <w:p w14:paraId="704C4B0C" w14:textId="77777777" w:rsidR="005437DA" w:rsidRPr="00ED300F" w:rsidRDefault="00523B82" w:rsidP="005437DA">
      <w:pPr>
        <w:spacing w:line="360" w:lineRule="auto"/>
        <w:jc w:val="both"/>
        <w:rPr>
          <w:rFonts w:cs="Times New Roman"/>
          <w:color w:val="000000"/>
          <w:rtl/>
        </w:rPr>
      </w:pPr>
      <w:r>
        <w:rPr>
          <w:rFonts w:cs="Times New Roman"/>
          <w:color w:val="000000"/>
        </w:rPr>
        <w:t xml:space="preserve"> </w:t>
      </w:r>
    </w:p>
    <w:p w14:paraId="39E7F575" w14:textId="77777777" w:rsidR="005437DA" w:rsidRPr="001F10D9" w:rsidRDefault="005437DA" w:rsidP="005437DA">
      <w:pPr>
        <w:pStyle w:val="a9"/>
        <w:numPr>
          <w:ilvl w:val="0"/>
          <w:numId w:val="1"/>
        </w:numPr>
        <w:spacing w:line="360" w:lineRule="auto"/>
        <w:jc w:val="both"/>
        <w:rPr>
          <w:rFonts w:cs="Times New Roman"/>
          <w:color w:val="000000"/>
        </w:rPr>
      </w:pPr>
      <w:r w:rsidRPr="00864850">
        <w:rPr>
          <w:rFonts w:ascii="David" w:hAnsi="David" w:hint="cs"/>
          <w:color w:val="000000"/>
          <w:rtl/>
        </w:rPr>
        <w:t>כתב האישום הוגש ביום 23.11.2023</w:t>
      </w:r>
      <w:r>
        <w:rPr>
          <w:rFonts w:ascii="David" w:hAnsi="David" w:hint="cs"/>
          <w:color w:val="000000"/>
          <w:rtl/>
        </w:rPr>
        <w:t xml:space="preserve">. </w:t>
      </w:r>
      <w:r w:rsidRPr="00864850">
        <w:rPr>
          <w:rFonts w:ascii="David" w:hAnsi="David" w:hint="cs"/>
          <w:color w:val="000000"/>
          <w:rtl/>
        </w:rPr>
        <w:t>בדיון שהתקיים ביום 10.3.2024 הודיע הנאשם כי</w:t>
      </w:r>
      <w:r>
        <w:rPr>
          <w:rFonts w:ascii="David" w:hAnsi="David" w:hint="cs"/>
          <w:color w:val="000000"/>
          <w:rtl/>
        </w:rPr>
        <w:t xml:space="preserve"> הוא כופר בעובדות כתב האישום, ובהתאם לכך </w:t>
      </w:r>
      <w:r w:rsidRPr="00864850">
        <w:rPr>
          <w:rFonts w:ascii="David" w:hAnsi="David" w:hint="cs"/>
          <w:color w:val="000000"/>
          <w:rtl/>
        </w:rPr>
        <w:t xml:space="preserve">נקבע </w:t>
      </w:r>
      <w:r>
        <w:rPr>
          <w:rFonts w:ascii="David" w:hAnsi="David" w:hint="cs"/>
          <w:color w:val="000000"/>
          <w:rtl/>
        </w:rPr>
        <w:t xml:space="preserve">התיק לשמיעת ראיות </w:t>
      </w:r>
      <w:r w:rsidRPr="00864850">
        <w:rPr>
          <w:rFonts w:ascii="David" w:hAnsi="David" w:hint="cs"/>
          <w:color w:val="000000"/>
          <w:rtl/>
        </w:rPr>
        <w:t>ליום 4.6.2024. בפתח ישיבת ההוכחות</w:t>
      </w:r>
      <w:r w:rsidRPr="00864850">
        <w:rPr>
          <w:rFonts w:ascii="David" w:hAnsi="David"/>
          <w:color w:val="000000"/>
          <w:rtl/>
        </w:rPr>
        <w:t xml:space="preserve"> הודיעו הצדדים כי הגיעו להסדר טיעון</w:t>
      </w:r>
      <w:r>
        <w:rPr>
          <w:rFonts w:ascii="David" w:hAnsi="David" w:hint="cs"/>
          <w:color w:val="000000"/>
          <w:rtl/>
        </w:rPr>
        <w:t xml:space="preserve"> לפיו הנאשם יודה </w:t>
      </w:r>
      <w:r w:rsidRPr="00864850">
        <w:rPr>
          <w:rFonts w:ascii="David" w:hAnsi="David"/>
          <w:color w:val="000000"/>
          <w:rtl/>
        </w:rPr>
        <w:t xml:space="preserve">בכתב אישום מתוקן, וזאת מבלי שתהיינה הסכמות לעניין העונש. </w:t>
      </w:r>
      <w:r>
        <w:rPr>
          <w:rFonts w:ascii="David" w:hAnsi="David" w:hint="cs"/>
          <w:color w:val="000000"/>
          <w:rtl/>
        </w:rPr>
        <w:t xml:space="preserve">הנאשם הורשע על פי הודאתו ולבקשתו נשלח לקבלת תסקיר שירות המבחן. </w:t>
      </w:r>
    </w:p>
    <w:p w14:paraId="12C06B23" w14:textId="77777777" w:rsidR="005437DA" w:rsidRDefault="005437DA" w:rsidP="005437DA">
      <w:pPr>
        <w:pStyle w:val="a9"/>
        <w:spacing w:line="360" w:lineRule="auto"/>
        <w:ind w:left="57"/>
        <w:jc w:val="both"/>
        <w:rPr>
          <w:rFonts w:ascii="David" w:hAnsi="David"/>
          <w:color w:val="000000"/>
          <w:rtl/>
        </w:rPr>
      </w:pPr>
    </w:p>
    <w:p w14:paraId="7ADAEB30" w14:textId="77777777" w:rsidR="005437DA" w:rsidRPr="001F10D9" w:rsidRDefault="005437DA" w:rsidP="005437DA">
      <w:pPr>
        <w:pStyle w:val="a9"/>
        <w:spacing w:line="360" w:lineRule="auto"/>
        <w:ind w:left="57"/>
        <w:jc w:val="both"/>
        <w:rPr>
          <w:rFonts w:ascii="David" w:hAnsi="David"/>
          <w:b/>
          <w:bCs/>
          <w:color w:val="000000"/>
          <w:rtl/>
        </w:rPr>
      </w:pPr>
      <w:r w:rsidRPr="001F10D9">
        <w:rPr>
          <w:rFonts w:ascii="David" w:hAnsi="David" w:hint="cs"/>
          <w:b/>
          <w:bCs/>
          <w:color w:val="000000"/>
          <w:rtl/>
        </w:rPr>
        <w:t>תסקיר שירות המבחן</w:t>
      </w:r>
    </w:p>
    <w:p w14:paraId="3B7D8999" w14:textId="77777777" w:rsidR="005437DA" w:rsidRDefault="005437DA" w:rsidP="005437DA">
      <w:pPr>
        <w:pStyle w:val="a9"/>
        <w:spacing w:line="360" w:lineRule="auto"/>
        <w:ind w:left="57"/>
        <w:jc w:val="both"/>
        <w:rPr>
          <w:rFonts w:ascii="David" w:hAnsi="David"/>
          <w:color w:val="000000"/>
          <w:rtl/>
        </w:rPr>
      </w:pPr>
    </w:p>
    <w:p w14:paraId="5A14817B" w14:textId="77777777" w:rsidR="005437DA" w:rsidRPr="00617E84" w:rsidRDefault="005437DA" w:rsidP="005437DA">
      <w:pPr>
        <w:pStyle w:val="a9"/>
        <w:numPr>
          <w:ilvl w:val="0"/>
          <w:numId w:val="1"/>
        </w:numPr>
        <w:spacing w:line="360" w:lineRule="auto"/>
        <w:jc w:val="both"/>
        <w:rPr>
          <w:rFonts w:ascii="David" w:hAnsi="David"/>
          <w:color w:val="000000"/>
        </w:rPr>
      </w:pPr>
      <w:r w:rsidRPr="00617E84">
        <w:rPr>
          <w:rFonts w:ascii="David" w:hAnsi="David" w:hint="cs"/>
          <w:color w:val="000000"/>
          <w:rtl/>
        </w:rPr>
        <w:lastRenderedPageBreak/>
        <w:t>ש</w:t>
      </w:r>
      <w:r w:rsidRPr="00617E84">
        <w:rPr>
          <w:rFonts w:ascii="David" w:hAnsi="David"/>
          <w:color w:val="000000"/>
          <w:rtl/>
        </w:rPr>
        <w:t xml:space="preserve">ירות המבחן </w:t>
      </w:r>
      <w:r>
        <w:rPr>
          <w:rFonts w:ascii="David" w:hAnsi="David" w:hint="cs"/>
          <w:color w:val="000000"/>
          <w:rtl/>
        </w:rPr>
        <w:t xml:space="preserve">הגיש תסקיר אודות הנאשם בו </w:t>
      </w:r>
      <w:r w:rsidRPr="00617E84">
        <w:rPr>
          <w:rFonts w:ascii="David" w:hAnsi="David"/>
          <w:color w:val="000000"/>
          <w:rtl/>
        </w:rPr>
        <w:t>סקר את נסיבותיו האישיות והמשפחתיות</w:t>
      </w:r>
      <w:r>
        <w:rPr>
          <w:rFonts w:ascii="David" w:hAnsi="David" w:hint="cs"/>
          <w:color w:val="000000"/>
          <w:rtl/>
        </w:rPr>
        <w:t>.</w:t>
      </w:r>
      <w:r w:rsidRPr="00617E84">
        <w:rPr>
          <w:rFonts w:ascii="David" w:hAnsi="David"/>
          <w:color w:val="000000"/>
          <w:rtl/>
        </w:rPr>
        <w:t xml:space="preserve"> בין היתר צוין כי הנאשם </w:t>
      </w:r>
      <w:r>
        <w:rPr>
          <w:rFonts w:ascii="David" w:hAnsi="David" w:hint="cs"/>
          <w:color w:val="000000"/>
          <w:rtl/>
        </w:rPr>
        <w:t xml:space="preserve">רווק ומתגורר עם משפחתו, כי בשנת 2019 עבר </w:t>
      </w:r>
      <w:r w:rsidRPr="00617E84">
        <w:rPr>
          <w:rFonts w:ascii="David" w:hAnsi="David" w:hint="cs"/>
          <w:color w:val="000000"/>
          <w:rtl/>
        </w:rPr>
        <w:t xml:space="preserve">ניתוח </w:t>
      </w:r>
      <w:r>
        <w:rPr>
          <w:rFonts w:ascii="David" w:hAnsi="David" w:hint="cs"/>
          <w:color w:val="000000"/>
          <w:rtl/>
        </w:rPr>
        <w:t xml:space="preserve">רפואי, כי </w:t>
      </w:r>
      <w:r w:rsidRPr="00617E84">
        <w:rPr>
          <w:rFonts w:ascii="David" w:hAnsi="David" w:hint="cs"/>
          <w:color w:val="000000"/>
          <w:rtl/>
        </w:rPr>
        <w:t xml:space="preserve">בשנת 2022 החל בלימודי תואר ראשון בניהול עסקים ומשפטים, אך </w:t>
      </w:r>
      <w:r>
        <w:rPr>
          <w:rFonts w:ascii="David" w:hAnsi="David" w:hint="cs"/>
          <w:color w:val="000000"/>
          <w:rtl/>
        </w:rPr>
        <w:t xml:space="preserve">לימודיו הופסקו בשל </w:t>
      </w:r>
      <w:r w:rsidRPr="00617E84">
        <w:rPr>
          <w:rFonts w:ascii="David" w:hAnsi="David" w:hint="cs"/>
          <w:color w:val="000000"/>
          <w:rtl/>
        </w:rPr>
        <w:t>הסתבכותו בתיק זה</w:t>
      </w:r>
      <w:r>
        <w:rPr>
          <w:rFonts w:ascii="David" w:hAnsi="David" w:hint="cs"/>
          <w:color w:val="000000"/>
          <w:rtl/>
        </w:rPr>
        <w:t>, וכי אין לחובתו הרשעות קודמות. כן סקר שירות המבחן את עיסוקיו של הנאשם לאורך השנים.</w:t>
      </w:r>
      <w:r w:rsidRPr="00617E84">
        <w:rPr>
          <w:rFonts w:ascii="David" w:hAnsi="David" w:hint="cs"/>
          <w:color w:val="000000"/>
          <w:rtl/>
        </w:rPr>
        <w:t xml:space="preserve"> </w:t>
      </w:r>
    </w:p>
    <w:p w14:paraId="5FB82FC9" w14:textId="77777777" w:rsidR="005437DA" w:rsidRPr="004A2746" w:rsidRDefault="005437DA" w:rsidP="005437DA">
      <w:pPr>
        <w:spacing w:line="360" w:lineRule="auto"/>
        <w:rPr>
          <w:rFonts w:ascii="David" w:hAnsi="David"/>
          <w:color w:val="000000"/>
          <w:rtl/>
        </w:rPr>
      </w:pPr>
    </w:p>
    <w:p w14:paraId="380E25A2" w14:textId="77777777" w:rsidR="005437DA" w:rsidRDefault="005437DA" w:rsidP="005437DA">
      <w:pPr>
        <w:spacing w:line="360" w:lineRule="auto"/>
        <w:ind w:firstLine="567"/>
        <w:jc w:val="both"/>
        <w:rPr>
          <w:rFonts w:ascii="David" w:hAnsi="David"/>
          <w:color w:val="000000"/>
          <w:rtl/>
        </w:rPr>
      </w:pPr>
      <w:r>
        <w:rPr>
          <w:rFonts w:ascii="David" w:hAnsi="David" w:hint="cs"/>
          <w:color w:val="000000"/>
          <w:rtl/>
        </w:rPr>
        <w:t>ב</w:t>
      </w:r>
      <w:r w:rsidRPr="0071665E">
        <w:rPr>
          <w:rFonts w:ascii="David" w:hAnsi="David"/>
          <w:color w:val="000000"/>
          <w:rtl/>
        </w:rPr>
        <w:t>התייחס</w:t>
      </w:r>
      <w:r>
        <w:rPr>
          <w:rFonts w:ascii="David" w:hAnsi="David" w:hint="cs"/>
          <w:color w:val="000000"/>
          <w:rtl/>
        </w:rPr>
        <w:t>ו</w:t>
      </w:r>
      <w:r w:rsidRPr="0071665E">
        <w:rPr>
          <w:rFonts w:ascii="David" w:hAnsi="David"/>
          <w:color w:val="000000"/>
          <w:rtl/>
        </w:rPr>
        <w:t xml:space="preserve"> ל</w:t>
      </w:r>
      <w:r>
        <w:rPr>
          <w:rFonts w:ascii="David" w:hAnsi="David" w:hint="cs"/>
          <w:color w:val="000000"/>
          <w:rtl/>
        </w:rPr>
        <w:t xml:space="preserve">נסיבות ביצוע העבירות, הנאשם מסר בפני שירות המבחן כי חודשיים עובר לאירוע הכיר את המתלונן ורכש ממנו דלתות, אך המתלונן לא עמד בהסכם ולא הרכיב את הדלתות. הנאשם תיאר כי הדבר גרם לו לתחושת כעס וזלזול. שירות המבחן ציין כי הנאשם התקשה לקחת אחריות מלאה על ביצוע העבירות, הודה באופן חלקי בעובדות כתב האישום והכחיש את עבירת הנשק. </w:t>
      </w:r>
    </w:p>
    <w:p w14:paraId="11C69C1C" w14:textId="77777777" w:rsidR="005437DA" w:rsidRDefault="005437DA" w:rsidP="005437DA">
      <w:pPr>
        <w:spacing w:line="360" w:lineRule="auto"/>
        <w:ind w:firstLine="708"/>
        <w:jc w:val="both"/>
        <w:rPr>
          <w:rFonts w:ascii="David" w:hAnsi="David"/>
          <w:color w:val="000000"/>
          <w:rtl/>
        </w:rPr>
      </w:pPr>
    </w:p>
    <w:p w14:paraId="0B5F9300" w14:textId="77777777" w:rsidR="005437DA" w:rsidRDefault="005437DA" w:rsidP="005437DA">
      <w:pPr>
        <w:spacing w:line="360" w:lineRule="auto"/>
        <w:ind w:firstLine="567"/>
        <w:jc w:val="both"/>
        <w:rPr>
          <w:rFonts w:ascii="David" w:hAnsi="David"/>
          <w:color w:val="000000"/>
          <w:rtl/>
        </w:rPr>
      </w:pPr>
      <w:r>
        <w:rPr>
          <w:rFonts w:ascii="David" w:hAnsi="David" w:hint="cs"/>
          <w:color w:val="000000"/>
          <w:rtl/>
        </w:rPr>
        <w:t xml:space="preserve">שירות המבחן יצר קשר עם המתלונן, אך הלה טען כי הוא חשד באדם אחר ועל כן לאחר יומיים מאירוע העבירה פנה למשטרה בכדי לבטל את התלונה. שירות המבחן ציין כי המתלונן נקט בשיח זהיר, שלהערכתו נבע מאופי העבירות שבוצעו. </w:t>
      </w:r>
    </w:p>
    <w:p w14:paraId="6C971CA5" w14:textId="77777777" w:rsidR="005437DA" w:rsidRDefault="005437DA" w:rsidP="005437DA">
      <w:pPr>
        <w:spacing w:line="360" w:lineRule="auto"/>
        <w:jc w:val="both"/>
        <w:rPr>
          <w:rFonts w:ascii="David" w:hAnsi="David"/>
          <w:color w:val="000000"/>
          <w:rtl/>
        </w:rPr>
      </w:pPr>
    </w:p>
    <w:p w14:paraId="7C32E83D" w14:textId="77777777" w:rsidR="005437DA" w:rsidRDefault="005437DA" w:rsidP="005437DA">
      <w:pPr>
        <w:spacing w:line="360" w:lineRule="auto"/>
        <w:ind w:firstLine="567"/>
        <w:jc w:val="both"/>
        <w:rPr>
          <w:rFonts w:ascii="David" w:hAnsi="David"/>
          <w:color w:val="000000"/>
          <w:rtl/>
        </w:rPr>
      </w:pPr>
      <w:r>
        <w:rPr>
          <w:rFonts w:ascii="David" w:hAnsi="David" w:hint="cs"/>
          <w:color w:val="000000"/>
          <w:rtl/>
        </w:rPr>
        <w:t xml:space="preserve">שירות המבחן התרשם כי הנאשם מצוי במצבים מסכנים ופועל מתוך קודים עברייניים. כמו כן, שירות המבחן התרשם כי במצבים בהם הנאשם חש איום על כבודו, הוא עלול להתנהל באופן אימפולסיבי. שירות המבחן העריך כי הנאשם אינו ער למצבי הסיכון הפוטנציאליים בהתנהלותו, כי הוא נוטה להתנהל מתוך עמדות מקלות כלפי החוק וממזער מחומרתן. </w:t>
      </w:r>
    </w:p>
    <w:p w14:paraId="48046791" w14:textId="77777777" w:rsidR="005437DA" w:rsidRDefault="005437DA" w:rsidP="005437DA">
      <w:pPr>
        <w:spacing w:line="360" w:lineRule="auto"/>
        <w:jc w:val="both"/>
        <w:rPr>
          <w:rFonts w:ascii="David" w:hAnsi="David"/>
          <w:color w:val="000000"/>
          <w:rtl/>
        </w:rPr>
      </w:pPr>
    </w:p>
    <w:p w14:paraId="6C0605CE" w14:textId="77777777" w:rsidR="005437DA" w:rsidRDefault="005437DA" w:rsidP="005437DA">
      <w:pPr>
        <w:spacing w:line="360" w:lineRule="auto"/>
        <w:ind w:firstLine="567"/>
        <w:jc w:val="both"/>
        <w:rPr>
          <w:rFonts w:ascii="David" w:hAnsi="David"/>
          <w:color w:val="000000"/>
          <w:rtl/>
        </w:rPr>
      </w:pPr>
      <w:r>
        <w:rPr>
          <w:rFonts w:ascii="David" w:hAnsi="David" w:hint="cs"/>
          <w:color w:val="000000"/>
          <w:rtl/>
        </w:rPr>
        <w:t>שירות המבחן העריך כי הסיכון להישנות עבירות דומות והתנהגות פורצת גבולות הינו בינוני גבוה. בסופו של יום , שירות המבחן לא בא בהמלצה שיקומית והמליץ על הטלת עונש הרתעתי בדמות מאסר בפועל, מאסר על תנאי ופיצוי כספי למתלונן.</w:t>
      </w:r>
    </w:p>
    <w:p w14:paraId="3E19B1C3" w14:textId="77777777" w:rsidR="005437DA" w:rsidRDefault="005437DA" w:rsidP="005437DA">
      <w:pPr>
        <w:spacing w:line="360" w:lineRule="auto"/>
        <w:jc w:val="both"/>
        <w:rPr>
          <w:rFonts w:ascii="David" w:hAnsi="David"/>
          <w:color w:val="000000"/>
          <w:rtl/>
        </w:rPr>
      </w:pPr>
    </w:p>
    <w:p w14:paraId="7AC55E7A" w14:textId="77777777" w:rsidR="005437DA" w:rsidRPr="00B00977" w:rsidRDefault="005437DA" w:rsidP="005437DA">
      <w:pPr>
        <w:spacing w:line="360" w:lineRule="auto"/>
        <w:jc w:val="both"/>
        <w:rPr>
          <w:rFonts w:ascii="David" w:hAnsi="David"/>
          <w:b/>
          <w:bCs/>
          <w:color w:val="000000"/>
          <w:rtl/>
        </w:rPr>
      </w:pPr>
      <w:r w:rsidRPr="00B00977">
        <w:rPr>
          <w:rFonts w:ascii="David" w:hAnsi="David" w:hint="cs"/>
          <w:b/>
          <w:bCs/>
          <w:color w:val="000000"/>
          <w:rtl/>
        </w:rPr>
        <w:t>ראיות הצדדים לעונש</w:t>
      </w:r>
    </w:p>
    <w:p w14:paraId="00C669F5" w14:textId="77777777" w:rsidR="005437DA" w:rsidRDefault="005437DA" w:rsidP="005437DA">
      <w:pPr>
        <w:spacing w:line="360" w:lineRule="auto"/>
        <w:jc w:val="both"/>
        <w:rPr>
          <w:rFonts w:ascii="David" w:hAnsi="David"/>
          <w:color w:val="000000"/>
          <w:rtl/>
        </w:rPr>
      </w:pPr>
    </w:p>
    <w:p w14:paraId="56DB8464" w14:textId="77777777" w:rsidR="005437DA" w:rsidRDefault="005437DA" w:rsidP="005437DA">
      <w:pPr>
        <w:pStyle w:val="a9"/>
        <w:numPr>
          <w:ilvl w:val="0"/>
          <w:numId w:val="1"/>
        </w:numPr>
        <w:spacing w:line="360" w:lineRule="auto"/>
        <w:jc w:val="both"/>
        <w:rPr>
          <w:rFonts w:ascii="David" w:hAnsi="David"/>
          <w:color w:val="000000"/>
        </w:rPr>
      </w:pPr>
      <w:r>
        <w:rPr>
          <w:rFonts w:ascii="David" w:hAnsi="David" w:hint="cs"/>
          <w:color w:val="000000"/>
          <w:rtl/>
        </w:rPr>
        <w:t>המאשימה לא הגישה ראיות לעונש.</w:t>
      </w:r>
    </w:p>
    <w:p w14:paraId="3E72C67F" w14:textId="77777777" w:rsidR="005437DA" w:rsidRPr="0042234B" w:rsidRDefault="005437DA" w:rsidP="005437DA">
      <w:pPr>
        <w:spacing w:line="360" w:lineRule="auto"/>
        <w:jc w:val="both"/>
        <w:rPr>
          <w:rFonts w:ascii="David" w:hAnsi="David"/>
          <w:color w:val="000000"/>
          <w:rtl/>
        </w:rPr>
      </w:pPr>
    </w:p>
    <w:p w14:paraId="5435D718" w14:textId="77777777" w:rsidR="005437DA" w:rsidRDefault="005437DA" w:rsidP="005437DA">
      <w:pPr>
        <w:pStyle w:val="a9"/>
        <w:numPr>
          <w:ilvl w:val="0"/>
          <w:numId w:val="1"/>
        </w:numPr>
        <w:spacing w:line="360" w:lineRule="auto"/>
        <w:jc w:val="both"/>
        <w:rPr>
          <w:rFonts w:ascii="David" w:hAnsi="David"/>
          <w:color w:val="000000"/>
        </w:rPr>
      </w:pPr>
      <w:r>
        <w:rPr>
          <w:rFonts w:ascii="David" w:hAnsi="David" w:hint="cs"/>
          <w:color w:val="000000"/>
          <w:rtl/>
        </w:rPr>
        <w:t xml:space="preserve">המתלונן העיד מטעם </w:t>
      </w:r>
      <w:r w:rsidRPr="006126F4">
        <w:rPr>
          <w:rFonts w:ascii="David" w:hAnsi="David"/>
          <w:color w:val="000000"/>
          <w:rtl/>
        </w:rPr>
        <w:t xml:space="preserve">הנאשם </w:t>
      </w:r>
      <w:r>
        <w:rPr>
          <w:rFonts w:ascii="David" w:hAnsi="David" w:hint="cs"/>
          <w:color w:val="000000"/>
          <w:rtl/>
        </w:rPr>
        <w:t xml:space="preserve">ונוסף לכך הוגשו מספר ראיות נוספות כפי שיפורט להלן. </w:t>
      </w:r>
    </w:p>
    <w:p w14:paraId="30898F35" w14:textId="77777777" w:rsidR="005437DA" w:rsidRPr="0042234B" w:rsidRDefault="005437DA" w:rsidP="005437DA">
      <w:pPr>
        <w:pStyle w:val="a9"/>
        <w:rPr>
          <w:rFonts w:ascii="David" w:hAnsi="David"/>
          <w:color w:val="000000"/>
          <w:rtl/>
        </w:rPr>
      </w:pPr>
    </w:p>
    <w:p w14:paraId="2847B5C7" w14:textId="77777777" w:rsidR="005437DA" w:rsidRDefault="005437DA" w:rsidP="005437DA">
      <w:pPr>
        <w:pStyle w:val="a9"/>
        <w:numPr>
          <w:ilvl w:val="0"/>
          <w:numId w:val="1"/>
        </w:numPr>
        <w:spacing w:line="360" w:lineRule="auto"/>
        <w:jc w:val="both"/>
        <w:rPr>
          <w:rFonts w:ascii="David" w:hAnsi="David"/>
          <w:color w:val="000000"/>
        </w:rPr>
      </w:pPr>
      <w:r w:rsidRPr="0042234B">
        <w:rPr>
          <w:rFonts w:ascii="David" w:hAnsi="David"/>
          <w:color w:val="000000"/>
          <w:rtl/>
        </w:rPr>
        <w:t xml:space="preserve">המתלונן סיפר </w:t>
      </w:r>
      <w:r>
        <w:rPr>
          <w:rFonts w:ascii="David" w:hAnsi="David" w:hint="cs"/>
          <w:color w:val="000000"/>
          <w:rtl/>
        </w:rPr>
        <w:t xml:space="preserve">בעדותו </w:t>
      </w:r>
      <w:r w:rsidRPr="0042234B">
        <w:rPr>
          <w:rFonts w:ascii="David" w:hAnsi="David"/>
          <w:color w:val="000000"/>
          <w:rtl/>
        </w:rPr>
        <w:t xml:space="preserve">כי היה חייב כסף לנאשם וכי ביניהם </w:t>
      </w:r>
      <w:r>
        <w:rPr>
          <w:rFonts w:ascii="David" w:hAnsi="David" w:hint="cs"/>
          <w:color w:val="000000"/>
          <w:rtl/>
        </w:rPr>
        <w:t xml:space="preserve">הייתה מחלוקת </w:t>
      </w:r>
      <w:r w:rsidRPr="0042234B">
        <w:rPr>
          <w:rFonts w:ascii="David" w:hAnsi="David"/>
          <w:color w:val="000000"/>
          <w:rtl/>
        </w:rPr>
        <w:t>לא חריג</w:t>
      </w:r>
      <w:r>
        <w:rPr>
          <w:rFonts w:ascii="David" w:hAnsi="David" w:hint="cs"/>
          <w:color w:val="000000"/>
          <w:rtl/>
        </w:rPr>
        <w:t>ה, כלשונו</w:t>
      </w:r>
      <w:r w:rsidRPr="0042234B">
        <w:rPr>
          <w:rFonts w:ascii="David" w:hAnsi="David"/>
          <w:color w:val="000000"/>
          <w:rtl/>
        </w:rPr>
        <w:t xml:space="preserve">. לדבריו, לאחר המקרה הגיעו לביתו אנשים מכובדים לרבות אביו של הנאשם, </w:t>
      </w:r>
      <w:r>
        <w:rPr>
          <w:rFonts w:ascii="David" w:hAnsi="David" w:hint="cs"/>
          <w:color w:val="000000"/>
          <w:rtl/>
        </w:rPr>
        <w:t xml:space="preserve">ויושרו ההדורים ואף שולם לו פיצוי </w:t>
      </w:r>
      <w:r w:rsidRPr="0042234B">
        <w:rPr>
          <w:rFonts w:ascii="David" w:hAnsi="David"/>
          <w:color w:val="000000"/>
          <w:rtl/>
        </w:rPr>
        <w:t>בסכום קטן</w:t>
      </w:r>
      <w:r>
        <w:rPr>
          <w:rFonts w:ascii="David" w:hAnsi="David" w:hint="cs"/>
          <w:color w:val="000000"/>
          <w:rtl/>
        </w:rPr>
        <w:t xml:space="preserve">. </w:t>
      </w:r>
      <w:r w:rsidRPr="0042234B">
        <w:rPr>
          <w:rFonts w:ascii="David" w:hAnsi="David"/>
          <w:color w:val="000000"/>
          <w:rtl/>
        </w:rPr>
        <w:t>המתלונן אמר שהוא חבר של הנאשם, שהוא סולח לו, וכי הוא עדיין עובד בעסק להתקנת דלתות.</w:t>
      </w:r>
    </w:p>
    <w:p w14:paraId="62155EBE" w14:textId="77777777" w:rsidR="005437DA" w:rsidRPr="006F47E9" w:rsidRDefault="005437DA" w:rsidP="005437DA">
      <w:pPr>
        <w:pStyle w:val="a9"/>
        <w:rPr>
          <w:rFonts w:ascii="David" w:hAnsi="David"/>
          <w:color w:val="000000"/>
          <w:rtl/>
        </w:rPr>
      </w:pPr>
    </w:p>
    <w:p w14:paraId="68E09BDA" w14:textId="77777777" w:rsidR="005437DA" w:rsidRPr="006126F4" w:rsidRDefault="005437DA" w:rsidP="005437DA">
      <w:pPr>
        <w:pStyle w:val="a9"/>
        <w:numPr>
          <w:ilvl w:val="0"/>
          <w:numId w:val="1"/>
        </w:numPr>
        <w:spacing w:line="360" w:lineRule="auto"/>
        <w:jc w:val="both"/>
        <w:rPr>
          <w:rFonts w:ascii="David" w:hAnsi="David"/>
          <w:color w:val="000000"/>
          <w:rtl/>
        </w:rPr>
      </w:pPr>
      <w:r>
        <w:rPr>
          <w:rFonts w:ascii="David" w:hAnsi="David" w:hint="cs"/>
          <w:color w:val="000000"/>
          <w:rtl/>
        </w:rPr>
        <w:t xml:space="preserve">הנאשם הגיש חוות דעת מטעמו, אשר נערכה על ידי הגב' </w:t>
      </w:r>
      <w:r w:rsidRPr="006F47E9">
        <w:rPr>
          <w:rFonts w:ascii="David" w:hAnsi="David"/>
          <w:color w:val="000000"/>
          <w:rtl/>
        </w:rPr>
        <w:t xml:space="preserve">מראם עאזם-נאשף, עובדת סוציאלית וקרימינולוגית. בחוות הדעת </w:t>
      </w:r>
      <w:r>
        <w:rPr>
          <w:rFonts w:ascii="David" w:hAnsi="David" w:hint="cs"/>
          <w:color w:val="000000"/>
          <w:rtl/>
        </w:rPr>
        <w:t xml:space="preserve">תוארו קורותיו של הנאשם ופרטו ממצאי אבחון שנערך לו. לדברי עורכת חוות הדעת, הנאשם </w:t>
      </w:r>
      <w:r w:rsidRPr="006126F4">
        <w:rPr>
          <w:rFonts w:ascii="David" w:hAnsi="David"/>
          <w:color w:val="000000"/>
          <w:rtl/>
        </w:rPr>
        <w:t xml:space="preserve">שיתף כי חש אכזבה עצמית מהסתבכותו </w:t>
      </w:r>
      <w:r>
        <w:rPr>
          <w:rFonts w:ascii="David" w:hAnsi="David" w:hint="cs"/>
          <w:color w:val="000000"/>
          <w:rtl/>
        </w:rPr>
        <w:t>ש</w:t>
      </w:r>
      <w:r w:rsidRPr="006126F4">
        <w:rPr>
          <w:rFonts w:ascii="David" w:hAnsi="David"/>
          <w:color w:val="000000"/>
          <w:rtl/>
        </w:rPr>
        <w:t xml:space="preserve">אינה משקפת את ערכיו החיוביים הבסיסיים ואת אורחותיו. עורכת חוות הדעת התרשמה </w:t>
      </w:r>
      <w:r>
        <w:rPr>
          <w:rFonts w:ascii="David" w:hAnsi="David" w:hint="cs"/>
          <w:color w:val="000000"/>
          <w:rtl/>
        </w:rPr>
        <w:t xml:space="preserve">כי ערכיו הבסיסיים של הנאשם חיוביים ולא נושאים דפוסי עבריינות מושרשים, לצד זאת </w:t>
      </w:r>
      <w:r w:rsidRPr="006126F4">
        <w:rPr>
          <w:rFonts w:ascii="David" w:hAnsi="David"/>
          <w:color w:val="000000"/>
          <w:rtl/>
        </w:rPr>
        <w:t xml:space="preserve">הנאשם נעדר ניסיון חיים, </w:t>
      </w:r>
      <w:r>
        <w:rPr>
          <w:rFonts w:ascii="David" w:hAnsi="David" w:hint="cs"/>
          <w:color w:val="000000"/>
          <w:rtl/>
        </w:rPr>
        <w:t xml:space="preserve">נעדר </w:t>
      </w:r>
      <w:r w:rsidRPr="006126F4">
        <w:rPr>
          <w:rFonts w:ascii="David" w:hAnsi="David"/>
          <w:color w:val="000000"/>
          <w:rtl/>
        </w:rPr>
        <w:t>כלים להתמודדות במצבי</w:t>
      </w:r>
      <w:r>
        <w:rPr>
          <w:rFonts w:ascii="David" w:hAnsi="David" w:hint="cs"/>
          <w:color w:val="000000"/>
          <w:rtl/>
        </w:rPr>
        <w:t>ם מורכבים, ו</w:t>
      </w:r>
      <w:r w:rsidRPr="006126F4">
        <w:rPr>
          <w:rFonts w:ascii="David" w:hAnsi="David"/>
          <w:color w:val="000000"/>
          <w:rtl/>
        </w:rPr>
        <w:t xml:space="preserve">זקוק לטיפול בנושא ניהול ושליטה בכעסים. </w:t>
      </w:r>
    </w:p>
    <w:p w14:paraId="0BC7EB91" w14:textId="77777777" w:rsidR="005437DA" w:rsidRPr="006126F4" w:rsidRDefault="005437DA" w:rsidP="005437DA">
      <w:pPr>
        <w:spacing w:line="360" w:lineRule="auto"/>
        <w:rPr>
          <w:rFonts w:ascii="David" w:hAnsi="David"/>
          <w:color w:val="000000"/>
          <w:rtl/>
        </w:rPr>
      </w:pPr>
    </w:p>
    <w:p w14:paraId="0FA4C656" w14:textId="77777777" w:rsidR="005437DA" w:rsidRPr="006126F4" w:rsidRDefault="005437DA" w:rsidP="005437DA">
      <w:pPr>
        <w:spacing w:line="360" w:lineRule="auto"/>
        <w:ind w:firstLine="708"/>
        <w:jc w:val="both"/>
        <w:rPr>
          <w:rFonts w:ascii="David" w:hAnsi="David"/>
          <w:color w:val="000000"/>
          <w:rtl/>
        </w:rPr>
      </w:pPr>
      <w:r>
        <w:rPr>
          <w:rFonts w:ascii="David" w:hAnsi="David" w:hint="cs"/>
          <w:color w:val="000000"/>
          <w:rtl/>
        </w:rPr>
        <w:t xml:space="preserve">עורכת חוות הדעת הוסיפה וציינה כי הנאשם </w:t>
      </w:r>
      <w:r>
        <w:rPr>
          <w:rFonts w:ascii="David" w:hAnsi="David"/>
          <w:color w:val="000000"/>
          <w:rtl/>
        </w:rPr>
        <w:t>הודה בעבירות המיוחסות לו</w:t>
      </w:r>
      <w:r>
        <w:rPr>
          <w:rFonts w:ascii="David" w:hAnsi="David" w:hint="cs"/>
          <w:color w:val="000000"/>
          <w:rtl/>
        </w:rPr>
        <w:t xml:space="preserve"> ופירט את הנסיבות שהובילו לביצוע העבירות, שהיו תולדה של </w:t>
      </w:r>
      <w:r w:rsidRPr="006126F4">
        <w:rPr>
          <w:rFonts w:ascii="David" w:hAnsi="David"/>
          <w:color w:val="000000"/>
          <w:rtl/>
        </w:rPr>
        <w:t>כעס, השפלה וזלזול</w:t>
      </w:r>
      <w:r>
        <w:rPr>
          <w:rFonts w:ascii="David" w:hAnsi="David" w:hint="cs"/>
          <w:color w:val="000000"/>
          <w:rtl/>
        </w:rPr>
        <w:t xml:space="preserve"> בשל אי קיום התחייבות המתלונן לספק לו את הדלתות. עוד צוין כי כתוצאה מכך, הנאשם </w:t>
      </w:r>
      <w:r w:rsidRPr="006126F4">
        <w:rPr>
          <w:rFonts w:ascii="David" w:hAnsi="David"/>
          <w:color w:val="000000"/>
          <w:rtl/>
        </w:rPr>
        <w:t>הגיע למצב קיצו</w:t>
      </w:r>
      <w:r>
        <w:rPr>
          <w:rFonts w:ascii="David" w:hAnsi="David" w:hint="cs"/>
          <w:color w:val="000000"/>
          <w:rtl/>
        </w:rPr>
        <w:t>ן,</w:t>
      </w:r>
      <w:r w:rsidRPr="006126F4">
        <w:rPr>
          <w:rFonts w:ascii="David" w:hAnsi="David"/>
          <w:color w:val="000000"/>
          <w:rtl/>
        </w:rPr>
        <w:t xml:space="preserve"> לא הצליח להרגיע את עצמו, ופעל מתוך תחושת אובדן שליטה. </w:t>
      </w:r>
      <w:r>
        <w:rPr>
          <w:rFonts w:ascii="David" w:hAnsi="David" w:hint="cs"/>
          <w:color w:val="000000"/>
          <w:rtl/>
        </w:rPr>
        <w:t xml:space="preserve">הנאשם תיאר כי הוא </w:t>
      </w:r>
      <w:r w:rsidRPr="006126F4">
        <w:rPr>
          <w:rFonts w:ascii="David" w:hAnsi="David"/>
          <w:color w:val="000000"/>
          <w:rtl/>
        </w:rPr>
        <w:t xml:space="preserve">לווה ממכר נשק במטרה להפחיד את המתלונן כדי שישלם את </w:t>
      </w:r>
      <w:r>
        <w:rPr>
          <w:rFonts w:ascii="David" w:hAnsi="David" w:hint="cs"/>
          <w:color w:val="000000"/>
          <w:rtl/>
        </w:rPr>
        <w:t>ה</w:t>
      </w:r>
      <w:r w:rsidRPr="006126F4">
        <w:rPr>
          <w:rFonts w:ascii="David" w:hAnsi="David"/>
          <w:color w:val="000000"/>
          <w:rtl/>
        </w:rPr>
        <w:t>חוב. הנאשם תיאר כי הפעיל שיקול דעת מוטעה ללא מחשבה לגבי השלכות מעשיו</w:t>
      </w:r>
      <w:r>
        <w:rPr>
          <w:rFonts w:ascii="David" w:hAnsi="David" w:hint="cs"/>
          <w:color w:val="000000"/>
          <w:rtl/>
        </w:rPr>
        <w:t xml:space="preserve">, וכי בעקבות ההליך שעבר במסגרת מעצרו </w:t>
      </w:r>
      <w:r w:rsidRPr="006126F4">
        <w:rPr>
          <w:rFonts w:ascii="David" w:hAnsi="David"/>
          <w:color w:val="000000"/>
          <w:rtl/>
        </w:rPr>
        <w:t xml:space="preserve">הגיע לתובנות בדבר חומרת מעשיו והשלכותיהם. </w:t>
      </w:r>
    </w:p>
    <w:p w14:paraId="3F598E9C" w14:textId="77777777" w:rsidR="005437DA" w:rsidRPr="006126F4" w:rsidRDefault="005437DA" w:rsidP="005437DA">
      <w:pPr>
        <w:spacing w:line="360" w:lineRule="auto"/>
        <w:rPr>
          <w:rFonts w:ascii="David" w:hAnsi="David"/>
          <w:color w:val="000000"/>
          <w:rtl/>
        </w:rPr>
      </w:pPr>
    </w:p>
    <w:p w14:paraId="69C0C771" w14:textId="77777777" w:rsidR="005437DA" w:rsidRPr="006126F4" w:rsidRDefault="005437DA" w:rsidP="005437DA">
      <w:pPr>
        <w:spacing w:line="360" w:lineRule="auto"/>
        <w:ind w:firstLine="708"/>
        <w:jc w:val="both"/>
        <w:rPr>
          <w:rFonts w:ascii="David" w:hAnsi="David"/>
          <w:color w:val="000000"/>
          <w:rtl/>
        </w:rPr>
      </w:pPr>
      <w:r>
        <w:rPr>
          <w:rFonts w:ascii="David" w:hAnsi="David" w:hint="cs"/>
          <w:color w:val="000000"/>
          <w:rtl/>
        </w:rPr>
        <w:t xml:space="preserve">בסיכום דבריה, </w:t>
      </w:r>
      <w:r w:rsidRPr="006126F4">
        <w:rPr>
          <w:rFonts w:ascii="David" w:hAnsi="David"/>
          <w:color w:val="000000"/>
          <w:rtl/>
        </w:rPr>
        <w:t xml:space="preserve">עורכת חוות הדעת </w:t>
      </w:r>
      <w:r>
        <w:rPr>
          <w:rFonts w:ascii="David" w:hAnsi="David" w:hint="cs"/>
          <w:color w:val="000000"/>
          <w:rtl/>
        </w:rPr>
        <w:t xml:space="preserve">המליצה </w:t>
      </w:r>
      <w:r w:rsidRPr="006126F4">
        <w:rPr>
          <w:rFonts w:ascii="David" w:hAnsi="David"/>
          <w:color w:val="000000"/>
          <w:rtl/>
        </w:rPr>
        <w:t xml:space="preserve">על העדפת הפן השיקומי על פני השמתו </w:t>
      </w:r>
      <w:r>
        <w:rPr>
          <w:rFonts w:ascii="David" w:hAnsi="David" w:hint="cs"/>
          <w:color w:val="000000"/>
          <w:rtl/>
        </w:rPr>
        <w:t xml:space="preserve">של הנאשם </w:t>
      </w:r>
      <w:r w:rsidRPr="006126F4">
        <w:rPr>
          <w:rFonts w:ascii="David" w:hAnsi="David"/>
          <w:color w:val="000000"/>
          <w:rtl/>
        </w:rPr>
        <w:t>במאסר וההשלכות הצפויות בשל כך.</w:t>
      </w:r>
      <w:r>
        <w:rPr>
          <w:rFonts w:ascii="David" w:hAnsi="David" w:hint="cs"/>
          <w:color w:val="000000"/>
          <w:rtl/>
        </w:rPr>
        <w:t xml:space="preserve"> </w:t>
      </w:r>
    </w:p>
    <w:p w14:paraId="23B032EA" w14:textId="77777777" w:rsidR="005437DA" w:rsidRPr="006126F4" w:rsidRDefault="005437DA" w:rsidP="005437DA">
      <w:pPr>
        <w:spacing w:line="360" w:lineRule="auto"/>
        <w:rPr>
          <w:rFonts w:ascii="David" w:hAnsi="David"/>
          <w:color w:val="000000"/>
          <w:rtl/>
        </w:rPr>
      </w:pPr>
    </w:p>
    <w:p w14:paraId="399DEDF6" w14:textId="77777777" w:rsidR="005437DA" w:rsidRPr="00027359" w:rsidRDefault="005437DA" w:rsidP="005437DA">
      <w:pPr>
        <w:pStyle w:val="a9"/>
        <w:numPr>
          <w:ilvl w:val="0"/>
          <w:numId w:val="1"/>
        </w:numPr>
        <w:spacing w:line="360" w:lineRule="auto"/>
        <w:jc w:val="both"/>
        <w:rPr>
          <w:rFonts w:ascii="David" w:hAnsi="David"/>
          <w:color w:val="000000"/>
          <w:rtl/>
        </w:rPr>
      </w:pPr>
      <w:r>
        <w:rPr>
          <w:rFonts w:ascii="David" w:hAnsi="David" w:hint="cs"/>
          <w:color w:val="000000"/>
          <w:rtl/>
        </w:rPr>
        <w:t xml:space="preserve">כמו כן, </w:t>
      </w:r>
      <w:r w:rsidRPr="00027359">
        <w:rPr>
          <w:rFonts w:ascii="David" w:hAnsi="David"/>
          <w:color w:val="000000"/>
          <w:rtl/>
        </w:rPr>
        <w:t xml:space="preserve">הנאשם הגיש אסופת תעודות לגבי קורסים שונים שעבר בין השנים 2016 ל-2023, בין היתר קורס בקרים מתכנתים וקורס מנהל מערכות גילוי אש ועשן. כן הגיש אסופת מסמכים רפואיים לגבי הניתוח האורתופדי שעבר בגבו. בנוסף הוגש גיליון </w:t>
      </w:r>
      <w:r w:rsidRPr="00027359">
        <w:rPr>
          <w:rFonts w:ascii="David" w:hAnsi="David" w:hint="cs"/>
          <w:color w:val="000000"/>
          <w:rtl/>
        </w:rPr>
        <w:t>הציונים</w:t>
      </w:r>
      <w:r w:rsidRPr="00027359">
        <w:rPr>
          <w:rFonts w:ascii="David" w:hAnsi="David"/>
          <w:color w:val="000000"/>
          <w:rtl/>
        </w:rPr>
        <w:t xml:space="preserve"> של הנאשם בשנה א' בתואר ראשון במנהל עסקים במרכז האקדמי למשפט ועסקים, אישור כי סיים שנה א', ו</w:t>
      </w:r>
      <w:r>
        <w:rPr>
          <w:rFonts w:ascii="David" w:hAnsi="David" w:hint="cs"/>
          <w:color w:val="000000"/>
          <w:rtl/>
        </w:rPr>
        <w:t>מסמך בו תואר כי הוא</w:t>
      </w:r>
      <w:r w:rsidRPr="00027359">
        <w:rPr>
          <w:rFonts w:ascii="David" w:hAnsi="David"/>
          <w:color w:val="000000"/>
          <w:rtl/>
        </w:rPr>
        <w:t xml:space="preserve"> סטודנט שקדן וממושמע. לבסוף ה</w:t>
      </w:r>
      <w:r>
        <w:rPr>
          <w:rFonts w:ascii="David" w:hAnsi="David" w:hint="cs"/>
          <w:color w:val="000000"/>
          <w:rtl/>
        </w:rPr>
        <w:t xml:space="preserve">וגשו </w:t>
      </w:r>
      <w:r w:rsidRPr="00027359">
        <w:rPr>
          <w:rFonts w:ascii="David" w:hAnsi="David"/>
          <w:color w:val="000000"/>
          <w:rtl/>
        </w:rPr>
        <w:t xml:space="preserve">מספר מסמכים חשבוניים, ובהם דוח רווח הפסד ממנו עולה כי הרווח לשנת 2019 מהעסק שבבעלותו עומד על כ-30,000 ₪.  </w:t>
      </w:r>
    </w:p>
    <w:p w14:paraId="7ABEBD9F" w14:textId="77777777" w:rsidR="005437DA" w:rsidRDefault="005437DA" w:rsidP="005437DA">
      <w:pPr>
        <w:spacing w:line="360" w:lineRule="auto"/>
        <w:jc w:val="both"/>
        <w:rPr>
          <w:rFonts w:ascii="David" w:hAnsi="David"/>
          <w:b/>
          <w:bCs/>
          <w:color w:val="000000"/>
          <w:rtl/>
        </w:rPr>
      </w:pPr>
    </w:p>
    <w:p w14:paraId="027D7301" w14:textId="77777777" w:rsidR="005437DA" w:rsidRPr="006126F4" w:rsidRDefault="005437DA" w:rsidP="005437DA">
      <w:pPr>
        <w:spacing w:line="360" w:lineRule="auto"/>
        <w:jc w:val="both"/>
        <w:rPr>
          <w:rFonts w:ascii="David" w:hAnsi="David"/>
          <w:b/>
          <w:bCs/>
          <w:color w:val="000000"/>
          <w:rtl/>
        </w:rPr>
      </w:pPr>
      <w:r w:rsidRPr="006126F4">
        <w:rPr>
          <w:rFonts w:ascii="David" w:hAnsi="David" w:hint="cs"/>
          <w:b/>
          <w:bCs/>
          <w:color w:val="000000"/>
          <w:rtl/>
        </w:rPr>
        <w:t>טיעוני הצדדים לעונש</w:t>
      </w:r>
    </w:p>
    <w:p w14:paraId="21B192C1" w14:textId="77777777" w:rsidR="005437DA" w:rsidRDefault="005437DA" w:rsidP="005437DA">
      <w:pPr>
        <w:spacing w:line="360" w:lineRule="auto"/>
        <w:rPr>
          <w:rFonts w:ascii="David" w:hAnsi="David"/>
          <w:color w:val="000000"/>
          <w:rtl/>
        </w:rPr>
      </w:pPr>
    </w:p>
    <w:p w14:paraId="3457C218" w14:textId="77777777" w:rsidR="005437DA" w:rsidRDefault="005437DA" w:rsidP="005437DA">
      <w:pPr>
        <w:pStyle w:val="a9"/>
        <w:numPr>
          <w:ilvl w:val="0"/>
          <w:numId w:val="1"/>
        </w:numPr>
        <w:spacing w:line="360" w:lineRule="auto"/>
        <w:jc w:val="both"/>
        <w:rPr>
          <w:rFonts w:ascii="David" w:hAnsi="David"/>
          <w:color w:val="000000"/>
        </w:rPr>
      </w:pPr>
      <w:r>
        <w:rPr>
          <w:rFonts w:ascii="David" w:hAnsi="David" w:hint="cs"/>
          <w:i/>
          <w:iCs/>
          <w:color w:val="000000"/>
          <w:rtl/>
        </w:rPr>
        <w:t>טי</w:t>
      </w:r>
      <w:r w:rsidRPr="006126F4">
        <w:rPr>
          <w:rFonts w:ascii="David" w:hAnsi="David"/>
          <w:i/>
          <w:iCs/>
          <w:color w:val="000000"/>
          <w:rtl/>
        </w:rPr>
        <w:t>עוני המאשימה</w:t>
      </w:r>
      <w:r w:rsidR="00523B82">
        <w:rPr>
          <w:rFonts w:ascii="David" w:hAnsi="David"/>
          <w:color w:val="000000"/>
          <w:rtl/>
        </w:rPr>
        <w:t xml:space="preserve"> </w:t>
      </w:r>
      <w:r w:rsidRPr="006126F4">
        <w:rPr>
          <w:rFonts w:ascii="David" w:hAnsi="David"/>
          <w:color w:val="000000"/>
          <w:rtl/>
        </w:rPr>
        <w:t xml:space="preserve">– </w:t>
      </w:r>
    </w:p>
    <w:p w14:paraId="25BDE43E" w14:textId="77777777" w:rsidR="005437DA" w:rsidRDefault="005437DA" w:rsidP="005437DA">
      <w:pPr>
        <w:pStyle w:val="a9"/>
        <w:spacing w:line="360" w:lineRule="auto"/>
        <w:ind w:left="0"/>
        <w:jc w:val="both"/>
        <w:rPr>
          <w:rFonts w:ascii="David" w:hAnsi="David"/>
          <w:i/>
          <w:iCs/>
          <w:color w:val="000000"/>
          <w:rtl/>
        </w:rPr>
      </w:pPr>
    </w:p>
    <w:p w14:paraId="00E9E9FB" w14:textId="77777777" w:rsidR="005437DA" w:rsidRPr="009245CD" w:rsidRDefault="005437DA" w:rsidP="005437DA">
      <w:pPr>
        <w:pStyle w:val="a9"/>
        <w:spacing w:line="360" w:lineRule="auto"/>
        <w:ind w:left="0" w:firstLine="567"/>
        <w:jc w:val="both"/>
        <w:rPr>
          <w:rFonts w:ascii="David" w:hAnsi="David"/>
          <w:color w:val="000000"/>
          <w:rtl/>
        </w:rPr>
      </w:pPr>
      <w:r w:rsidRPr="006126F4">
        <w:rPr>
          <w:rFonts w:ascii="David" w:hAnsi="David"/>
          <w:color w:val="000000"/>
          <w:rtl/>
        </w:rPr>
        <w:t>בטיעוניה, הפנתה המאשימה לערכים המוגנים בעבירות הנשק והדגישה את מדיניות הענישה המחמירה</w:t>
      </w:r>
      <w:r>
        <w:rPr>
          <w:rFonts w:ascii="David" w:hAnsi="David" w:hint="cs"/>
          <w:color w:val="000000"/>
          <w:rtl/>
        </w:rPr>
        <w:t xml:space="preserve"> בעבירות אלו</w:t>
      </w:r>
      <w:r w:rsidRPr="006126F4">
        <w:rPr>
          <w:rFonts w:ascii="David" w:hAnsi="David"/>
          <w:color w:val="000000"/>
          <w:rtl/>
        </w:rPr>
        <w:t>.</w:t>
      </w:r>
      <w:r>
        <w:rPr>
          <w:rFonts w:ascii="David" w:hAnsi="David" w:hint="cs"/>
          <w:color w:val="000000"/>
          <w:rtl/>
        </w:rPr>
        <w:t xml:space="preserve"> </w:t>
      </w:r>
      <w:r w:rsidRPr="00ED300F">
        <w:rPr>
          <w:rFonts w:ascii="David" w:hAnsi="David"/>
          <w:color w:val="000000"/>
          <w:rtl/>
        </w:rPr>
        <w:t xml:space="preserve">המאשימה הפנתה לנסיבות המקרה </w:t>
      </w:r>
      <w:r>
        <w:rPr>
          <w:rFonts w:ascii="David" w:hAnsi="David" w:hint="cs"/>
          <w:color w:val="000000"/>
          <w:rtl/>
        </w:rPr>
        <w:t xml:space="preserve">וציינה כי המדובר באירוע שקדם לו תכנון, </w:t>
      </w:r>
      <w:r w:rsidRPr="00ED300F">
        <w:rPr>
          <w:rFonts w:ascii="David" w:hAnsi="David"/>
          <w:color w:val="000000"/>
          <w:rtl/>
        </w:rPr>
        <w:t xml:space="preserve">הפנתה לפסיקה וטענה כי בנסיבות המקרה מתחם העונש נע בין </w:t>
      </w:r>
      <w:r>
        <w:rPr>
          <w:rFonts w:ascii="David" w:hAnsi="David" w:hint="cs"/>
          <w:color w:val="000000"/>
          <w:rtl/>
        </w:rPr>
        <w:t>36 ל-48 חודשי מאסר בפועל</w:t>
      </w:r>
      <w:r w:rsidRPr="00ED300F">
        <w:rPr>
          <w:rFonts w:ascii="David" w:hAnsi="David"/>
          <w:color w:val="000000"/>
          <w:rtl/>
        </w:rPr>
        <w:t xml:space="preserve">. </w:t>
      </w:r>
    </w:p>
    <w:p w14:paraId="28C1F24A" w14:textId="77777777" w:rsidR="005437DA" w:rsidRPr="00ED300F" w:rsidRDefault="00523B82" w:rsidP="005437DA">
      <w:pPr>
        <w:spacing w:line="360" w:lineRule="auto"/>
        <w:ind w:left="57"/>
        <w:jc w:val="both"/>
        <w:rPr>
          <w:rFonts w:cs="Times New Roman"/>
          <w:color w:val="000000"/>
          <w:rtl/>
        </w:rPr>
      </w:pPr>
      <w:r>
        <w:rPr>
          <w:rFonts w:ascii="David" w:hAnsi="David"/>
          <w:color w:val="000000"/>
          <w:rtl/>
        </w:rPr>
        <w:t xml:space="preserve"> </w:t>
      </w:r>
    </w:p>
    <w:p w14:paraId="3378CBE3" w14:textId="77777777" w:rsidR="005437DA" w:rsidRDefault="005437DA" w:rsidP="005437DA">
      <w:pPr>
        <w:spacing w:line="360" w:lineRule="auto"/>
        <w:ind w:left="57" w:firstLine="651"/>
        <w:jc w:val="both"/>
        <w:rPr>
          <w:rFonts w:cs="Times New Roman"/>
          <w:color w:val="000000"/>
          <w:rtl/>
        </w:rPr>
      </w:pPr>
      <w:r w:rsidRPr="00ED300F">
        <w:rPr>
          <w:rFonts w:ascii="David" w:hAnsi="David"/>
          <w:color w:val="000000"/>
          <w:rtl/>
        </w:rPr>
        <w:t xml:space="preserve">אשר לגזירת העונש בתוך המתחם – המאשימה ציינה </w:t>
      </w:r>
      <w:r>
        <w:rPr>
          <w:rFonts w:ascii="David" w:hAnsi="David" w:hint="cs"/>
          <w:color w:val="000000"/>
          <w:rtl/>
        </w:rPr>
        <w:t xml:space="preserve">כי הנאשם הודה בביצוע העבירות  וכי אין לו הרשעות קודמות. מנגד, ציינה המאשימה כי שירות המבחן לא בא בהמלצה טיפולית ואף המליץ על הטלת מאסר בפועל. על כן ביקשה המאשימה לגזור על הנאשם עונש בחלקו האמצעי הנמוך של המתחם הנטען, לצד מאסר על תנאי, קנס ופיצוי למתלונן. </w:t>
      </w:r>
    </w:p>
    <w:p w14:paraId="3C32A1FD" w14:textId="77777777" w:rsidR="005437DA" w:rsidRDefault="005437DA" w:rsidP="005437DA">
      <w:pPr>
        <w:spacing w:line="360" w:lineRule="auto"/>
        <w:jc w:val="both"/>
        <w:rPr>
          <w:rFonts w:cs="Times New Roman"/>
          <w:color w:val="000000"/>
          <w:rtl/>
        </w:rPr>
      </w:pPr>
    </w:p>
    <w:p w14:paraId="7D7D32EC" w14:textId="77777777" w:rsidR="005437DA" w:rsidRPr="009245CD" w:rsidRDefault="005437DA" w:rsidP="005437DA">
      <w:pPr>
        <w:pStyle w:val="a9"/>
        <w:numPr>
          <w:ilvl w:val="0"/>
          <w:numId w:val="1"/>
        </w:numPr>
        <w:spacing w:line="360" w:lineRule="auto"/>
        <w:jc w:val="both"/>
        <w:rPr>
          <w:rFonts w:ascii="David" w:hAnsi="David"/>
          <w:i/>
          <w:iCs/>
          <w:color w:val="000000"/>
        </w:rPr>
      </w:pPr>
      <w:r w:rsidRPr="00877056">
        <w:rPr>
          <w:rFonts w:ascii="David" w:hAnsi="David"/>
          <w:i/>
          <w:iCs/>
          <w:color w:val="000000"/>
          <w:rtl/>
        </w:rPr>
        <w:t>טיעוני הנאשם</w:t>
      </w:r>
      <w:r>
        <w:rPr>
          <w:rFonts w:ascii="David" w:hAnsi="David" w:hint="cs"/>
          <w:i/>
          <w:iCs/>
          <w:color w:val="000000"/>
          <w:rtl/>
        </w:rPr>
        <w:t xml:space="preserve"> </w:t>
      </w:r>
      <w:r>
        <w:rPr>
          <w:rFonts w:ascii="David" w:hAnsi="David"/>
          <w:i/>
          <w:iCs/>
          <w:color w:val="000000"/>
          <w:rtl/>
        </w:rPr>
        <w:t>–</w:t>
      </w:r>
      <w:r>
        <w:rPr>
          <w:rFonts w:ascii="David" w:hAnsi="David" w:hint="cs"/>
          <w:color w:val="000000"/>
          <w:rtl/>
        </w:rPr>
        <w:t xml:space="preserve">  </w:t>
      </w:r>
    </w:p>
    <w:p w14:paraId="47177F52" w14:textId="77777777" w:rsidR="005437DA" w:rsidRDefault="005437DA" w:rsidP="005437DA">
      <w:pPr>
        <w:pStyle w:val="a9"/>
        <w:spacing w:line="360" w:lineRule="auto"/>
        <w:ind w:left="0" w:firstLine="708"/>
        <w:jc w:val="both"/>
        <w:rPr>
          <w:rFonts w:ascii="David" w:hAnsi="David"/>
          <w:color w:val="000000"/>
          <w:rtl/>
        </w:rPr>
      </w:pPr>
    </w:p>
    <w:p w14:paraId="6B7C42BB" w14:textId="77777777" w:rsidR="005437DA" w:rsidRPr="003F7FA8" w:rsidRDefault="005437DA" w:rsidP="005437DA">
      <w:pPr>
        <w:pStyle w:val="a9"/>
        <w:spacing w:line="360" w:lineRule="auto"/>
        <w:ind w:left="0" w:firstLine="567"/>
        <w:jc w:val="both"/>
        <w:rPr>
          <w:rFonts w:ascii="David" w:hAnsi="David"/>
          <w:i/>
          <w:iCs/>
          <w:color w:val="000000"/>
        </w:rPr>
      </w:pPr>
      <w:r>
        <w:rPr>
          <w:rFonts w:ascii="David" w:hAnsi="David" w:hint="cs"/>
          <w:color w:val="000000"/>
          <w:rtl/>
        </w:rPr>
        <w:t xml:space="preserve">הסנגור טען כי לשם קביעת מתחם העונש ההולם יש לתת את הדעת לסיבות שהובילו את הנאשם לביצוע העבירות ולפגיעה הנמוכה, כך לפי הנטען, בערכים החברתיים המוגנים. </w:t>
      </w:r>
    </w:p>
    <w:p w14:paraId="1918E6E3" w14:textId="77777777" w:rsidR="005437DA" w:rsidRPr="003F7FA8" w:rsidRDefault="005437DA" w:rsidP="005437DA">
      <w:pPr>
        <w:pStyle w:val="a9"/>
        <w:spacing w:line="360" w:lineRule="auto"/>
        <w:ind w:left="57"/>
        <w:jc w:val="both"/>
        <w:rPr>
          <w:rFonts w:ascii="David" w:hAnsi="David"/>
          <w:i/>
          <w:iCs/>
          <w:color w:val="000000"/>
        </w:rPr>
      </w:pPr>
    </w:p>
    <w:p w14:paraId="6B5E5C1E" w14:textId="77777777" w:rsidR="005437DA" w:rsidRPr="00EB356C" w:rsidRDefault="005437DA" w:rsidP="005437DA">
      <w:pPr>
        <w:pStyle w:val="a9"/>
        <w:spacing w:line="360" w:lineRule="auto"/>
        <w:ind w:left="57" w:firstLine="651"/>
        <w:jc w:val="both"/>
        <w:rPr>
          <w:rFonts w:ascii="David" w:hAnsi="David"/>
          <w:color w:val="000000"/>
          <w:rtl/>
        </w:rPr>
      </w:pPr>
      <w:r>
        <w:rPr>
          <w:rFonts w:ascii="David" w:hAnsi="David" w:hint="cs"/>
          <w:color w:val="000000"/>
          <w:rtl/>
        </w:rPr>
        <w:t>לעניין נסיבות ביצוע העבירות, נטען כי הנאשם הגיע אל המתלונן בנסיבות שאין לראותן בחומרה, לאחר שהמתלונן לא ענה לשיחות הטלפון של הנאשם. נטען עוד כי ביצוע העבירה מקורו בטעות. בשונה מתיקי נשק אחרים, במקרה שלפנינו הנאשם לא עשה שימוש בנשק, ולאחר ש</w:t>
      </w:r>
      <w:r w:rsidRPr="00D314C6">
        <w:rPr>
          <w:rFonts w:ascii="David" w:hAnsi="David" w:hint="cs"/>
          <w:color w:val="000000"/>
          <w:rtl/>
        </w:rPr>
        <w:t>שמע שהיה ירי במקום, ירי שלא בוצע על ידו, הוא בחר ל</w:t>
      </w:r>
      <w:r>
        <w:rPr>
          <w:rFonts w:ascii="David" w:hAnsi="David" w:hint="cs"/>
          <w:color w:val="000000"/>
          <w:rtl/>
        </w:rPr>
        <w:t>עזוב את המקום ו</w:t>
      </w:r>
      <w:r w:rsidRPr="00D314C6">
        <w:rPr>
          <w:rFonts w:ascii="David" w:hAnsi="David" w:hint="cs"/>
          <w:color w:val="000000"/>
          <w:rtl/>
        </w:rPr>
        <w:t>לברוח</w:t>
      </w:r>
      <w:r>
        <w:rPr>
          <w:rFonts w:ascii="David" w:hAnsi="David" w:hint="cs"/>
          <w:color w:val="000000"/>
          <w:rtl/>
        </w:rPr>
        <w:t>, מה שמעיד</w:t>
      </w:r>
      <w:r w:rsidRPr="00D314C6">
        <w:rPr>
          <w:rFonts w:ascii="David" w:hAnsi="David" w:hint="cs"/>
          <w:color w:val="000000"/>
          <w:rtl/>
        </w:rPr>
        <w:t xml:space="preserve">, </w:t>
      </w:r>
      <w:r>
        <w:rPr>
          <w:rFonts w:ascii="David" w:hAnsi="David" w:hint="cs"/>
          <w:color w:val="000000"/>
          <w:rtl/>
        </w:rPr>
        <w:t xml:space="preserve">כך נטען, כי הנאשם מפחד מכלי נשק, וכי התגבש אצלו ממד של חרטה. כמו כן, הסנגור הדגיש כי העבירות בוצעו על רקע סכסוך כספי, להבדיל ממקרים אחרים של גביית דמי חסות וגביית חובות. </w:t>
      </w:r>
      <w:r w:rsidRPr="00EB356C">
        <w:rPr>
          <w:rFonts w:ascii="David" w:hAnsi="David" w:hint="cs"/>
          <w:color w:val="000000"/>
          <w:rtl/>
        </w:rPr>
        <w:t>כן נטען כי לא נגרם שום נזק כתוצאה ממעשי הנאשם. הסנגור הפנה לפסיקה וטען כי בנסיבות המקרה, מתחם העונש ההולם נע בין מספר חודשי מאסר בפועל ל-24 חודשי מאסר.</w:t>
      </w:r>
    </w:p>
    <w:p w14:paraId="1E00D9F2" w14:textId="77777777" w:rsidR="005437DA" w:rsidRDefault="005437DA" w:rsidP="005437DA">
      <w:pPr>
        <w:pStyle w:val="a9"/>
        <w:spacing w:line="360" w:lineRule="auto"/>
        <w:ind w:left="57" w:firstLine="651"/>
        <w:jc w:val="both"/>
        <w:rPr>
          <w:rFonts w:ascii="David" w:hAnsi="David"/>
          <w:color w:val="000000"/>
          <w:rtl/>
        </w:rPr>
      </w:pPr>
    </w:p>
    <w:p w14:paraId="21B5D3E3" w14:textId="77777777" w:rsidR="005437DA" w:rsidRPr="00370782" w:rsidRDefault="005437DA" w:rsidP="005437DA">
      <w:pPr>
        <w:pStyle w:val="a9"/>
        <w:spacing w:line="360" w:lineRule="auto"/>
        <w:ind w:left="57" w:firstLine="651"/>
        <w:jc w:val="both"/>
        <w:rPr>
          <w:rFonts w:ascii="David" w:hAnsi="David"/>
          <w:i/>
          <w:iCs/>
          <w:color w:val="000000"/>
          <w:rtl/>
        </w:rPr>
      </w:pPr>
      <w:r>
        <w:rPr>
          <w:rFonts w:ascii="David" w:hAnsi="David" w:hint="cs"/>
          <w:color w:val="000000"/>
          <w:rtl/>
        </w:rPr>
        <w:t xml:space="preserve">לגבי גזירת העונש בתוך המתחם </w:t>
      </w:r>
      <w:r>
        <w:rPr>
          <w:rFonts w:ascii="David" w:hAnsi="David"/>
          <w:color w:val="000000"/>
          <w:rtl/>
        </w:rPr>
        <w:t>–</w:t>
      </w:r>
      <w:r>
        <w:rPr>
          <w:rFonts w:ascii="David" w:hAnsi="David" w:hint="cs"/>
          <w:color w:val="000000"/>
          <w:rtl/>
        </w:rPr>
        <w:t xml:space="preserve"> הסנגור ציין כי הנאשם כבן 26, סובל מבעיות רפואיות, אין לו הרשעות קודמות, ניהל אורח חיים נורמטיבי ועמד להתחתן לפני המעצר. עוד נטען כי בעבר למד הנאשם מספר קורסים מקצועיים, ועובר למעצרו אף סיים שנה ראשונה בלימודי מנהל עסקים בציונים גבוהים, אך בעקבות מעצרו הופסקו לימודיו. הסנגור טען כי הראיות מצביעות על כך כי אין המדובר בעבריין אלא במי שמעד באופן חד פעמי. עוד הפנה הסנגור לכך כי הנאשם הודה בעובדות כתב האישום וכי אין לקבל את האמור בתסקיר לפיו הנאשם לא הודה בביצוע עבירת הנשק. לשיטת הסנגור, הערכת שירות המבחן באשר לסיכון להישנות עבירות היא תולדה של הנתון לפיו הנאשם לא הודה בעבירת הנשק. כן הפנה הסנגור ל"חסרים" אחרים בתסקיר שירות המבחן כגון אי התייחסות להכשרתו המקצועית, להליך הטיפולי שעבר בבית המעצר, ולמצבו הרפואי. הסנגור טען כי בשל הקשיים בתסקיר, יש להעדיף את האמור </w:t>
      </w:r>
      <w:r w:rsidRPr="00512E3D">
        <w:rPr>
          <w:rFonts w:ascii="David" w:hAnsi="David" w:hint="cs"/>
          <w:color w:val="000000"/>
          <w:rtl/>
        </w:rPr>
        <w:t>בחוות הדעת הפרטית</w:t>
      </w:r>
      <w:r>
        <w:rPr>
          <w:rFonts w:ascii="David" w:hAnsi="David" w:hint="cs"/>
          <w:color w:val="000000"/>
          <w:rtl/>
        </w:rPr>
        <w:t xml:space="preserve">. עוד נטען כי בהינתן העובדה שמדובר באירוע יוצא דופן, ספציפי וחד פעמי, אין הצדקה להחמרה בעונשו של הנאשם ויש להסתפק בתקופת מעצרו. לבסוף, </w:t>
      </w:r>
      <w:r w:rsidRPr="00370782">
        <w:rPr>
          <w:rFonts w:ascii="David" w:hAnsi="David" w:hint="cs"/>
          <w:color w:val="000000"/>
          <w:rtl/>
        </w:rPr>
        <w:t xml:space="preserve">הסנגור </w:t>
      </w:r>
      <w:r>
        <w:rPr>
          <w:rFonts w:ascii="David" w:hAnsi="David" w:hint="cs"/>
          <w:color w:val="000000"/>
          <w:rtl/>
        </w:rPr>
        <w:t>הפנה לכך כי ה</w:t>
      </w:r>
      <w:r w:rsidRPr="00370782">
        <w:rPr>
          <w:rFonts w:ascii="David" w:hAnsi="David" w:hint="cs"/>
          <w:color w:val="000000"/>
          <w:rtl/>
        </w:rPr>
        <w:t>מתלונן השלים עם הנאשם</w:t>
      </w:r>
      <w:r>
        <w:rPr>
          <w:rFonts w:ascii="David" w:hAnsi="David" w:hint="cs"/>
          <w:color w:val="000000"/>
          <w:rtl/>
        </w:rPr>
        <w:t>.</w:t>
      </w:r>
      <w:r w:rsidRPr="00370782">
        <w:rPr>
          <w:rFonts w:ascii="David" w:hAnsi="David" w:hint="cs"/>
          <w:color w:val="000000"/>
          <w:rtl/>
        </w:rPr>
        <w:t xml:space="preserve"> </w:t>
      </w:r>
    </w:p>
    <w:p w14:paraId="578E5D11" w14:textId="77777777" w:rsidR="005437DA" w:rsidRDefault="005437DA" w:rsidP="005437DA">
      <w:pPr>
        <w:spacing w:line="360" w:lineRule="auto"/>
        <w:jc w:val="both"/>
        <w:rPr>
          <w:rFonts w:ascii="David" w:hAnsi="David"/>
          <w:color w:val="000000"/>
          <w:rtl/>
        </w:rPr>
      </w:pPr>
    </w:p>
    <w:p w14:paraId="0B953876" w14:textId="77777777" w:rsidR="005437DA" w:rsidRPr="00FA7048" w:rsidRDefault="005437DA" w:rsidP="005437DA">
      <w:pPr>
        <w:pStyle w:val="a9"/>
        <w:numPr>
          <w:ilvl w:val="0"/>
          <w:numId w:val="1"/>
        </w:numPr>
        <w:spacing w:line="360" w:lineRule="auto"/>
        <w:jc w:val="both"/>
        <w:rPr>
          <w:rFonts w:ascii="David" w:hAnsi="David"/>
          <w:color w:val="000000"/>
          <w:rtl/>
        </w:rPr>
      </w:pPr>
      <w:r>
        <w:rPr>
          <w:rFonts w:ascii="David" w:hAnsi="David" w:hint="cs"/>
          <w:color w:val="000000"/>
          <w:rtl/>
        </w:rPr>
        <w:t xml:space="preserve">בדברו האחרון, ציין הנאשם כי בבית המעצר בו הוא שוהה מוכרזים מצבי חירום באופן תדיר, בשל שהותם של עצירים ביטחוניים במקום. מצב זה פגע באפקטיביות השיחה בינו לבין שירות המבחן וגרם לכך שדבריו לא יובנו כהלכה. הנאשם ביקש הזדמנות להמשיך בלימודיו וציין כי הוא שאף ללמוד משפטים ולא הצליח בשל מצבו הכלכלי. הנאשם סיפר שהתחיל לבנות את ביתו ורצה להתחתן, אך בשל לחצים בהם היה נתון עשה טעות. הנאשם ציין את תנאי המעצר הקשים בהם נתון, בפרט על רקע מצבו הרפואי. </w:t>
      </w:r>
      <w:r w:rsidR="00523B82">
        <w:rPr>
          <w:rFonts w:ascii="David" w:hAnsi="David"/>
          <w:color w:val="000000"/>
          <w:rtl/>
        </w:rPr>
        <w:t xml:space="preserve"> </w:t>
      </w:r>
    </w:p>
    <w:p w14:paraId="76A3ADD4" w14:textId="77777777" w:rsidR="005437DA" w:rsidRPr="00CD4477" w:rsidRDefault="005437DA" w:rsidP="005437DA">
      <w:pPr>
        <w:spacing w:line="360" w:lineRule="auto"/>
        <w:jc w:val="both"/>
        <w:rPr>
          <w:rFonts w:cs="Times New Roman"/>
          <w:b/>
          <w:bCs/>
          <w:color w:val="000000"/>
          <w:rtl/>
        </w:rPr>
      </w:pPr>
      <w:r w:rsidRPr="00CD4477">
        <w:rPr>
          <w:rFonts w:ascii="David" w:hAnsi="David"/>
          <w:b/>
          <w:bCs/>
          <w:color w:val="000000"/>
          <w:rtl/>
        </w:rPr>
        <w:br/>
        <w:t>מתחם העונש ההולם</w:t>
      </w:r>
    </w:p>
    <w:p w14:paraId="0050893E" w14:textId="77777777" w:rsidR="005437DA" w:rsidRPr="00ED300F" w:rsidRDefault="00523B82" w:rsidP="005437DA">
      <w:pPr>
        <w:spacing w:line="360" w:lineRule="auto"/>
        <w:jc w:val="both"/>
        <w:rPr>
          <w:rFonts w:cs="Times New Roman"/>
          <w:color w:val="000000"/>
          <w:rtl/>
        </w:rPr>
      </w:pPr>
      <w:r>
        <w:rPr>
          <w:rFonts w:ascii="David" w:hAnsi="David"/>
          <w:color w:val="000000"/>
        </w:rPr>
        <w:t xml:space="preserve"> </w:t>
      </w:r>
    </w:p>
    <w:p w14:paraId="2CADC04E" w14:textId="77777777" w:rsidR="005437DA" w:rsidRPr="007F6BB0" w:rsidRDefault="005437DA" w:rsidP="005437DA">
      <w:pPr>
        <w:pStyle w:val="a9"/>
        <w:numPr>
          <w:ilvl w:val="0"/>
          <w:numId w:val="1"/>
        </w:numPr>
        <w:spacing w:line="360" w:lineRule="auto"/>
        <w:jc w:val="both"/>
        <w:rPr>
          <w:rFonts w:cs="Times New Roman"/>
          <w:color w:val="000000"/>
        </w:rPr>
      </w:pPr>
      <w:r w:rsidRPr="007F6BB0">
        <w:rPr>
          <w:rFonts w:ascii="David" w:hAnsi="David"/>
          <w:color w:val="000000"/>
          <w:rtl/>
        </w:rPr>
        <w:t xml:space="preserve">כידוע, גזירת הדין נעשית, בדרך כלל, בשני שלבים עיקריים: קביעת מתחם עונש הולם ולאחר מכן גזירת העונש בתוך </w:t>
      </w:r>
      <w:r w:rsidRPr="007F6BB0">
        <w:rPr>
          <w:rFonts w:ascii="David" w:hAnsi="David"/>
          <w:rtl/>
        </w:rPr>
        <w:t>המתחם (</w:t>
      </w:r>
      <w:hyperlink r:id="rId17" w:history="1">
        <w:r w:rsidR="00317CE7" w:rsidRPr="00317CE7">
          <w:rPr>
            <w:rStyle w:val="Hyperlink"/>
            <w:rFonts w:ascii="David" w:hAnsi="David"/>
            <w:color w:val="0000FF"/>
            <w:rtl/>
          </w:rPr>
          <w:t>סעיף 40ג'</w:t>
        </w:r>
      </w:hyperlink>
      <w:r w:rsidR="00523B82">
        <w:rPr>
          <w:rFonts w:ascii="David" w:hAnsi="David"/>
          <w:rtl/>
        </w:rPr>
        <w:t xml:space="preserve"> </w:t>
      </w:r>
      <w:r w:rsidRPr="007F6BB0">
        <w:rPr>
          <w:rFonts w:ascii="David" w:hAnsi="David"/>
          <w:rtl/>
        </w:rPr>
        <w:t>ל</w:t>
      </w:r>
      <w:hyperlink r:id="rId18" w:history="1">
        <w:r w:rsidR="00523B82" w:rsidRPr="00523B82">
          <w:rPr>
            <w:rFonts w:ascii="David" w:hAnsi="David"/>
            <w:color w:val="0000FF"/>
            <w:u w:val="single"/>
            <w:rtl/>
          </w:rPr>
          <w:t>חוק העונשין</w:t>
        </w:r>
      </w:hyperlink>
      <w:r w:rsidRPr="007F6BB0">
        <w:rPr>
          <w:rFonts w:ascii="David" w:hAnsi="David"/>
          <w:rtl/>
        </w:rPr>
        <w:t>). בתוך כך יש לבחון אם קיימים שיקולים המצדיקים סטייה מהמתחם. בבוא בית המשפט לקבוע את מתחם העונש, עליו לעשות כן בהתאם לעיקרון המנחה, כלומר קיומו של יחס הולם בין חומרת מעשה העבירה בנסיבותיו ומידת אשמו של הנאשם, לבין סוג ומידת העונש המוטל עליו. לצורך קביעת המתחם, בית המשפט יתחשב בערך החברתי שנפגע מביצוע העבירה, במידת הפגיעה בו, במדיניות הענישה הנהוגה, ובנסיבות הקשורות בביצוע העבירה, כאמור</w:t>
      </w:r>
      <w:r w:rsidR="00523B82">
        <w:rPr>
          <w:rFonts w:ascii="David" w:hAnsi="David"/>
          <w:rtl/>
        </w:rPr>
        <w:t xml:space="preserve"> </w:t>
      </w:r>
      <w:hyperlink r:id="rId19" w:history="1">
        <w:r w:rsidR="00317CE7" w:rsidRPr="00317CE7">
          <w:rPr>
            <w:rStyle w:val="Hyperlink"/>
            <w:rFonts w:ascii="David" w:hAnsi="David"/>
            <w:color w:val="0000FF"/>
            <w:rtl/>
          </w:rPr>
          <w:t>בסעיף 40ט'</w:t>
        </w:r>
      </w:hyperlink>
      <w:r w:rsidR="00523B82">
        <w:rPr>
          <w:rFonts w:ascii="David" w:hAnsi="David"/>
          <w:rtl/>
        </w:rPr>
        <w:t xml:space="preserve"> </w:t>
      </w:r>
      <w:r w:rsidRPr="007F6BB0">
        <w:rPr>
          <w:rFonts w:ascii="David" w:hAnsi="David"/>
          <w:rtl/>
        </w:rPr>
        <w:t>ל</w:t>
      </w:r>
      <w:hyperlink r:id="rId20" w:history="1">
        <w:r w:rsidR="00523B82" w:rsidRPr="00523B82">
          <w:rPr>
            <w:rFonts w:ascii="David" w:hAnsi="David"/>
            <w:color w:val="0000FF"/>
            <w:u w:val="single"/>
            <w:rtl/>
          </w:rPr>
          <w:t>חוק העונשין</w:t>
        </w:r>
      </w:hyperlink>
      <w:r w:rsidRPr="007F6BB0">
        <w:rPr>
          <w:rFonts w:ascii="David" w:hAnsi="David"/>
          <w:rtl/>
        </w:rPr>
        <w:t>.</w:t>
      </w:r>
    </w:p>
    <w:p w14:paraId="20B72D55" w14:textId="77777777" w:rsidR="005437DA" w:rsidRDefault="005437DA" w:rsidP="005437DA">
      <w:pPr>
        <w:pStyle w:val="a9"/>
        <w:spacing w:line="360" w:lineRule="auto"/>
        <w:ind w:left="57"/>
        <w:jc w:val="both"/>
        <w:rPr>
          <w:rFonts w:cs="Times New Roman"/>
          <w:color w:val="000000"/>
        </w:rPr>
      </w:pPr>
    </w:p>
    <w:p w14:paraId="2E52D233" w14:textId="77777777" w:rsidR="005437DA" w:rsidRPr="00A371A9" w:rsidRDefault="005437DA" w:rsidP="005437DA">
      <w:pPr>
        <w:pStyle w:val="a9"/>
        <w:numPr>
          <w:ilvl w:val="0"/>
          <w:numId w:val="1"/>
        </w:numPr>
        <w:spacing w:line="360" w:lineRule="auto"/>
        <w:jc w:val="both"/>
        <w:rPr>
          <w:rFonts w:ascii="David" w:hAnsi="David"/>
          <w:color w:val="000000"/>
        </w:rPr>
      </w:pPr>
      <w:r w:rsidRPr="00F87E82">
        <w:rPr>
          <w:rFonts w:ascii="David" w:hAnsi="David"/>
          <w:color w:val="000000"/>
          <w:rtl/>
        </w:rPr>
        <w:t>הנאשם הורשע בעבירות של נשיאת והובלת נשק</w:t>
      </w:r>
      <w:r w:rsidRPr="00A371A9">
        <w:rPr>
          <w:rFonts w:ascii="David" w:hAnsi="David"/>
          <w:color w:val="000000"/>
          <w:rtl/>
        </w:rPr>
        <w:t xml:space="preserve"> ודרישת נכס באיומים. </w:t>
      </w:r>
    </w:p>
    <w:p w14:paraId="3A56AA78" w14:textId="77777777" w:rsidR="005437DA" w:rsidRPr="00F87E82" w:rsidRDefault="005437DA" w:rsidP="005437DA">
      <w:pPr>
        <w:pStyle w:val="a9"/>
        <w:rPr>
          <w:rFonts w:ascii="David" w:hAnsi="David"/>
          <w:color w:val="000000"/>
          <w:rtl/>
        </w:rPr>
      </w:pPr>
    </w:p>
    <w:p w14:paraId="29D6A36C" w14:textId="77777777" w:rsidR="005437DA" w:rsidRPr="00F87E82" w:rsidRDefault="005437DA" w:rsidP="005437DA">
      <w:pPr>
        <w:pStyle w:val="a9"/>
        <w:numPr>
          <w:ilvl w:val="0"/>
          <w:numId w:val="1"/>
        </w:numPr>
        <w:spacing w:line="360" w:lineRule="auto"/>
        <w:jc w:val="both"/>
        <w:rPr>
          <w:rFonts w:cs="Times New Roman"/>
        </w:rPr>
      </w:pPr>
      <w:r w:rsidRPr="007F6BB0">
        <w:rPr>
          <w:rFonts w:ascii="David" w:hAnsi="David"/>
          <w:color w:val="000000"/>
          <w:rtl/>
        </w:rPr>
        <w:t xml:space="preserve">עבירות הנשק נועדו להגן על חיי אדם ועל שלום הציבור וביטחונו. אין צורך להכביר מילים </w:t>
      </w:r>
      <w:r>
        <w:rPr>
          <w:rFonts w:ascii="David" w:hAnsi="David" w:hint="cs"/>
          <w:color w:val="000000"/>
          <w:rtl/>
        </w:rPr>
        <w:t xml:space="preserve">על </w:t>
      </w:r>
      <w:r w:rsidRPr="007F6BB0">
        <w:rPr>
          <w:rFonts w:ascii="David" w:hAnsi="David"/>
          <w:color w:val="000000"/>
          <w:rtl/>
        </w:rPr>
        <w:t>הסכנה הרבה הטמונה בעבירות הנשק ו</w:t>
      </w:r>
      <w:r>
        <w:rPr>
          <w:rFonts w:ascii="David" w:hAnsi="David" w:hint="cs"/>
          <w:color w:val="000000"/>
          <w:rtl/>
        </w:rPr>
        <w:t>על ה</w:t>
      </w:r>
      <w:r w:rsidRPr="007F6BB0">
        <w:rPr>
          <w:rFonts w:ascii="David" w:hAnsi="David"/>
          <w:color w:val="000000"/>
          <w:rtl/>
        </w:rPr>
        <w:t>נזק שעבירות אלו עלולות להסב לביטחון האישי ולחיי אדם (</w:t>
      </w:r>
      <w:r w:rsidRPr="00F87E82">
        <w:rPr>
          <w:rFonts w:ascii="David" w:hAnsi="David"/>
          <w:rtl/>
        </w:rPr>
        <w:t>ראו:</w:t>
      </w:r>
      <w:r w:rsidR="00523B82">
        <w:rPr>
          <w:rFonts w:ascii="David" w:hAnsi="David"/>
          <w:rtl/>
        </w:rPr>
        <w:t xml:space="preserve"> </w:t>
      </w:r>
      <w:hyperlink r:id="rId21" w:history="1">
        <w:r w:rsidR="00523B82" w:rsidRPr="00523B82">
          <w:rPr>
            <w:rFonts w:ascii="David" w:hAnsi="David"/>
            <w:color w:val="0000FF"/>
            <w:u w:val="single"/>
            <w:rtl/>
          </w:rPr>
          <w:t>ע"פ 3491/13</w:t>
        </w:r>
      </w:hyperlink>
      <w:r w:rsidR="00523B82">
        <w:rPr>
          <w:rFonts w:ascii="David" w:hAnsi="David"/>
          <w:color w:val="000000"/>
          <w:rtl/>
        </w:rPr>
        <w:t xml:space="preserve"> </w:t>
      </w:r>
      <w:r w:rsidRPr="00F87E82">
        <w:rPr>
          <w:rFonts w:ascii="David" w:hAnsi="David"/>
          <w:b/>
          <w:bCs/>
          <w:color w:val="000000"/>
          <w:rtl/>
        </w:rPr>
        <w:t>טוויק נ' מדינת ישראל</w:t>
      </w:r>
      <w:r w:rsidR="00523B82">
        <w:rPr>
          <w:rFonts w:ascii="David" w:hAnsi="David"/>
          <w:color w:val="000000"/>
          <w:rtl/>
        </w:rPr>
        <w:t xml:space="preserve"> </w:t>
      </w:r>
      <w:r w:rsidRPr="007F6BB0">
        <w:rPr>
          <w:rFonts w:ascii="David" w:hAnsi="David"/>
          <w:color w:val="000000"/>
          <w:rtl/>
        </w:rPr>
        <w:t>(15.11.2013)). בית המשפט העליון עמד לא פעם על חומרתן של עבירות מסוג זה ועל מדיניות הענישה ה</w:t>
      </w:r>
      <w:r>
        <w:rPr>
          <w:rFonts w:ascii="David" w:hAnsi="David" w:hint="cs"/>
          <w:color w:val="000000"/>
          <w:rtl/>
        </w:rPr>
        <w:t>ראויה</w:t>
      </w:r>
      <w:r w:rsidRPr="007F6BB0">
        <w:rPr>
          <w:rFonts w:ascii="David" w:hAnsi="David"/>
          <w:color w:val="000000"/>
          <w:rtl/>
        </w:rPr>
        <w:t>, בציינו את החובה להטיל בעבירות אלו עונש חמור ומרתיע (</w:t>
      </w:r>
      <w:r w:rsidRPr="00F87E82">
        <w:rPr>
          <w:rFonts w:ascii="David" w:hAnsi="David"/>
          <w:rtl/>
        </w:rPr>
        <w:t>ראו:</w:t>
      </w:r>
      <w:r w:rsidR="00523B82">
        <w:rPr>
          <w:rFonts w:ascii="David" w:hAnsi="David"/>
          <w:rtl/>
        </w:rPr>
        <w:t xml:space="preserve"> </w:t>
      </w:r>
      <w:hyperlink r:id="rId22" w:history="1">
        <w:r w:rsidR="00523B82" w:rsidRPr="00523B82">
          <w:rPr>
            <w:rFonts w:ascii="David" w:hAnsi="David"/>
            <w:color w:val="0000FF"/>
            <w:u w:val="single"/>
            <w:rtl/>
          </w:rPr>
          <w:t>רע"פ 2718/04</w:t>
        </w:r>
      </w:hyperlink>
      <w:r w:rsidR="00523B82">
        <w:rPr>
          <w:rFonts w:ascii="David" w:hAnsi="David"/>
          <w:rtl/>
        </w:rPr>
        <w:t xml:space="preserve"> </w:t>
      </w:r>
      <w:r w:rsidRPr="00F87E82">
        <w:rPr>
          <w:rFonts w:ascii="David" w:hAnsi="David"/>
          <w:b/>
          <w:bCs/>
          <w:rtl/>
        </w:rPr>
        <w:t>אבו דאחל נ' מדינת ישראל</w:t>
      </w:r>
      <w:r w:rsidR="00523B82">
        <w:rPr>
          <w:rFonts w:ascii="David" w:hAnsi="David"/>
          <w:rtl/>
        </w:rPr>
        <w:t xml:space="preserve"> </w:t>
      </w:r>
      <w:r w:rsidRPr="00F87E82">
        <w:rPr>
          <w:rFonts w:ascii="David" w:hAnsi="David"/>
          <w:rtl/>
        </w:rPr>
        <w:t>(29.3.2004);</w:t>
      </w:r>
      <w:r w:rsidR="00523B82">
        <w:rPr>
          <w:rFonts w:ascii="David" w:hAnsi="David"/>
          <w:rtl/>
        </w:rPr>
        <w:t xml:space="preserve"> </w:t>
      </w:r>
      <w:hyperlink r:id="rId23" w:history="1">
        <w:r w:rsidR="00523B82" w:rsidRPr="00523B82">
          <w:rPr>
            <w:rFonts w:ascii="David" w:hAnsi="David"/>
            <w:color w:val="0000FF"/>
            <w:u w:val="single"/>
            <w:rtl/>
          </w:rPr>
          <w:t>ע"פ 5336/13</w:t>
        </w:r>
      </w:hyperlink>
      <w:r w:rsidR="00523B82">
        <w:rPr>
          <w:rFonts w:ascii="David" w:hAnsi="David"/>
          <w:rtl/>
        </w:rPr>
        <w:t xml:space="preserve"> </w:t>
      </w:r>
      <w:r w:rsidRPr="00F87E82">
        <w:rPr>
          <w:rFonts w:ascii="David" w:hAnsi="David"/>
          <w:b/>
          <w:bCs/>
          <w:rtl/>
        </w:rPr>
        <w:t>צדוק נ' מדינת ישראל</w:t>
      </w:r>
      <w:r w:rsidR="00523B82">
        <w:rPr>
          <w:rFonts w:ascii="David" w:hAnsi="David"/>
          <w:b/>
          <w:bCs/>
          <w:rtl/>
        </w:rPr>
        <w:t xml:space="preserve"> </w:t>
      </w:r>
      <w:r w:rsidRPr="00F87E82">
        <w:rPr>
          <w:rFonts w:ascii="David" w:hAnsi="David"/>
          <w:rtl/>
        </w:rPr>
        <w:t>(17.11.2013)</w:t>
      </w:r>
      <w:r>
        <w:rPr>
          <w:rFonts w:ascii="David" w:hAnsi="David" w:hint="cs"/>
          <w:rtl/>
        </w:rPr>
        <w:t xml:space="preserve">; </w:t>
      </w:r>
      <w:hyperlink r:id="rId24" w:history="1">
        <w:r w:rsidR="00523B82" w:rsidRPr="00523B82">
          <w:rPr>
            <w:rFonts w:ascii="David" w:hAnsi="David"/>
            <w:color w:val="0000FF"/>
            <w:u w:val="single"/>
            <w:rtl/>
          </w:rPr>
          <w:t>ע"פ 6753/23</w:t>
        </w:r>
      </w:hyperlink>
      <w:r w:rsidR="00523B82">
        <w:rPr>
          <w:rFonts w:ascii="David" w:hAnsi="David"/>
          <w:rtl/>
        </w:rPr>
        <w:t xml:space="preserve"> </w:t>
      </w:r>
      <w:r w:rsidRPr="00F87E82">
        <w:rPr>
          <w:rFonts w:ascii="David" w:hAnsi="David"/>
          <w:b/>
          <w:bCs/>
          <w:rtl/>
        </w:rPr>
        <w:t>בסול נ' מדינת ישראל</w:t>
      </w:r>
      <w:r w:rsidR="00523B82">
        <w:rPr>
          <w:rFonts w:ascii="David" w:hAnsi="David"/>
          <w:rtl/>
        </w:rPr>
        <w:t xml:space="preserve"> </w:t>
      </w:r>
      <w:r>
        <w:rPr>
          <w:rFonts w:ascii="David" w:hAnsi="David"/>
          <w:rtl/>
        </w:rPr>
        <w:t>(1.4.2024)</w:t>
      </w:r>
      <w:r>
        <w:rPr>
          <w:rFonts w:ascii="David" w:hAnsi="David" w:hint="cs"/>
          <w:rtl/>
        </w:rPr>
        <w:t xml:space="preserve">). </w:t>
      </w:r>
    </w:p>
    <w:p w14:paraId="2A483A4E" w14:textId="77777777" w:rsidR="005437DA" w:rsidRPr="000109BC" w:rsidRDefault="005437DA" w:rsidP="005437DA">
      <w:pPr>
        <w:pStyle w:val="a9"/>
        <w:rPr>
          <w:rFonts w:cs="Times New Roman"/>
          <w:rtl/>
        </w:rPr>
      </w:pPr>
    </w:p>
    <w:p w14:paraId="2FF19489" w14:textId="77777777" w:rsidR="005437DA" w:rsidRDefault="005437DA" w:rsidP="005437DA">
      <w:pPr>
        <w:pStyle w:val="a9"/>
        <w:spacing w:line="360" w:lineRule="auto"/>
        <w:ind w:left="57" w:firstLine="510"/>
        <w:jc w:val="both"/>
        <w:rPr>
          <w:rFonts w:cs="Times New Roman"/>
          <w:rtl/>
        </w:rPr>
      </w:pPr>
      <w:r>
        <w:rPr>
          <w:rFonts w:ascii="David" w:hAnsi="David" w:hint="cs"/>
          <w:color w:val="000000"/>
          <w:rtl/>
        </w:rPr>
        <w:t xml:space="preserve">הצורך בהחמרה </w:t>
      </w:r>
      <w:r w:rsidRPr="00F87E82">
        <w:rPr>
          <w:rFonts w:ascii="David" w:hAnsi="David"/>
          <w:color w:val="000000"/>
          <w:rtl/>
        </w:rPr>
        <w:t>בעונשים בגין עבירות נשק הול</w:t>
      </w:r>
      <w:r>
        <w:rPr>
          <w:rFonts w:ascii="David" w:hAnsi="David" w:hint="cs"/>
          <w:color w:val="000000"/>
          <w:rtl/>
        </w:rPr>
        <w:t>ך</w:t>
      </w:r>
      <w:r w:rsidRPr="00F87E82">
        <w:rPr>
          <w:rFonts w:ascii="David" w:hAnsi="David"/>
          <w:color w:val="000000"/>
          <w:rtl/>
        </w:rPr>
        <w:t xml:space="preserve"> וגובר, </w:t>
      </w:r>
      <w:r>
        <w:rPr>
          <w:rFonts w:ascii="David" w:hAnsi="David" w:hint="cs"/>
          <w:color w:val="000000"/>
          <w:rtl/>
        </w:rPr>
        <w:t xml:space="preserve">על רקע המציאות הקשה בה עבירות הנשק הפכו למכת מדינה, שגובה קורבנות רבים </w:t>
      </w:r>
      <w:r w:rsidRPr="00F87E82">
        <w:rPr>
          <w:rFonts w:ascii="David" w:hAnsi="David"/>
          <w:color w:val="000000"/>
          <w:rtl/>
        </w:rPr>
        <w:t xml:space="preserve">(ראו בין </w:t>
      </w:r>
      <w:r w:rsidRPr="00F87E82">
        <w:rPr>
          <w:rFonts w:ascii="David" w:hAnsi="David"/>
          <w:rtl/>
        </w:rPr>
        <w:t>היתר</w:t>
      </w:r>
      <w:r w:rsidR="00523B82">
        <w:rPr>
          <w:rFonts w:ascii="David" w:hAnsi="David"/>
          <w:rtl/>
        </w:rPr>
        <w:t xml:space="preserve"> </w:t>
      </w:r>
      <w:hyperlink r:id="rId25" w:history="1">
        <w:r w:rsidR="00523B82" w:rsidRPr="00523B82">
          <w:rPr>
            <w:rFonts w:ascii="David" w:hAnsi="David"/>
            <w:color w:val="0000FF"/>
            <w:u w:val="single"/>
            <w:rtl/>
          </w:rPr>
          <w:t>ע"פ 4406/19</w:t>
        </w:r>
      </w:hyperlink>
      <w:r w:rsidR="00523B82">
        <w:rPr>
          <w:rFonts w:ascii="David" w:hAnsi="David"/>
          <w:rtl/>
        </w:rPr>
        <w:t xml:space="preserve"> </w:t>
      </w:r>
      <w:r w:rsidRPr="00F87E82">
        <w:rPr>
          <w:rFonts w:ascii="David" w:hAnsi="David"/>
          <w:b/>
          <w:bCs/>
          <w:rtl/>
        </w:rPr>
        <w:t>מדינת ישראל נ' סובח</w:t>
      </w:r>
      <w:r w:rsidRPr="00F87E82">
        <w:rPr>
          <w:rFonts w:ascii="David" w:hAnsi="David"/>
          <w:rtl/>
        </w:rPr>
        <w:t>, פסקאות 16-15 (5.11.2019);</w:t>
      </w:r>
      <w:r w:rsidR="00523B82">
        <w:rPr>
          <w:rFonts w:ascii="David" w:hAnsi="David"/>
          <w:rtl/>
        </w:rPr>
        <w:t xml:space="preserve"> </w:t>
      </w:r>
      <w:hyperlink r:id="rId26" w:history="1">
        <w:r w:rsidR="00523B82" w:rsidRPr="00523B82">
          <w:rPr>
            <w:rFonts w:ascii="David" w:hAnsi="David"/>
            <w:color w:val="0000FF"/>
            <w:u w:val="single"/>
            <w:rtl/>
          </w:rPr>
          <w:t>ע"פ 147/21</w:t>
        </w:r>
      </w:hyperlink>
      <w:r w:rsidR="00523B82">
        <w:rPr>
          <w:rFonts w:ascii="David" w:hAnsi="David"/>
          <w:rtl/>
        </w:rPr>
        <w:t xml:space="preserve"> </w:t>
      </w:r>
      <w:r w:rsidRPr="00F87E82">
        <w:rPr>
          <w:rFonts w:ascii="David" w:hAnsi="David"/>
          <w:b/>
          <w:bCs/>
          <w:rtl/>
        </w:rPr>
        <w:t>מדינת ישראל נ' ביטון</w:t>
      </w:r>
      <w:r w:rsidR="00523B82">
        <w:rPr>
          <w:rFonts w:ascii="David" w:hAnsi="David"/>
          <w:rtl/>
        </w:rPr>
        <w:t xml:space="preserve"> </w:t>
      </w:r>
      <w:r w:rsidRPr="00F87E82">
        <w:rPr>
          <w:rFonts w:ascii="David" w:hAnsi="David"/>
          <w:rtl/>
        </w:rPr>
        <w:t>(14.2.2021);</w:t>
      </w:r>
      <w:r w:rsidR="00523B82">
        <w:rPr>
          <w:rFonts w:ascii="David" w:hAnsi="David"/>
          <w:rtl/>
        </w:rPr>
        <w:t xml:space="preserve"> </w:t>
      </w:r>
      <w:hyperlink r:id="rId27" w:history="1">
        <w:r w:rsidR="00523B82" w:rsidRPr="00523B82">
          <w:rPr>
            <w:rFonts w:ascii="David" w:hAnsi="David"/>
            <w:color w:val="0000FF"/>
            <w:u w:val="single"/>
            <w:rtl/>
          </w:rPr>
          <w:t>ע"פ 5522/20</w:t>
        </w:r>
      </w:hyperlink>
      <w:r w:rsidR="00523B82">
        <w:rPr>
          <w:rFonts w:ascii="David" w:hAnsi="David"/>
          <w:rtl/>
        </w:rPr>
        <w:t xml:space="preserve"> </w:t>
      </w:r>
      <w:r w:rsidRPr="00F87E82">
        <w:rPr>
          <w:rFonts w:ascii="David" w:hAnsi="David"/>
          <w:b/>
          <w:bCs/>
          <w:rtl/>
        </w:rPr>
        <w:t>חלייחל נ' מדינת ישראל</w:t>
      </w:r>
      <w:r w:rsidR="00523B82">
        <w:rPr>
          <w:rFonts w:ascii="David" w:hAnsi="David"/>
          <w:b/>
          <w:bCs/>
          <w:rtl/>
        </w:rPr>
        <w:t xml:space="preserve"> </w:t>
      </w:r>
      <w:r w:rsidRPr="00F87E82">
        <w:rPr>
          <w:rFonts w:ascii="David" w:hAnsi="David"/>
          <w:rtl/>
        </w:rPr>
        <w:t>(24.2.2021);</w:t>
      </w:r>
      <w:r w:rsidR="00523B82">
        <w:rPr>
          <w:rFonts w:ascii="David" w:hAnsi="David"/>
          <w:rtl/>
        </w:rPr>
        <w:t xml:space="preserve"> </w:t>
      </w:r>
      <w:hyperlink r:id="rId28" w:history="1">
        <w:r w:rsidR="00523B82" w:rsidRPr="00523B82">
          <w:rPr>
            <w:rFonts w:ascii="David" w:hAnsi="David"/>
            <w:color w:val="0000FF"/>
            <w:u w:val="single"/>
            <w:rtl/>
          </w:rPr>
          <w:t>ע"פ 4207/21</w:t>
        </w:r>
      </w:hyperlink>
      <w:r w:rsidR="00523B82">
        <w:rPr>
          <w:rFonts w:ascii="David" w:hAnsi="David"/>
          <w:rtl/>
        </w:rPr>
        <w:t xml:space="preserve"> </w:t>
      </w:r>
      <w:r w:rsidRPr="00F87E82">
        <w:rPr>
          <w:rFonts w:ascii="David" w:hAnsi="David"/>
          <w:b/>
          <w:bCs/>
          <w:rtl/>
        </w:rPr>
        <w:t>נורי נ' מדינת ישראל</w:t>
      </w:r>
      <w:r w:rsidR="00523B82">
        <w:rPr>
          <w:rFonts w:ascii="David" w:hAnsi="David"/>
          <w:rtl/>
        </w:rPr>
        <w:t xml:space="preserve"> </w:t>
      </w:r>
      <w:r w:rsidRPr="00F87E82">
        <w:rPr>
          <w:rFonts w:ascii="David" w:hAnsi="David"/>
          <w:rtl/>
        </w:rPr>
        <w:t>(28.7.2021);</w:t>
      </w:r>
      <w:r w:rsidR="00523B82">
        <w:rPr>
          <w:rFonts w:ascii="David" w:hAnsi="David"/>
          <w:rtl/>
        </w:rPr>
        <w:t xml:space="preserve"> </w:t>
      </w:r>
      <w:hyperlink r:id="rId29" w:history="1">
        <w:r w:rsidR="00523B82" w:rsidRPr="00523B82">
          <w:rPr>
            <w:rFonts w:ascii="David" w:hAnsi="David"/>
            <w:color w:val="0000FF"/>
            <w:u w:val="single"/>
            <w:rtl/>
          </w:rPr>
          <w:t>ע"פ 4456/21</w:t>
        </w:r>
      </w:hyperlink>
      <w:r w:rsidR="00523B82">
        <w:rPr>
          <w:rFonts w:ascii="David" w:hAnsi="David"/>
          <w:rtl/>
        </w:rPr>
        <w:t xml:space="preserve"> </w:t>
      </w:r>
      <w:r w:rsidRPr="00F87E82">
        <w:rPr>
          <w:rFonts w:ascii="David" w:hAnsi="David"/>
          <w:b/>
          <w:bCs/>
          <w:rtl/>
        </w:rPr>
        <w:t>מדינת ישראל נ' אבו עבסה</w:t>
      </w:r>
      <w:r w:rsidR="00523B82">
        <w:rPr>
          <w:rFonts w:ascii="David" w:hAnsi="David"/>
          <w:b/>
          <w:bCs/>
          <w:rtl/>
        </w:rPr>
        <w:t xml:space="preserve"> </w:t>
      </w:r>
      <w:r w:rsidRPr="00F87E82">
        <w:rPr>
          <w:rFonts w:ascii="David" w:hAnsi="David"/>
          <w:rtl/>
        </w:rPr>
        <w:t>(23.1.2022);</w:t>
      </w:r>
      <w:r w:rsidR="00523B82">
        <w:rPr>
          <w:rFonts w:ascii="David" w:hAnsi="David"/>
          <w:rtl/>
        </w:rPr>
        <w:t xml:space="preserve"> </w:t>
      </w:r>
      <w:hyperlink r:id="rId30" w:history="1">
        <w:r w:rsidR="00523B82" w:rsidRPr="00523B82">
          <w:rPr>
            <w:rFonts w:ascii="David" w:hAnsi="David"/>
            <w:color w:val="0000FF"/>
            <w:u w:val="single"/>
            <w:rtl/>
          </w:rPr>
          <w:t>ע"פ 8869/21</w:t>
        </w:r>
      </w:hyperlink>
      <w:r w:rsidR="00523B82">
        <w:rPr>
          <w:rFonts w:ascii="David" w:hAnsi="David"/>
          <w:rtl/>
        </w:rPr>
        <w:t xml:space="preserve"> </w:t>
      </w:r>
      <w:r w:rsidRPr="00F87E82">
        <w:rPr>
          <w:rFonts w:ascii="David" w:hAnsi="David"/>
          <w:b/>
          <w:bCs/>
          <w:rtl/>
        </w:rPr>
        <w:t>מדינת ישראל נ' קואסמה</w:t>
      </w:r>
      <w:r w:rsidR="00523B82">
        <w:rPr>
          <w:rFonts w:ascii="David" w:hAnsi="David"/>
          <w:rtl/>
        </w:rPr>
        <w:t xml:space="preserve"> </w:t>
      </w:r>
      <w:r w:rsidRPr="00F87E82">
        <w:rPr>
          <w:rFonts w:ascii="David" w:hAnsi="David"/>
          <w:rtl/>
        </w:rPr>
        <w:t>(13.3.2022);</w:t>
      </w:r>
      <w:r w:rsidR="00523B82">
        <w:rPr>
          <w:rFonts w:ascii="David" w:hAnsi="David"/>
          <w:rtl/>
        </w:rPr>
        <w:t xml:space="preserve"> </w:t>
      </w:r>
      <w:hyperlink r:id="rId31" w:history="1">
        <w:r w:rsidR="00523B82" w:rsidRPr="00523B82">
          <w:rPr>
            <w:rFonts w:ascii="David" w:hAnsi="David"/>
            <w:color w:val="0000FF"/>
            <w:u w:val="single"/>
            <w:rtl/>
          </w:rPr>
          <w:t>ע"פ 579/22</w:t>
        </w:r>
      </w:hyperlink>
      <w:r w:rsidR="00523B82">
        <w:rPr>
          <w:rFonts w:ascii="David" w:hAnsi="David"/>
          <w:rtl/>
        </w:rPr>
        <w:t xml:space="preserve"> </w:t>
      </w:r>
      <w:r w:rsidRPr="00F87E82">
        <w:rPr>
          <w:rFonts w:ascii="David" w:hAnsi="David"/>
          <w:b/>
          <w:bCs/>
          <w:rtl/>
        </w:rPr>
        <w:t>מדינת ישראל נ' טחאינה</w:t>
      </w:r>
      <w:r w:rsidR="00523B82">
        <w:rPr>
          <w:rFonts w:ascii="David" w:hAnsi="David"/>
          <w:b/>
          <w:bCs/>
          <w:rtl/>
        </w:rPr>
        <w:t xml:space="preserve"> </w:t>
      </w:r>
      <w:r w:rsidRPr="00F87E82">
        <w:rPr>
          <w:rFonts w:ascii="David" w:hAnsi="David"/>
          <w:rtl/>
        </w:rPr>
        <w:t>(13.6.2022)). גם המחוקק ביטא עמדה ברורה שיש להחמיר בעונשים בגין עבירות נשק, זאת במסגרת</w:t>
      </w:r>
      <w:r w:rsidR="00523B82">
        <w:rPr>
          <w:rFonts w:ascii="David" w:hAnsi="David"/>
          <w:rtl/>
        </w:rPr>
        <w:t xml:space="preserve"> </w:t>
      </w:r>
      <w:hyperlink r:id="rId32" w:history="1">
        <w:r w:rsidR="00317CE7" w:rsidRPr="00317CE7">
          <w:rPr>
            <w:rStyle w:val="Hyperlink"/>
            <w:rFonts w:ascii="David" w:hAnsi="David"/>
            <w:color w:val="0000FF"/>
            <w:rtl/>
          </w:rPr>
          <w:t>סעיף 144(ז)</w:t>
        </w:r>
      </w:hyperlink>
      <w:r w:rsidR="00523B82">
        <w:rPr>
          <w:rFonts w:ascii="David" w:hAnsi="David"/>
          <w:rtl/>
        </w:rPr>
        <w:t xml:space="preserve"> </w:t>
      </w:r>
      <w:r w:rsidRPr="00F87E82">
        <w:rPr>
          <w:rFonts w:ascii="David" w:hAnsi="David"/>
          <w:rtl/>
        </w:rPr>
        <w:t>ל</w:t>
      </w:r>
      <w:hyperlink r:id="rId33" w:history="1">
        <w:r w:rsidR="00523B82" w:rsidRPr="00523B82">
          <w:rPr>
            <w:rFonts w:ascii="David" w:hAnsi="David"/>
            <w:color w:val="0000FF"/>
            <w:u w:val="single"/>
            <w:rtl/>
          </w:rPr>
          <w:t>חוק העונשין</w:t>
        </w:r>
      </w:hyperlink>
      <w:r w:rsidRPr="00F87E82">
        <w:rPr>
          <w:rFonts w:ascii="David" w:hAnsi="David"/>
          <w:rtl/>
        </w:rPr>
        <w:t>, אשר חוקק בתיקון מס' 140 (חוק העונשין (תיקון מס' 140 – הוראת שעה), התשפ"ב-2021, ס"ח 2938).</w:t>
      </w:r>
    </w:p>
    <w:p w14:paraId="61DC0936" w14:textId="77777777" w:rsidR="005437DA" w:rsidRDefault="005437DA" w:rsidP="005437DA">
      <w:pPr>
        <w:spacing w:line="360" w:lineRule="auto"/>
        <w:jc w:val="both"/>
        <w:rPr>
          <w:rFonts w:cs="Times New Roman"/>
          <w:rtl/>
        </w:rPr>
      </w:pPr>
    </w:p>
    <w:p w14:paraId="515A345C" w14:textId="77777777" w:rsidR="005437DA" w:rsidRDefault="005437DA" w:rsidP="005437DA">
      <w:pPr>
        <w:pStyle w:val="a9"/>
        <w:spacing w:line="360" w:lineRule="auto"/>
        <w:ind w:left="0" w:firstLine="567"/>
        <w:jc w:val="both"/>
        <w:rPr>
          <w:rFonts w:ascii="David" w:hAnsi="David"/>
          <w:rtl/>
        </w:rPr>
      </w:pPr>
      <w:r w:rsidRPr="00D61051">
        <w:rPr>
          <w:rFonts w:ascii="David" w:hAnsi="David"/>
          <w:rtl/>
        </w:rPr>
        <w:t>ב</w:t>
      </w:r>
      <w:hyperlink r:id="rId34" w:history="1">
        <w:r w:rsidR="00523B82" w:rsidRPr="00523B82">
          <w:rPr>
            <w:rFonts w:ascii="David" w:hAnsi="David"/>
            <w:color w:val="0000FF"/>
            <w:u w:val="single"/>
            <w:rtl/>
          </w:rPr>
          <w:t>ע"פ 7971/23</w:t>
        </w:r>
      </w:hyperlink>
      <w:r w:rsidRPr="00D61051">
        <w:rPr>
          <w:rFonts w:ascii="David" w:hAnsi="David"/>
          <w:rtl/>
        </w:rPr>
        <w:t xml:space="preserve"> </w:t>
      </w:r>
      <w:r w:rsidRPr="00D61051">
        <w:rPr>
          <w:rFonts w:ascii="David" w:hAnsi="David"/>
          <w:b/>
          <w:bCs/>
          <w:rtl/>
        </w:rPr>
        <w:t>אגבאריה נ' מדינת ישראל</w:t>
      </w:r>
      <w:r w:rsidRPr="00D61051">
        <w:rPr>
          <w:rFonts w:ascii="David" w:hAnsi="David"/>
          <w:rtl/>
        </w:rPr>
        <w:t xml:space="preserve"> (26.5.2024) (להלן: עניין </w:t>
      </w:r>
      <w:r w:rsidRPr="00D61051">
        <w:rPr>
          <w:rFonts w:ascii="David" w:hAnsi="David"/>
          <w:b/>
          <w:bCs/>
          <w:rtl/>
        </w:rPr>
        <w:t>אגבאריה</w:t>
      </w:r>
      <w:r w:rsidRPr="00D61051">
        <w:rPr>
          <w:rFonts w:ascii="David" w:hAnsi="David"/>
          <w:rtl/>
        </w:rPr>
        <w:t>)</w:t>
      </w:r>
      <w:r>
        <w:rPr>
          <w:rFonts w:ascii="David" w:hAnsi="David" w:hint="cs"/>
          <w:rtl/>
        </w:rPr>
        <w:t>, ציין בית המשפט העליון דברים אלו באשר למדיניות הענישה בעבירות הנשק</w:t>
      </w:r>
      <w:r w:rsidRPr="00D61051">
        <w:rPr>
          <w:rFonts w:ascii="David" w:hAnsi="David"/>
          <w:rtl/>
        </w:rPr>
        <w:t xml:space="preserve">: </w:t>
      </w:r>
    </w:p>
    <w:p w14:paraId="0C977BCD" w14:textId="77777777" w:rsidR="005437DA" w:rsidRDefault="005437DA" w:rsidP="005437DA">
      <w:pPr>
        <w:pStyle w:val="a9"/>
        <w:spacing w:line="360" w:lineRule="auto"/>
        <w:ind w:left="0" w:firstLine="567"/>
        <w:jc w:val="both"/>
        <w:rPr>
          <w:rFonts w:ascii="David" w:hAnsi="David"/>
          <w:rtl/>
        </w:rPr>
      </w:pPr>
    </w:p>
    <w:p w14:paraId="2A751ACD" w14:textId="77777777" w:rsidR="005437DA" w:rsidRDefault="005437DA" w:rsidP="005437DA">
      <w:pPr>
        <w:pStyle w:val="a9"/>
        <w:ind w:left="1134" w:right="1134"/>
        <w:jc w:val="both"/>
        <w:rPr>
          <w:rFonts w:ascii="David" w:hAnsi="David"/>
        </w:rPr>
      </w:pPr>
      <w:r w:rsidRPr="00D61051">
        <w:rPr>
          <w:rFonts w:ascii="David" w:hAnsi="David"/>
          <w:rtl/>
        </w:rPr>
        <w:t>"</w:t>
      </w:r>
      <w:r w:rsidRPr="00D61051">
        <w:rPr>
          <w:rFonts w:ascii="David" w:hAnsi="David"/>
          <w:b/>
          <w:bCs/>
          <w:rtl/>
        </w:rPr>
        <w:t>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w:t>
      </w:r>
      <w:r>
        <w:rPr>
          <w:rFonts w:ascii="David" w:hAnsi="David" w:hint="cs"/>
          <w:b/>
          <w:bCs/>
          <w:rtl/>
        </w:rPr>
        <w:t>...</w:t>
      </w:r>
      <w:r w:rsidRPr="00D61051">
        <w:rPr>
          <w:rFonts w:ascii="David" w:hAnsi="David"/>
          <w:b/>
          <w:bCs/>
          <w:rtl/>
        </w:rPr>
        <w:t xml:space="preserve"> ענישה זו כוללת לרוב עונשי מאסר ממושכים לריצוי בפועל, המושתים גם על נאשמים צעירים נעדרי עב</w:t>
      </w:r>
      <w:r w:rsidRPr="00E41406">
        <w:rPr>
          <w:rFonts w:ascii="David" w:hAnsi="David"/>
          <w:b/>
          <w:bCs/>
          <w:rtl/>
        </w:rPr>
        <w:t xml:space="preserve">ר </w:t>
      </w:r>
      <w:r w:rsidRPr="00E41406">
        <w:rPr>
          <w:rFonts w:ascii="David" w:hAnsi="David" w:hint="cs"/>
          <w:b/>
          <w:bCs/>
          <w:rtl/>
        </w:rPr>
        <w:t>פלילי</w:t>
      </w:r>
      <w:r w:rsidRPr="000109BC">
        <w:rPr>
          <w:rFonts w:ascii="David" w:hAnsi="David" w:hint="cs"/>
          <w:rtl/>
        </w:rPr>
        <w:t>".</w:t>
      </w:r>
    </w:p>
    <w:p w14:paraId="6991EE35" w14:textId="77777777" w:rsidR="005437DA" w:rsidRDefault="005437DA" w:rsidP="005437DA">
      <w:pPr>
        <w:pStyle w:val="a9"/>
        <w:spacing w:line="360" w:lineRule="auto"/>
        <w:ind w:left="57"/>
        <w:jc w:val="both"/>
        <w:rPr>
          <w:rFonts w:ascii="David" w:hAnsi="David"/>
        </w:rPr>
      </w:pPr>
    </w:p>
    <w:p w14:paraId="1E6C48E3" w14:textId="77777777" w:rsidR="005437DA" w:rsidRDefault="005437DA" w:rsidP="005437DA">
      <w:pPr>
        <w:pStyle w:val="a9"/>
        <w:numPr>
          <w:ilvl w:val="0"/>
          <w:numId w:val="1"/>
        </w:numPr>
        <w:spacing w:line="360" w:lineRule="auto"/>
        <w:jc w:val="both"/>
        <w:rPr>
          <w:rFonts w:ascii="David" w:hAnsi="David"/>
        </w:rPr>
      </w:pPr>
      <w:r>
        <w:rPr>
          <w:rFonts w:ascii="David" w:hAnsi="David"/>
          <w:rtl/>
        </w:rPr>
        <w:t>עבירת דרישת נכס באיומים</w:t>
      </w:r>
      <w:r>
        <w:rPr>
          <w:rFonts w:ascii="David" w:hAnsi="David" w:hint="cs"/>
          <w:rtl/>
        </w:rPr>
        <w:t xml:space="preserve"> היא </w:t>
      </w:r>
      <w:r w:rsidRPr="00F6628E">
        <w:rPr>
          <w:rFonts w:ascii="David" w:hAnsi="David"/>
          <w:rtl/>
        </w:rPr>
        <w:t>עביר</w:t>
      </w:r>
      <w:r>
        <w:rPr>
          <w:rFonts w:ascii="David" w:hAnsi="David" w:hint="cs"/>
          <w:rtl/>
        </w:rPr>
        <w:t>ת</w:t>
      </w:r>
      <w:r w:rsidRPr="00F6628E">
        <w:rPr>
          <w:rFonts w:ascii="David" w:hAnsi="David"/>
          <w:rtl/>
        </w:rPr>
        <w:t xml:space="preserve"> רכוש אשר משולב בה ממד של אלימות פיז</w:t>
      </w:r>
      <w:r>
        <w:rPr>
          <w:rFonts w:ascii="David" w:hAnsi="David"/>
          <w:rtl/>
        </w:rPr>
        <w:t>ית או מילולית כלפי קורבן העבירה. עביר</w:t>
      </w:r>
      <w:r>
        <w:rPr>
          <w:rFonts w:ascii="David" w:hAnsi="David" w:hint="cs"/>
          <w:rtl/>
        </w:rPr>
        <w:t>ה מסוג זה</w:t>
      </w:r>
      <w:r w:rsidRPr="00F6628E">
        <w:rPr>
          <w:rFonts w:ascii="David" w:hAnsi="David"/>
          <w:rtl/>
        </w:rPr>
        <w:t xml:space="preserve"> </w:t>
      </w:r>
      <w:r>
        <w:rPr>
          <w:rFonts w:ascii="David" w:hAnsi="David"/>
          <w:rtl/>
        </w:rPr>
        <w:t>בא</w:t>
      </w:r>
      <w:r>
        <w:rPr>
          <w:rFonts w:ascii="David" w:hAnsi="David" w:hint="cs"/>
          <w:rtl/>
        </w:rPr>
        <w:t>ה</w:t>
      </w:r>
      <w:r w:rsidRPr="00F6628E">
        <w:rPr>
          <w:rFonts w:ascii="David" w:hAnsi="David"/>
          <w:rtl/>
        </w:rPr>
        <w:t xml:space="preserve"> להגן על בטחונו, שלמות גופו, כבודו, כמו גם על רכושו של כל פרט ופרט מהציבור. זאת, בנוסף לערך הכללי יותר של שמירה על הסדר וביטחון הציבור.</w:t>
      </w:r>
    </w:p>
    <w:p w14:paraId="3B34F9F1" w14:textId="77777777" w:rsidR="005437DA" w:rsidRPr="000109BC" w:rsidRDefault="005437DA" w:rsidP="005437DA">
      <w:pPr>
        <w:pStyle w:val="a9"/>
        <w:spacing w:line="360" w:lineRule="auto"/>
        <w:ind w:left="57"/>
        <w:jc w:val="both"/>
        <w:rPr>
          <w:rFonts w:ascii="David" w:hAnsi="David"/>
          <w:rtl/>
        </w:rPr>
      </w:pPr>
    </w:p>
    <w:p w14:paraId="7A656558" w14:textId="77777777" w:rsidR="005437DA" w:rsidRPr="00712A50" w:rsidRDefault="005437DA" w:rsidP="005437DA">
      <w:pPr>
        <w:pStyle w:val="a9"/>
        <w:numPr>
          <w:ilvl w:val="0"/>
          <w:numId w:val="1"/>
        </w:numPr>
        <w:spacing w:line="360" w:lineRule="auto"/>
        <w:jc w:val="both"/>
        <w:rPr>
          <w:rFonts w:cs="Times New Roman"/>
          <w:color w:val="000000"/>
        </w:rPr>
      </w:pPr>
      <w:r w:rsidRPr="00F87E82">
        <w:rPr>
          <w:rFonts w:ascii="David" w:hAnsi="David"/>
          <w:color w:val="000000"/>
          <w:rtl/>
        </w:rPr>
        <w:t>במסגרת הנסיבות הקשורות בביצוע עבירת הנשק בה הורשע הנאש</w:t>
      </w:r>
      <w:r w:rsidRPr="00F87E82">
        <w:rPr>
          <w:rFonts w:ascii="David" w:hAnsi="David" w:hint="cs"/>
          <w:color w:val="000000"/>
          <w:rtl/>
        </w:rPr>
        <w:t>ם</w:t>
      </w:r>
      <w:r w:rsidRPr="00F87E82">
        <w:rPr>
          <w:rFonts w:ascii="David" w:hAnsi="David"/>
          <w:color w:val="000000"/>
          <w:rtl/>
        </w:rPr>
        <w:t xml:space="preserve"> יש לתת את הדעת </w:t>
      </w:r>
      <w:r w:rsidRPr="00F87E82">
        <w:rPr>
          <w:rFonts w:ascii="David" w:hAnsi="David" w:hint="cs"/>
          <w:color w:val="000000"/>
          <w:rtl/>
        </w:rPr>
        <w:t>ל</w:t>
      </w:r>
      <w:r>
        <w:rPr>
          <w:rFonts w:ascii="David" w:hAnsi="David" w:hint="cs"/>
          <w:color w:val="000000"/>
          <w:rtl/>
        </w:rPr>
        <w:t xml:space="preserve">מספר נתונים: </w:t>
      </w:r>
    </w:p>
    <w:p w14:paraId="1EEDD629" w14:textId="77777777" w:rsidR="005437DA" w:rsidRPr="00F6628E" w:rsidRDefault="005437DA" w:rsidP="005437DA">
      <w:pPr>
        <w:pStyle w:val="a9"/>
        <w:spacing w:line="360" w:lineRule="auto"/>
        <w:ind w:left="57"/>
        <w:jc w:val="both"/>
        <w:rPr>
          <w:rFonts w:ascii="David" w:hAnsi="David"/>
          <w:color w:val="000000"/>
          <w:rtl/>
        </w:rPr>
      </w:pPr>
    </w:p>
    <w:p w14:paraId="253D99AB" w14:textId="77777777" w:rsidR="005437DA" w:rsidRPr="004873E7" w:rsidRDefault="005437DA" w:rsidP="005437DA">
      <w:pPr>
        <w:pStyle w:val="a9"/>
        <w:spacing w:line="360" w:lineRule="auto"/>
        <w:ind w:left="57" w:firstLine="651"/>
        <w:jc w:val="both"/>
        <w:rPr>
          <w:rFonts w:ascii="David" w:hAnsi="David"/>
          <w:color w:val="000000"/>
          <w:rtl/>
        </w:rPr>
      </w:pPr>
      <w:r>
        <w:rPr>
          <w:rFonts w:ascii="David" w:hAnsi="David" w:hint="cs"/>
          <w:color w:val="000000"/>
          <w:rtl/>
        </w:rPr>
        <w:t xml:space="preserve">הנאשם הורשע בעבירות, שכל אחת כשלעצמה נושאת חומרה, לא כל שכן כאשר שתיהן מבוצעות במסגרת אותה מערכת עובדתית. בהקשר לעבירת הנשק, </w:t>
      </w:r>
      <w:r w:rsidRPr="00F87E82">
        <w:rPr>
          <w:rFonts w:ascii="David" w:hAnsi="David" w:hint="cs"/>
          <w:color w:val="000000"/>
          <w:rtl/>
        </w:rPr>
        <w:t>הנאשם נשא והוביל אקדח חצי אוטומטי לרבות כדורים תואמים</w:t>
      </w:r>
      <w:r>
        <w:rPr>
          <w:rFonts w:ascii="David" w:hAnsi="David" w:hint="cs"/>
          <w:color w:val="000000"/>
          <w:rtl/>
        </w:rPr>
        <w:t>;</w:t>
      </w:r>
      <w:r w:rsidRPr="00F87E82">
        <w:rPr>
          <w:rFonts w:ascii="David" w:hAnsi="David" w:hint="cs"/>
          <w:color w:val="000000"/>
          <w:rtl/>
        </w:rPr>
        <w:t xml:space="preserve"> </w:t>
      </w:r>
      <w:r w:rsidRPr="00F87E82">
        <w:rPr>
          <w:rFonts w:ascii="David" w:hAnsi="David"/>
          <w:color w:val="000000"/>
          <w:rtl/>
        </w:rPr>
        <w:t>השילוב של כלי נשק וכלי תחמושת, הובלתם ונשיאתם יחד, מלמד על חומרה, משום שנסיבות ביצוע העבירה מביאות את פוטנציאל הנזק הטמון בעבירות הנשק למצב קיצון.</w:t>
      </w:r>
      <w:r>
        <w:rPr>
          <w:rFonts w:ascii="David" w:hAnsi="David" w:hint="cs"/>
          <w:color w:val="000000"/>
          <w:rtl/>
        </w:rPr>
        <w:t xml:space="preserve"> </w:t>
      </w:r>
      <w:r w:rsidRPr="004873E7">
        <w:rPr>
          <w:rFonts w:ascii="David" w:hAnsi="David" w:hint="cs"/>
          <w:color w:val="000000"/>
          <w:rtl/>
        </w:rPr>
        <w:t>אשר לעבירה של דרישת נכס באיומים</w:t>
      </w:r>
      <w:r>
        <w:rPr>
          <w:rFonts w:ascii="David" w:hAnsi="David" w:hint="cs"/>
          <w:color w:val="000000"/>
          <w:rtl/>
        </w:rPr>
        <w:t xml:space="preserve"> </w:t>
      </w:r>
      <w:r>
        <w:rPr>
          <w:rFonts w:ascii="David" w:hAnsi="David"/>
          <w:color w:val="000000"/>
          <w:rtl/>
        </w:rPr>
        <w:t>–</w:t>
      </w:r>
      <w:r>
        <w:rPr>
          <w:rFonts w:ascii="David" w:hAnsi="David" w:hint="cs"/>
          <w:color w:val="000000"/>
          <w:rtl/>
        </w:rPr>
        <w:t xml:space="preserve"> האיומים אשר הושמעו על ידי הנאשם היו איומים קשים שכללו פגיעה בחייו של הנאשם, וטומנים בחובם שיח עברייני, כגון האמירה כי החוב יתפח  ("והעשר נהיו תשעים"). יתרה מכך, אין המדובר ב</w:t>
      </w:r>
      <w:r w:rsidRPr="004873E7">
        <w:rPr>
          <w:rFonts w:ascii="David" w:hAnsi="David" w:hint="cs"/>
          <w:color w:val="000000"/>
          <w:rtl/>
        </w:rPr>
        <w:t xml:space="preserve">איום חד פעמי, אלא </w:t>
      </w:r>
      <w:r>
        <w:rPr>
          <w:rFonts w:ascii="David" w:hAnsi="David" w:hint="cs"/>
          <w:color w:val="000000"/>
          <w:rtl/>
        </w:rPr>
        <w:t xml:space="preserve">במספר שיחות טלפון והודעות </w:t>
      </w:r>
      <w:r w:rsidRPr="004873E7">
        <w:rPr>
          <w:rFonts w:ascii="David" w:hAnsi="David" w:hint="cs"/>
          <w:color w:val="000000"/>
          <w:rtl/>
        </w:rPr>
        <w:t>קוליות</w:t>
      </w:r>
      <w:r>
        <w:rPr>
          <w:rFonts w:ascii="David" w:hAnsi="David" w:hint="cs"/>
          <w:color w:val="000000"/>
          <w:rtl/>
        </w:rPr>
        <w:t>.</w:t>
      </w:r>
    </w:p>
    <w:p w14:paraId="473D067E" w14:textId="77777777" w:rsidR="005437DA" w:rsidRDefault="005437DA" w:rsidP="005437DA">
      <w:pPr>
        <w:pStyle w:val="a9"/>
        <w:spacing w:line="360" w:lineRule="auto"/>
        <w:ind w:left="57" w:firstLine="651"/>
        <w:jc w:val="both"/>
        <w:rPr>
          <w:rFonts w:ascii="David" w:hAnsi="David"/>
          <w:color w:val="000000"/>
          <w:rtl/>
        </w:rPr>
      </w:pPr>
    </w:p>
    <w:p w14:paraId="0B2EF3A8" w14:textId="77777777" w:rsidR="005437DA" w:rsidRDefault="005437DA" w:rsidP="005437DA">
      <w:pPr>
        <w:pStyle w:val="a9"/>
        <w:spacing w:line="360" w:lineRule="auto"/>
        <w:ind w:left="57" w:firstLine="651"/>
        <w:jc w:val="both"/>
        <w:rPr>
          <w:rFonts w:ascii="David" w:hAnsi="David"/>
          <w:color w:val="000000"/>
          <w:rtl/>
        </w:rPr>
      </w:pPr>
      <w:r>
        <w:rPr>
          <w:rFonts w:ascii="David" w:hAnsi="David" w:hint="cs"/>
          <w:color w:val="000000"/>
          <w:rtl/>
        </w:rPr>
        <w:t xml:space="preserve">במבט אל הסיבות אשר הובילו את הנאשם לביצוע העבירות </w:t>
      </w:r>
      <w:r>
        <w:rPr>
          <w:rFonts w:ascii="David" w:hAnsi="David"/>
          <w:color w:val="000000"/>
          <w:rtl/>
        </w:rPr>
        <w:t>–</w:t>
      </w:r>
      <w:r>
        <w:rPr>
          <w:rFonts w:ascii="David" w:hAnsi="David" w:hint="cs"/>
          <w:color w:val="000000"/>
          <w:rtl/>
        </w:rPr>
        <w:t xml:space="preserve"> הנאשם איים על המתלונן, והגיע לבית העסק שלו כשהוא חמוש באקדח, וזאת על רקע סכסוך כספי בין השניים. בניגוד לנטען על ידי הסנגור, העובדה כי המתלונן היה חייב כסף לנאשם אין בה כדי להאיר את המקרה בנסיבות מקלות, זאת בשל החומרה המתבטאת בבחירתו של הנאשם להעדיף את דרך האלימות כדי לפתור מחלוקות. </w:t>
      </w:r>
    </w:p>
    <w:p w14:paraId="23462C61" w14:textId="77777777" w:rsidR="005437DA" w:rsidRDefault="005437DA" w:rsidP="005437DA">
      <w:pPr>
        <w:pStyle w:val="a9"/>
        <w:spacing w:line="360" w:lineRule="auto"/>
        <w:ind w:left="57" w:firstLine="651"/>
        <w:jc w:val="both"/>
        <w:rPr>
          <w:rFonts w:ascii="David" w:hAnsi="David"/>
          <w:color w:val="000000"/>
          <w:rtl/>
        </w:rPr>
      </w:pPr>
      <w:r>
        <w:rPr>
          <w:rFonts w:ascii="David" w:hAnsi="David" w:hint="cs"/>
          <w:color w:val="000000"/>
          <w:rtl/>
        </w:rPr>
        <w:t xml:space="preserve"> </w:t>
      </w:r>
    </w:p>
    <w:p w14:paraId="56214F7E" w14:textId="77777777" w:rsidR="005437DA" w:rsidRDefault="005437DA" w:rsidP="005437DA">
      <w:pPr>
        <w:pStyle w:val="a9"/>
        <w:spacing w:line="360" w:lineRule="auto"/>
        <w:ind w:left="57" w:firstLine="651"/>
        <w:jc w:val="both"/>
        <w:rPr>
          <w:rFonts w:ascii="David" w:hAnsi="David"/>
          <w:color w:val="000000"/>
          <w:rtl/>
        </w:rPr>
      </w:pPr>
      <w:r>
        <w:rPr>
          <w:rFonts w:ascii="David" w:hAnsi="David" w:hint="cs"/>
          <w:color w:val="000000"/>
          <w:rtl/>
        </w:rPr>
        <w:t xml:space="preserve">זאת ועוד, האירוע מאופיין בתכנון. הנאשם הצטייד באקדח והגיע לבית העסק של המתלונן ובחן אותו. לאחר מכן, הגיע הנאשם פעם נוספת לבית העסק ונותר לשבת ברכב, כאשר לאחר מכן בוצע ירי לעבר בית העסק. מחד, יש לשים את הדגש על כך שהנאשם הגיע לבית העסק של המתלונן פעמיים מה שמלמד על התמדתו להוציא לפועל את תכניתו העבריינית, מצד שני בכתב האישום לא נטען כי הירי בוצע על ידי הנאשם, ואין חולק כי לאחר שהנאשם שמע את ירי לעבר בית העסק </w:t>
      </w:r>
      <w:r>
        <w:rPr>
          <w:rFonts w:ascii="David" w:hAnsi="David"/>
          <w:color w:val="000000"/>
          <w:rtl/>
        </w:rPr>
        <w:t>–</w:t>
      </w:r>
      <w:r>
        <w:rPr>
          <w:rFonts w:ascii="David" w:hAnsi="David" w:hint="cs"/>
          <w:color w:val="000000"/>
          <w:rtl/>
        </w:rPr>
        <w:t xml:space="preserve"> עזב את המקום. </w:t>
      </w:r>
    </w:p>
    <w:p w14:paraId="56F36ED6" w14:textId="77777777" w:rsidR="005437DA" w:rsidRDefault="005437DA" w:rsidP="005437DA">
      <w:pPr>
        <w:spacing w:line="360" w:lineRule="auto"/>
        <w:jc w:val="both"/>
        <w:rPr>
          <w:rFonts w:ascii="David" w:hAnsi="David"/>
          <w:color w:val="000000"/>
          <w:rtl/>
        </w:rPr>
      </w:pPr>
    </w:p>
    <w:p w14:paraId="53EFEE51" w14:textId="77777777" w:rsidR="005437DA" w:rsidRDefault="005437DA" w:rsidP="005437DA">
      <w:pPr>
        <w:pStyle w:val="a9"/>
        <w:numPr>
          <w:ilvl w:val="0"/>
          <w:numId w:val="1"/>
        </w:numPr>
        <w:spacing w:line="360" w:lineRule="auto"/>
        <w:jc w:val="both"/>
        <w:rPr>
          <w:rFonts w:ascii="David" w:hAnsi="David"/>
          <w:color w:val="000000"/>
        </w:rPr>
      </w:pPr>
      <w:r w:rsidRPr="009009E3">
        <w:rPr>
          <w:rFonts w:ascii="David" w:hAnsi="David"/>
          <w:color w:val="000000"/>
          <w:rtl/>
        </w:rPr>
        <w:t xml:space="preserve">לצורך בחינת מדיניות הענישה בעבירות הנשק, הפנו הצדדים לפסקי דין רבים, התומכים </w:t>
      </w:r>
      <w:r>
        <w:rPr>
          <w:rFonts w:ascii="David" w:hAnsi="David"/>
          <w:color w:val="000000"/>
          <w:rtl/>
        </w:rPr>
        <w:t>לשיטתם במדיניות הענישה הנ</w:t>
      </w:r>
      <w:r>
        <w:rPr>
          <w:rFonts w:ascii="David" w:hAnsi="David" w:hint="cs"/>
          <w:color w:val="000000"/>
          <w:rtl/>
        </w:rPr>
        <w:t>והגת הנטענת על ידם</w:t>
      </w:r>
      <w:r>
        <w:rPr>
          <w:rFonts w:ascii="David" w:hAnsi="David"/>
          <w:color w:val="000000"/>
          <w:rtl/>
        </w:rPr>
        <w:t>.</w:t>
      </w:r>
      <w:r w:rsidR="00523B82">
        <w:rPr>
          <w:rFonts w:ascii="David" w:hAnsi="David"/>
          <w:color w:val="000000"/>
          <w:rtl/>
        </w:rPr>
        <w:t xml:space="preserve"> </w:t>
      </w:r>
      <w:r>
        <w:rPr>
          <w:rFonts w:ascii="David" w:hAnsi="David" w:hint="cs"/>
          <w:color w:val="000000"/>
          <w:rtl/>
        </w:rPr>
        <w:t>איני רואה לסקור את כל הפסיקה אליה הפנו הצדדים ו</w:t>
      </w:r>
      <w:r w:rsidRPr="009009E3">
        <w:rPr>
          <w:rFonts w:ascii="David" w:hAnsi="David"/>
          <w:color w:val="000000"/>
          <w:rtl/>
        </w:rPr>
        <w:t>אסתפק בהפניה למספר פסקי דין שניתנו על ידי בית המשפט העליון.</w:t>
      </w:r>
    </w:p>
    <w:p w14:paraId="36968CD1" w14:textId="77777777" w:rsidR="005437DA" w:rsidRDefault="005437DA" w:rsidP="005437DA">
      <w:pPr>
        <w:spacing w:line="360" w:lineRule="auto"/>
        <w:ind w:firstLine="567"/>
        <w:jc w:val="both"/>
        <w:rPr>
          <w:rFonts w:ascii="David" w:hAnsi="David"/>
          <w:color w:val="000000"/>
          <w:rtl/>
        </w:rPr>
      </w:pPr>
    </w:p>
    <w:p w14:paraId="48A4FD46" w14:textId="77777777" w:rsidR="005437DA" w:rsidRDefault="005437DA" w:rsidP="005437DA">
      <w:pPr>
        <w:spacing w:line="360" w:lineRule="auto"/>
        <w:ind w:firstLine="567"/>
        <w:jc w:val="both"/>
        <w:rPr>
          <w:rFonts w:ascii="David" w:hAnsi="David"/>
          <w:color w:val="000000"/>
          <w:rtl/>
        </w:rPr>
      </w:pPr>
      <w:r>
        <w:rPr>
          <w:rFonts w:ascii="David" w:hAnsi="David" w:hint="cs"/>
          <w:color w:val="000000"/>
          <w:rtl/>
        </w:rPr>
        <w:t xml:space="preserve">תחילה </w:t>
      </w:r>
      <w:r w:rsidRPr="00ED300F">
        <w:rPr>
          <w:rFonts w:ascii="David" w:hAnsi="David"/>
          <w:color w:val="000000"/>
          <w:rtl/>
        </w:rPr>
        <w:t xml:space="preserve">יש להפנות </w:t>
      </w:r>
      <w:r w:rsidRPr="009009E3">
        <w:rPr>
          <w:rFonts w:ascii="David" w:hAnsi="David"/>
          <w:rtl/>
        </w:rPr>
        <w:t>ל</w:t>
      </w:r>
      <w:hyperlink r:id="rId35" w:history="1">
        <w:r w:rsidR="00523B82" w:rsidRPr="00523B82">
          <w:rPr>
            <w:rFonts w:ascii="David" w:hAnsi="David"/>
            <w:color w:val="0000FF"/>
            <w:u w:val="single"/>
            <w:rtl/>
          </w:rPr>
          <w:t>ע"פ 5602/22</w:t>
        </w:r>
      </w:hyperlink>
      <w:r w:rsidR="00523B82">
        <w:rPr>
          <w:rFonts w:ascii="David" w:hAnsi="David"/>
          <w:rtl/>
        </w:rPr>
        <w:t xml:space="preserve"> </w:t>
      </w:r>
      <w:r w:rsidRPr="009009E3">
        <w:rPr>
          <w:rFonts w:ascii="David" w:hAnsi="David"/>
          <w:b/>
          <w:bCs/>
          <w:color w:val="000000"/>
          <w:rtl/>
        </w:rPr>
        <w:t>מדינת ישראל נ' פלוני</w:t>
      </w:r>
      <w:r w:rsidRPr="00ED300F">
        <w:rPr>
          <w:rFonts w:ascii="David" w:hAnsi="David"/>
          <w:color w:val="000000"/>
          <w:rtl/>
        </w:rPr>
        <w:t>, שניתן ביום 14.9.2022 (להלן: ע"פ</w:t>
      </w:r>
      <w:r w:rsidR="00523B82">
        <w:rPr>
          <w:rFonts w:ascii="David" w:hAnsi="David"/>
          <w:color w:val="000000"/>
          <w:rtl/>
        </w:rPr>
        <w:t xml:space="preserve"> </w:t>
      </w:r>
      <w:r w:rsidRPr="009009E3">
        <w:rPr>
          <w:rFonts w:ascii="David" w:hAnsi="David"/>
          <w:b/>
          <w:bCs/>
          <w:color w:val="000000"/>
          <w:rtl/>
        </w:rPr>
        <w:t>פלוני</w:t>
      </w:r>
      <w:r w:rsidRPr="00ED300F">
        <w:rPr>
          <w:rFonts w:ascii="David" w:hAnsi="David"/>
          <w:color w:val="000000"/>
          <w:rtl/>
        </w:rPr>
        <w:t>), בו קבע בית המשפט העליון כי מתחם העונש שראוי ברגיל לקבוע לנאשם בגין נשיאה בלתי חוקית של נשק חם במרחב הציבורי נע בין 30 ל-42 חודשי מאסר בפועל</w:t>
      </w:r>
      <w:r>
        <w:rPr>
          <w:rFonts w:ascii="David" w:hAnsi="David" w:hint="cs"/>
          <w:color w:val="000000"/>
          <w:rtl/>
        </w:rPr>
        <w:t>,</w:t>
      </w:r>
      <w:r w:rsidRPr="00ED300F">
        <w:rPr>
          <w:rFonts w:ascii="David" w:hAnsi="David"/>
          <w:color w:val="000000"/>
          <w:rtl/>
        </w:rPr>
        <w:t xml:space="preserve"> לצד רכיבי ענישה נוספים. נזכיר כי בע"פ פלוני דובר על נאשם בן כ-27 שלחובתו לא היו הרשעות קודמות, שהורשע בעבירה של נשיאת והובלת נשק ברכבו – כאשר היה מדובר באקדח חצי אוטומטי, </w:t>
      </w:r>
      <w:r>
        <w:rPr>
          <w:rFonts w:ascii="David" w:hAnsi="David" w:hint="cs"/>
          <w:color w:val="000000"/>
          <w:rtl/>
        </w:rPr>
        <w:t xml:space="preserve">בדומה למקרה שלנו. </w:t>
      </w:r>
    </w:p>
    <w:p w14:paraId="7C954DFA" w14:textId="77777777" w:rsidR="005437DA" w:rsidRDefault="005437DA" w:rsidP="005437DA">
      <w:pPr>
        <w:spacing w:line="360" w:lineRule="auto"/>
        <w:ind w:firstLine="567"/>
        <w:jc w:val="both"/>
        <w:rPr>
          <w:rFonts w:ascii="David" w:hAnsi="David"/>
          <w:color w:val="000000"/>
          <w:rtl/>
        </w:rPr>
      </w:pPr>
    </w:p>
    <w:p w14:paraId="06DD7113" w14:textId="77777777" w:rsidR="005437DA" w:rsidRPr="00ED300F" w:rsidRDefault="005437DA" w:rsidP="005437DA">
      <w:pPr>
        <w:spacing w:line="360" w:lineRule="auto"/>
        <w:ind w:firstLine="567"/>
        <w:jc w:val="both"/>
        <w:rPr>
          <w:rFonts w:cs="Times New Roman"/>
          <w:color w:val="000000"/>
          <w:rtl/>
        </w:rPr>
      </w:pPr>
      <w:r w:rsidRPr="00ED300F">
        <w:rPr>
          <w:rFonts w:ascii="David" w:hAnsi="David"/>
          <w:color w:val="000000"/>
          <w:rtl/>
        </w:rPr>
        <w:t>ראו גם</w:t>
      </w:r>
      <w:r w:rsidR="00523B82">
        <w:rPr>
          <w:rFonts w:ascii="David" w:hAnsi="David"/>
          <w:color w:val="000000"/>
          <w:rtl/>
        </w:rPr>
        <w:t xml:space="preserve"> </w:t>
      </w:r>
      <w:r w:rsidRPr="00ED300F">
        <w:rPr>
          <w:rFonts w:ascii="David" w:hAnsi="David"/>
          <w:color w:val="000000"/>
          <w:rtl/>
        </w:rPr>
        <w:t xml:space="preserve">עניין </w:t>
      </w:r>
      <w:r w:rsidRPr="009009E3">
        <w:rPr>
          <w:rFonts w:ascii="David" w:hAnsi="David"/>
          <w:b/>
          <w:bCs/>
          <w:color w:val="000000"/>
          <w:rtl/>
        </w:rPr>
        <w:t>אגבאריה</w:t>
      </w:r>
      <w:r w:rsidRPr="00ED300F">
        <w:rPr>
          <w:rFonts w:ascii="David" w:hAnsi="David"/>
          <w:color w:val="000000"/>
          <w:rtl/>
        </w:rPr>
        <w:t xml:space="preserve">, בו בית המשפט העליון החמיר בעונשם של הנאשמים. </w:t>
      </w:r>
      <w:r>
        <w:rPr>
          <w:rFonts w:ascii="David" w:hAnsi="David" w:hint="cs"/>
          <w:color w:val="000000"/>
          <w:rtl/>
        </w:rPr>
        <w:t xml:space="preserve">באותו מקרה </w:t>
      </w:r>
      <w:r w:rsidRPr="00ED300F">
        <w:rPr>
          <w:rFonts w:ascii="David" w:hAnsi="David"/>
          <w:color w:val="000000"/>
          <w:rtl/>
        </w:rPr>
        <w:t xml:space="preserve">הנאשמים נשאו </w:t>
      </w:r>
      <w:r>
        <w:rPr>
          <w:rFonts w:ascii="David" w:hAnsi="David" w:hint="cs"/>
          <w:color w:val="000000"/>
          <w:rtl/>
        </w:rPr>
        <w:t>ו</w:t>
      </w:r>
      <w:r w:rsidRPr="00ED300F">
        <w:rPr>
          <w:rFonts w:ascii="David" w:hAnsi="David"/>
          <w:color w:val="000000"/>
          <w:rtl/>
        </w:rPr>
        <w:t xml:space="preserve">הובילו ברכב תת מקלע מאולתר טעון במחסנית </w:t>
      </w:r>
      <w:r>
        <w:rPr>
          <w:rFonts w:ascii="David" w:hAnsi="David" w:hint="cs"/>
          <w:color w:val="000000"/>
          <w:rtl/>
        </w:rPr>
        <w:t xml:space="preserve">וציוד נוסף. </w:t>
      </w:r>
      <w:r w:rsidRPr="00ED300F">
        <w:rPr>
          <w:rFonts w:ascii="David" w:hAnsi="David"/>
          <w:color w:val="000000"/>
          <w:rtl/>
        </w:rPr>
        <w:t>בית המשפט העליון קיבל את ערעור המדינה והחמיר את עונשים של הנאשמים ל- 32 חודשי מאסר בפועל.</w:t>
      </w:r>
    </w:p>
    <w:p w14:paraId="7847A61D" w14:textId="77777777" w:rsidR="005437DA" w:rsidRPr="00ED300F" w:rsidRDefault="00523B82" w:rsidP="005437DA">
      <w:pPr>
        <w:spacing w:line="360" w:lineRule="auto"/>
        <w:ind w:firstLine="567"/>
        <w:jc w:val="both"/>
        <w:rPr>
          <w:rFonts w:cs="Times New Roman"/>
          <w:color w:val="000000"/>
          <w:rtl/>
        </w:rPr>
      </w:pPr>
      <w:r>
        <w:rPr>
          <w:rFonts w:ascii="David" w:hAnsi="David"/>
          <w:color w:val="000000"/>
          <w:rtl/>
        </w:rPr>
        <w:t xml:space="preserve"> </w:t>
      </w:r>
    </w:p>
    <w:p w14:paraId="6FBC99EC" w14:textId="77777777" w:rsidR="005437DA" w:rsidRDefault="005437DA" w:rsidP="005437DA">
      <w:pPr>
        <w:spacing w:line="360" w:lineRule="auto"/>
        <w:ind w:firstLine="567"/>
        <w:jc w:val="both"/>
        <w:rPr>
          <w:rFonts w:cs="Times New Roman"/>
          <w:color w:val="000000"/>
          <w:rtl/>
        </w:rPr>
      </w:pPr>
      <w:r>
        <w:rPr>
          <w:rFonts w:hint="cs"/>
          <w:rtl/>
        </w:rPr>
        <w:t>ב</w:t>
      </w:r>
      <w:hyperlink r:id="rId36" w:history="1">
        <w:r w:rsidR="00523B82" w:rsidRPr="00523B82">
          <w:rPr>
            <w:rFonts w:ascii="David" w:hAnsi="David"/>
            <w:color w:val="0000FF"/>
            <w:u w:val="single"/>
            <w:rtl/>
          </w:rPr>
          <w:t>ע"פ 6559/23</w:t>
        </w:r>
      </w:hyperlink>
      <w:r w:rsidR="00523B82">
        <w:rPr>
          <w:rFonts w:ascii="David" w:hAnsi="David"/>
          <w:rtl/>
        </w:rPr>
        <w:t xml:space="preserve"> </w:t>
      </w:r>
      <w:r w:rsidRPr="009009E3">
        <w:rPr>
          <w:rFonts w:ascii="David" w:hAnsi="David"/>
          <w:b/>
          <w:bCs/>
          <w:color w:val="000000"/>
          <w:rtl/>
        </w:rPr>
        <w:t>מדינת ישראל נ' חסארמה</w:t>
      </w:r>
      <w:r w:rsidR="00523B82">
        <w:rPr>
          <w:rFonts w:ascii="David" w:hAnsi="David"/>
          <w:color w:val="000000"/>
          <w:rtl/>
        </w:rPr>
        <w:t xml:space="preserve"> </w:t>
      </w:r>
      <w:r w:rsidRPr="00ED300F">
        <w:rPr>
          <w:rFonts w:ascii="David" w:hAnsi="David"/>
          <w:color w:val="000000"/>
          <w:rtl/>
        </w:rPr>
        <w:t>(2.6.2024) (להלן:</w:t>
      </w:r>
      <w:r w:rsidR="00523B82">
        <w:rPr>
          <w:rFonts w:ascii="David" w:hAnsi="David"/>
          <w:color w:val="000000"/>
          <w:rtl/>
        </w:rPr>
        <w:t xml:space="preserve"> </w:t>
      </w:r>
      <w:r w:rsidRPr="00ED300F">
        <w:rPr>
          <w:rFonts w:ascii="David" w:hAnsi="David"/>
          <w:color w:val="000000"/>
          <w:rtl/>
        </w:rPr>
        <w:t xml:space="preserve">עניין </w:t>
      </w:r>
      <w:r w:rsidRPr="009009E3">
        <w:rPr>
          <w:rFonts w:ascii="David" w:hAnsi="David"/>
          <w:b/>
          <w:bCs/>
          <w:color w:val="000000"/>
          <w:rtl/>
        </w:rPr>
        <w:t>חסארמה</w:t>
      </w:r>
      <w:r w:rsidRPr="00ED300F">
        <w:rPr>
          <w:rFonts w:ascii="David" w:hAnsi="David"/>
          <w:color w:val="000000"/>
          <w:rtl/>
        </w:rPr>
        <w:t>), הורשעו שלושה נאשמים בעבירות החזקה, נשיאה והובלה של נשק לצד עבירות של קשירת קשר לביצוע פשע; קבלת רכב גנוב; שימוש ברכב ללא רשות; ושיבוש מהלכי משפט. באותו מקרה עבירות הנשק התייחסו לרובה סער קלאצ'ניקוב, אקדח חצי-אוטומטי, מחסניות ותחמושת לרובה ולאקדח. בית המשפט המחוזי הטיל על הנאשמים עונשים של 36 ו- 40 חודשי מאסר בפועל וענישה נלווית. בית המשפט העליון החמיר בעונשם של הנאשמים והטיל על כל אחד מהם 54 חודשי מאסר בפועל.</w:t>
      </w:r>
    </w:p>
    <w:p w14:paraId="3169E873" w14:textId="77777777" w:rsidR="005437DA" w:rsidRDefault="005437DA" w:rsidP="005437DA">
      <w:pPr>
        <w:spacing w:line="360" w:lineRule="auto"/>
        <w:ind w:firstLine="567"/>
        <w:jc w:val="both"/>
        <w:rPr>
          <w:rFonts w:cs="Times New Roman"/>
          <w:color w:val="000000"/>
          <w:rtl/>
        </w:rPr>
      </w:pPr>
    </w:p>
    <w:p w14:paraId="4707450A" w14:textId="77777777" w:rsidR="005437DA" w:rsidRDefault="005437DA" w:rsidP="005437DA">
      <w:pPr>
        <w:spacing w:line="360" w:lineRule="auto"/>
        <w:ind w:firstLine="567"/>
        <w:jc w:val="both"/>
        <w:rPr>
          <w:rFonts w:cs="Times New Roman"/>
          <w:color w:val="000000"/>
          <w:rtl/>
        </w:rPr>
      </w:pPr>
      <w:r w:rsidRPr="00ED300F">
        <w:rPr>
          <w:rFonts w:ascii="David" w:hAnsi="David"/>
          <w:color w:val="000000"/>
          <w:rtl/>
        </w:rPr>
        <w:t>במקרה שלפנינו הנאשם הורשע</w:t>
      </w:r>
      <w:r>
        <w:rPr>
          <w:rFonts w:ascii="David" w:hAnsi="David"/>
          <w:color w:val="000000"/>
          <w:rtl/>
        </w:rPr>
        <w:t xml:space="preserve"> בעבירת נשק</w:t>
      </w:r>
      <w:r>
        <w:rPr>
          <w:rFonts w:ascii="David" w:hAnsi="David" w:hint="cs"/>
          <w:color w:val="000000"/>
          <w:rtl/>
        </w:rPr>
        <w:t>, וכן בעבירה של דרישת נכס באיומים</w:t>
      </w:r>
      <w:r w:rsidRPr="00ED300F">
        <w:rPr>
          <w:rFonts w:ascii="David" w:hAnsi="David"/>
          <w:color w:val="000000"/>
          <w:rtl/>
        </w:rPr>
        <w:t>. נסיבות ביצוע העבירה חמורות מאלו שהיו בעניין</w:t>
      </w:r>
      <w:r w:rsidRPr="00D61051">
        <w:rPr>
          <w:rFonts w:ascii="David" w:hAnsi="David"/>
          <w:b/>
          <w:bCs/>
          <w:color w:val="000000"/>
          <w:rtl/>
        </w:rPr>
        <w:t xml:space="preserve"> פלוני</w:t>
      </w:r>
      <w:r w:rsidRPr="00ED300F">
        <w:rPr>
          <w:rFonts w:ascii="David" w:hAnsi="David"/>
          <w:color w:val="000000"/>
          <w:rtl/>
        </w:rPr>
        <w:t xml:space="preserve">, אך חמורות פחות מאלו שנדונו בעניין </w:t>
      </w:r>
      <w:r w:rsidRPr="00D61051">
        <w:rPr>
          <w:rFonts w:ascii="David" w:hAnsi="David"/>
          <w:b/>
          <w:bCs/>
          <w:color w:val="000000"/>
          <w:rtl/>
        </w:rPr>
        <w:t>חסארמה</w:t>
      </w:r>
      <w:r w:rsidRPr="00ED300F">
        <w:rPr>
          <w:rFonts w:ascii="David" w:hAnsi="David"/>
          <w:color w:val="000000"/>
          <w:rtl/>
        </w:rPr>
        <w:t xml:space="preserve"> בו הורשעו הנאשמים בעבירות </w:t>
      </w:r>
      <w:r>
        <w:rPr>
          <w:rFonts w:ascii="David" w:hAnsi="David" w:hint="cs"/>
          <w:color w:val="000000"/>
          <w:rtl/>
        </w:rPr>
        <w:t xml:space="preserve">חמורות יותר. </w:t>
      </w:r>
    </w:p>
    <w:p w14:paraId="7CF0727C" w14:textId="77777777" w:rsidR="005437DA" w:rsidRPr="00ED300F" w:rsidRDefault="005437DA" w:rsidP="005437DA">
      <w:pPr>
        <w:spacing w:line="360" w:lineRule="auto"/>
        <w:ind w:firstLine="567"/>
        <w:jc w:val="both"/>
        <w:rPr>
          <w:rFonts w:cs="Times New Roman"/>
          <w:color w:val="000000"/>
          <w:rtl/>
        </w:rPr>
      </w:pPr>
    </w:p>
    <w:p w14:paraId="2F6507CB" w14:textId="77777777" w:rsidR="005437DA" w:rsidRPr="00ED300F" w:rsidRDefault="005437DA" w:rsidP="005437DA">
      <w:pPr>
        <w:spacing w:line="360" w:lineRule="auto"/>
        <w:ind w:firstLine="567"/>
        <w:jc w:val="both"/>
        <w:rPr>
          <w:rFonts w:cs="Times New Roman"/>
          <w:color w:val="000000"/>
          <w:rtl/>
        </w:rPr>
      </w:pPr>
      <w:r>
        <w:rPr>
          <w:rFonts w:ascii="David" w:hAnsi="David" w:hint="cs"/>
          <w:color w:val="000000"/>
          <w:rtl/>
        </w:rPr>
        <w:t xml:space="preserve">ראו גם </w:t>
      </w:r>
      <w:hyperlink r:id="rId37" w:history="1">
        <w:r w:rsidR="00523B82" w:rsidRPr="00523B82">
          <w:rPr>
            <w:rFonts w:ascii="David" w:hAnsi="David"/>
            <w:color w:val="0000FF"/>
            <w:u w:val="single"/>
            <w:rtl/>
          </w:rPr>
          <w:t>ע"פ 309/22</w:t>
        </w:r>
      </w:hyperlink>
      <w:r w:rsidR="00523B82">
        <w:rPr>
          <w:rFonts w:ascii="David" w:hAnsi="David"/>
          <w:color w:val="000000"/>
          <w:rtl/>
        </w:rPr>
        <w:t xml:space="preserve"> </w:t>
      </w:r>
      <w:r w:rsidRPr="00D61051">
        <w:rPr>
          <w:rFonts w:ascii="David" w:hAnsi="David"/>
          <w:b/>
          <w:bCs/>
          <w:color w:val="000000"/>
          <w:rtl/>
        </w:rPr>
        <w:t>מדינת ישראל נ' ביאדסה</w:t>
      </w:r>
      <w:r w:rsidR="00523B82">
        <w:rPr>
          <w:rFonts w:ascii="David" w:hAnsi="David"/>
          <w:color w:val="000000"/>
          <w:rtl/>
        </w:rPr>
        <w:t xml:space="preserve"> </w:t>
      </w:r>
      <w:r w:rsidRPr="00ED300F">
        <w:rPr>
          <w:rFonts w:ascii="David" w:hAnsi="David"/>
          <w:color w:val="000000"/>
          <w:rtl/>
        </w:rPr>
        <w:t>(10.5.2022) – בו נדון עניינו של מי שהורשע בהחזק</w:t>
      </w:r>
      <w:r>
        <w:rPr>
          <w:rFonts w:ascii="David" w:hAnsi="David"/>
          <w:color w:val="000000"/>
          <w:rtl/>
        </w:rPr>
        <w:t>ה, נשיאה והובלה</w:t>
      </w:r>
      <w:r>
        <w:rPr>
          <w:rFonts w:ascii="David" w:hAnsi="David" w:hint="cs"/>
          <w:color w:val="000000"/>
          <w:rtl/>
        </w:rPr>
        <w:t xml:space="preserve"> </w:t>
      </w:r>
      <w:r>
        <w:rPr>
          <w:rFonts w:ascii="David" w:hAnsi="David"/>
          <w:color w:val="000000"/>
          <w:rtl/>
        </w:rPr>
        <w:t>של שני כלי נשק.</w:t>
      </w:r>
      <w:r>
        <w:rPr>
          <w:rFonts w:ascii="David" w:hAnsi="David" w:hint="cs"/>
          <w:color w:val="000000"/>
          <w:rtl/>
        </w:rPr>
        <w:t xml:space="preserve"> </w:t>
      </w:r>
      <w:r w:rsidRPr="00ED300F">
        <w:rPr>
          <w:rFonts w:ascii="David" w:hAnsi="David"/>
          <w:color w:val="000000"/>
          <w:rtl/>
        </w:rPr>
        <w:t>באותו מקרה מדובר היה במי</w:t>
      </w:r>
      <w:r>
        <w:rPr>
          <w:rFonts w:ascii="David" w:hAnsi="David" w:hint="cs"/>
          <w:color w:val="000000"/>
          <w:rtl/>
        </w:rPr>
        <w:t xml:space="preserve"> </w:t>
      </w:r>
      <w:r w:rsidRPr="00ED300F">
        <w:rPr>
          <w:rFonts w:ascii="David" w:hAnsi="David"/>
          <w:color w:val="000000"/>
          <w:rtl/>
        </w:rPr>
        <w:br/>
        <w:t>שנסע ברכב כשהוא מוביל רובה מסוג קלצ'ניקוב, מחסנית תואמת ובה 29 כדורים וכן אקדח חצי אוטומטי טעון במחסנית תואמת שמכילה 27 כדורים</w:t>
      </w:r>
      <w:r>
        <w:rPr>
          <w:rFonts w:ascii="David" w:hAnsi="David" w:hint="cs"/>
          <w:color w:val="000000"/>
          <w:rtl/>
        </w:rPr>
        <w:t>,</w:t>
      </w:r>
      <w:r w:rsidRPr="00ED300F">
        <w:rPr>
          <w:rFonts w:ascii="David" w:hAnsi="David"/>
          <w:color w:val="000000"/>
          <w:rtl/>
        </w:rPr>
        <w:t xml:space="preserve"> ומחסנית נוספת שמכילה 14 כדורים. בית המשפט המחוזי קבע מתחם שנע בין 19 ל-54 חודשי מאסר בפועל, וגזר על הנאשם, אשר הורשע על סמך הודאתו, שניתנה במסגרת הסדר טיעון, 19 חודשי מאסר לריצוי בפועל בצירוף עונשים נלווים. בית המשפט העליון התערב בקולת העונש וראה להחמיר ולהעמיד</w:t>
      </w:r>
      <w:r>
        <w:rPr>
          <w:rFonts w:ascii="David" w:hAnsi="David" w:hint="cs"/>
          <w:color w:val="000000"/>
          <w:rtl/>
        </w:rPr>
        <w:t xml:space="preserve"> את העונש </w:t>
      </w:r>
      <w:r w:rsidRPr="00ED300F">
        <w:rPr>
          <w:rFonts w:ascii="David" w:hAnsi="David"/>
          <w:color w:val="000000"/>
          <w:rtl/>
        </w:rPr>
        <w:t>על 30 חודשי מאסר.</w:t>
      </w:r>
    </w:p>
    <w:p w14:paraId="51E8BD41" w14:textId="77777777" w:rsidR="005437DA" w:rsidRPr="00ED300F" w:rsidRDefault="00523B82" w:rsidP="005437DA">
      <w:pPr>
        <w:spacing w:line="360" w:lineRule="auto"/>
        <w:jc w:val="both"/>
        <w:rPr>
          <w:rFonts w:cs="Times New Roman"/>
          <w:color w:val="000000"/>
          <w:rtl/>
        </w:rPr>
      </w:pPr>
      <w:r>
        <w:rPr>
          <w:rFonts w:ascii="David" w:hAnsi="David"/>
          <w:color w:val="000000"/>
          <w:rtl/>
        </w:rPr>
        <w:t xml:space="preserve"> </w:t>
      </w:r>
    </w:p>
    <w:p w14:paraId="68B13D87" w14:textId="77777777" w:rsidR="005437DA" w:rsidRDefault="005437DA" w:rsidP="005437DA">
      <w:pPr>
        <w:spacing w:line="360" w:lineRule="auto"/>
        <w:ind w:firstLine="567"/>
        <w:jc w:val="both"/>
        <w:rPr>
          <w:rFonts w:cs="Times New Roman"/>
          <w:color w:val="000000"/>
          <w:rtl/>
        </w:rPr>
      </w:pPr>
      <w:r>
        <w:rPr>
          <w:rFonts w:hint="cs"/>
          <w:rtl/>
        </w:rPr>
        <w:t xml:space="preserve">לבסוף ראו </w:t>
      </w:r>
      <w:hyperlink r:id="rId38" w:history="1">
        <w:r w:rsidR="00523B82" w:rsidRPr="00523B82">
          <w:rPr>
            <w:rFonts w:ascii="David" w:hAnsi="David"/>
            <w:color w:val="0000FF"/>
            <w:u w:val="single"/>
            <w:rtl/>
          </w:rPr>
          <w:t>ע"פ 1658/20</w:t>
        </w:r>
      </w:hyperlink>
      <w:r w:rsidR="00523B82">
        <w:rPr>
          <w:rFonts w:ascii="David" w:hAnsi="David"/>
          <w:color w:val="000000"/>
          <w:rtl/>
        </w:rPr>
        <w:t xml:space="preserve"> </w:t>
      </w:r>
      <w:r w:rsidRPr="00D61051">
        <w:rPr>
          <w:rFonts w:ascii="David" w:hAnsi="David"/>
          <w:b/>
          <w:bCs/>
          <w:color w:val="000000"/>
          <w:rtl/>
        </w:rPr>
        <w:t>ג'מאחנה נ' מדינת ישראל</w:t>
      </w:r>
      <w:r w:rsidR="00523B82">
        <w:rPr>
          <w:rFonts w:ascii="David" w:hAnsi="David"/>
          <w:color w:val="000000"/>
          <w:rtl/>
        </w:rPr>
        <w:t xml:space="preserve"> </w:t>
      </w:r>
      <w:r w:rsidRPr="00ED300F">
        <w:rPr>
          <w:rFonts w:ascii="David" w:hAnsi="David"/>
          <w:color w:val="000000"/>
          <w:rtl/>
        </w:rPr>
        <w:t xml:space="preserve">(21.6.2020), </w:t>
      </w:r>
      <w:r>
        <w:rPr>
          <w:rFonts w:ascii="David" w:hAnsi="David" w:hint="cs"/>
          <w:color w:val="000000"/>
          <w:rtl/>
        </w:rPr>
        <w:t xml:space="preserve">בו </w:t>
      </w:r>
      <w:r w:rsidRPr="00ED300F">
        <w:rPr>
          <w:rFonts w:ascii="David" w:hAnsi="David"/>
          <w:color w:val="000000"/>
          <w:rtl/>
        </w:rPr>
        <w:t>נדחה ערעורו של מי שהורשע בעבירות של נשיאה והובלה של נשק ורכישת נשק, ונגזר עליו עונש של 24 חודשי מאסר בפועל. במקרה הנדון רכש המערער נשק מסוג</w:t>
      </w:r>
      <w:r w:rsidR="00523B82">
        <w:rPr>
          <w:rFonts w:ascii="David" w:hAnsi="David"/>
          <w:color w:val="000000"/>
          <w:rtl/>
        </w:rPr>
        <w:t xml:space="preserve"> </w:t>
      </w:r>
      <w:r w:rsidRPr="00ED300F">
        <w:rPr>
          <w:rFonts w:ascii="David" w:hAnsi="David"/>
          <w:color w:val="000000"/>
        </w:rPr>
        <w:t>M16</w:t>
      </w:r>
      <w:r w:rsidRPr="00ED300F">
        <w:rPr>
          <w:rFonts w:ascii="David" w:hAnsi="David"/>
          <w:color w:val="000000"/>
          <w:rtl/>
        </w:rPr>
        <w:t>. כאמור, בית המשפט העליון דחה את הערעור, תוך שציין כי העונש שהוטל על המערער הינו מאוזן ואולי אף מקל.</w:t>
      </w:r>
    </w:p>
    <w:p w14:paraId="729258DA" w14:textId="77777777" w:rsidR="005437DA" w:rsidRDefault="005437DA" w:rsidP="005437DA">
      <w:pPr>
        <w:spacing w:line="360" w:lineRule="auto"/>
        <w:jc w:val="both"/>
        <w:rPr>
          <w:rFonts w:cs="Times New Roman"/>
          <w:color w:val="000000"/>
          <w:rtl/>
        </w:rPr>
      </w:pPr>
    </w:p>
    <w:p w14:paraId="7367AA37" w14:textId="77777777" w:rsidR="005437DA" w:rsidRPr="00FA4479" w:rsidRDefault="005437DA" w:rsidP="005437DA">
      <w:pPr>
        <w:pStyle w:val="a9"/>
        <w:numPr>
          <w:ilvl w:val="0"/>
          <w:numId w:val="1"/>
        </w:numPr>
        <w:spacing w:line="360" w:lineRule="auto"/>
        <w:jc w:val="both"/>
        <w:rPr>
          <w:rFonts w:cs="Times New Roman"/>
          <w:color w:val="000000"/>
        </w:rPr>
      </w:pPr>
      <w:r w:rsidRPr="00D61051">
        <w:rPr>
          <w:rFonts w:ascii="David" w:hAnsi="David"/>
          <w:color w:val="000000"/>
          <w:rtl/>
        </w:rPr>
        <w:t>לאור האמור, אני קובע כי מתחם העונש בנסיבות מקרה זה נע בין 3</w:t>
      </w:r>
      <w:r>
        <w:rPr>
          <w:rFonts w:ascii="David" w:hAnsi="David" w:hint="cs"/>
          <w:color w:val="000000"/>
          <w:rtl/>
        </w:rPr>
        <w:t>0</w:t>
      </w:r>
      <w:r w:rsidRPr="00D61051">
        <w:rPr>
          <w:rFonts w:ascii="David" w:hAnsi="David"/>
          <w:color w:val="000000"/>
          <w:rtl/>
        </w:rPr>
        <w:t xml:space="preserve"> ל- </w:t>
      </w:r>
      <w:r>
        <w:rPr>
          <w:rFonts w:ascii="David" w:hAnsi="David" w:hint="cs"/>
          <w:color w:val="000000"/>
          <w:rtl/>
        </w:rPr>
        <w:t>48</w:t>
      </w:r>
      <w:r w:rsidRPr="00D61051">
        <w:rPr>
          <w:rFonts w:ascii="David" w:hAnsi="David"/>
          <w:color w:val="000000"/>
          <w:rtl/>
        </w:rPr>
        <w:t xml:space="preserve"> חודשי מאסר בפועל</w:t>
      </w:r>
      <w:r>
        <w:rPr>
          <w:rFonts w:ascii="David" w:hAnsi="David" w:hint="cs"/>
          <w:color w:val="000000"/>
          <w:rtl/>
        </w:rPr>
        <w:t xml:space="preserve"> ו</w:t>
      </w:r>
      <w:r w:rsidRPr="00D61051">
        <w:rPr>
          <w:rFonts w:ascii="David" w:hAnsi="David"/>
          <w:color w:val="000000"/>
          <w:rtl/>
        </w:rPr>
        <w:t>מאסר על תנאי</w:t>
      </w:r>
      <w:r>
        <w:rPr>
          <w:rFonts w:ascii="David" w:hAnsi="David" w:hint="cs"/>
          <w:color w:val="000000"/>
          <w:rtl/>
        </w:rPr>
        <w:t xml:space="preserve">. נוכח המאסר בפועל הארוך שבכוונתי להטיל על הנאשם אין רואה לכלול קנס במתחם. כמו כן, נוכח דברי המתלונן כי הוא קיבל פיצוי </w:t>
      </w:r>
      <w:r>
        <w:rPr>
          <w:rFonts w:ascii="David" w:hAnsi="David"/>
          <w:color w:val="000000"/>
          <w:rtl/>
        </w:rPr>
        <w:t>–</w:t>
      </w:r>
      <w:r>
        <w:rPr>
          <w:rFonts w:ascii="David" w:hAnsi="David" w:hint="cs"/>
          <w:color w:val="000000"/>
          <w:rtl/>
        </w:rPr>
        <w:t xml:space="preserve"> איני רואה לכלול פיצוי במתחם. </w:t>
      </w:r>
    </w:p>
    <w:p w14:paraId="6AF9E61B" w14:textId="77777777" w:rsidR="005437DA" w:rsidRPr="00E47A4E" w:rsidRDefault="005437DA" w:rsidP="005437DA">
      <w:pPr>
        <w:pStyle w:val="a9"/>
        <w:spacing w:line="360" w:lineRule="auto"/>
        <w:ind w:left="57"/>
        <w:jc w:val="both"/>
        <w:rPr>
          <w:rFonts w:cs="Times New Roman"/>
          <w:color w:val="000000"/>
        </w:rPr>
      </w:pPr>
    </w:p>
    <w:p w14:paraId="0FFD89D4" w14:textId="77777777" w:rsidR="005437DA" w:rsidRDefault="005437DA" w:rsidP="005437DA">
      <w:pPr>
        <w:pStyle w:val="a9"/>
        <w:numPr>
          <w:ilvl w:val="0"/>
          <w:numId w:val="1"/>
        </w:numPr>
        <w:spacing w:line="360" w:lineRule="auto"/>
        <w:jc w:val="both"/>
        <w:rPr>
          <w:rFonts w:ascii="David" w:hAnsi="David"/>
          <w:color w:val="000000"/>
        </w:rPr>
      </w:pPr>
      <w:r w:rsidRPr="00FA4479">
        <w:rPr>
          <w:rFonts w:ascii="David" w:hAnsi="David"/>
          <w:color w:val="000000"/>
          <w:rtl/>
        </w:rPr>
        <w:t>לא מצאתי מקום לחרוג לקול</w:t>
      </w:r>
      <w:r>
        <w:rPr>
          <w:rFonts w:ascii="David" w:hAnsi="David" w:hint="cs"/>
          <w:color w:val="000000"/>
          <w:rtl/>
        </w:rPr>
        <w:t>ה</w:t>
      </w:r>
      <w:r w:rsidRPr="00FA4479">
        <w:rPr>
          <w:rFonts w:ascii="David" w:hAnsi="David"/>
          <w:color w:val="000000"/>
          <w:rtl/>
        </w:rPr>
        <w:t xml:space="preserve"> ממתחם העונש ההולם מטעמי שיקום. </w:t>
      </w:r>
      <w:r>
        <w:rPr>
          <w:rFonts w:ascii="David" w:hAnsi="David" w:hint="cs"/>
          <w:color w:val="000000"/>
          <w:rtl/>
        </w:rPr>
        <w:t xml:space="preserve">כאמור, הנאשם הגיש לבית המשפט חוות דעת מטעמו, בה מסר בין היתר כי </w:t>
      </w:r>
      <w:r w:rsidRPr="00FA4479">
        <w:rPr>
          <w:rFonts w:ascii="David" w:hAnsi="David"/>
          <w:color w:val="000000"/>
          <w:rtl/>
        </w:rPr>
        <w:t>בעקבות השתתפותו במפגשים קבוצתיים במסגרת מעצרו הגיע לתובנות בדבר חומרת מעשיו והשלכותיהם</w:t>
      </w:r>
      <w:r>
        <w:rPr>
          <w:rFonts w:ascii="David" w:hAnsi="David" w:hint="cs"/>
          <w:color w:val="000000"/>
          <w:rtl/>
        </w:rPr>
        <w:t>, ו</w:t>
      </w:r>
      <w:r w:rsidRPr="00FA4479">
        <w:rPr>
          <w:rFonts w:ascii="David" w:hAnsi="David"/>
          <w:color w:val="000000"/>
          <w:rtl/>
        </w:rPr>
        <w:t>הביע חרטה וצער</w:t>
      </w:r>
      <w:r>
        <w:rPr>
          <w:rFonts w:ascii="David" w:hAnsi="David" w:hint="cs"/>
          <w:color w:val="000000"/>
          <w:rtl/>
        </w:rPr>
        <w:t xml:space="preserve"> על מעשיו</w:t>
      </w:r>
      <w:r w:rsidRPr="00FA4479">
        <w:rPr>
          <w:rFonts w:ascii="David" w:hAnsi="David"/>
          <w:color w:val="000000"/>
          <w:rtl/>
        </w:rPr>
        <w:t xml:space="preserve">. </w:t>
      </w:r>
      <w:r>
        <w:rPr>
          <w:rFonts w:ascii="David" w:hAnsi="David" w:hint="cs"/>
          <w:color w:val="000000"/>
          <w:rtl/>
        </w:rPr>
        <w:t xml:space="preserve">בהמשך לתובנות אלו, העריכה עורכת חוות הדעת כי מכלול הנתונים סוללים את הדרך להעדפת האפיק השיקומי. כפי שצוין מקודם, תסקיר שירות המבחן צייר תמונה אחרת לפיה הנאשם התקשה </w:t>
      </w:r>
      <w:r w:rsidRPr="00EE24F0">
        <w:rPr>
          <w:rFonts w:ascii="David" w:hAnsi="David" w:hint="cs"/>
          <w:color w:val="000000"/>
          <w:rtl/>
        </w:rPr>
        <w:t>לקחת אחריות מלאה על ביצוע העבירות</w:t>
      </w:r>
      <w:r>
        <w:rPr>
          <w:rFonts w:ascii="David" w:hAnsi="David" w:hint="cs"/>
          <w:color w:val="000000"/>
          <w:rtl/>
        </w:rPr>
        <w:t xml:space="preserve"> והכחיש את ביצוע עבירת הנשק; כי הוא פועל מתוך קודים עברייניים; </w:t>
      </w:r>
      <w:r w:rsidRPr="00DA0457">
        <w:rPr>
          <w:rFonts w:ascii="David" w:hAnsi="David" w:hint="cs"/>
          <w:color w:val="000000"/>
          <w:rtl/>
        </w:rPr>
        <w:t>אינו ער למצבי הסיכון הפוטנציאליים בהתנהלותו</w:t>
      </w:r>
      <w:r>
        <w:rPr>
          <w:rFonts w:ascii="David" w:hAnsi="David" w:hint="cs"/>
          <w:color w:val="000000"/>
          <w:rtl/>
        </w:rPr>
        <w:t>;</w:t>
      </w:r>
      <w:r w:rsidRPr="00DA0457">
        <w:rPr>
          <w:rFonts w:ascii="David" w:hAnsi="David" w:hint="cs"/>
          <w:color w:val="000000"/>
          <w:rtl/>
        </w:rPr>
        <w:t xml:space="preserve"> </w:t>
      </w:r>
      <w:r>
        <w:rPr>
          <w:rFonts w:ascii="David" w:hAnsi="David" w:hint="cs"/>
          <w:color w:val="000000"/>
          <w:rtl/>
        </w:rPr>
        <w:t>ו</w:t>
      </w:r>
      <w:r w:rsidRPr="00DA0457">
        <w:rPr>
          <w:rFonts w:ascii="David" w:hAnsi="David" w:hint="cs"/>
          <w:color w:val="000000"/>
          <w:rtl/>
        </w:rPr>
        <w:t xml:space="preserve">נוטה להתנהל מתוך עמדות מקלות כלפי החוק וממזער מחומרתן. </w:t>
      </w:r>
      <w:r>
        <w:rPr>
          <w:rFonts w:ascii="David" w:hAnsi="David" w:hint="cs"/>
          <w:color w:val="000000"/>
          <w:rtl/>
        </w:rPr>
        <w:t xml:space="preserve">על רקע דברים אלו, ומכלול הנתונים שהובאו בתסקיר, שירות המבחן לא בא בהמלצה שיקומית. </w:t>
      </w:r>
    </w:p>
    <w:p w14:paraId="0C9D52C6" w14:textId="77777777" w:rsidR="005437DA" w:rsidRPr="00DA0457" w:rsidRDefault="005437DA" w:rsidP="005437DA">
      <w:pPr>
        <w:pStyle w:val="a9"/>
        <w:rPr>
          <w:rFonts w:ascii="David" w:hAnsi="David"/>
          <w:color w:val="000000"/>
          <w:rtl/>
        </w:rPr>
      </w:pPr>
    </w:p>
    <w:p w14:paraId="0A7D37B8" w14:textId="77777777" w:rsidR="005437DA" w:rsidRDefault="005437DA" w:rsidP="005437DA">
      <w:pPr>
        <w:pStyle w:val="a9"/>
        <w:spacing w:line="360" w:lineRule="auto"/>
        <w:ind w:left="0" w:firstLine="567"/>
        <w:jc w:val="both"/>
        <w:rPr>
          <w:rFonts w:ascii="David" w:hAnsi="David"/>
          <w:color w:val="000000"/>
        </w:rPr>
      </w:pPr>
      <w:r w:rsidRPr="00860BED">
        <w:rPr>
          <w:rFonts w:ascii="David" w:hAnsi="David" w:hint="cs"/>
          <w:color w:val="000000"/>
          <w:rtl/>
        </w:rPr>
        <w:t>בפתח ישיבת הטיעונים לעונש התייחסו הצ</w:t>
      </w:r>
      <w:r>
        <w:rPr>
          <w:rFonts w:ascii="David" w:hAnsi="David" w:hint="cs"/>
          <w:color w:val="000000"/>
          <w:rtl/>
        </w:rPr>
        <w:t>ד</w:t>
      </w:r>
      <w:r w:rsidRPr="00860BED">
        <w:rPr>
          <w:rFonts w:ascii="David" w:hAnsi="David" w:hint="cs"/>
          <w:color w:val="000000"/>
          <w:rtl/>
        </w:rPr>
        <w:t>דיים לחוות הדעת הפרטית שהוגשה מטעם הנאשם. המ</w:t>
      </w:r>
      <w:r>
        <w:rPr>
          <w:rFonts w:ascii="David" w:hAnsi="David" w:hint="cs"/>
          <w:color w:val="000000"/>
          <w:rtl/>
        </w:rPr>
        <w:t xml:space="preserve">אשימה ציינה כי </w:t>
      </w:r>
      <w:r w:rsidRPr="00860BED">
        <w:rPr>
          <w:rFonts w:ascii="David" w:hAnsi="David"/>
          <w:color w:val="000000"/>
          <w:rtl/>
        </w:rPr>
        <w:t xml:space="preserve">המדובר בחוות דעת שנערכה כשלושה שבועות </w:t>
      </w:r>
      <w:r>
        <w:rPr>
          <w:rFonts w:ascii="David" w:hAnsi="David" w:hint="cs"/>
          <w:color w:val="000000"/>
          <w:rtl/>
        </w:rPr>
        <w:t xml:space="preserve">לאחר </w:t>
      </w:r>
      <w:r w:rsidRPr="00860BED">
        <w:rPr>
          <w:rFonts w:ascii="David" w:hAnsi="David"/>
          <w:color w:val="000000"/>
          <w:rtl/>
        </w:rPr>
        <w:t>תסקיר שירות המבחן</w:t>
      </w:r>
      <w:r>
        <w:rPr>
          <w:rFonts w:ascii="David" w:hAnsi="David" w:hint="cs"/>
          <w:color w:val="000000"/>
          <w:rtl/>
        </w:rPr>
        <w:t xml:space="preserve">, וטענה כי </w:t>
      </w:r>
      <w:r w:rsidRPr="00860BED">
        <w:rPr>
          <w:rFonts w:ascii="David" w:hAnsi="David"/>
          <w:color w:val="000000"/>
          <w:rtl/>
        </w:rPr>
        <w:t>קיים פער בין האמור ב</w:t>
      </w:r>
      <w:r>
        <w:rPr>
          <w:rFonts w:ascii="David" w:hAnsi="David" w:hint="cs"/>
          <w:color w:val="000000"/>
          <w:rtl/>
        </w:rPr>
        <w:t>חוות הדעת ל</w:t>
      </w:r>
      <w:r w:rsidRPr="00860BED">
        <w:rPr>
          <w:rFonts w:ascii="David" w:hAnsi="David"/>
          <w:color w:val="000000"/>
          <w:rtl/>
        </w:rPr>
        <w:t>בין</w:t>
      </w:r>
      <w:r>
        <w:rPr>
          <w:rFonts w:ascii="David" w:hAnsi="David" w:hint="cs"/>
          <w:color w:val="000000"/>
          <w:rtl/>
        </w:rPr>
        <w:t xml:space="preserve"> הממצאים </w:t>
      </w:r>
      <w:r w:rsidRPr="00860BED">
        <w:rPr>
          <w:rFonts w:ascii="David" w:hAnsi="David"/>
          <w:color w:val="000000"/>
          <w:rtl/>
        </w:rPr>
        <w:t>בתסקיר בכל הנוגע ללקיחת האחריות על ידי הנאשם, לנזקקות הטיפולית שהביע ולהמלצות המופיעות בה לעומת ההמלצות בתסקיר. נטען כי אין המדובר בפער שנובע מאי הבנה, שכן קצינת המבחן שערכה את חוות הדעת היא דוברת השפה הערבית.</w:t>
      </w:r>
    </w:p>
    <w:p w14:paraId="00CF53C2" w14:textId="77777777" w:rsidR="005437DA" w:rsidRDefault="005437DA" w:rsidP="005437DA">
      <w:pPr>
        <w:pStyle w:val="a9"/>
        <w:spacing w:line="360" w:lineRule="auto"/>
        <w:ind w:left="57"/>
        <w:jc w:val="both"/>
        <w:rPr>
          <w:rFonts w:ascii="David" w:hAnsi="David"/>
          <w:color w:val="000000"/>
        </w:rPr>
      </w:pPr>
    </w:p>
    <w:p w14:paraId="2CCCD8A6" w14:textId="77777777" w:rsidR="005437DA" w:rsidRPr="00860BED" w:rsidRDefault="005437DA" w:rsidP="005437DA">
      <w:pPr>
        <w:pStyle w:val="a9"/>
        <w:spacing w:line="360" w:lineRule="auto"/>
        <w:ind w:left="0" w:firstLine="567"/>
        <w:jc w:val="both"/>
        <w:rPr>
          <w:rFonts w:ascii="David" w:hAnsi="David"/>
          <w:color w:val="000000"/>
          <w:rtl/>
        </w:rPr>
      </w:pPr>
      <w:r w:rsidRPr="00860BED">
        <w:rPr>
          <w:rFonts w:ascii="David" w:hAnsi="David" w:hint="cs"/>
          <w:color w:val="000000"/>
          <w:rtl/>
        </w:rPr>
        <w:t>הס</w:t>
      </w:r>
      <w:r w:rsidRPr="00860BED">
        <w:rPr>
          <w:rFonts w:ascii="David" w:hAnsi="David"/>
          <w:color w:val="000000"/>
          <w:rtl/>
        </w:rPr>
        <w:t xml:space="preserve">נגור טען מנגד כי חוות הדעת שנערכה על ידי המומחית מטעם הנאשם מבוססת על שתי פגישות </w:t>
      </w:r>
      <w:r>
        <w:rPr>
          <w:rFonts w:ascii="David" w:hAnsi="David" w:hint="cs"/>
          <w:color w:val="000000"/>
          <w:rtl/>
        </w:rPr>
        <w:t xml:space="preserve">מעמיקות </w:t>
      </w:r>
      <w:r w:rsidRPr="00860BED">
        <w:rPr>
          <w:rFonts w:ascii="David" w:hAnsi="David"/>
          <w:color w:val="000000"/>
          <w:rtl/>
        </w:rPr>
        <w:t>להבדיל מ</w:t>
      </w:r>
      <w:r>
        <w:rPr>
          <w:rFonts w:ascii="David" w:hAnsi="David" w:hint="cs"/>
          <w:color w:val="000000"/>
          <w:rtl/>
        </w:rPr>
        <w:t xml:space="preserve">פגישה אחת שערכה קצינת המבחן, שארכה לטענתו </w:t>
      </w:r>
      <w:r w:rsidRPr="00860BED">
        <w:rPr>
          <w:rFonts w:ascii="David" w:hAnsi="David"/>
          <w:color w:val="000000"/>
          <w:rtl/>
        </w:rPr>
        <w:t>כ-8 דקות בשל מצב חירום שהיה בכלא</w:t>
      </w:r>
      <w:r>
        <w:rPr>
          <w:rFonts w:ascii="David" w:hAnsi="David" w:hint="cs"/>
          <w:color w:val="000000"/>
          <w:rtl/>
        </w:rPr>
        <w:t>.</w:t>
      </w:r>
      <w:r w:rsidRPr="00860BED">
        <w:rPr>
          <w:rFonts w:ascii="David" w:hAnsi="David"/>
          <w:color w:val="000000"/>
          <w:rtl/>
        </w:rPr>
        <w:t xml:space="preserve"> </w:t>
      </w:r>
      <w:r>
        <w:rPr>
          <w:rFonts w:ascii="David" w:hAnsi="David" w:hint="cs"/>
          <w:color w:val="000000"/>
          <w:rtl/>
        </w:rPr>
        <w:t xml:space="preserve">לטענת הסנגור, חוות הדעת היא </w:t>
      </w:r>
      <w:r w:rsidRPr="00860BED">
        <w:rPr>
          <w:rFonts w:ascii="David" w:hAnsi="David"/>
          <w:color w:val="000000"/>
          <w:rtl/>
        </w:rPr>
        <w:t>מפורטת ומנומקת</w:t>
      </w:r>
      <w:r>
        <w:rPr>
          <w:rFonts w:ascii="David" w:hAnsi="David" w:hint="cs"/>
          <w:color w:val="000000"/>
          <w:rtl/>
        </w:rPr>
        <w:t xml:space="preserve"> ואין לבטל את האמור בה בטענה כי היא הוגשה מטעם הנאשם</w:t>
      </w:r>
      <w:r w:rsidRPr="00860BED">
        <w:rPr>
          <w:rFonts w:ascii="David" w:hAnsi="David"/>
          <w:color w:val="000000"/>
          <w:rtl/>
        </w:rPr>
        <w:t>. לאור הפערים</w:t>
      </w:r>
      <w:r>
        <w:rPr>
          <w:rFonts w:ascii="David" w:hAnsi="David" w:hint="cs"/>
          <w:color w:val="000000"/>
          <w:rtl/>
        </w:rPr>
        <w:t xml:space="preserve"> בין חוות הדעת לבין התסקיר, ביקש הסנגור להורות לשירות המבחן להגיש </w:t>
      </w:r>
      <w:r w:rsidRPr="00860BED">
        <w:rPr>
          <w:rFonts w:ascii="David" w:hAnsi="David"/>
          <w:color w:val="000000"/>
          <w:rtl/>
        </w:rPr>
        <w:t xml:space="preserve">תסקיר משלים. בהחלטתי </w:t>
      </w:r>
      <w:r>
        <w:rPr>
          <w:rFonts w:ascii="David" w:hAnsi="David" w:hint="cs"/>
          <w:color w:val="000000"/>
          <w:rtl/>
        </w:rPr>
        <w:t xml:space="preserve">מאותו יום </w:t>
      </w:r>
      <w:r w:rsidRPr="00860BED">
        <w:rPr>
          <w:rFonts w:ascii="David" w:hAnsi="David"/>
          <w:color w:val="000000"/>
          <w:rtl/>
        </w:rPr>
        <w:t xml:space="preserve">קבעתי כי נסיבות העניין לא מצדיקות </w:t>
      </w:r>
      <w:r>
        <w:rPr>
          <w:rFonts w:ascii="David" w:hAnsi="David" w:hint="cs"/>
          <w:color w:val="000000"/>
          <w:rtl/>
        </w:rPr>
        <w:t xml:space="preserve">הפניית הנאשם </w:t>
      </w:r>
      <w:r w:rsidRPr="00860BED">
        <w:rPr>
          <w:rFonts w:ascii="David" w:hAnsi="David"/>
          <w:color w:val="000000"/>
          <w:rtl/>
        </w:rPr>
        <w:t>פעם נוספת לשירות המבחן</w:t>
      </w:r>
      <w:r>
        <w:rPr>
          <w:rFonts w:ascii="David" w:hAnsi="David" w:hint="cs"/>
          <w:color w:val="000000"/>
          <w:rtl/>
        </w:rPr>
        <w:t>.</w:t>
      </w:r>
    </w:p>
    <w:p w14:paraId="49A0215C" w14:textId="77777777" w:rsidR="005437DA" w:rsidRDefault="005437DA" w:rsidP="005437DA">
      <w:pPr>
        <w:pStyle w:val="a9"/>
        <w:spacing w:line="360" w:lineRule="auto"/>
        <w:ind w:left="0"/>
        <w:jc w:val="both"/>
        <w:rPr>
          <w:rFonts w:ascii="David" w:hAnsi="David"/>
          <w:color w:val="000000"/>
        </w:rPr>
      </w:pPr>
    </w:p>
    <w:p w14:paraId="1F2CAF96" w14:textId="77777777" w:rsidR="005437DA" w:rsidRDefault="005437DA" w:rsidP="005437DA">
      <w:pPr>
        <w:pStyle w:val="a9"/>
        <w:spacing w:line="360" w:lineRule="auto"/>
        <w:ind w:left="0" w:firstLine="567"/>
        <w:jc w:val="both"/>
        <w:rPr>
          <w:rFonts w:ascii="David" w:hAnsi="David"/>
          <w:color w:val="000000"/>
        </w:rPr>
      </w:pPr>
      <w:r>
        <w:rPr>
          <w:rFonts w:ascii="David" w:hAnsi="David" w:hint="cs"/>
          <w:color w:val="000000"/>
          <w:rtl/>
        </w:rPr>
        <w:t xml:space="preserve">אין בידי לקבל את טענות הסנגור כי יש לעדיף את המלצות חוות הדעת הפרטית על פני המלצות התסקיר. ראשית, לא התרשמתי כי קיים חסר בתסקיר שהוגש על ידי שירות המבחן. התסקיר שהונח הינו מקיף ומתייחס לכלל ההיבטים הנדרשים לצורך גיבוש ההמלצות. שנית, יש לתת את כובד המשקל לתסקיר שנערך על ידי שירות המבחן, שהינו גוף אובייקטיבי, בשונה מחוות הדעת הפרטית שהוגשה מטעם הנאשם, ועשויה להיות לוקה בהטיה אדברסרית. הדברים אמורים ביתר שאת, לאור כך שהפער בין התסקיר לחוות הדעת, נעוץ במסד העובדתי הקשור ביחסו של הנאשם לביצוע העבירות ונטילת האחריות. מכל מקום, בהינתן העבירות בהן הורשע הנאשם ונסיבות ביצוען, יש לבכר את שיקולי ההרתעה על פי שיקול שיקום. לצד זאת, </w:t>
      </w:r>
      <w:r w:rsidRPr="00FA4479">
        <w:rPr>
          <w:rFonts w:ascii="David" w:hAnsi="David"/>
          <w:color w:val="000000"/>
          <w:rtl/>
        </w:rPr>
        <w:t xml:space="preserve">לאור היעדרו של עבר פלילי ונוכח היותו של הנאשם אדם שמנהל אורח חיים נורמטיבי בדרך כלל, </w:t>
      </w:r>
      <w:r>
        <w:rPr>
          <w:rFonts w:ascii="David" w:hAnsi="David" w:hint="cs"/>
          <w:color w:val="000000"/>
          <w:rtl/>
        </w:rPr>
        <w:t xml:space="preserve">מצאתי להטיל על הנאשם עונש ברף התחתון של המתחם שקבעתי. </w:t>
      </w:r>
    </w:p>
    <w:p w14:paraId="1058D188" w14:textId="77777777" w:rsidR="005437DA" w:rsidRPr="00F6628E" w:rsidRDefault="005437DA" w:rsidP="005437DA">
      <w:pPr>
        <w:pStyle w:val="a9"/>
        <w:spacing w:line="360" w:lineRule="auto"/>
        <w:ind w:left="57"/>
        <w:jc w:val="both"/>
        <w:rPr>
          <w:rFonts w:ascii="David" w:hAnsi="David"/>
          <w:color w:val="000000"/>
          <w:rtl/>
        </w:rPr>
      </w:pPr>
    </w:p>
    <w:p w14:paraId="3A6AFF2F" w14:textId="77777777" w:rsidR="005437DA" w:rsidRDefault="005437DA" w:rsidP="005437DA">
      <w:pPr>
        <w:spacing w:line="360" w:lineRule="auto"/>
        <w:jc w:val="both"/>
        <w:rPr>
          <w:rFonts w:ascii="David" w:hAnsi="David"/>
          <w:b/>
          <w:bCs/>
          <w:color w:val="000000"/>
          <w:rtl/>
        </w:rPr>
      </w:pPr>
      <w:r w:rsidRPr="00D61051">
        <w:rPr>
          <w:rFonts w:ascii="David" w:hAnsi="David"/>
          <w:b/>
          <w:bCs/>
          <w:color w:val="000000"/>
          <w:rtl/>
        </w:rPr>
        <w:t>נסיבות שאינן קשורות בביצוע העבירות</w:t>
      </w:r>
    </w:p>
    <w:p w14:paraId="35CC916E" w14:textId="77777777" w:rsidR="005437DA" w:rsidRDefault="005437DA" w:rsidP="005437DA">
      <w:pPr>
        <w:spacing w:line="360" w:lineRule="auto"/>
        <w:jc w:val="both"/>
        <w:rPr>
          <w:rFonts w:ascii="David" w:hAnsi="David"/>
          <w:b/>
          <w:bCs/>
          <w:color w:val="000000"/>
          <w:rtl/>
        </w:rPr>
      </w:pPr>
    </w:p>
    <w:p w14:paraId="03F3FD42" w14:textId="77777777" w:rsidR="005437DA" w:rsidRPr="00606C2E" w:rsidRDefault="005437DA" w:rsidP="005437DA">
      <w:pPr>
        <w:pStyle w:val="a9"/>
        <w:numPr>
          <w:ilvl w:val="0"/>
          <w:numId w:val="1"/>
        </w:numPr>
        <w:spacing w:line="360" w:lineRule="auto"/>
        <w:jc w:val="both"/>
        <w:rPr>
          <w:rFonts w:cs="Times New Roman"/>
          <w:color w:val="000000"/>
        </w:rPr>
      </w:pPr>
      <w:r w:rsidRPr="003D019F">
        <w:rPr>
          <w:rFonts w:ascii="David" w:hAnsi="David"/>
          <w:color w:val="000000"/>
          <w:rtl/>
        </w:rPr>
        <w:t xml:space="preserve">בגזירת העונש בגדרי מתחם העונש ההולם יש לשקול את הנסיבות שאינן קשורות בביצוע </w:t>
      </w:r>
      <w:r w:rsidRPr="003D019F">
        <w:rPr>
          <w:rFonts w:ascii="David" w:hAnsi="David"/>
          <w:rtl/>
        </w:rPr>
        <w:t>העבירה (סעיף</w:t>
      </w:r>
      <w:r w:rsidR="00523B82">
        <w:rPr>
          <w:rFonts w:ascii="David" w:hAnsi="David"/>
          <w:rtl/>
        </w:rPr>
        <w:t xml:space="preserve"> </w:t>
      </w:r>
      <w:hyperlink r:id="rId39" w:history="1">
        <w:r w:rsidR="00317CE7" w:rsidRPr="00317CE7">
          <w:rPr>
            <w:rStyle w:val="Hyperlink"/>
            <w:rFonts w:ascii="David" w:hAnsi="David"/>
            <w:color w:val="0000FF"/>
            <w:rtl/>
          </w:rPr>
          <w:t>40 יא'</w:t>
        </w:r>
      </w:hyperlink>
      <w:r w:rsidR="00523B82">
        <w:rPr>
          <w:rFonts w:ascii="David" w:hAnsi="David"/>
          <w:rtl/>
        </w:rPr>
        <w:t xml:space="preserve"> </w:t>
      </w:r>
      <w:r w:rsidRPr="003D019F">
        <w:rPr>
          <w:rFonts w:ascii="David" w:hAnsi="David"/>
          <w:rtl/>
        </w:rPr>
        <w:t>ל</w:t>
      </w:r>
      <w:hyperlink r:id="rId40" w:history="1">
        <w:r w:rsidR="00523B82" w:rsidRPr="00523B82">
          <w:rPr>
            <w:rFonts w:ascii="David" w:hAnsi="David"/>
            <w:color w:val="0000FF"/>
            <w:u w:val="single"/>
            <w:rtl/>
          </w:rPr>
          <w:t>חוק העונשין</w:t>
        </w:r>
      </w:hyperlink>
      <w:r w:rsidRPr="003D019F">
        <w:rPr>
          <w:rFonts w:ascii="David" w:hAnsi="David"/>
          <w:rtl/>
        </w:rPr>
        <w:t xml:space="preserve">). </w:t>
      </w:r>
      <w:r w:rsidRPr="003D019F">
        <w:rPr>
          <w:rFonts w:ascii="David" w:hAnsi="David"/>
          <w:color w:val="000000"/>
          <w:rtl/>
        </w:rPr>
        <w:t>במקרה שלפנינו, שקלתי את השיקולים הבאים</w:t>
      </w:r>
      <w:r>
        <w:rPr>
          <w:rFonts w:ascii="David" w:hAnsi="David" w:hint="cs"/>
          <w:color w:val="000000"/>
          <w:rtl/>
        </w:rPr>
        <w:t xml:space="preserve"> הקשורים בנאשם</w:t>
      </w:r>
      <w:r w:rsidRPr="003D019F">
        <w:rPr>
          <w:rFonts w:ascii="David" w:hAnsi="David"/>
          <w:color w:val="000000"/>
          <w:rtl/>
        </w:rPr>
        <w:t>:</w:t>
      </w:r>
      <w:r w:rsidRPr="003D019F">
        <w:rPr>
          <w:rFonts w:ascii="David" w:hAnsi="David" w:hint="cs"/>
          <w:color w:val="000000"/>
          <w:rtl/>
        </w:rPr>
        <w:t xml:space="preserve"> </w:t>
      </w:r>
      <w:r>
        <w:rPr>
          <w:rFonts w:ascii="David" w:hAnsi="David" w:hint="cs"/>
          <w:color w:val="000000"/>
          <w:rtl/>
        </w:rPr>
        <w:t xml:space="preserve">גילו של </w:t>
      </w:r>
      <w:r w:rsidRPr="003D019F">
        <w:rPr>
          <w:rFonts w:ascii="David" w:hAnsi="David" w:hint="cs"/>
          <w:color w:val="000000"/>
          <w:rtl/>
        </w:rPr>
        <w:t xml:space="preserve">הנאשם </w:t>
      </w:r>
      <w:r>
        <w:rPr>
          <w:rFonts w:ascii="David" w:hAnsi="David" w:hint="cs"/>
          <w:color w:val="000000"/>
          <w:rtl/>
        </w:rPr>
        <w:t xml:space="preserve">שהינו </w:t>
      </w:r>
      <w:r w:rsidRPr="003D019F">
        <w:rPr>
          <w:rFonts w:ascii="David" w:hAnsi="David" w:hint="cs"/>
          <w:color w:val="000000"/>
          <w:rtl/>
        </w:rPr>
        <w:t xml:space="preserve">צעיר כבן 26; </w:t>
      </w:r>
      <w:r>
        <w:rPr>
          <w:rFonts w:ascii="David" w:hAnsi="David" w:hint="cs"/>
          <w:color w:val="000000"/>
          <w:rtl/>
        </w:rPr>
        <w:t>העובדה כי אין לחובתו עבר</w:t>
      </w:r>
      <w:r w:rsidRPr="003D019F">
        <w:rPr>
          <w:rFonts w:ascii="David" w:hAnsi="David" w:hint="cs"/>
          <w:color w:val="000000"/>
          <w:rtl/>
        </w:rPr>
        <w:t xml:space="preserve"> פלילי</w:t>
      </w:r>
      <w:r>
        <w:rPr>
          <w:rFonts w:ascii="David" w:hAnsi="David" w:hint="cs"/>
          <w:color w:val="000000"/>
          <w:rtl/>
        </w:rPr>
        <w:t>; ומצבו הרפואי כפי שהוא בא לידי ביטוי במסמכים שצורפו. כמו כן נתת</w:t>
      </w:r>
      <w:r w:rsidRPr="003D019F">
        <w:rPr>
          <w:rFonts w:ascii="David" w:hAnsi="David"/>
          <w:color w:val="000000"/>
          <w:rtl/>
        </w:rPr>
        <w:t xml:space="preserve">י </w:t>
      </w:r>
      <w:r>
        <w:rPr>
          <w:rFonts w:ascii="David" w:hAnsi="David" w:hint="cs"/>
          <w:color w:val="000000"/>
          <w:rtl/>
        </w:rPr>
        <w:t xml:space="preserve">את </w:t>
      </w:r>
      <w:r w:rsidRPr="003D019F">
        <w:rPr>
          <w:rFonts w:ascii="David" w:hAnsi="David"/>
          <w:color w:val="000000"/>
          <w:rtl/>
        </w:rPr>
        <w:t>דעתי לנסיבותי</w:t>
      </w:r>
      <w:r w:rsidRPr="003D019F">
        <w:rPr>
          <w:rFonts w:ascii="David" w:hAnsi="David" w:hint="cs"/>
          <w:color w:val="000000"/>
          <w:rtl/>
        </w:rPr>
        <w:t>ו</w:t>
      </w:r>
      <w:r w:rsidRPr="003D019F">
        <w:rPr>
          <w:rFonts w:ascii="David" w:hAnsi="David"/>
          <w:color w:val="000000"/>
          <w:rtl/>
        </w:rPr>
        <w:t xml:space="preserve"> האישיות של הנאשם וכן להשפעת המאסר עלי</w:t>
      </w:r>
      <w:r w:rsidRPr="003D019F">
        <w:rPr>
          <w:rFonts w:ascii="David" w:hAnsi="David" w:hint="cs"/>
          <w:color w:val="000000"/>
          <w:rtl/>
        </w:rPr>
        <w:t>ו</w:t>
      </w:r>
      <w:r>
        <w:rPr>
          <w:rFonts w:ascii="David" w:hAnsi="David" w:hint="cs"/>
          <w:color w:val="000000"/>
          <w:rtl/>
        </w:rPr>
        <w:t xml:space="preserve">, בפרט לאור </w:t>
      </w:r>
      <w:r w:rsidRPr="003D019F">
        <w:rPr>
          <w:rFonts w:ascii="David" w:hAnsi="David" w:hint="cs"/>
          <w:color w:val="000000"/>
          <w:rtl/>
        </w:rPr>
        <w:t>העובדה כי הינו סטודנט לתואר ראשון</w:t>
      </w:r>
      <w:r>
        <w:rPr>
          <w:rFonts w:ascii="David" w:hAnsi="David" w:hint="cs"/>
          <w:color w:val="000000"/>
          <w:rtl/>
        </w:rPr>
        <w:t>,</w:t>
      </w:r>
      <w:r w:rsidRPr="003D019F">
        <w:rPr>
          <w:rFonts w:ascii="David" w:hAnsi="David" w:hint="cs"/>
          <w:color w:val="000000"/>
          <w:rtl/>
        </w:rPr>
        <w:t xml:space="preserve"> סיים את שנת הלימודים הראשונה, ועתיד היה להמשיך בלימודיו</w:t>
      </w:r>
      <w:r>
        <w:rPr>
          <w:rFonts w:ascii="David" w:hAnsi="David" w:hint="cs"/>
          <w:color w:val="000000"/>
          <w:rtl/>
        </w:rPr>
        <w:t xml:space="preserve">. הנאשם הודה בכתב האישום המתוקן בעוד ההליך באיבו לפני שהוחל בשמיעת הראיות. כמו כן, נתתי את דעתי לדבריו של המתלונן, אשר העיד מטעם הנאשם. </w:t>
      </w:r>
      <w:r w:rsidRPr="003D019F">
        <w:rPr>
          <w:rFonts w:ascii="David" w:hAnsi="David"/>
          <w:color w:val="000000"/>
          <w:rtl/>
        </w:rPr>
        <w:t>לבסוף נתתי דעתי לעובדה כי הנאשם נתו</w:t>
      </w:r>
      <w:r w:rsidRPr="003D019F">
        <w:rPr>
          <w:rFonts w:ascii="David" w:hAnsi="David" w:hint="cs"/>
          <w:color w:val="000000"/>
          <w:rtl/>
        </w:rPr>
        <w:t>ן</w:t>
      </w:r>
      <w:r w:rsidRPr="003D019F">
        <w:rPr>
          <w:rFonts w:ascii="David" w:hAnsi="David"/>
          <w:color w:val="000000"/>
          <w:rtl/>
        </w:rPr>
        <w:t xml:space="preserve"> במעצר </w:t>
      </w:r>
      <w:r w:rsidRPr="003D019F">
        <w:rPr>
          <w:rFonts w:ascii="David" w:hAnsi="David" w:hint="cs"/>
          <w:color w:val="000000"/>
          <w:rtl/>
        </w:rPr>
        <w:t xml:space="preserve">עד לתום ההליכים המשפטיים נגדו מיום </w:t>
      </w:r>
      <w:r w:rsidRPr="003D019F">
        <w:rPr>
          <w:rFonts w:ascii="David" w:hAnsi="David"/>
          <w:color w:val="000000"/>
          <w:rtl/>
        </w:rPr>
        <w:t>מאז יום</w:t>
      </w:r>
      <w:r w:rsidRPr="003D019F">
        <w:rPr>
          <w:rFonts w:ascii="David" w:hAnsi="David" w:hint="cs"/>
          <w:color w:val="000000"/>
          <w:rtl/>
        </w:rPr>
        <w:t xml:space="preserve"> 28.12.2023.</w:t>
      </w:r>
    </w:p>
    <w:p w14:paraId="42478DB7" w14:textId="77777777" w:rsidR="005437DA" w:rsidRDefault="005437DA" w:rsidP="005437DA">
      <w:pPr>
        <w:pStyle w:val="a9"/>
        <w:spacing w:line="360" w:lineRule="auto"/>
        <w:ind w:left="57"/>
        <w:jc w:val="both"/>
        <w:rPr>
          <w:rFonts w:cs="Times New Roman"/>
          <w:color w:val="000000"/>
        </w:rPr>
      </w:pPr>
    </w:p>
    <w:p w14:paraId="4E147CEC" w14:textId="77777777" w:rsidR="005437DA" w:rsidRPr="008A4A2C" w:rsidRDefault="005437DA" w:rsidP="005437DA">
      <w:pPr>
        <w:pStyle w:val="a9"/>
        <w:numPr>
          <w:ilvl w:val="0"/>
          <w:numId w:val="1"/>
        </w:numPr>
        <w:spacing w:line="360" w:lineRule="auto"/>
        <w:jc w:val="both"/>
        <w:rPr>
          <w:rFonts w:ascii="David" w:hAnsi="David"/>
          <w:b/>
          <w:bCs/>
          <w:color w:val="000000"/>
        </w:rPr>
      </w:pPr>
      <w:r w:rsidRPr="00606C2E">
        <w:rPr>
          <w:rFonts w:ascii="David" w:hAnsi="David"/>
          <w:color w:val="000000"/>
          <w:rtl/>
        </w:rPr>
        <w:t xml:space="preserve">אשר להסכם הסולחה שנערך עם המתלונן, </w:t>
      </w:r>
      <w:r>
        <w:rPr>
          <w:rFonts w:ascii="David" w:hAnsi="David" w:hint="cs"/>
          <w:color w:val="000000"/>
          <w:rtl/>
        </w:rPr>
        <w:t>אמנם למרבה השמחה הצדדים אינם מסוכסכים עוד כיום, אך נתון זה אינו חזות הכל. ב</w:t>
      </w:r>
      <w:hyperlink r:id="rId41" w:history="1">
        <w:r w:rsidR="00523B82" w:rsidRPr="00523B82">
          <w:rPr>
            <w:rFonts w:ascii="David" w:hAnsi="David"/>
            <w:color w:val="0000FF"/>
            <w:u w:val="single"/>
            <w:rtl/>
          </w:rPr>
          <w:t>ע"פ 3332/22</w:t>
        </w:r>
      </w:hyperlink>
      <w:r w:rsidRPr="00606C2E">
        <w:rPr>
          <w:rFonts w:ascii="David" w:hAnsi="David"/>
          <w:color w:val="000000"/>
          <w:rtl/>
        </w:rPr>
        <w:t xml:space="preserve"> </w:t>
      </w:r>
      <w:r w:rsidRPr="00606C2E">
        <w:rPr>
          <w:rFonts w:ascii="David" w:hAnsi="David"/>
          <w:b/>
          <w:bCs/>
          <w:color w:val="000000"/>
          <w:rtl/>
        </w:rPr>
        <w:t xml:space="preserve">קוואסמי נ' מדינת ישראל </w:t>
      </w:r>
      <w:r w:rsidRPr="00606C2E">
        <w:rPr>
          <w:rFonts w:ascii="David" w:hAnsi="David"/>
          <w:color w:val="000000"/>
          <w:rtl/>
        </w:rPr>
        <w:t>(1.12.2022</w:t>
      </w:r>
      <w:r>
        <w:rPr>
          <w:rFonts w:ascii="David" w:hAnsi="David" w:hint="cs"/>
          <w:color w:val="000000"/>
          <w:rtl/>
        </w:rPr>
        <w:t>) צוינו דברים אלו:</w:t>
      </w:r>
    </w:p>
    <w:p w14:paraId="0309429A" w14:textId="77777777" w:rsidR="005437DA" w:rsidRPr="008A4A2C" w:rsidRDefault="005437DA" w:rsidP="005437DA">
      <w:pPr>
        <w:pStyle w:val="a9"/>
        <w:rPr>
          <w:rFonts w:ascii="David" w:hAnsi="David"/>
          <w:color w:val="000000"/>
          <w:rtl/>
        </w:rPr>
      </w:pPr>
    </w:p>
    <w:p w14:paraId="154CD1C2" w14:textId="77777777" w:rsidR="005437DA" w:rsidRPr="00606C2E" w:rsidRDefault="005437DA" w:rsidP="005437DA">
      <w:pPr>
        <w:pStyle w:val="a9"/>
        <w:ind w:left="1134" w:right="1134"/>
        <w:jc w:val="both"/>
        <w:rPr>
          <w:rFonts w:ascii="David" w:hAnsi="David"/>
          <w:b/>
          <w:bCs/>
          <w:color w:val="000000"/>
          <w:rtl/>
        </w:rPr>
      </w:pPr>
      <w:r w:rsidRPr="00FA3BFE">
        <w:rPr>
          <w:rFonts w:ascii="David" w:hAnsi="David"/>
          <w:color w:val="000000"/>
          <w:rtl/>
        </w:rPr>
        <w:t>"</w:t>
      </w:r>
      <w:r w:rsidRPr="00606C2E">
        <w:rPr>
          <w:rFonts w:ascii="David" w:hAnsi="David"/>
          <w:b/>
          <w:bCs/>
          <w:color w:val="000000"/>
          <w:rtl/>
        </w:rPr>
        <w:t xml:space="preserve">אין בעצם ישוב הסכסוך בין הצדדים כדי למצות את האינטרס הציבורי שבהרתעת הרבים מפני ביצוע מעשים דומים (עניין סובח, פסקה 22). וכפי שכתבתי שם: 'מתן גושפנקה ל'סולחות' כמעין 'מרכיב משלים' לדרכי הענישה הקבועים בדין, יש בו כדי להוות מעין הפרטה פסולה של ההליך הפלילי. לא זו בלבד שאין במערך ההסכמות בין משפחת העבריין לבין משפחת הקורבן כדי להוות חלופה לדין הפלילי, אלא שהשלמה עם מעגל אלימות הכולל שימוש בנשק חם בטרם הצדדים פועלים ליישוב מחלוקותיהם 'בדרכי שלום' חותר תחת יסודות הדין הפלילי. איתותה של מערכת המשפט כי 'סולחה' עשויה להביא להקלה משמעותית בעונשו של העבריין מחליש את ההרתעה מפני ביצוע עבירות וחושף את קורבן </w:t>
      </w:r>
      <w:r>
        <w:rPr>
          <w:rFonts w:ascii="David" w:hAnsi="David"/>
          <w:b/>
          <w:bCs/>
          <w:color w:val="000000"/>
          <w:rtl/>
        </w:rPr>
        <w:t>העבירה ואת משפחתו ללחצים פסולים</w:t>
      </w:r>
      <w:r w:rsidRPr="00FA3BFE">
        <w:rPr>
          <w:rFonts w:ascii="David" w:hAnsi="David" w:hint="cs"/>
          <w:color w:val="000000"/>
          <w:rtl/>
        </w:rPr>
        <w:t>".</w:t>
      </w:r>
      <w:r w:rsidRPr="00606C2E">
        <w:rPr>
          <w:rFonts w:ascii="David" w:hAnsi="David" w:hint="cs"/>
          <w:color w:val="000000"/>
          <w:rtl/>
        </w:rPr>
        <w:t xml:space="preserve"> </w:t>
      </w:r>
    </w:p>
    <w:p w14:paraId="3F17C1B7" w14:textId="77777777" w:rsidR="005437DA" w:rsidRPr="00ED300F" w:rsidRDefault="00523B82" w:rsidP="005437DA">
      <w:pPr>
        <w:spacing w:line="360" w:lineRule="auto"/>
        <w:jc w:val="both"/>
        <w:rPr>
          <w:rFonts w:cs="Times New Roman"/>
          <w:color w:val="000000"/>
          <w:rtl/>
        </w:rPr>
      </w:pPr>
      <w:r>
        <w:rPr>
          <w:rFonts w:ascii="David" w:hAnsi="David"/>
          <w:color w:val="000000"/>
        </w:rPr>
        <w:t xml:space="preserve"> </w:t>
      </w:r>
    </w:p>
    <w:p w14:paraId="0D6F69D7" w14:textId="77777777" w:rsidR="005437DA" w:rsidRDefault="005437DA" w:rsidP="005437DA">
      <w:pPr>
        <w:spacing w:line="360" w:lineRule="auto"/>
        <w:jc w:val="both"/>
        <w:rPr>
          <w:rFonts w:ascii="David" w:hAnsi="David"/>
          <w:b/>
          <w:bCs/>
          <w:color w:val="000000"/>
          <w:rtl/>
        </w:rPr>
      </w:pPr>
      <w:r w:rsidRPr="00E91C2A">
        <w:rPr>
          <w:rFonts w:ascii="David" w:hAnsi="David"/>
          <w:b/>
          <w:bCs/>
          <w:color w:val="000000"/>
          <w:rtl/>
        </w:rPr>
        <w:t>גזר הדין</w:t>
      </w:r>
    </w:p>
    <w:p w14:paraId="063C2737" w14:textId="77777777" w:rsidR="005437DA" w:rsidRDefault="005437DA" w:rsidP="005437DA">
      <w:pPr>
        <w:spacing w:line="360" w:lineRule="auto"/>
        <w:jc w:val="both"/>
        <w:rPr>
          <w:rFonts w:ascii="David" w:hAnsi="David"/>
          <w:b/>
          <w:bCs/>
          <w:color w:val="000000"/>
          <w:rtl/>
        </w:rPr>
      </w:pPr>
    </w:p>
    <w:p w14:paraId="4CB90EBE" w14:textId="77777777" w:rsidR="005437DA" w:rsidRPr="00E91C2A" w:rsidRDefault="005437DA" w:rsidP="005437DA">
      <w:pPr>
        <w:pStyle w:val="a9"/>
        <w:numPr>
          <w:ilvl w:val="0"/>
          <w:numId w:val="1"/>
        </w:numPr>
        <w:spacing w:line="360" w:lineRule="auto"/>
        <w:jc w:val="both"/>
        <w:rPr>
          <w:rFonts w:ascii="David" w:hAnsi="David"/>
          <w:color w:val="000000"/>
          <w:rtl/>
        </w:rPr>
      </w:pPr>
      <w:r w:rsidRPr="00E91C2A">
        <w:rPr>
          <w:rFonts w:ascii="David" w:hAnsi="David"/>
          <w:color w:val="000000"/>
          <w:rtl/>
        </w:rPr>
        <w:t>בשים לב למתחם העונש שקבעתי ולשיקולים הקשורים לגזירת העונש, אני גוזר על הנאשם את העונשים הבאים:</w:t>
      </w:r>
    </w:p>
    <w:p w14:paraId="72777DD7" w14:textId="77777777" w:rsidR="005437DA" w:rsidRDefault="005437DA" w:rsidP="005437DA">
      <w:pPr>
        <w:spacing w:line="360" w:lineRule="auto"/>
        <w:ind w:left="1134" w:hanging="426"/>
        <w:jc w:val="both"/>
        <w:rPr>
          <w:rFonts w:ascii="David" w:hAnsi="David"/>
          <w:color w:val="000000"/>
          <w:rtl/>
        </w:rPr>
      </w:pPr>
    </w:p>
    <w:p w14:paraId="6D2393BE" w14:textId="77777777" w:rsidR="005437DA" w:rsidRPr="00E91C2A" w:rsidRDefault="005437DA" w:rsidP="005437DA">
      <w:pPr>
        <w:pStyle w:val="a9"/>
        <w:numPr>
          <w:ilvl w:val="0"/>
          <w:numId w:val="2"/>
        </w:numPr>
        <w:spacing w:line="360" w:lineRule="auto"/>
        <w:ind w:left="1134" w:hanging="426"/>
        <w:jc w:val="both"/>
        <w:rPr>
          <w:rFonts w:cs="Times New Roman"/>
          <w:color w:val="000000"/>
        </w:rPr>
      </w:pPr>
      <w:r w:rsidRPr="00E91C2A">
        <w:rPr>
          <w:rFonts w:ascii="David" w:hAnsi="David"/>
          <w:color w:val="000000"/>
          <w:rtl/>
        </w:rPr>
        <w:t xml:space="preserve">מאסר בפועל לתקופה של </w:t>
      </w:r>
      <w:r>
        <w:rPr>
          <w:rFonts w:ascii="David" w:hAnsi="David" w:hint="cs"/>
          <w:color w:val="000000"/>
          <w:rtl/>
        </w:rPr>
        <w:t>32</w:t>
      </w:r>
      <w:r w:rsidRPr="00E91C2A">
        <w:rPr>
          <w:rFonts w:ascii="David" w:hAnsi="David"/>
          <w:color w:val="000000"/>
          <w:rtl/>
        </w:rPr>
        <w:t xml:space="preserve"> חודשים בניכוי ימי מעצרו החל מיום </w:t>
      </w:r>
      <w:r>
        <w:rPr>
          <w:rFonts w:ascii="David" w:hAnsi="David" w:hint="cs"/>
          <w:color w:val="000000"/>
          <w:rtl/>
        </w:rPr>
        <w:t>28.12.2023.</w:t>
      </w:r>
    </w:p>
    <w:p w14:paraId="08E7DCEF" w14:textId="77777777" w:rsidR="005437DA" w:rsidRPr="00903710" w:rsidRDefault="005437DA" w:rsidP="005437DA">
      <w:pPr>
        <w:pStyle w:val="a9"/>
        <w:spacing w:line="360" w:lineRule="auto"/>
        <w:ind w:left="1134"/>
        <w:jc w:val="both"/>
        <w:rPr>
          <w:rFonts w:cs="Times New Roman"/>
          <w:color w:val="000000"/>
        </w:rPr>
      </w:pPr>
    </w:p>
    <w:p w14:paraId="42136882" w14:textId="77777777" w:rsidR="005437DA" w:rsidRPr="00A87D76" w:rsidRDefault="005437DA" w:rsidP="005437DA">
      <w:pPr>
        <w:pStyle w:val="a9"/>
        <w:numPr>
          <w:ilvl w:val="0"/>
          <w:numId w:val="2"/>
        </w:numPr>
        <w:spacing w:line="360" w:lineRule="auto"/>
        <w:ind w:left="1134" w:hanging="426"/>
        <w:jc w:val="both"/>
        <w:rPr>
          <w:rFonts w:cs="Times New Roman"/>
          <w:color w:val="000000"/>
        </w:rPr>
      </w:pPr>
      <w:r w:rsidRPr="00E91C2A">
        <w:rPr>
          <w:rFonts w:ascii="David" w:hAnsi="David"/>
          <w:color w:val="000000"/>
          <w:rtl/>
        </w:rPr>
        <w:t>מאסר על תנאי למשך 12 חודשים והתנאי כי הנאשם לא יעבור בתוך שלוש שנים עבירת נשק</w:t>
      </w:r>
      <w:r>
        <w:rPr>
          <w:rFonts w:ascii="David" w:hAnsi="David" w:hint="cs"/>
          <w:color w:val="000000"/>
          <w:rtl/>
        </w:rPr>
        <w:t xml:space="preserve"> מסוג פשע, או עבירת אלימות פיזית או מילולית מסוג פשע </w:t>
      </w:r>
      <w:r>
        <w:rPr>
          <w:rFonts w:ascii="David" w:hAnsi="David"/>
          <w:color w:val="000000"/>
          <w:rtl/>
        </w:rPr>
        <w:t>–</w:t>
      </w:r>
      <w:r>
        <w:rPr>
          <w:rFonts w:ascii="David" w:hAnsi="David" w:hint="cs"/>
          <w:color w:val="000000"/>
          <w:rtl/>
        </w:rPr>
        <w:t xml:space="preserve"> ויורשע בה.</w:t>
      </w:r>
    </w:p>
    <w:p w14:paraId="7D9D1917" w14:textId="77777777" w:rsidR="005437DA" w:rsidRPr="00A87D76" w:rsidRDefault="005437DA" w:rsidP="005437DA">
      <w:pPr>
        <w:pStyle w:val="a9"/>
        <w:spacing w:line="360" w:lineRule="auto"/>
        <w:rPr>
          <w:rFonts w:ascii="David" w:hAnsi="David"/>
          <w:color w:val="000000"/>
          <w:rtl/>
        </w:rPr>
      </w:pPr>
    </w:p>
    <w:p w14:paraId="0ED88DB5" w14:textId="77777777" w:rsidR="005437DA" w:rsidRDefault="005437DA" w:rsidP="005437DA">
      <w:pPr>
        <w:pStyle w:val="a9"/>
        <w:numPr>
          <w:ilvl w:val="0"/>
          <w:numId w:val="2"/>
        </w:numPr>
        <w:spacing w:line="360" w:lineRule="auto"/>
        <w:ind w:left="1134" w:hanging="426"/>
        <w:jc w:val="both"/>
        <w:rPr>
          <w:rFonts w:cs="Times New Roman"/>
          <w:color w:val="000000"/>
        </w:rPr>
      </w:pPr>
      <w:r>
        <w:rPr>
          <w:rFonts w:ascii="David" w:hAnsi="David" w:hint="cs"/>
          <w:color w:val="000000"/>
          <w:rtl/>
        </w:rPr>
        <w:t xml:space="preserve">מאסר על תנאי למשך 5 חודשים והתנאי כי הנאשם לא </w:t>
      </w:r>
      <w:r w:rsidRPr="00E91C2A">
        <w:rPr>
          <w:rFonts w:ascii="David" w:hAnsi="David"/>
          <w:color w:val="000000"/>
          <w:rtl/>
        </w:rPr>
        <w:t>י</w:t>
      </w:r>
      <w:r>
        <w:rPr>
          <w:rFonts w:ascii="David" w:hAnsi="David" w:hint="cs"/>
          <w:color w:val="000000"/>
          <w:rtl/>
        </w:rPr>
        <w:t xml:space="preserve">עבור בתוך שלוש שנים </w:t>
      </w:r>
      <w:r w:rsidRPr="00E91C2A">
        <w:rPr>
          <w:rFonts w:ascii="David" w:hAnsi="David"/>
          <w:color w:val="000000"/>
          <w:rtl/>
        </w:rPr>
        <w:t>עבירת נשק מסוג עוון</w:t>
      </w:r>
      <w:r>
        <w:rPr>
          <w:rFonts w:ascii="David" w:hAnsi="David" w:hint="cs"/>
          <w:color w:val="000000"/>
          <w:rtl/>
        </w:rPr>
        <w:t>,</w:t>
      </w:r>
      <w:r w:rsidRPr="00E91C2A">
        <w:rPr>
          <w:rFonts w:ascii="David" w:hAnsi="David"/>
          <w:color w:val="000000"/>
          <w:rtl/>
        </w:rPr>
        <w:t xml:space="preserve"> </w:t>
      </w:r>
      <w:r>
        <w:rPr>
          <w:rFonts w:ascii="David" w:hAnsi="David" w:hint="cs"/>
          <w:color w:val="000000"/>
          <w:rtl/>
        </w:rPr>
        <w:t xml:space="preserve">או עבירת אלימות פיזית או מילולית מסוג עוון </w:t>
      </w:r>
      <w:r>
        <w:rPr>
          <w:rFonts w:ascii="David" w:hAnsi="David"/>
          <w:color w:val="000000"/>
          <w:rtl/>
        </w:rPr>
        <w:t>–</w:t>
      </w:r>
      <w:r>
        <w:rPr>
          <w:rFonts w:ascii="David" w:hAnsi="David" w:hint="cs"/>
          <w:color w:val="000000"/>
          <w:rtl/>
        </w:rPr>
        <w:t xml:space="preserve"> ויורשע בה. </w:t>
      </w:r>
    </w:p>
    <w:p w14:paraId="24C10018" w14:textId="77777777" w:rsidR="005437DA" w:rsidRPr="003703B2" w:rsidRDefault="005437DA" w:rsidP="005437DA">
      <w:pPr>
        <w:pStyle w:val="a9"/>
        <w:spacing w:line="360" w:lineRule="auto"/>
        <w:ind w:left="1134"/>
        <w:jc w:val="both"/>
        <w:rPr>
          <w:rFonts w:cs="Times New Roman"/>
          <w:color w:val="000000"/>
        </w:rPr>
      </w:pPr>
    </w:p>
    <w:p w14:paraId="1B2D5A0F" w14:textId="77777777" w:rsidR="005437DA" w:rsidRPr="003703B2" w:rsidRDefault="005437DA" w:rsidP="005437DA">
      <w:pPr>
        <w:spacing w:line="360" w:lineRule="auto"/>
        <w:jc w:val="both"/>
        <w:rPr>
          <w:rFonts w:cs="Times New Roman"/>
          <w:color w:val="000000"/>
          <w:rtl/>
        </w:rPr>
      </w:pPr>
      <w:r w:rsidRPr="003703B2">
        <w:rPr>
          <w:rFonts w:ascii="David" w:hAnsi="David"/>
          <w:b/>
          <w:bCs/>
          <w:color w:val="FFFFFF"/>
          <w:u w:val="single"/>
          <w:rtl/>
        </w:rPr>
        <w:t>9371</w:t>
      </w:r>
      <w:r w:rsidRPr="003703B2">
        <w:rPr>
          <w:rFonts w:ascii="David" w:hAnsi="David"/>
          <w:b/>
          <w:bCs/>
          <w:color w:val="000000"/>
          <w:u w:val="single"/>
          <w:rtl/>
        </w:rPr>
        <w:t>זכות ערעור לבית המשפט העליון תוך 45 ימים.</w:t>
      </w:r>
    </w:p>
    <w:p w14:paraId="35E4B3E9" w14:textId="77777777" w:rsidR="005437DA" w:rsidRDefault="005437DA" w:rsidP="005437DA">
      <w:pPr>
        <w:rPr>
          <w:rFonts w:cs="Times New Roman"/>
          <w:color w:val="000000"/>
          <w:sz w:val="27"/>
          <w:szCs w:val="27"/>
          <w:rtl/>
        </w:rPr>
      </w:pPr>
      <w:r w:rsidRPr="00ED300F">
        <w:rPr>
          <w:rFonts w:ascii="David" w:hAnsi="David"/>
          <w:b/>
          <w:bCs/>
          <w:color w:val="FFFFFF"/>
          <w:sz w:val="2"/>
          <w:szCs w:val="2"/>
          <w:rtl/>
        </w:rPr>
        <w:t>54678313</w:t>
      </w:r>
    </w:p>
    <w:p w14:paraId="21D6CFE8" w14:textId="77777777" w:rsidR="005437DA" w:rsidRPr="00523B82" w:rsidRDefault="00523B82" w:rsidP="005437DA">
      <w:pPr>
        <w:rPr>
          <w:rFonts w:ascii="Arial" w:hAnsi="Arial"/>
          <w:b/>
          <w:bCs/>
          <w:color w:val="FFFFFF"/>
          <w:sz w:val="2"/>
          <w:szCs w:val="2"/>
          <w:rtl/>
        </w:rPr>
      </w:pPr>
      <w:r w:rsidRPr="00523B82">
        <w:rPr>
          <w:rFonts w:ascii="Arial" w:hAnsi="Arial"/>
          <w:b/>
          <w:bCs/>
          <w:color w:val="FFFFFF"/>
          <w:sz w:val="2"/>
          <w:szCs w:val="2"/>
          <w:rtl/>
        </w:rPr>
        <w:t>5129371</w:t>
      </w:r>
    </w:p>
    <w:p w14:paraId="48F2BE17" w14:textId="77777777" w:rsidR="005437DA" w:rsidRPr="00A17F55" w:rsidRDefault="00523B82" w:rsidP="005437DA">
      <w:pPr>
        <w:spacing w:line="360" w:lineRule="auto"/>
        <w:jc w:val="both"/>
        <w:rPr>
          <w:rFonts w:ascii="Arial" w:hAnsi="Arial"/>
          <w:b/>
          <w:bCs/>
          <w:rtl/>
        </w:rPr>
      </w:pPr>
      <w:bookmarkStart w:id="8" w:name="Nitan"/>
      <w:r w:rsidRPr="00523B82">
        <w:rPr>
          <w:rFonts w:ascii="Arial" w:hAnsi="Arial"/>
          <w:color w:val="FFFFFF"/>
          <w:sz w:val="2"/>
          <w:szCs w:val="2"/>
          <w:rtl/>
        </w:rPr>
        <w:t>54678313</w:t>
      </w:r>
      <w:r>
        <w:rPr>
          <w:rFonts w:ascii="Arial" w:hAnsi="Arial"/>
          <w:rtl/>
        </w:rPr>
        <w:t xml:space="preserve">ניתן היום,  י"ג אלול תשפ"ד, 16 ספטמבר 2024, בנוכחות הנאשם וב"כ הצדדים. </w:t>
      </w:r>
      <w:bookmarkEnd w:id="8"/>
      <w:r w:rsidR="005437DA" w:rsidRPr="00A17F55">
        <w:rPr>
          <w:rFonts w:ascii="Arial" w:hAnsi="Arial"/>
          <w:b/>
          <w:bCs/>
          <w:rtl/>
        </w:rPr>
        <w:tab/>
      </w:r>
      <w:r w:rsidR="005437DA" w:rsidRPr="00A17F55">
        <w:rPr>
          <w:rFonts w:ascii="Arial" w:hAnsi="Arial"/>
          <w:b/>
          <w:bCs/>
          <w:rtl/>
        </w:rPr>
        <w:tab/>
      </w:r>
      <w:r w:rsidR="005437DA" w:rsidRPr="00A17F55">
        <w:rPr>
          <w:rFonts w:ascii="Arial" w:hAnsi="Arial"/>
          <w:b/>
          <w:bCs/>
          <w:rtl/>
        </w:rPr>
        <w:tab/>
      </w:r>
      <w:r w:rsidR="005437DA" w:rsidRPr="00A17F55">
        <w:rPr>
          <w:rFonts w:ascii="Arial" w:hAnsi="Arial"/>
          <w:b/>
          <w:bCs/>
          <w:rtl/>
        </w:rPr>
        <w:tab/>
      </w:r>
      <w:r w:rsidR="005437DA" w:rsidRPr="00A17F55">
        <w:rPr>
          <w:rFonts w:ascii="Arial" w:hAnsi="Arial"/>
          <w:b/>
          <w:bCs/>
          <w:rtl/>
        </w:rPr>
        <w:tab/>
      </w:r>
      <w:r w:rsidR="005437DA" w:rsidRPr="00A17F55">
        <w:rPr>
          <w:rFonts w:ascii="Arial" w:hAnsi="Arial"/>
          <w:b/>
          <w:bCs/>
          <w:rtl/>
        </w:rPr>
        <w:tab/>
      </w:r>
      <w:r w:rsidR="005437DA" w:rsidRPr="00A17F55">
        <w:rPr>
          <w:rFonts w:ascii="Arial" w:hAnsi="Arial"/>
          <w:b/>
          <w:bCs/>
          <w:rtl/>
        </w:rPr>
        <w:tab/>
        <w:t xml:space="preserve">         </w:t>
      </w:r>
    </w:p>
    <w:p w14:paraId="237344C9" w14:textId="77777777" w:rsidR="005437DA" w:rsidRPr="00A17F55" w:rsidRDefault="005437DA" w:rsidP="00523B82">
      <w:pPr>
        <w:jc w:val="center"/>
      </w:pPr>
      <w:r w:rsidRPr="00A17F55">
        <w:rPr>
          <w:rFonts w:ascii="Arial" w:hAnsi="Arial"/>
          <w:b/>
          <w:bCs/>
          <w:rtl/>
        </w:rPr>
        <w:t xml:space="preserve">   </w:t>
      </w:r>
      <w:r w:rsidRPr="00A17F55">
        <w:rPr>
          <w:rFonts w:ascii="Arial" w:hAnsi="Arial"/>
          <w:b/>
          <w:bCs/>
          <w:rtl/>
        </w:rPr>
        <w:tab/>
      </w:r>
      <w:r w:rsidRPr="00A17F55">
        <w:rPr>
          <w:rFonts w:ascii="Arial" w:hAnsi="Arial"/>
          <w:b/>
          <w:bCs/>
          <w:rtl/>
        </w:rPr>
        <w:tab/>
      </w:r>
      <w:r w:rsidRPr="00A17F55">
        <w:rPr>
          <w:rFonts w:ascii="Arial" w:hAnsi="Arial"/>
          <w:b/>
          <w:bCs/>
          <w:rtl/>
        </w:rPr>
        <w:tab/>
      </w:r>
      <w:r w:rsidRPr="00A17F55">
        <w:rPr>
          <w:rFonts w:ascii="Arial" w:hAnsi="Arial"/>
          <w:b/>
          <w:bCs/>
          <w:rtl/>
        </w:rPr>
        <w:tab/>
      </w:r>
      <w:r w:rsidRPr="00A17F55">
        <w:rPr>
          <w:rFonts w:ascii="Arial" w:hAnsi="Arial"/>
          <w:b/>
          <w:bCs/>
          <w:rtl/>
        </w:rPr>
        <w:tab/>
      </w:r>
    </w:p>
    <w:p w14:paraId="182290FD" w14:textId="77777777" w:rsidR="005437DA" w:rsidRPr="00A17F55" w:rsidRDefault="005437DA" w:rsidP="005437DA">
      <w:pPr>
        <w:jc w:val="center"/>
        <w:rPr>
          <w:rFonts w:ascii="Arial" w:hAnsi="Arial"/>
          <w:b/>
          <w:bCs/>
          <w:rtl/>
        </w:rPr>
      </w:pPr>
    </w:p>
    <w:p w14:paraId="0120F5B5" w14:textId="77777777" w:rsidR="005437DA" w:rsidRPr="00A17F55" w:rsidRDefault="005437DA" w:rsidP="005437DA">
      <w:pPr>
        <w:rPr>
          <w:rFonts w:cs="Times New Roman"/>
          <w:color w:val="000000"/>
          <w:rtl/>
        </w:rPr>
      </w:pPr>
    </w:p>
    <w:p w14:paraId="687ED248" w14:textId="77777777" w:rsidR="005437DA" w:rsidRPr="00317CE7" w:rsidRDefault="00317CE7" w:rsidP="005437DA">
      <w:pPr>
        <w:rPr>
          <w:rFonts w:cs="Times New Roman"/>
          <w:color w:val="FFFFFF"/>
          <w:sz w:val="2"/>
          <w:szCs w:val="2"/>
          <w:rtl/>
        </w:rPr>
      </w:pPr>
      <w:r w:rsidRPr="00317CE7">
        <w:rPr>
          <w:rFonts w:cs="Times New Roman"/>
          <w:color w:val="FFFFFF"/>
          <w:sz w:val="2"/>
          <w:szCs w:val="2"/>
          <w:rtl/>
        </w:rPr>
        <w:t>5129371</w:t>
      </w:r>
    </w:p>
    <w:p w14:paraId="6455F078" w14:textId="77777777" w:rsidR="005C252F" w:rsidRPr="00317CE7" w:rsidRDefault="00317CE7" w:rsidP="00523B82">
      <w:pPr>
        <w:keepNext/>
        <w:rPr>
          <w:rFonts w:ascii="David" w:hAnsi="David"/>
          <w:color w:val="FFFFFF"/>
          <w:sz w:val="2"/>
          <w:szCs w:val="2"/>
          <w:rtl/>
        </w:rPr>
      </w:pPr>
      <w:r w:rsidRPr="00317CE7">
        <w:rPr>
          <w:rFonts w:ascii="David" w:hAnsi="David"/>
          <w:color w:val="FFFFFF"/>
          <w:sz w:val="2"/>
          <w:szCs w:val="2"/>
          <w:rtl/>
        </w:rPr>
        <w:t>54678313</w:t>
      </w:r>
    </w:p>
    <w:p w14:paraId="4FF70881" w14:textId="77777777" w:rsidR="00523B82" w:rsidRDefault="00523B82" w:rsidP="00523B82">
      <w:pPr>
        <w:rPr>
          <w:rtl/>
        </w:rPr>
      </w:pPr>
    </w:p>
    <w:p w14:paraId="530E1FB1" w14:textId="77777777" w:rsidR="00523B82" w:rsidRDefault="00523B82" w:rsidP="00523B82">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5FE2B98B" w14:textId="77777777" w:rsidR="00317CE7" w:rsidRPr="00317CE7" w:rsidRDefault="00317CE7" w:rsidP="00317CE7">
      <w:pPr>
        <w:keepNext/>
        <w:rPr>
          <w:rFonts w:ascii="David" w:hAnsi="David"/>
          <w:color w:val="000000"/>
          <w:sz w:val="22"/>
          <w:szCs w:val="22"/>
          <w:rtl/>
        </w:rPr>
      </w:pPr>
    </w:p>
    <w:p w14:paraId="17F4E716" w14:textId="77777777" w:rsidR="00317CE7" w:rsidRPr="00317CE7" w:rsidRDefault="00317CE7" w:rsidP="00317CE7">
      <w:pPr>
        <w:keepNext/>
        <w:rPr>
          <w:rFonts w:ascii="David" w:hAnsi="David"/>
          <w:color w:val="000000"/>
          <w:sz w:val="22"/>
          <w:szCs w:val="22"/>
          <w:rtl/>
        </w:rPr>
      </w:pPr>
      <w:r w:rsidRPr="00317CE7">
        <w:rPr>
          <w:rFonts w:ascii="David" w:hAnsi="David"/>
          <w:color w:val="000000"/>
          <w:sz w:val="22"/>
          <w:szCs w:val="22"/>
          <w:rtl/>
        </w:rPr>
        <w:t>מוחמד עלי 54678313-/</w:t>
      </w:r>
    </w:p>
    <w:p w14:paraId="2951E573" w14:textId="77777777" w:rsidR="00523B82" w:rsidRPr="00523B82" w:rsidRDefault="00317CE7" w:rsidP="00317CE7">
      <w:pPr>
        <w:rPr>
          <w:color w:val="0000FF"/>
          <w:u w:val="single"/>
        </w:rPr>
      </w:pPr>
      <w:r w:rsidRPr="00317CE7">
        <w:rPr>
          <w:color w:val="000000"/>
          <w:u w:val="single"/>
          <w:rtl/>
        </w:rPr>
        <w:t>נוסח מסמך זה כפוף לשינויי ניסוח ועריכה</w:t>
      </w:r>
    </w:p>
    <w:sectPr w:rsidR="00523B82" w:rsidRPr="00523B82" w:rsidSect="00317CE7">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E239D" w14:textId="77777777" w:rsidR="00F343ED" w:rsidRDefault="00F343ED" w:rsidP="00323663">
      <w:r>
        <w:separator/>
      </w:r>
    </w:p>
  </w:endnote>
  <w:endnote w:type="continuationSeparator" w:id="0">
    <w:p w14:paraId="33CC5584" w14:textId="77777777" w:rsidR="00F343ED" w:rsidRDefault="00F343ED" w:rsidP="00323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EFCAA" w14:textId="77777777" w:rsidR="00317CE7" w:rsidRDefault="00317CE7" w:rsidP="00317CE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EFBBA1" w14:textId="77777777" w:rsidR="0099086A" w:rsidRPr="00317CE7" w:rsidRDefault="00317CE7" w:rsidP="00317CE7">
    <w:pPr>
      <w:pStyle w:val="a5"/>
      <w:pBdr>
        <w:top w:val="single" w:sz="4" w:space="1" w:color="auto"/>
        <w:between w:val="single" w:sz="4" w:space="0" w:color="auto"/>
      </w:pBdr>
      <w:spacing w:after="60"/>
      <w:jc w:val="center"/>
      <w:rPr>
        <w:rFonts w:ascii="FrankRuehl" w:hAnsi="FrankRuehl" w:cs="FrankRuehl"/>
        <w:color w:val="000000"/>
      </w:rPr>
    </w:pPr>
    <w:r w:rsidRPr="00317C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F857D" w14:textId="77777777" w:rsidR="00317CE7" w:rsidRDefault="00317CE7" w:rsidP="00317CE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071E">
      <w:rPr>
        <w:rFonts w:ascii="FrankRuehl" w:hAnsi="FrankRuehl" w:cs="FrankRuehl"/>
        <w:noProof/>
        <w:rtl/>
      </w:rPr>
      <w:t>1</w:t>
    </w:r>
    <w:r>
      <w:rPr>
        <w:rFonts w:ascii="FrankRuehl" w:hAnsi="FrankRuehl" w:cs="FrankRuehl"/>
        <w:rtl/>
      </w:rPr>
      <w:fldChar w:fldCharType="end"/>
    </w:r>
  </w:p>
  <w:p w14:paraId="0C90C057" w14:textId="77777777" w:rsidR="0099086A" w:rsidRPr="00317CE7" w:rsidRDefault="00317CE7" w:rsidP="00317CE7">
    <w:pPr>
      <w:pStyle w:val="a5"/>
      <w:pBdr>
        <w:top w:val="single" w:sz="4" w:space="1" w:color="auto"/>
        <w:between w:val="single" w:sz="4" w:space="0" w:color="auto"/>
      </w:pBdr>
      <w:spacing w:after="60"/>
      <w:jc w:val="center"/>
      <w:rPr>
        <w:rFonts w:ascii="FrankRuehl" w:hAnsi="FrankRuehl" w:cs="FrankRuehl"/>
        <w:color w:val="000000"/>
      </w:rPr>
    </w:pPr>
    <w:r w:rsidRPr="00317CE7">
      <w:rPr>
        <w:rFonts w:ascii="FrankRuehl" w:hAnsi="FrankRuehl" w:cs="FrankRuehl"/>
        <w:color w:val="000000"/>
      </w:rPr>
      <w:pict w14:anchorId="0ACD3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A866B" w14:textId="77777777" w:rsidR="00F343ED" w:rsidRDefault="00F343ED" w:rsidP="00323663">
      <w:r>
        <w:separator/>
      </w:r>
    </w:p>
  </w:footnote>
  <w:footnote w:type="continuationSeparator" w:id="0">
    <w:p w14:paraId="6072A4F1" w14:textId="77777777" w:rsidR="00F343ED" w:rsidRDefault="00F343ED" w:rsidP="00323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27C89" w14:textId="77777777" w:rsidR="00523B82" w:rsidRPr="00317CE7" w:rsidRDefault="00317CE7" w:rsidP="00317CE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49344-11-23</w:t>
    </w:r>
    <w:r>
      <w:rPr>
        <w:rFonts w:ascii="David" w:hAnsi="David"/>
        <w:color w:val="000000"/>
        <w:sz w:val="22"/>
        <w:szCs w:val="22"/>
        <w:rtl/>
      </w:rPr>
      <w:tab/>
      <w:t xml:space="preserve"> מדינת ישראל נ' מוחמד עקל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E775F" w14:textId="77777777" w:rsidR="00523B82" w:rsidRPr="00317CE7" w:rsidRDefault="00317CE7" w:rsidP="00317CE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49344-11-23</w:t>
    </w:r>
    <w:r>
      <w:rPr>
        <w:rFonts w:ascii="David" w:hAnsi="David"/>
        <w:color w:val="000000"/>
        <w:sz w:val="22"/>
        <w:szCs w:val="22"/>
        <w:rtl/>
      </w:rPr>
      <w:tab/>
      <w:t xml:space="preserve"> מדינת ישראל נ' מוחמד עקל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2EDC"/>
    <w:multiLevelType w:val="hybridMultilevel"/>
    <w:tmpl w:val="992A7336"/>
    <w:lvl w:ilvl="0" w:tplc="5F7C85E2">
      <w:start w:val="1"/>
      <w:numFmt w:val="hebrew1"/>
      <w:lvlText w:val="%1."/>
      <w:lvlJc w:val="center"/>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358AA"/>
    <w:multiLevelType w:val="hybridMultilevel"/>
    <w:tmpl w:val="15D00B50"/>
    <w:lvl w:ilvl="0" w:tplc="6318FC4E">
      <w:start w:val="1"/>
      <w:numFmt w:val="decimal"/>
      <w:lvlText w:val="%1."/>
      <w:lvlJc w:val="left"/>
      <w:pPr>
        <w:tabs>
          <w:tab w:val="num" w:pos="567"/>
        </w:tabs>
        <w:ind w:left="0" w:firstLine="0"/>
      </w:pPr>
      <w:rPr>
        <w:rFonts w:ascii="David" w:hAnsi="David" w:cs="David"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126695">
    <w:abstractNumId w:val="1"/>
  </w:num>
  <w:num w:numId="2" w16cid:durableId="21366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37DA"/>
    <w:rsid w:val="001B5A3B"/>
    <w:rsid w:val="00317CE7"/>
    <w:rsid w:val="00323663"/>
    <w:rsid w:val="00523B82"/>
    <w:rsid w:val="005437DA"/>
    <w:rsid w:val="005C252F"/>
    <w:rsid w:val="0099086A"/>
    <w:rsid w:val="00BD60F0"/>
    <w:rsid w:val="00EB071E"/>
    <w:rsid w:val="00F343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F7DF99"/>
  <w15:chartTrackingRefBased/>
  <w15:docId w15:val="{32DBA727-BA21-4D84-A692-D0F30B6E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37D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437DA"/>
    <w:pPr>
      <w:tabs>
        <w:tab w:val="center" w:pos="4153"/>
        <w:tab w:val="right" w:pos="8306"/>
      </w:tabs>
    </w:pPr>
  </w:style>
  <w:style w:type="character" w:customStyle="1" w:styleId="a4">
    <w:name w:val="כותרת עליונה תו"/>
    <w:link w:val="a3"/>
    <w:rsid w:val="005437DA"/>
    <w:rPr>
      <w:rFonts w:ascii="Times New Roman" w:eastAsia="Times New Roman" w:hAnsi="Times New Roman" w:cs="David"/>
      <w:sz w:val="24"/>
      <w:szCs w:val="24"/>
    </w:rPr>
  </w:style>
  <w:style w:type="paragraph" w:styleId="a5">
    <w:name w:val="footer"/>
    <w:basedOn w:val="a"/>
    <w:link w:val="a6"/>
    <w:rsid w:val="005437DA"/>
    <w:pPr>
      <w:tabs>
        <w:tab w:val="center" w:pos="4153"/>
        <w:tab w:val="right" w:pos="8306"/>
      </w:tabs>
    </w:pPr>
  </w:style>
  <w:style w:type="character" w:customStyle="1" w:styleId="a6">
    <w:name w:val="כותרת תחתונה תו"/>
    <w:link w:val="a5"/>
    <w:rsid w:val="005437DA"/>
    <w:rPr>
      <w:rFonts w:ascii="Times New Roman" w:eastAsia="Times New Roman" w:hAnsi="Times New Roman" w:cs="David"/>
      <w:sz w:val="24"/>
      <w:szCs w:val="24"/>
    </w:rPr>
  </w:style>
  <w:style w:type="table" w:styleId="a7">
    <w:name w:val="Table Grid"/>
    <w:basedOn w:val="a1"/>
    <w:rsid w:val="005437D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437DA"/>
  </w:style>
  <w:style w:type="paragraph" w:styleId="a9">
    <w:name w:val="List Paragraph"/>
    <w:basedOn w:val="a"/>
    <w:qFormat/>
    <w:rsid w:val="005437DA"/>
    <w:pPr>
      <w:ind w:left="720"/>
      <w:contextualSpacing/>
    </w:pPr>
  </w:style>
  <w:style w:type="character" w:styleId="Hyperlink">
    <w:name w:val="Hyperlink"/>
    <w:rsid w:val="00523B8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309272"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case/10485615" TargetMode="External"/><Relationship Id="rId34" Type="http://schemas.openxmlformats.org/officeDocument/2006/relationships/hyperlink" Target="http://www.nevo.co.il/case/30168342"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4" TargetMode="External"/><Relationship Id="rId29" Type="http://schemas.openxmlformats.org/officeDocument/2006/relationships/hyperlink" Target="http://www.nevo.co.il/case/277349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g" TargetMode="External"/><Relationship Id="rId24" Type="http://schemas.openxmlformats.org/officeDocument/2006/relationships/hyperlink" Target="http://www.nevo.co.il/case/30019073" TargetMode="External"/><Relationship Id="rId32" Type="http://schemas.openxmlformats.org/officeDocument/2006/relationships/hyperlink" Target="http://www.nevo.co.il/law/70301/144.g" TargetMode="External"/><Relationship Id="rId37" Type="http://schemas.openxmlformats.org/officeDocument/2006/relationships/hyperlink" Target="http://www.nevo.co.il/case/28243273"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7821883" TargetMode="External"/><Relationship Id="rId28" Type="http://schemas.openxmlformats.org/officeDocument/2006/relationships/hyperlink" Target="http://www.nevo.co.il/case/27708542" TargetMode="External"/><Relationship Id="rId36" Type="http://schemas.openxmlformats.org/officeDocument/2006/relationships/hyperlink" Target="http://www.nevo.co.il/case/30003285"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40i" TargetMode="External"/><Relationship Id="rId31" Type="http://schemas.openxmlformats.org/officeDocument/2006/relationships/hyperlink" Target="http://www.nevo.co.il/case/28266138"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852404" TargetMode="External"/><Relationship Id="rId27" Type="http://schemas.openxmlformats.org/officeDocument/2006/relationships/hyperlink" Target="http://www.nevo.co.il/case/26905927" TargetMode="External"/><Relationship Id="rId30" Type="http://schemas.openxmlformats.org/officeDocument/2006/relationships/hyperlink" Target="http://www.nevo.co.il/case/28200855" TargetMode="External"/><Relationship Id="rId35" Type="http://schemas.openxmlformats.org/officeDocument/2006/relationships/hyperlink" Target="http://www.nevo.co.il/case/2888308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c" TargetMode="External"/><Relationship Id="rId3" Type="http://schemas.openxmlformats.org/officeDocument/2006/relationships/settings" Target="settings.xml"/><Relationship Id="rId12" Type="http://schemas.openxmlformats.org/officeDocument/2006/relationships/hyperlink" Target="http://www.nevo.co.il/law/70301/404" TargetMode="External"/><Relationship Id="rId17" Type="http://schemas.openxmlformats.org/officeDocument/2006/relationships/hyperlink" Target="http://www.nevo.co.il/law/70301/40c" TargetMode="External"/><Relationship Id="rId25" Type="http://schemas.openxmlformats.org/officeDocument/2006/relationships/hyperlink" Target="http://www.nevo.co.il/case/25824863"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6510968"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286145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3786</Words>
  <Characters>18935</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22676</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3276920</vt:i4>
      </vt:variant>
      <vt:variant>
        <vt:i4>102</vt:i4>
      </vt:variant>
      <vt:variant>
        <vt:i4>0</vt:i4>
      </vt:variant>
      <vt:variant>
        <vt:i4>5</vt:i4>
      </vt:variant>
      <vt:variant>
        <vt:lpwstr>http://www.nevo.co.il/case/28614520</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3211386</vt:i4>
      </vt:variant>
      <vt:variant>
        <vt:i4>93</vt:i4>
      </vt:variant>
      <vt:variant>
        <vt:i4>0</vt:i4>
      </vt:variant>
      <vt:variant>
        <vt:i4>5</vt:i4>
      </vt:variant>
      <vt:variant>
        <vt:lpwstr>http://www.nevo.co.il/case/26510968</vt:lpwstr>
      </vt:variant>
      <vt:variant>
        <vt:lpwstr/>
      </vt:variant>
      <vt:variant>
        <vt:i4>3407994</vt:i4>
      </vt:variant>
      <vt:variant>
        <vt:i4>90</vt:i4>
      </vt:variant>
      <vt:variant>
        <vt:i4>0</vt:i4>
      </vt:variant>
      <vt:variant>
        <vt:i4>5</vt:i4>
      </vt:variant>
      <vt:variant>
        <vt:lpwstr>http://www.nevo.co.il/case/28243273</vt:lpwstr>
      </vt:variant>
      <vt:variant>
        <vt:lpwstr/>
      </vt:variant>
      <vt:variant>
        <vt:i4>3670134</vt:i4>
      </vt:variant>
      <vt:variant>
        <vt:i4>87</vt:i4>
      </vt:variant>
      <vt:variant>
        <vt:i4>0</vt:i4>
      </vt:variant>
      <vt:variant>
        <vt:i4>5</vt:i4>
      </vt:variant>
      <vt:variant>
        <vt:lpwstr>http://www.nevo.co.il/case/30003285</vt:lpwstr>
      </vt:variant>
      <vt:variant>
        <vt:lpwstr/>
      </vt:variant>
      <vt:variant>
        <vt:i4>3211380</vt:i4>
      </vt:variant>
      <vt:variant>
        <vt:i4>84</vt:i4>
      </vt:variant>
      <vt:variant>
        <vt:i4>0</vt:i4>
      </vt:variant>
      <vt:variant>
        <vt:i4>5</vt:i4>
      </vt:variant>
      <vt:variant>
        <vt:lpwstr>http://www.nevo.co.il/case/28883087</vt:lpwstr>
      </vt:variant>
      <vt:variant>
        <vt:lpwstr/>
      </vt:variant>
      <vt:variant>
        <vt:i4>4063345</vt:i4>
      </vt:variant>
      <vt:variant>
        <vt:i4>81</vt:i4>
      </vt:variant>
      <vt:variant>
        <vt:i4>0</vt:i4>
      </vt:variant>
      <vt:variant>
        <vt:i4>5</vt:i4>
      </vt:variant>
      <vt:variant>
        <vt:lpwstr>http://www.nevo.co.il/case/30168342</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http://www.nevo.co.il/law/70301/144.g</vt:lpwstr>
      </vt:variant>
      <vt:variant>
        <vt:lpwstr/>
      </vt:variant>
      <vt:variant>
        <vt:i4>3473531</vt:i4>
      </vt:variant>
      <vt:variant>
        <vt:i4>72</vt:i4>
      </vt:variant>
      <vt:variant>
        <vt:i4>0</vt:i4>
      </vt:variant>
      <vt:variant>
        <vt:i4>5</vt:i4>
      </vt:variant>
      <vt:variant>
        <vt:lpwstr>http://www.nevo.co.il/case/28266138</vt:lpwstr>
      </vt:variant>
      <vt:variant>
        <vt:lpwstr/>
      </vt:variant>
      <vt:variant>
        <vt:i4>3473524</vt:i4>
      </vt:variant>
      <vt:variant>
        <vt:i4>69</vt:i4>
      </vt:variant>
      <vt:variant>
        <vt:i4>0</vt:i4>
      </vt:variant>
      <vt:variant>
        <vt:i4>5</vt:i4>
      </vt:variant>
      <vt:variant>
        <vt:lpwstr>http://www.nevo.co.il/case/28200855</vt:lpwstr>
      </vt:variant>
      <vt:variant>
        <vt:lpwstr/>
      </vt:variant>
      <vt:variant>
        <vt:i4>3735673</vt:i4>
      </vt:variant>
      <vt:variant>
        <vt:i4>66</vt:i4>
      </vt:variant>
      <vt:variant>
        <vt:i4>0</vt:i4>
      </vt:variant>
      <vt:variant>
        <vt:i4>5</vt:i4>
      </vt:variant>
      <vt:variant>
        <vt:lpwstr>http://www.nevo.co.il/case/27734980</vt:lpwstr>
      </vt:variant>
      <vt:variant>
        <vt:lpwstr/>
      </vt:variant>
      <vt:variant>
        <vt:i4>3735670</vt:i4>
      </vt:variant>
      <vt:variant>
        <vt:i4>63</vt:i4>
      </vt:variant>
      <vt:variant>
        <vt:i4>0</vt:i4>
      </vt:variant>
      <vt:variant>
        <vt:i4>5</vt:i4>
      </vt:variant>
      <vt:variant>
        <vt:lpwstr>http://www.nevo.co.il/case/27708542</vt:lpwstr>
      </vt:variant>
      <vt:variant>
        <vt:lpwstr/>
      </vt:variant>
      <vt:variant>
        <vt:i4>3932283</vt:i4>
      </vt:variant>
      <vt:variant>
        <vt:i4>60</vt:i4>
      </vt:variant>
      <vt:variant>
        <vt:i4>0</vt:i4>
      </vt:variant>
      <vt:variant>
        <vt:i4>5</vt:i4>
      </vt:variant>
      <vt:variant>
        <vt:lpwstr>http://www.nevo.co.il/case/26905927</vt:lpwstr>
      </vt:variant>
      <vt:variant>
        <vt:lpwstr/>
      </vt:variant>
      <vt:variant>
        <vt:i4>4128881</vt:i4>
      </vt:variant>
      <vt:variant>
        <vt:i4>57</vt:i4>
      </vt:variant>
      <vt:variant>
        <vt:i4>0</vt:i4>
      </vt:variant>
      <vt:variant>
        <vt:i4>5</vt:i4>
      </vt:variant>
      <vt:variant>
        <vt:lpwstr>http://www.nevo.co.il/case/27309272</vt:lpwstr>
      </vt:variant>
      <vt:variant>
        <vt:lpwstr/>
      </vt:variant>
      <vt:variant>
        <vt:i4>3670139</vt:i4>
      </vt:variant>
      <vt:variant>
        <vt:i4>54</vt:i4>
      </vt:variant>
      <vt:variant>
        <vt:i4>0</vt:i4>
      </vt:variant>
      <vt:variant>
        <vt:i4>5</vt:i4>
      </vt:variant>
      <vt:variant>
        <vt:lpwstr>http://www.nevo.co.il/case/25824863</vt:lpwstr>
      </vt:variant>
      <vt:variant>
        <vt:lpwstr/>
      </vt:variant>
      <vt:variant>
        <vt:i4>3997813</vt:i4>
      </vt:variant>
      <vt:variant>
        <vt:i4>51</vt:i4>
      </vt:variant>
      <vt:variant>
        <vt:i4>0</vt:i4>
      </vt:variant>
      <vt:variant>
        <vt:i4>5</vt:i4>
      </vt:variant>
      <vt:variant>
        <vt:lpwstr>http://www.nevo.co.il/case/30019073</vt:lpwstr>
      </vt:variant>
      <vt:variant>
        <vt:lpwstr/>
      </vt:variant>
      <vt:variant>
        <vt:i4>4063349</vt:i4>
      </vt:variant>
      <vt:variant>
        <vt:i4>48</vt:i4>
      </vt:variant>
      <vt:variant>
        <vt:i4>0</vt:i4>
      </vt:variant>
      <vt:variant>
        <vt:i4>5</vt:i4>
      </vt:variant>
      <vt:variant>
        <vt:lpwstr>http://www.nevo.co.il/case/7821883</vt:lpwstr>
      </vt:variant>
      <vt:variant>
        <vt:lpwstr/>
      </vt:variant>
      <vt:variant>
        <vt:i4>3145854</vt:i4>
      </vt:variant>
      <vt:variant>
        <vt:i4>45</vt:i4>
      </vt:variant>
      <vt:variant>
        <vt:i4>0</vt:i4>
      </vt:variant>
      <vt:variant>
        <vt:i4>5</vt:i4>
      </vt:variant>
      <vt:variant>
        <vt:lpwstr>http://www.nevo.co.il/case/5852404</vt:lpwstr>
      </vt:variant>
      <vt:variant>
        <vt:lpwstr/>
      </vt:variant>
      <vt:variant>
        <vt:i4>3211386</vt:i4>
      </vt:variant>
      <vt:variant>
        <vt:i4>42</vt:i4>
      </vt:variant>
      <vt:variant>
        <vt:i4>0</vt:i4>
      </vt:variant>
      <vt:variant>
        <vt:i4>5</vt:i4>
      </vt:variant>
      <vt:variant>
        <vt:lpwstr>http://www.nevo.co.il/case/10485615</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6619233</vt:i4>
      </vt:variant>
      <vt:variant>
        <vt:i4>27</vt:i4>
      </vt:variant>
      <vt:variant>
        <vt:i4>0</vt:i4>
      </vt:variant>
      <vt:variant>
        <vt:i4>5</vt:i4>
      </vt:variant>
      <vt:variant>
        <vt:lpwstr>http://www.nevo.co.il/law/70301/404</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http://www.nevo.co.il/law/70301/404</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2025-01-19T17:08:00Z</dcterms:created>
  <dcterms:modified xsi:type="dcterms:W3CDTF">2025-01-19T17:08:00Z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49344</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עקל</vt:lpwstr>
  </property>
  <property fmtid="{D5CDD505-2E9C-101B-9397-08002B2CF9AE}" pid="10" name="LAWYER">
    <vt:lpwstr>ר' רחאל;ע' עת'אמנה</vt:lpwstr>
  </property>
  <property fmtid="{D5CDD505-2E9C-101B-9397-08002B2CF9AE}" pid="11" name="JUDGE">
    <vt:lpwstr>מוחמד עלי</vt:lpwstr>
  </property>
  <property fmtid="{D5CDD505-2E9C-101B-9397-08002B2CF9AE}" pid="12" name="CITY">
    <vt:lpwstr>חי'</vt:lpwstr>
  </property>
  <property fmtid="{D5CDD505-2E9C-101B-9397-08002B2CF9AE}" pid="13" name="DATE">
    <vt:lpwstr>20240916</vt:lpwstr>
  </property>
  <property fmtid="{D5CDD505-2E9C-101B-9397-08002B2CF9AE}" pid="14" name="TYPE_N_DATE">
    <vt:lpwstr>39020240916</vt:lpwstr>
  </property>
  <property fmtid="{D5CDD505-2E9C-101B-9397-08002B2CF9AE}" pid="15" name="CASESLISTTMP1">
    <vt:lpwstr>10485615;5852404;7821883;30019073;25824863;27309272;26905927;27708542;27734980;28200855;28266138;30168342;28883087;30003285;28243273;26510968;28614520</vt:lpwstr>
  </property>
  <property fmtid="{D5CDD505-2E9C-101B-9397-08002B2CF9AE}" pid="16" name="WORDNUMPAGES">
    <vt:lpwstr>11</vt:lpwstr>
  </property>
  <property fmtid="{D5CDD505-2E9C-101B-9397-08002B2CF9AE}" pid="17" name="TYPE_ABS_DATE">
    <vt:lpwstr>390020240916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70301/144.b;404;040c;040i;144.g;40ja</vt:lpwstr>
  </property>
</Properties>
</file>