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089"/>
        <w:gridCol w:w="2044"/>
        <w:gridCol w:w="3665"/>
        <w:gridCol w:w="99"/>
      </w:tblGrid>
      <w:tr w:rsidR="003A2A80" w:rsidRPr="001D2AA7" w14:paraId="7995C83E" w14:textId="77777777" w:rsidTr="00D61A86">
        <w:trPr>
          <w:gridAfter w:val="1"/>
          <w:wAfter w:w="99" w:type="dxa"/>
          <w:trHeight w:hRule="exact" w:val="418"/>
          <w:jc w:val="center"/>
        </w:trPr>
        <w:tc>
          <w:tcPr>
            <w:tcW w:w="8721" w:type="dxa"/>
            <w:gridSpan w:val="4"/>
          </w:tcPr>
          <w:p w14:paraId="402C2BB6" w14:textId="77777777" w:rsidR="003A2A80" w:rsidRPr="001D2AA7" w:rsidRDefault="003A2A80" w:rsidP="00804819">
            <w:pPr>
              <w:pStyle w:val="a3"/>
              <w:jc w:val="center"/>
              <w:rPr>
                <w:rFonts w:ascii="Tahoma" w:hAnsi="Tahoma" w:cs="Tahoma"/>
                <w:color w:val="000080"/>
                <w:rtl/>
              </w:rPr>
            </w:pPr>
            <w:bookmarkStart w:id="0" w:name="LastJudge"/>
            <w:r w:rsidRPr="001D2AA7">
              <w:rPr>
                <w:rFonts w:ascii="Tahoma" w:hAnsi="Tahoma" w:cs="Tahoma"/>
                <w:b/>
                <w:bCs/>
                <w:color w:val="000080"/>
                <w:rtl/>
              </w:rPr>
              <w:t>בית המשפט המחוזי בירושלים</w:t>
            </w:r>
          </w:p>
        </w:tc>
      </w:tr>
      <w:tr w:rsidR="003A2A80" w:rsidRPr="001D2AA7" w14:paraId="06FF0440" w14:textId="77777777" w:rsidTr="00D61A86">
        <w:trPr>
          <w:gridAfter w:val="1"/>
          <w:wAfter w:w="99" w:type="dxa"/>
          <w:trHeight w:val="337"/>
          <w:jc w:val="center"/>
        </w:trPr>
        <w:tc>
          <w:tcPr>
            <w:tcW w:w="5056" w:type="dxa"/>
            <w:gridSpan w:val="3"/>
          </w:tcPr>
          <w:p w14:paraId="022FFEA5" w14:textId="77777777" w:rsidR="003A2A80" w:rsidRPr="001D2AA7" w:rsidRDefault="003A2A80" w:rsidP="00804819">
            <w:pPr>
              <w:rPr>
                <w:rFonts w:cs="FrankRuehl"/>
                <w:sz w:val="28"/>
                <w:szCs w:val="28"/>
                <w:rtl/>
              </w:rPr>
            </w:pPr>
            <w:r w:rsidRPr="001D2AA7">
              <w:rPr>
                <w:rFonts w:cs="FrankRuehl"/>
                <w:sz w:val="28"/>
                <w:szCs w:val="28"/>
                <w:rtl/>
              </w:rPr>
              <w:t>ת"פ</w:t>
            </w:r>
            <w:r w:rsidRPr="001D2AA7">
              <w:rPr>
                <w:rFonts w:cs="FrankRuehl" w:hint="cs"/>
                <w:sz w:val="28"/>
                <w:szCs w:val="28"/>
                <w:rtl/>
              </w:rPr>
              <w:t xml:space="preserve"> </w:t>
            </w:r>
            <w:r w:rsidRPr="001D2AA7">
              <w:rPr>
                <w:rFonts w:cs="FrankRuehl"/>
                <w:sz w:val="28"/>
                <w:szCs w:val="28"/>
                <w:rtl/>
              </w:rPr>
              <w:t>524-11-23</w:t>
            </w:r>
            <w:r w:rsidRPr="001D2AA7">
              <w:rPr>
                <w:rFonts w:cs="FrankRuehl" w:hint="cs"/>
                <w:sz w:val="28"/>
                <w:szCs w:val="28"/>
                <w:rtl/>
              </w:rPr>
              <w:t xml:space="preserve"> </w:t>
            </w:r>
            <w:r w:rsidRPr="001D2AA7">
              <w:rPr>
                <w:rFonts w:cs="FrankRuehl"/>
                <w:sz w:val="28"/>
                <w:szCs w:val="28"/>
                <w:rtl/>
              </w:rPr>
              <w:t>מדינת ישראל נ' מוחמד עלי(עציר)</w:t>
            </w:r>
          </w:p>
          <w:p w14:paraId="0648A6D5" w14:textId="77777777" w:rsidR="003A2A80" w:rsidRPr="001D2AA7" w:rsidRDefault="003A2A80" w:rsidP="00804819">
            <w:pPr>
              <w:pStyle w:val="a3"/>
              <w:rPr>
                <w:rFonts w:cs="FrankRuehl"/>
                <w:sz w:val="28"/>
                <w:szCs w:val="28"/>
                <w:rtl/>
              </w:rPr>
            </w:pPr>
          </w:p>
        </w:tc>
        <w:tc>
          <w:tcPr>
            <w:tcW w:w="3665" w:type="dxa"/>
          </w:tcPr>
          <w:p w14:paraId="2C34F746" w14:textId="77777777" w:rsidR="003A2A80" w:rsidRPr="001D2AA7" w:rsidRDefault="003A2A80" w:rsidP="00804819">
            <w:pPr>
              <w:pStyle w:val="a3"/>
              <w:jc w:val="right"/>
              <w:rPr>
                <w:rFonts w:cs="FrankRuehl"/>
                <w:sz w:val="28"/>
                <w:szCs w:val="28"/>
                <w:rtl/>
              </w:rPr>
            </w:pPr>
          </w:p>
        </w:tc>
      </w:tr>
      <w:tr w:rsidR="003A2A80" w:rsidRPr="001D2AA7" w14:paraId="700C5B20" w14:textId="77777777" w:rsidTr="00D61A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052CEF4" w14:textId="77777777" w:rsidR="003A2A80" w:rsidRPr="001D2AA7" w:rsidRDefault="003A2A80" w:rsidP="003A2A80">
            <w:pPr>
              <w:jc w:val="both"/>
              <w:rPr>
                <w:rFonts w:ascii="David" w:hAnsi="David"/>
                <w:sz w:val="26"/>
                <w:szCs w:val="26"/>
              </w:rPr>
            </w:pPr>
            <w:r w:rsidRPr="001D2AA7">
              <w:rPr>
                <w:rFonts w:hint="cs"/>
                <w:rtl/>
              </w:rPr>
              <w:t xml:space="preserve"> </w:t>
            </w:r>
            <w:r w:rsidRPr="001D2AA7">
              <w:rPr>
                <w:rFonts w:ascii="David" w:hAnsi="David" w:hint="cs"/>
                <w:sz w:val="26"/>
                <w:szCs w:val="26"/>
                <w:rtl/>
              </w:rPr>
              <w:t>ל</w:t>
            </w:r>
            <w:r w:rsidRPr="001D2AA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3DA0B3F" w14:textId="77777777" w:rsidR="003A2A80" w:rsidRPr="001D2AA7" w:rsidRDefault="003A2A80" w:rsidP="00804819">
            <w:pPr>
              <w:rPr>
                <w:rFonts w:ascii="David" w:hAnsi="David"/>
                <w:b/>
                <w:bCs/>
                <w:sz w:val="26"/>
                <w:szCs w:val="26"/>
                <w:rtl/>
              </w:rPr>
            </w:pPr>
            <w:r w:rsidRPr="001D2AA7">
              <w:rPr>
                <w:rFonts w:ascii="David" w:hAnsi="David"/>
                <w:b/>
                <w:bCs/>
                <w:sz w:val="26"/>
                <w:szCs w:val="26"/>
                <w:rtl/>
              </w:rPr>
              <w:t>כבוד השופט  מרדכי כדורי</w:t>
            </w:r>
          </w:p>
          <w:p w14:paraId="5EEE2C3E" w14:textId="77777777" w:rsidR="003A2A80" w:rsidRPr="001D2AA7" w:rsidRDefault="003A2A80" w:rsidP="00804819">
            <w:pPr>
              <w:rPr>
                <w:rFonts w:ascii="David" w:hAnsi="David"/>
                <w:sz w:val="26"/>
                <w:szCs w:val="26"/>
                <w:rtl/>
              </w:rPr>
            </w:pPr>
          </w:p>
          <w:p w14:paraId="72242780" w14:textId="77777777" w:rsidR="003A2A80" w:rsidRPr="001D2AA7" w:rsidRDefault="003A2A80" w:rsidP="003A2A80">
            <w:pPr>
              <w:jc w:val="both"/>
              <w:rPr>
                <w:rFonts w:ascii="David" w:hAnsi="David"/>
                <w:sz w:val="26"/>
                <w:szCs w:val="26"/>
              </w:rPr>
            </w:pPr>
          </w:p>
        </w:tc>
      </w:tr>
      <w:tr w:rsidR="003A2A80" w:rsidRPr="001D2AA7" w14:paraId="595BADED" w14:textId="77777777" w:rsidTr="00D61A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10BDC2" w14:textId="77777777" w:rsidR="003A2A80" w:rsidRPr="001D2AA7" w:rsidRDefault="003A2A80" w:rsidP="003A2A80">
            <w:pPr>
              <w:jc w:val="both"/>
              <w:rPr>
                <w:rFonts w:ascii="David" w:hAnsi="David"/>
                <w:sz w:val="26"/>
                <w:szCs w:val="26"/>
              </w:rPr>
            </w:pPr>
            <w:bookmarkStart w:id="1" w:name="FirstAppellant"/>
            <w:bookmarkStart w:id="2" w:name="FirstLawyer"/>
            <w:r w:rsidRPr="001D2AA7">
              <w:rPr>
                <w:rFonts w:ascii="David" w:hAnsi="David"/>
                <w:sz w:val="26"/>
                <w:szCs w:val="26"/>
                <w:rtl/>
              </w:rPr>
              <w:t>בעניין:</w:t>
            </w:r>
          </w:p>
        </w:tc>
        <w:tc>
          <w:tcPr>
            <w:tcW w:w="2089" w:type="dxa"/>
            <w:tcBorders>
              <w:top w:val="nil"/>
              <w:left w:val="nil"/>
              <w:bottom w:val="nil"/>
              <w:right w:val="nil"/>
            </w:tcBorders>
            <w:shd w:val="clear" w:color="auto" w:fill="auto"/>
          </w:tcPr>
          <w:p w14:paraId="0E4C7AF2" w14:textId="77777777" w:rsidR="003A2A80" w:rsidRPr="001D2AA7" w:rsidRDefault="003A2A80" w:rsidP="003A2A80">
            <w:pPr>
              <w:suppressLineNumbers/>
              <w:rPr>
                <w:rFonts w:ascii="David" w:hAnsi="David"/>
                <w:sz w:val="26"/>
                <w:szCs w:val="26"/>
              </w:rPr>
            </w:pPr>
          </w:p>
        </w:tc>
        <w:tc>
          <w:tcPr>
            <w:tcW w:w="5808" w:type="dxa"/>
            <w:gridSpan w:val="3"/>
            <w:tcBorders>
              <w:top w:val="nil"/>
              <w:left w:val="nil"/>
              <w:bottom w:val="nil"/>
              <w:right w:val="nil"/>
            </w:tcBorders>
            <w:shd w:val="clear" w:color="auto" w:fill="auto"/>
            <w:vAlign w:val="center"/>
          </w:tcPr>
          <w:p w14:paraId="2715439F" w14:textId="77777777" w:rsidR="003A2A80" w:rsidRPr="001D2AA7" w:rsidRDefault="003A2A80" w:rsidP="003A2A80">
            <w:pPr>
              <w:suppressLineNumbers/>
              <w:rPr>
                <w:rFonts w:ascii="Arial" w:hAnsi="Arial"/>
                <w:b/>
                <w:bCs/>
                <w:sz w:val="26"/>
                <w:szCs w:val="26"/>
              </w:rPr>
            </w:pPr>
            <w:r w:rsidRPr="001D2AA7">
              <w:rPr>
                <w:rFonts w:ascii="Arial" w:hAnsi="Arial"/>
                <w:b/>
                <w:bCs/>
                <w:sz w:val="26"/>
                <w:szCs w:val="26"/>
                <w:rtl/>
              </w:rPr>
              <w:t>מדינת ישראל</w:t>
            </w:r>
          </w:p>
          <w:p w14:paraId="75CFFCF5" w14:textId="77777777" w:rsidR="003A2A80" w:rsidRPr="001D2AA7" w:rsidRDefault="003A2A80" w:rsidP="003A2A80">
            <w:pPr>
              <w:suppressLineNumbers/>
              <w:rPr>
                <w:rFonts w:ascii="Arial" w:hAnsi="Arial"/>
                <w:sz w:val="26"/>
                <w:szCs w:val="26"/>
                <w:rtl/>
              </w:rPr>
            </w:pPr>
            <w:r w:rsidRPr="001D2AA7">
              <w:rPr>
                <w:rFonts w:ascii="Arial" w:hAnsi="Arial"/>
                <w:sz w:val="26"/>
                <w:szCs w:val="26"/>
                <w:rtl/>
              </w:rPr>
              <w:t xml:space="preserve">ע"י ב"כ עוה"ד </w:t>
            </w:r>
            <w:r w:rsidRPr="001D2AA7">
              <w:rPr>
                <w:rFonts w:ascii="Arial" w:hAnsi="Arial" w:hint="cs"/>
                <w:sz w:val="26"/>
                <w:szCs w:val="26"/>
                <w:rtl/>
              </w:rPr>
              <w:t>אילה גלברד</w:t>
            </w:r>
            <w:r w:rsidRPr="001D2AA7">
              <w:rPr>
                <w:rFonts w:ascii="Arial" w:hAnsi="Arial"/>
                <w:sz w:val="26"/>
                <w:szCs w:val="26"/>
                <w:rtl/>
              </w:rPr>
              <w:t xml:space="preserve">, </w:t>
            </w:r>
            <w:r w:rsidRPr="001D2AA7">
              <w:rPr>
                <w:rFonts w:ascii="Arial" w:hAnsi="Arial" w:hint="cs"/>
                <w:sz w:val="26"/>
                <w:szCs w:val="26"/>
                <w:rtl/>
              </w:rPr>
              <w:t>סתיו שפירא</w:t>
            </w:r>
          </w:p>
          <w:p w14:paraId="472826CF" w14:textId="77777777" w:rsidR="003A2A80" w:rsidRPr="001D2AA7" w:rsidRDefault="003A2A80" w:rsidP="003A2A80">
            <w:pPr>
              <w:suppressLineNumbers/>
              <w:rPr>
                <w:rtl/>
              </w:rPr>
            </w:pPr>
            <w:r w:rsidRPr="001D2AA7">
              <w:rPr>
                <w:rFonts w:ascii="Arial" w:hAnsi="Arial"/>
                <w:sz w:val="26"/>
                <w:szCs w:val="26"/>
                <w:rtl/>
              </w:rPr>
              <w:t>מפרקליטות מחוז ירושלים (פלילי)</w:t>
            </w:r>
          </w:p>
          <w:p w14:paraId="6A65AAF0" w14:textId="77777777" w:rsidR="003A2A80" w:rsidRPr="001D2AA7" w:rsidRDefault="003A2A80" w:rsidP="003A2A80">
            <w:pPr>
              <w:suppressLineNumbers/>
              <w:jc w:val="right"/>
            </w:pPr>
            <w:r w:rsidRPr="001D2AA7">
              <w:rPr>
                <w:rFonts w:ascii="Arial" w:hAnsi="Arial"/>
                <w:b/>
                <w:bCs/>
                <w:sz w:val="26"/>
                <w:szCs w:val="26"/>
                <w:rtl/>
              </w:rPr>
              <w:t>המאשימה</w:t>
            </w:r>
          </w:p>
        </w:tc>
      </w:tr>
      <w:bookmarkEnd w:id="1"/>
      <w:bookmarkEnd w:id="2"/>
      <w:tr w:rsidR="003A2A80" w:rsidRPr="001D2AA7" w14:paraId="144609E6" w14:textId="77777777" w:rsidTr="00D61A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2C36CA" w14:textId="77777777" w:rsidR="003A2A80" w:rsidRPr="001D2AA7" w:rsidRDefault="003A2A80" w:rsidP="003A2A80">
            <w:pPr>
              <w:jc w:val="both"/>
              <w:rPr>
                <w:rFonts w:ascii="David" w:hAnsi="David"/>
                <w:sz w:val="26"/>
                <w:szCs w:val="26"/>
              </w:rPr>
            </w:pPr>
          </w:p>
        </w:tc>
        <w:tc>
          <w:tcPr>
            <w:tcW w:w="7897" w:type="dxa"/>
            <w:gridSpan w:val="4"/>
            <w:tcBorders>
              <w:top w:val="nil"/>
              <w:left w:val="nil"/>
              <w:bottom w:val="nil"/>
              <w:right w:val="nil"/>
            </w:tcBorders>
            <w:shd w:val="clear" w:color="auto" w:fill="auto"/>
          </w:tcPr>
          <w:p w14:paraId="143EA71F" w14:textId="77777777" w:rsidR="003A2A80" w:rsidRPr="001D2AA7" w:rsidRDefault="003A2A80" w:rsidP="003A2A80">
            <w:pPr>
              <w:jc w:val="center"/>
              <w:rPr>
                <w:rFonts w:ascii="David" w:hAnsi="David"/>
                <w:b/>
                <w:bCs/>
                <w:sz w:val="26"/>
                <w:szCs w:val="26"/>
                <w:rtl/>
              </w:rPr>
            </w:pPr>
          </w:p>
          <w:p w14:paraId="429E0B88" w14:textId="77777777" w:rsidR="003A2A80" w:rsidRPr="001D2AA7" w:rsidRDefault="003A2A80" w:rsidP="003A2A80">
            <w:pPr>
              <w:jc w:val="center"/>
              <w:rPr>
                <w:rFonts w:ascii="David" w:hAnsi="David"/>
                <w:b/>
                <w:bCs/>
                <w:sz w:val="26"/>
                <w:szCs w:val="26"/>
                <w:rtl/>
              </w:rPr>
            </w:pPr>
            <w:r w:rsidRPr="001D2AA7">
              <w:rPr>
                <w:rFonts w:ascii="David" w:hAnsi="David"/>
                <w:b/>
                <w:bCs/>
                <w:sz w:val="26"/>
                <w:szCs w:val="26"/>
                <w:rtl/>
              </w:rPr>
              <w:t>נגד</w:t>
            </w:r>
          </w:p>
          <w:p w14:paraId="442D2DE2" w14:textId="77777777" w:rsidR="003A2A80" w:rsidRPr="001D2AA7" w:rsidRDefault="003A2A80" w:rsidP="003A2A80">
            <w:pPr>
              <w:jc w:val="both"/>
              <w:rPr>
                <w:rFonts w:ascii="David" w:hAnsi="David"/>
                <w:sz w:val="26"/>
                <w:szCs w:val="26"/>
                <w:rtl/>
              </w:rPr>
            </w:pPr>
          </w:p>
        </w:tc>
      </w:tr>
      <w:tr w:rsidR="003A2A80" w:rsidRPr="001D2AA7" w14:paraId="3C04F143" w14:textId="77777777" w:rsidTr="00D61A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F68B61" w14:textId="77777777" w:rsidR="003A2A80" w:rsidRPr="001D2AA7" w:rsidRDefault="003A2A80" w:rsidP="00804819">
            <w:pPr>
              <w:rPr>
                <w:rFonts w:ascii="David" w:hAnsi="David"/>
                <w:sz w:val="26"/>
                <w:szCs w:val="26"/>
              </w:rPr>
            </w:pPr>
          </w:p>
        </w:tc>
        <w:tc>
          <w:tcPr>
            <w:tcW w:w="2089" w:type="dxa"/>
            <w:tcBorders>
              <w:top w:val="nil"/>
              <w:left w:val="nil"/>
              <w:bottom w:val="nil"/>
              <w:right w:val="nil"/>
            </w:tcBorders>
            <w:shd w:val="clear" w:color="auto" w:fill="auto"/>
          </w:tcPr>
          <w:p w14:paraId="564DE560" w14:textId="77777777" w:rsidR="003A2A80" w:rsidRPr="001D2AA7" w:rsidRDefault="003A2A80" w:rsidP="00804819">
            <w:pPr>
              <w:rPr>
                <w:rFonts w:ascii="Arial" w:hAnsi="Arial"/>
                <w:b/>
                <w:bCs/>
                <w:sz w:val="26"/>
                <w:szCs w:val="26"/>
                <w:rtl/>
              </w:rPr>
            </w:pPr>
          </w:p>
        </w:tc>
        <w:tc>
          <w:tcPr>
            <w:tcW w:w="5808" w:type="dxa"/>
            <w:gridSpan w:val="3"/>
            <w:tcBorders>
              <w:top w:val="nil"/>
              <w:left w:val="nil"/>
              <w:bottom w:val="nil"/>
              <w:right w:val="nil"/>
            </w:tcBorders>
            <w:shd w:val="clear" w:color="auto" w:fill="auto"/>
            <w:vAlign w:val="center"/>
          </w:tcPr>
          <w:p w14:paraId="05656540" w14:textId="77777777" w:rsidR="003A2A80" w:rsidRPr="001D2AA7" w:rsidRDefault="003A2A80" w:rsidP="003A2A80">
            <w:pPr>
              <w:suppressLineNumbers/>
              <w:rPr>
                <w:rFonts w:ascii="Arial" w:hAnsi="Arial"/>
                <w:b/>
                <w:bCs/>
                <w:sz w:val="26"/>
                <w:szCs w:val="26"/>
                <w:rtl/>
              </w:rPr>
            </w:pPr>
            <w:r w:rsidRPr="001D2AA7">
              <w:rPr>
                <w:rFonts w:ascii="Arial" w:hAnsi="Arial" w:hint="cs"/>
                <w:b/>
                <w:bCs/>
                <w:sz w:val="26"/>
                <w:szCs w:val="26"/>
                <w:rtl/>
              </w:rPr>
              <w:t>מחמד עלי</w:t>
            </w:r>
            <w:r w:rsidRPr="001D2AA7">
              <w:rPr>
                <w:rFonts w:ascii="Arial" w:hAnsi="Arial"/>
                <w:b/>
                <w:bCs/>
                <w:sz w:val="26"/>
                <w:szCs w:val="26"/>
                <w:rtl/>
              </w:rPr>
              <w:t xml:space="preserve"> (עציר)</w:t>
            </w:r>
          </w:p>
          <w:p w14:paraId="1DEA05C5" w14:textId="77777777" w:rsidR="003A2A80" w:rsidRPr="001D2AA7" w:rsidRDefault="003A2A80" w:rsidP="003A2A80">
            <w:pPr>
              <w:suppressLineNumbers/>
              <w:rPr>
                <w:rFonts w:ascii="Arial" w:hAnsi="Arial"/>
                <w:sz w:val="26"/>
                <w:szCs w:val="26"/>
                <w:rtl/>
              </w:rPr>
            </w:pPr>
            <w:r w:rsidRPr="001D2AA7">
              <w:rPr>
                <w:rFonts w:ascii="Arial" w:hAnsi="Arial"/>
                <w:sz w:val="26"/>
                <w:szCs w:val="26"/>
                <w:rtl/>
              </w:rPr>
              <w:t xml:space="preserve">ע"י ב"כ עו"ד </w:t>
            </w:r>
            <w:r w:rsidRPr="001D2AA7">
              <w:rPr>
                <w:rFonts w:ascii="Arial" w:hAnsi="Arial" w:hint="cs"/>
                <w:sz w:val="26"/>
                <w:szCs w:val="26"/>
                <w:rtl/>
              </w:rPr>
              <w:t>מוחמד חלאילה</w:t>
            </w:r>
          </w:p>
          <w:p w14:paraId="35EC0EEA" w14:textId="77777777" w:rsidR="003A2A80" w:rsidRPr="001D2AA7" w:rsidRDefault="003A2A80" w:rsidP="003A2A80">
            <w:pPr>
              <w:suppressLineNumbers/>
              <w:jc w:val="right"/>
              <w:rPr>
                <w:rtl/>
              </w:rPr>
            </w:pPr>
            <w:r w:rsidRPr="001D2AA7">
              <w:rPr>
                <w:rFonts w:ascii="Arial" w:hAnsi="Arial"/>
                <w:b/>
                <w:bCs/>
                <w:sz w:val="26"/>
                <w:szCs w:val="26"/>
                <w:rtl/>
              </w:rPr>
              <w:t>הנאשם</w:t>
            </w:r>
          </w:p>
        </w:tc>
      </w:tr>
    </w:tbl>
    <w:p w14:paraId="24A87168" w14:textId="77777777" w:rsidR="00D61A86" w:rsidRPr="00D61A86" w:rsidRDefault="00D61A86" w:rsidP="00D61A86">
      <w:pPr>
        <w:spacing w:before="120" w:after="120" w:line="240" w:lineRule="exact"/>
        <w:ind w:left="283" w:hanging="283"/>
        <w:jc w:val="both"/>
        <w:rPr>
          <w:rFonts w:ascii="FrankRuehl" w:hAnsi="FrankRuehl" w:cs="FrankRuehl"/>
          <w:rtl/>
        </w:rPr>
      </w:pPr>
      <w:bookmarkStart w:id="3" w:name="LawTable"/>
      <w:bookmarkEnd w:id="3"/>
    </w:p>
    <w:p w14:paraId="6D1362FE" w14:textId="77777777" w:rsidR="00D61A86" w:rsidRPr="00D61A86" w:rsidRDefault="00D61A86" w:rsidP="00D61A86">
      <w:pPr>
        <w:spacing w:before="120" w:after="120" w:line="240" w:lineRule="exact"/>
        <w:ind w:left="283" w:hanging="283"/>
        <w:jc w:val="both"/>
        <w:rPr>
          <w:rFonts w:ascii="FrankRuehl" w:hAnsi="FrankRuehl" w:cs="FrankRuehl"/>
          <w:rtl/>
        </w:rPr>
      </w:pPr>
      <w:r w:rsidRPr="00D61A86">
        <w:rPr>
          <w:rFonts w:ascii="FrankRuehl" w:hAnsi="FrankRuehl" w:cs="FrankRuehl"/>
          <w:rtl/>
        </w:rPr>
        <w:t xml:space="preserve">חקיקה שאוזכרה: </w:t>
      </w:r>
    </w:p>
    <w:p w14:paraId="1BC99DAA" w14:textId="77777777" w:rsidR="00D61A86" w:rsidRPr="00D61A86" w:rsidRDefault="00D61A86" w:rsidP="00D61A86">
      <w:pPr>
        <w:spacing w:before="120" w:after="120" w:line="240" w:lineRule="exact"/>
        <w:ind w:left="283" w:hanging="283"/>
        <w:jc w:val="both"/>
        <w:rPr>
          <w:rFonts w:ascii="FrankRuehl" w:hAnsi="FrankRuehl" w:cs="FrankRuehl"/>
          <w:color w:val="0000FF"/>
          <w:rtl/>
        </w:rPr>
      </w:pPr>
      <w:hyperlink r:id="rId6" w:history="1">
        <w:r w:rsidRPr="00D61A86">
          <w:rPr>
            <w:rStyle w:val="Hyperlink"/>
            <w:rFonts w:ascii="FrankRuehl" w:hAnsi="FrankRuehl" w:cs="FrankRuehl"/>
            <w:u w:val="none"/>
            <w:rtl/>
          </w:rPr>
          <w:t>חוק העונשין, תשל"ז-1977</w:t>
        </w:r>
      </w:hyperlink>
      <w:r w:rsidRPr="00D61A86">
        <w:rPr>
          <w:rFonts w:ascii="FrankRuehl" w:hAnsi="FrankRuehl" w:cs="FrankRuehl"/>
          <w:color w:val="0000FF"/>
          <w:rtl/>
        </w:rPr>
        <w:t xml:space="preserve">: סע'  </w:t>
      </w:r>
      <w:hyperlink r:id="rId7" w:history="1">
        <w:r w:rsidRPr="00D61A86">
          <w:rPr>
            <w:rStyle w:val="Hyperlink"/>
            <w:rFonts w:ascii="FrankRuehl" w:hAnsi="FrankRuehl" w:cs="FrankRuehl"/>
            <w:u w:val="none"/>
          </w:rPr>
          <w:t>29</w:t>
        </w:r>
      </w:hyperlink>
      <w:r w:rsidRPr="00D61A86">
        <w:rPr>
          <w:rFonts w:ascii="FrankRuehl" w:hAnsi="FrankRuehl" w:cs="FrankRuehl"/>
          <w:color w:val="0000FF"/>
          <w:rtl/>
        </w:rPr>
        <w:t xml:space="preserve">, </w:t>
      </w:r>
      <w:hyperlink r:id="rId8" w:history="1">
        <w:r w:rsidRPr="00D61A86">
          <w:rPr>
            <w:rStyle w:val="Hyperlink"/>
            <w:rFonts w:ascii="FrankRuehl" w:hAnsi="FrankRuehl" w:cs="FrankRuehl"/>
            <w:u w:val="none"/>
          </w:rPr>
          <w:t>144</w:t>
        </w:r>
      </w:hyperlink>
      <w:r w:rsidRPr="00D61A86">
        <w:rPr>
          <w:rFonts w:ascii="FrankRuehl" w:hAnsi="FrankRuehl" w:cs="FrankRuehl"/>
          <w:color w:val="0000FF"/>
          <w:rtl/>
        </w:rPr>
        <w:t xml:space="preserve">(ב), </w:t>
      </w:r>
      <w:hyperlink r:id="rId9" w:history="1">
        <w:r w:rsidRPr="00D61A86">
          <w:rPr>
            <w:rStyle w:val="Hyperlink"/>
            <w:rFonts w:ascii="FrankRuehl" w:hAnsi="FrankRuehl" w:cs="FrankRuehl"/>
            <w:u w:val="none"/>
          </w:rPr>
          <w:t>144</w:t>
        </w:r>
      </w:hyperlink>
      <w:r w:rsidRPr="00D61A86">
        <w:rPr>
          <w:rFonts w:ascii="FrankRuehl" w:hAnsi="FrankRuehl" w:cs="FrankRuehl"/>
          <w:color w:val="0000FF"/>
          <w:rtl/>
        </w:rPr>
        <w:t>(ז)</w:t>
      </w:r>
    </w:p>
    <w:p w14:paraId="20B2521C" w14:textId="77777777" w:rsidR="003A2A80" w:rsidRPr="00D61A86" w:rsidRDefault="003A2A80" w:rsidP="00D61A8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2A80" w14:paraId="025FB648" w14:textId="77777777" w:rsidTr="003A2A80">
        <w:trPr>
          <w:trHeight w:val="355"/>
          <w:jc w:val="center"/>
        </w:trPr>
        <w:tc>
          <w:tcPr>
            <w:tcW w:w="8820" w:type="dxa"/>
            <w:tcBorders>
              <w:top w:val="nil"/>
              <w:left w:val="nil"/>
              <w:bottom w:val="nil"/>
              <w:right w:val="nil"/>
            </w:tcBorders>
            <w:shd w:val="clear" w:color="auto" w:fill="auto"/>
          </w:tcPr>
          <w:p w14:paraId="7404BD5B" w14:textId="77777777" w:rsidR="001D2AA7" w:rsidRPr="001D2AA7" w:rsidRDefault="001D2AA7" w:rsidP="001D2AA7">
            <w:pPr>
              <w:jc w:val="center"/>
              <w:rPr>
                <w:rFonts w:ascii="David" w:hAnsi="David"/>
                <w:b/>
                <w:bCs/>
                <w:sz w:val="32"/>
                <w:szCs w:val="32"/>
                <w:u w:val="single"/>
                <w:rtl/>
              </w:rPr>
            </w:pPr>
            <w:bookmarkStart w:id="5" w:name="PsakDin" w:colFirst="0" w:colLast="0"/>
            <w:bookmarkEnd w:id="0"/>
            <w:r w:rsidRPr="001D2AA7">
              <w:rPr>
                <w:rFonts w:ascii="David" w:hAnsi="David"/>
                <w:b/>
                <w:bCs/>
                <w:sz w:val="32"/>
                <w:szCs w:val="32"/>
                <w:u w:val="single"/>
                <w:rtl/>
              </w:rPr>
              <w:t>גזר דין</w:t>
            </w:r>
          </w:p>
          <w:p w14:paraId="74E14D4F" w14:textId="77777777" w:rsidR="003A2A80" w:rsidRPr="001D2AA7" w:rsidRDefault="003A2A80" w:rsidP="001D2AA7">
            <w:pPr>
              <w:jc w:val="center"/>
              <w:rPr>
                <w:rFonts w:ascii="David" w:hAnsi="David"/>
                <w:bCs/>
                <w:sz w:val="32"/>
                <w:szCs w:val="32"/>
                <w:u w:val="single"/>
                <w:rtl/>
              </w:rPr>
            </w:pPr>
          </w:p>
        </w:tc>
      </w:tr>
      <w:bookmarkEnd w:id="5"/>
    </w:tbl>
    <w:p w14:paraId="2CE08EE5" w14:textId="77777777" w:rsidR="003A2A80" w:rsidRPr="000F2247" w:rsidRDefault="003A2A80" w:rsidP="003A2A80">
      <w:pPr>
        <w:rPr>
          <w:rFonts w:ascii="Arial" w:hAnsi="Arial"/>
          <w:b/>
          <w:bCs/>
          <w:sz w:val="26"/>
          <w:szCs w:val="26"/>
          <w:rtl/>
        </w:rPr>
      </w:pPr>
    </w:p>
    <w:p w14:paraId="3DD6BD83" w14:textId="77777777" w:rsidR="003A2A80" w:rsidRPr="008C2692" w:rsidRDefault="003A2A80" w:rsidP="003A2A80">
      <w:pPr>
        <w:spacing w:line="360" w:lineRule="auto"/>
        <w:jc w:val="both"/>
        <w:rPr>
          <w:rFonts w:ascii="Calibri" w:eastAsia="Calibri" w:hAnsi="Calibri"/>
          <w:rtl/>
        </w:rPr>
      </w:pPr>
    </w:p>
    <w:p w14:paraId="72311EA8" w14:textId="77777777" w:rsidR="003A2A80" w:rsidRPr="008C2692" w:rsidRDefault="003A2A80" w:rsidP="003A2A80">
      <w:pPr>
        <w:spacing w:line="360" w:lineRule="auto"/>
        <w:jc w:val="both"/>
        <w:outlineLvl w:val="0"/>
        <w:rPr>
          <w:rFonts w:ascii="Calibri" w:eastAsia="Calibri" w:hAnsi="Calibri"/>
          <w:b/>
          <w:bCs/>
          <w:u w:val="single"/>
          <w:rtl/>
        </w:rPr>
      </w:pPr>
      <w:r w:rsidRPr="008C2692">
        <w:rPr>
          <w:rFonts w:ascii="Calibri" w:eastAsia="Calibri" w:hAnsi="Calibri"/>
          <w:b/>
          <w:bCs/>
          <w:u w:val="single"/>
          <w:rtl/>
        </w:rPr>
        <w:t>הרקע:</w:t>
      </w:r>
    </w:p>
    <w:p w14:paraId="61720B97" w14:textId="77777777" w:rsidR="003A2A80" w:rsidRPr="008C2692" w:rsidRDefault="003A2A80" w:rsidP="003A2A80">
      <w:pPr>
        <w:spacing w:line="360" w:lineRule="auto"/>
        <w:ind w:left="680" w:hanging="680"/>
        <w:jc w:val="both"/>
        <w:rPr>
          <w:rFonts w:ascii="David" w:eastAsia="Calibri" w:hAnsi="David"/>
          <w:rtl/>
        </w:rPr>
      </w:pPr>
      <w:r w:rsidRPr="008C2692">
        <w:rPr>
          <w:rFonts w:ascii="David" w:hAnsi="David"/>
          <w:rtl/>
        </w:rPr>
        <w:t>1.</w:t>
      </w:r>
      <w:r w:rsidRPr="008C2692">
        <w:rPr>
          <w:rFonts w:ascii="David" w:hAnsi="David"/>
          <w:rtl/>
        </w:rPr>
        <w:tab/>
      </w:r>
      <w:bookmarkStart w:id="6" w:name="ABSTRACT_START"/>
      <w:bookmarkEnd w:id="6"/>
      <w:r w:rsidRPr="008C2692">
        <w:rPr>
          <w:rFonts w:ascii="David" w:hAnsi="David"/>
          <w:rtl/>
        </w:rPr>
        <w:t xml:space="preserve">הנאשם הורשע על פי הודאתו שניתנה במסגרת הסדר טיעון, בעבירה של </w:t>
      </w:r>
      <w:r w:rsidRPr="008C2692">
        <w:rPr>
          <w:rFonts w:ascii="David" w:hAnsi="David"/>
          <w:b/>
          <w:bCs/>
          <w:rtl/>
        </w:rPr>
        <w:t>נשיאת נשק בצוותא</w:t>
      </w:r>
      <w:r w:rsidRPr="008C2692">
        <w:rPr>
          <w:rFonts w:ascii="David" w:hAnsi="David"/>
          <w:rtl/>
        </w:rPr>
        <w:t xml:space="preserve">, לפי </w:t>
      </w:r>
      <w:hyperlink r:id="rId10" w:history="1">
        <w:r w:rsidR="00D61A86" w:rsidRPr="00D61A86">
          <w:rPr>
            <w:rStyle w:val="Hyperlink"/>
            <w:rFonts w:ascii="David" w:hAnsi="David"/>
            <w:color w:val="0000FF"/>
            <w:rtl/>
          </w:rPr>
          <w:t>סעיף 144(ב)</w:t>
        </w:r>
      </w:hyperlink>
      <w:r w:rsidRPr="008C2692">
        <w:rPr>
          <w:rFonts w:ascii="David" w:hAnsi="David"/>
          <w:rtl/>
        </w:rPr>
        <w:t xml:space="preserve"> רישה בצירוף </w:t>
      </w:r>
      <w:hyperlink r:id="rId11" w:history="1">
        <w:r w:rsidR="00D61A86" w:rsidRPr="00D61A86">
          <w:rPr>
            <w:rStyle w:val="Hyperlink"/>
            <w:rFonts w:ascii="David" w:hAnsi="David"/>
            <w:color w:val="0000FF"/>
            <w:rtl/>
          </w:rPr>
          <w:t>סעיף 29</w:t>
        </w:r>
      </w:hyperlink>
      <w:r w:rsidRPr="008C2692">
        <w:rPr>
          <w:rFonts w:ascii="David" w:hAnsi="David"/>
          <w:rtl/>
        </w:rPr>
        <w:t xml:space="preserve"> ב</w:t>
      </w:r>
      <w:hyperlink r:id="rId12" w:history="1">
        <w:r w:rsidR="001D2AA7" w:rsidRPr="001D2AA7">
          <w:rPr>
            <w:rFonts w:ascii="David" w:hAnsi="David"/>
            <w:color w:val="0000FF"/>
            <w:u w:val="single"/>
            <w:rtl/>
          </w:rPr>
          <w:t>חוק העונשין</w:t>
        </w:r>
      </w:hyperlink>
      <w:r w:rsidRPr="008C2692">
        <w:rPr>
          <w:rFonts w:ascii="David" w:hAnsi="David"/>
          <w:rtl/>
        </w:rPr>
        <w:t xml:space="preserve">, התשל"ז-1977. </w:t>
      </w:r>
    </w:p>
    <w:p w14:paraId="6F3383BB" w14:textId="77777777" w:rsidR="003A2A80" w:rsidRPr="008C2692" w:rsidRDefault="003A2A80" w:rsidP="003A2A80">
      <w:pPr>
        <w:spacing w:line="360" w:lineRule="auto"/>
        <w:ind w:left="680" w:hanging="680"/>
        <w:jc w:val="both"/>
        <w:rPr>
          <w:rFonts w:ascii="David" w:hAnsi="David"/>
          <w:rtl/>
        </w:rPr>
      </w:pPr>
    </w:p>
    <w:p w14:paraId="2651A202"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ab/>
        <w:t>הסדר הטיעון לא כלל הסכמה לעונש.</w:t>
      </w:r>
    </w:p>
    <w:p w14:paraId="24C0F0FC" w14:textId="77777777" w:rsidR="003A2A80" w:rsidRPr="008C2692" w:rsidRDefault="003A2A80" w:rsidP="003A2A80">
      <w:pPr>
        <w:spacing w:line="360" w:lineRule="auto"/>
        <w:ind w:left="680" w:hanging="680"/>
        <w:jc w:val="both"/>
        <w:rPr>
          <w:rFonts w:ascii="David" w:hAnsi="David"/>
          <w:rtl/>
        </w:rPr>
      </w:pPr>
    </w:p>
    <w:p w14:paraId="18E9A740" w14:textId="77777777" w:rsidR="003A2A80" w:rsidRPr="008C2692" w:rsidRDefault="003A2A80" w:rsidP="003A2A80">
      <w:pPr>
        <w:spacing w:line="360" w:lineRule="auto"/>
        <w:jc w:val="both"/>
        <w:outlineLvl w:val="1"/>
        <w:rPr>
          <w:rFonts w:ascii="Calibri" w:hAnsi="Calibri"/>
          <w:u w:val="single"/>
          <w:rtl/>
        </w:rPr>
      </w:pPr>
      <w:bookmarkStart w:id="7" w:name="ABSTRACT_END"/>
      <w:bookmarkEnd w:id="7"/>
      <w:r w:rsidRPr="008C2692">
        <w:rPr>
          <w:rFonts w:ascii="Calibri" w:hAnsi="Calibri"/>
          <w:u w:val="single"/>
          <w:rtl/>
        </w:rPr>
        <w:t>תמצית עובדות כתב האישום המתוקן:</w:t>
      </w:r>
    </w:p>
    <w:p w14:paraId="56C20276" w14:textId="77777777" w:rsidR="003A2A80" w:rsidRPr="008C2692" w:rsidRDefault="003A2A80" w:rsidP="003A2A80">
      <w:pPr>
        <w:spacing w:line="360" w:lineRule="auto"/>
        <w:ind w:left="680" w:hanging="680"/>
        <w:jc w:val="both"/>
        <w:rPr>
          <w:rFonts w:ascii="David" w:hAnsi="David"/>
        </w:rPr>
      </w:pPr>
      <w:r w:rsidRPr="008C2692">
        <w:rPr>
          <w:rFonts w:ascii="David" w:hAnsi="David"/>
          <w:rtl/>
        </w:rPr>
        <w:t>2.</w:t>
      </w:r>
      <w:r w:rsidRPr="008C2692">
        <w:rPr>
          <w:rFonts w:ascii="David" w:hAnsi="David"/>
          <w:rtl/>
        </w:rPr>
        <w:tab/>
        <w:t>על פי עובדות</w:t>
      </w:r>
      <w:r>
        <w:rPr>
          <w:rFonts w:ascii="David" w:hAnsi="David" w:hint="cs"/>
          <w:rtl/>
        </w:rPr>
        <w:t xml:space="preserve"> כתב </w:t>
      </w:r>
      <w:r w:rsidRPr="008C2692">
        <w:rPr>
          <w:rFonts w:ascii="David" w:hAnsi="David"/>
          <w:rtl/>
        </w:rPr>
        <w:t>האישום, בין השעה 19:00 ביום 19/10/2023 לבין שעה 2:00 למחרת, התקיימו במחנה הפליטים שועפאט מספר התפרעויות. המתפרעים התעמתו עם כוחות הביטחון, ירו לעברם זיקוקים, יידו אבנים, השליכו בקבוקי תבערה והציתו פחי אשפה. בשעה 19:45 לערך, הנאשם ואדם נוסף, סלאח חטיב (להלן: "</w:t>
      </w:r>
      <w:r w:rsidRPr="008C2692">
        <w:rPr>
          <w:rFonts w:ascii="David" w:hAnsi="David"/>
          <w:b/>
          <w:bCs/>
          <w:rtl/>
        </w:rPr>
        <w:t>סלאח</w:t>
      </w:r>
      <w:r w:rsidRPr="008C2692">
        <w:rPr>
          <w:rFonts w:ascii="David" w:hAnsi="David"/>
          <w:rtl/>
        </w:rPr>
        <w:t xml:space="preserve">"), הגיעו לצומת דרכים במחנה הפליטים שועפאט. הנאשם הצית בקבוק תבערה אותו סאלח אחז בידו, ולאחר מכן סלאח יידה את בקבוק התבערה ממרחק של מטרים ספורים לעבר חומת ביטחון, עליה מוצבת מצלמת אבטחה. הבקבוק פגע בסמוך לחומה, התלקח ובער זמן מה. בהתאם להסדר </w:t>
      </w:r>
      <w:r w:rsidRPr="008C2692">
        <w:rPr>
          <w:rFonts w:ascii="David" w:hAnsi="David"/>
          <w:rtl/>
        </w:rPr>
        <w:lastRenderedPageBreak/>
        <w:t>הטיעון, ההגנה היתה רשאית לטעון "שמצלמת האבטחה המוצבת על חומת הביטחון היתה ממוקמת גבוה".</w:t>
      </w:r>
    </w:p>
    <w:p w14:paraId="6BE55C41" w14:textId="77777777" w:rsidR="003A2A80" w:rsidRPr="008C2692" w:rsidRDefault="003A2A80" w:rsidP="003A2A80">
      <w:pPr>
        <w:spacing w:line="360" w:lineRule="auto"/>
        <w:ind w:left="680" w:hanging="680"/>
        <w:jc w:val="both"/>
        <w:rPr>
          <w:rFonts w:ascii="David" w:hAnsi="David"/>
          <w:rtl/>
        </w:rPr>
      </w:pPr>
    </w:p>
    <w:p w14:paraId="59111F53"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3.</w:t>
      </w:r>
      <w:r w:rsidRPr="008C2692">
        <w:rPr>
          <w:rFonts w:ascii="David" w:hAnsi="David"/>
          <w:rtl/>
        </w:rPr>
        <w:tab/>
        <w:t>כתב האישום מפרט כי העבירה נעברה לאחר שמדינת ישראל הותקפה על ידי מחבלי ארגון החמאס ביום 7/10/2023, ובמהלך מלחמת חרבות ברזל.</w:t>
      </w:r>
    </w:p>
    <w:p w14:paraId="00EB9AC8" w14:textId="77777777" w:rsidR="003A2A80" w:rsidRPr="008C2692" w:rsidRDefault="003A2A80" w:rsidP="003A2A80">
      <w:pPr>
        <w:spacing w:line="360" w:lineRule="auto"/>
        <w:ind w:left="680" w:hanging="680"/>
        <w:jc w:val="both"/>
        <w:rPr>
          <w:rFonts w:ascii="David" w:hAnsi="David"/>
          <w:rtl/>
        </w:rPr>
      </w:pPr>
    </w:p>
    <w:p w14:paraId="699DA626" w14:textId="77777777" w:rsidR="003A2A80" w:rsidRPr="008C2692" w:rsidRDefault="003A2A80" w:rsidP="003A2A80">
      <w:pPr>
        <w:spacing w:line="360" w:lineRule="auto"/>
        <w:jc w:val="both"/>
        <w:outlineLvl w:val="0"/>
        <w:rPr>
          <w:rFonts w:ascii="Calibri" w:eastAsia="Calibri" w:hAnsi="Calibri"/>
          <w:b/>
          <w:bCs/>
          <w:u w:val="single"/>
          <w:rtl/>
        </w:rPr>
      </w:pPr>
      <w:r w:rsidRPr="008C2692">
        <w:rPr>
          <w:rFonts w:ascii="Calibri" w:eastAsia="Calibri" w:hAnsi="Calibri"/>
          <w:b/>
          <w:bCs/>
          <w:u w:val="single"/>
          <w:rtl/>
        </w:rPr>
        <w:t>טיעוני הצדדים לעונש:</w:t>
      </w:r>
    </w:p>
    <w:p w14:paraId="5FFBE22F" w14:textId="77777777" w:rsidR="003A2A80" w:rsidRPr="008C2692" w:rsidRDefault="003A2A80" w:rsidP="003A2A80">
      <w:pPr>
        <w:spacing w:line="360" w:lineRule="auto"/>
        <w:jc w:val="both"/>
        <w:rPr>
          <w:rFonts w:ascii="Calibri" w:eastAsia="Calibri" w:hAnsi="Calibri"/>
          <w:rtl/>
        </w:rPr>
      </w:pPr>
    </w:p>
    <w:p w14:paraId="5D211D55" w14:textId="77777777" w:rsidR="003A2A80" w:rsidRPr="008C2692" w:rsidRDefault="003A2A80" w:rsidP="003A2A80">
      <w:pPr>
        <w:spacing w:line="360" w:lineRule="auto"/>
        <w:jc w:val="both"/>
        <w:outlineLvl w:val="1"/>
        <w:rPr>
          <w:rFonts w:ascii="Calibri" w:hAnsi="Calibri"/>
          <w:u w:val="single"/>
          <w:rtl/>
        </w:rPr>
      </w:pPr>
      <w:r w:rsidRPr="008C2692">
        <w:rPr>
          <w:rFonts w:ascii="Calibri" w:hAnsi="Calibri"/>
          <w:u w:val="single"/>
          <w:rtl/>
        </w:rPr>
        <w:t>תמצית טיעוני המאשימה:</w:t>
      </w:r>
    </w:p>
    <w:p w14:paraId="5A6F342C"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4.</w:t>
      </w:r>
      <w:r w:rsidRPr="008C2692">
        <w:rPr>
          <w:rFonts w:ascii="David" w:hAnsi="David"/>
          <w:rtl/>
        </w:rPr>
        <w:tab/>
        <w:t xml:space="preserve">המאשימה טענה כי מתחם העונש ההולם למעשה העבירה בו הנאשם הורשע נע בין 27 לבין 57 חודשי מאסר בפועל, וביקשה להטיל עליו עונש מאסר בפועל למשך 39 חודשים, מאסר על תנאי וקנס. </w:t>
      </w:r>
    </w:p>
    <w:p w14:paraId="77316435" w14:textId="77777777" w:rsidR="003A2A80" w:rsidRPr="008C2692" w:rsidRDefault="003A2A80" w:rsidP="003A2A80">
      <w:pPr>
        <w:spacing w:line="360" w:lineRule="auto"/>
        <w:ind w:left="680" w:hanging="680"/>
        <w:jc w:val="both"/>
        <w:rPr>
          <w:rFonts w:ascii="David" w:hAnsi="David"/>
          <w:rtl/>
        </w:rPr>
      </w:pPr>
    </w:p>
    <w:p w14:paraId="3CDE387F"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5.</w:t>
      </w:r>
      <w:r w:rsidRPr="008C2692">
        <w:rPr>
          <w:rFonts w:ascii="David" w:hAnsi="David"/>
          <w:rtl/>
        </w:rPr>
        <w:tab/>
        <w:t xml:space="preserve">המאשימה הדגישה בטיעוניה כי הנאשם עבר את העבירה "בזמן נפיץ", כלשונה, במהלך מלחמת חרבות ברזל ובעת שהתקיימו מספר התפרעויות במחנה שועפאט. לעמדתה, די בעובדה שבקבוק התבערה התלקח בסמוך לחומת הביטחון ובער כדי להבין את פוטנציאל הנזק. רק בנס, כך טענה, אף אחד לא נפגע מכך. </w:t>
      </w:r>
    </w:p>
    <w:p w14:paraId="342A21B3" w14:textId="77777777" w:rsidR="003A2A80" w:rsidRPr="008C2692" w:rsidRDefault="003A2A80" w:rsidP="003A2A80">
      <w:pPr>
        <w:spacing w:line="360" w:lineRule="auto"/>
        <w:ind w:left="680" w:hanging="680"/>
        <w:jc w:val="both"/>
        <w:rPr>
          <w:rFonts w:ascii="David" w:hAnsi="David"/>
          <w:rtl/>
        </w:rPr>
      </w:pPr>
    </w:p>
    <w:p w14:paraId="4F5BA765"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6.</w:t>
      </w:r>
      <w:r w:rsidRPr="008C2692">
        <w:rPr>
          <w:rFonts w:ascii="David" w:hAnsi="David"/>
          <w:rtl/>
        </w:rPr>
        <w:tab/>
        <w:t xml:space="preserve">לביסוס עמדתה אשר למתחם העונש ההולם, הפנתה המאשימה לפסיקה דלהלן: </w:t>
      </w:r>
    </w:p>
    <w:p w14:paraId="0A319F97" w14:textId="77777777" w:rsidR="003A2A80" w:rsidRPr="008C2692" w:rsidRDefault="003A2A80" w:rsidP="003A2A80">
      <w:pPr>
        <w:spacing w:line="360" w:lineRule="auto"/>
        <w:ind w:left="680" w:hanging="680"/>
        <w:jc w:val="both"/>
        <w:rPr>
          <w:rFonts w:ascii="David" w:hAnsi="David"/>
          <w:rtl/>
        </w:rPr>
      </w:pPr>
    </w:p>
    <w:p w14:paraId="2CC42BCA" w14:textId="77777777" w:rsidR="003A2A80" w:rsidRPr="008C2692" w:rsidRDefault="003A2A80" w:rsidP="003A2A80">
      <w:pPr>
        <w:spacing w:line="360" w:lineRule="auto"/>
        <w:ind w:left="1360" w:hanging="680"/>
        <w:jc w:val="both"/>
        <w:rPr>
          <w:rFonts w:ascii="Calibri" w:hAnsi="Calibri"/>
          <w:rtl/>
        </w:rPr>
      </w:pPr>
      <w:r w:rsidRPr="008C2692">
        <w:rPr>
          <w:rFonts w:ascii="Calibri" w:hAnsi="Calibri"/>
          <w:rtl/>
        </w:rPr>
        <w:t>א.</w:t>
      </w:r>
      <w:r w:rsidRPr="008C2692">
        <w:rPr>
          <w:rFonts w:ascii="Calibri" w:hAnsi="Calibri"/>
          <w:rtl/>
        </w:rPr>
        <w:tab/>
      </w:r>
      <w:hyperlink r:id="rId13" w:history="1">
        <w:r w:rsidR="001D2AA7" w:rsidRPr="001D2AA7">
          <w:rPr>
            <w:rFonts w:ascii="Calibri" w:hAnsi="Calibri" w:hint="eastAsia"/>
            <w:color w:val="0000FF"/>
            <w:u w:val="single"/>
            <w:rtl/>
          </w:rPr>
          <w:t>ת</w:t>
        </w:r>
        <w:r w:rsidR="001D2AA7" w:rsidRPr="001D2AA7">
          <w:rPr>
            <w:rFonts w:ascii="Calibri" w:hAnsi="Calibri"/>
            <w:color w:val="0000FF"/>
            <w:u w:val="single"/>
            <w:rtl/>
          </w:rPr>
          <w:t>"</w:t>
        </w:r>
        <w:r w:rsidR="001D2AA7" w:rsidRPr="001D2AA7">
          <w:rPr>
            <w:rFonts w:ascii="Calibri" w:hAnsi="Calibri" w:hint="eastAsia"/>
            <w:color w:val="0000FF"/>
            <w:u w:val="single"/>
            <w:rtl/>
          </w:rPr>
          <w:t>פ</w:t>
        </w:r>
        <w:r w:rsidR="001D2AA7" w:rsidRPr="001D2AA7">
          <w:rPr>
            <w:rFonts w:ascii="Calibri" w:hAnsi="Calibri"/>
            <w:color w:val="0000FF"/>
            <w:u w:val="single"/>
            <w:rtl/>
          </w:rPr>
          <w:t xml:space="preserve"> (</w:t>
        </w:r>
        <w:r w:rsidR="001D2AA7" w:rsidRPr="001D2AA7">
          <w:rPr>
            <w:rFonts w:ascii="Calibri" w:hAnsi="Calibri" w:hint="eastAsia"/>
            <w:color w:val="0000FF"/>
            <w:u w:val="single"/>
            <w:rtl/>
          </w:rPr>
          <w:t>מחוזי</w:t>
        </w:r>
        <w:r w:rsidR="001D2AA7" w:rsidRPr="001D2AA7">
          <w:rPr>
            <w:rFonts w:ascii="Calibri" w:hAnsi="Calibri"/>
            <w:color w:val="0000FF"/>
            <w:u w:val="single"/>
            <w:rtl/>
          </w:rPr>
          <w:t xml:space="preserve"> </w:t>
        </w:r>
        <w:r w:rsidR="001D2AA7" w:rsidRPr="001D2AA7">
          <w:rPr>
            <w:rFonts w:ascii="Calibri" w:hAnsi="Calibri" w:hint="eastAsia"/>
            <w:color w:val="0000FF"/>
            <w:u w:val="single"/>
            <w:rtl/>
          </w:rPr>
          <w:t>חיפה</w:t>
        </w:r>
        <w:r w:rsidR="001D2AA7" w:rsidRPr="001D2AA7">
          <w:rPr>
            <w:rFonts w:ascii="Calibri" w:hAnsi="Calibri"/>
            <w:color w:val="0000FF"/>
            <w:u w:val="single"/>
            <w:rtl/>
          </w:rPr>
          <w:t>) 66385-03-22</w:t>
        </w:r>
      </w:hyperlink>
      <w:r w:rsidRPr="008C2692">
        <w:rPr>
          <w:rFonts w:ascii="Calibri" w:hAnsi="Calibri"/>
          <w:rtl/>
        </w:rPr>
        <w:t xml:space="preserve"> </w:t>
      </w:r>
      <w:r w:rsidRPr="008C2692">
        <w:rPr>
          <w:rFonts w:ascii="Calibri" w:hAnsi="Calibri"/>
          <w:b/>
          <w:bCs/>
          <w:rtl/>
        </w:rPr>
        <w:t>מדינת ישראל נ' זאודה</w:t>
      </w:r>
      <w:r w:rsidRPr="008C2692">
        <w:rPr>
          <w:rFonts w:ascii="Calibri" w:hAnsi="Calibri"/>
          <w:rtl/>
        </w:rPr>
        <w:t>, 10/1/2023: גזר דין שניתן בענייננו של נאשם שהורשע בעבירות של החזקת ונשיאת נשק, ניסיון הצתה והחזקת סם לצריכה עצמית. על פי המפורט בגזר הדין, הנאשם יידה בקבוק תבערה לעבר בית עסק ממרחק של מספר מטרים, במטרה לשלח בו אש, לאחר שנמנעה כניסתו לבית העסק ולאחר שאיים על המאבטח. בקבוק התבערה פגע בקיר המבנה, התנפץ והחל לבעור. בסמוך לאחר מכן האש כבתה. בהמשך לכך, הנאשם אותר בביתו כשהוא מחזיק סמים מסוכנים: קנבוס במשקל של 7.08 גרם, וקוקאין במשקל של 2.1667 גרם. נקבע כי מדובר באירוע אחד, שמתחם העונש ההולם בגינו נע בין 20 חודשי מאסר בפועל לבין 45 חודשי מאסר בפועל. בין הנימוקים שפורטו בגזר הדין לצורך קביעת המתחם נמנו הנימוקים הבאים: העובדה שהנאשם הכין את בקבוק התבערה, הדליק אותו והשליך אותו; הנזק הקשה והחמור שהיה צפוי להיגרם לשוהים בסביבה כתוצאה מהתלקחות בקבוק התבערה; הסכנה שנגרמה למבנה בית העסק ולמבנים סמוכים; והנזק הכלכלי שעלול היה להיגרם לעסק.</w:t>
      </w:r>
    </w:p>
    <w:p w14:paraId="7CD0A63E" w14:textId="77777777" w:rsidR="003A2A80" w:rsidRPr="008C2692" w:rsidRDefault="003A2A80" w:rsidP="003A2A80">
      <w:pPr>
        <w:spacing w:line="360" w:lineRule="auto"/>
        <w:ind w:left="1360" w:hanging="680"/>
        <w:jc w:val="both"/>
        <w:rPr>
          <w:rFonts w:ascii="Calibri" w:hAnsi="Calibri"/>
          <w:rtl/>
        </w:rPr>
      </w:pPr>
    </w:p>
    <w:p w14:paraId="6B868BC3" w14:textId="77777777" w:rsidR="003A2A80" w:rsidRPr="008C2692" w:rsidRDefault="003A2A80" w:rsidP="003A2A80">
      <w:pPr>
        <w:spacing w:line="360" w:lineRule="auto"/>
        <w:ind w:left="1360" w:hanging="680"/>
        <w:jc w:val="both"/>
        <w:rPr>
          <w:rFonts w:ascii="Calibri" w:hAnsi="Calibri"/>
          <w:rtl/>
        </w:rPr>
      </w:pPr>
      <w:r w:rsidRPr="008C2692">
        <w:rPr>
          <w:rFonts w:ascii="Calibri" w:hAnsi="Calibri"/>
          <w:rtl/>
        </w:rPr>
        <w:lastRenderedPageBreak/>
        <w:t>ב.</w:t>
      </w:r>
      <w:r w:rsidRPr="008C2692">
        <w:rPr>
          <w:rFonts w:ascii="Calibri" w:hAnsi="Calibri"/>
          <w:rtl/>
        </w:rPr>
        <w:tab/>
      </w:r>
      <w:hyperlink r:id="rId14" w:history="1">
        <w:r w:rsidR="001D2AA7" w:rsidRPr="001D2AA7">
          <w:rPr>
            <w:rFonts w:ascii="Calibri" w:hAnsi="Calibri" w:hint="eastAsia"/>
            <w:color w:val="0000FF"/>
            <w:u w:val="single"/>
            <w:rtl/>
          </w:rPr>
          <w:t>ת</w:t>
        </w:r>
        <w:r w:rsidR="001D2AA7" w:rsidRPr="001D2AA7">
          <w:rPr>
            <w:rFonts w:ascii="Calibri" w:hAnsi="Calibri"/>
            <w:color w:val="0000FF"/>
            <w:u w:val="single"/>
            <w:rtl/>
          </w:rPr>
          <w:t>"</w:t>
        </w:r>
        <w:r w:rsidR="001D2AA7" w:rsidRPr="001D2AA7">
          <w:rPr>
            <w:rFonts w:ascii="Calibri" w:hAnsi="Calibri" w:hint="eastAsia"/>
            <w:color w:val="0000FF"/>
            <w:u w:val="single"/>
            <w:rtl/>
          </w:rPr>
          <w:t>פ</w:t>
        </w:r>
        <w:r w:rsidR="001D2AA7" w:rsidRPr="001D2AA7">
          <w:rPr>
            <w:rFonts w:ascii="Calibri" w:hAnsi="Calibri"/>
            <w:color w:val="0000FF"/>
            <w:u w:val="single"/>
            <w:rtl/>
          </w:rPr>
          <w:t xml:space="preserve"> (</w:t>
        </w:r>
        <w:r w:rsidR="001D2AA7" w:rsidRPr="001D2AA7">
          <w:rPr>
            <w:rFonts w:ascii="Calibri" w:hAnsi="Calibri" w:hint="eastAsia"/>
            <w:color w:val="0000FF"/>
            <w:u w:val="single"/>
            <w:rtl/>
          </w:rPr>
          <w:t>מחוזי</w:t>
        </w:r>
        <w:r w:rsidR="001D2AA7" w:rsidRPr="001D2AA7">
          <w:rPr>
            <w:rFonts w:ascii="Calibri" w:hAnsi="Calibri"/>
            <w:color w:val="0000FF"/>
            <w:u w:val="single"/>
            <w:rtl/>
          </w:rPr>
          <w:t xml:space="preserve"> </w:t>
        </w:r>
        <w:r w:rsidR="001D2AA7" w:rsidRPr="001D2AA7">
          <w:rPr>
            <w:rFonts w:ascii="Calibri" w:hAnsi="Calibri" w:hint="eastAsia"/>
            <w:color w:val="0000FF"/>
            <w:u w:val="single"/>
            <w:rtl/>
          </w:rPr>
          <w:t>ירושלים</w:t>
        </w:r>
        <w:r w:rsidR="001D2AA7" w:rsidRPr="001D2AA7">
          <w:rPr>
            <w:rFonts w:ascii="Calibri" w:hAnsi="Calibri"/>
            <w:color w:val="0000FF"/>
            <w:u w:val="single"/>
            <w:rtl/>
          </w:rPr>
          <w:t>) 64303-01-22</w:t>
        </w:r>
      </w:hyperlink>
      <w:r w:rsidRPr="008C2692">
        <w:rPr>
          <w:rFonts w:ascii="Calibri" w:hAnsi="Calibri"/>
          <w:rtl/>
        </w:rPr>
        <w:t xml:space="preserve"> </w:t>
      </w:r>
      <w:r w:rsidRPr="008C2692">
        <w:rPr>
          <w:rFonts w:ascii="Calibri" w:hAnsi="Calibri"/>
          <w:b/>
          <w:bCs/>
          <w:rtl/>
        </w:rPr>
        <w:t>מדינת ישראל נ' חמאדה</w:t>
      </w:r>
      <w:r w:rsidRPr="008C2692">
        <w:rPr>
          <w:rFonts w:ascii="Calibri" w:hAnsi="Calibri"/>
          <w:rtl/>
        </w:rPr>
        <w:t xml:space="preserve">, 28/9/2022: גזר דין שניתן נגד נאשם שיידה בקבוק תבערה לעבר רכב שחנה מחוץ לביתו של המתלונן, על רקע ויכוח ביניהם. נקבע כי מתחם העונש ההולם נע בין 24 חודשי מאסר בפועל לבין 50 חודשי מאסר בפועל. בגזר הדין עמד בית המשפט על כך שבמקרה זה הנאשם הכין את בקבוק התבערה, החביא אותו והמתין לשעת כושר לביצוע המעשה. כמו כן, הנזק שעלול היה להיגרם כתוצאה מהתלקחות הרכב, גדול מאוד. </w:t>
      </w:r>
    </w:p>
    <w:p w14:paraId="23AC9FC4" w14:textId="77777777" w:rsidR="003A2A80" w:rsidRPr="008C2692" w:rsidRDefault="003A2A80" w:rsidP="003A2A80">
      <w:pPr>
        <w:spacing w:line="360" w:lineRule="auto"/>
        <w:ind w:left="680" w:hanging="680"/>
        <w:jc w:val="both"/>
        <w:rPr>
          <w:rFonts w:ascii="David" w:hAnsi="David"/>
          <w:rtl/>
        </w:rPr>
      </w:pPr>
    </w:p>
    <w:p w14:paraId="3079F9A5"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7.</w:t>
      </w:r>
      <w:r w:rsidRPr="008C2692">
        <w:rPr>
          <w:rFonts w:ascii="David" w:hAnsi="David"/>
          <w:rtl/>
        </w:rPr>
        <w:tab/>
        <w:t xml:space="preserve">המאשימה הפנתה </w:t>
      </w:r>
      <w:hyperlink r:id="rId15" w:history="1">
        <w:r w:rsidR="00D61A86" w:rsidRPr="00D61A86">
          <w:rPr>
            <w:rStyle w:val="Hyperlink"/>
            <w:rFonts w:ascii="David" w:hAnsi="David"/>
            <w:color w:val="0000FF"/>
            <w:rtl/>
          </w:rPr>
          <w:t>לסעיף 144(ז)</w:t>
        </w:r>
      </w:hyperlink>
      <w:r w:rsidRPr="008C2692">
        <w:rPr>
          <w:rFonts w:ascii="David" w:hAnsi="David"/>
          <w:rtl/>
        </w:rPr>
        <w:t xml:space="preserve"> ב</w:t>
      </w:r>
      <w:hyperlink r:id="rId16" w:history="1">
        <w:r w:rsidR="001D2AA7" w:rsidRPr="001D2AA7">
          <w:rPr>
            <w:rFonts w:ascii="David" w:hAnsi="David"/>
            <w:color w:val="0000FF"/>
            <w:u w:val="single"/>
            <w:rtl/>
          </w:rPr>
          <w:t>חוק העונשין</w:t>
        </w:r>
      </w:hyperlink>
      <w:r w:rsidRPr="008C2692">
        <w:rPr>
          <w:rFonts w:ascii="David" w:hAnsi="David"/>
          <w:rtl/>
        </w:rPr>
        <w:t xml:space="preserve"> התשל"ז-1977, בו נקבע עונש מינימלי לעבירות נשק. במקרה זה, בו הנאשם הורשע בעבירה לפי </w:t>
      </w:r>
      <w:hyperlink r:id="rId17" w:history="1">
        <w:r w:rsidR="00D61A86" w:rsidRPr="00D61A86">
          <w:rPr>
            <w:rStyle w:val="Hyperlink"/>
            <w:rFonts w:ascii="David" w:hAnsi="David"/>
            <w:color w:val="0000FF"/>
            <w:rtl/>
          </w:rPr>
          <w:t>סעיף 144(ב)</w:t>
        </w:r>
      </w:hyperlink>
      <w:r w:rsidRPr="008C2692">
        <w:rPr>
          <w:rFonts w:ascii="David" w:hAnsi="David"/>
          <w:rtl/>
        </w:rPr>
        <w:t xml:space="preserve"> רישה בחוק האמור, עונש המינימום עומד על 30 חודשי מאסר בפועל. </w:t>
      </w:r>
    </w:p>
    <w:p w14:paraId="526B07CE" w14:textId="77777777" w:rsidR="003A2A80" w:rsidRPr="008C2692" w:rsidRDefault="003A2A80" w:rsidP="003A2A80">
      <w:pPr>
        <w:spacing w:line="360" w:lineRule="auto"/>
        <w:ind w:left="680" w:hanging="680"/>
        <w:jc w:val="both"/>
        <w:rPr>
          <w:rFonts w:ascii="David" w:hAnsi="David"/>
          <w:rtl/>
        </w:rPr>
      </w:pPr>
    </w:p>
    <w:p w14:paraId="6F175402"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8.</w:t>
      </w:r>
      <w:r w:rsidRPr="008C2692">
        <w:rPr>
          <w:rFonts w:ascii="David" w:hAnsi="David"/>
          <w:rtl/>
        </w:rPr>
        <w:tab/>
        <w:t xml:space="preserve">לזכותו של הנאשם המאשימה זקפה את הודאתו ואת עברו הפלילי הנקי. </w:t>
      </w:r>
    </w:p>
    <w:p w14:paraId="6CFEB953" w14:textId="77777777" w:rsidR="003A2A80" w:rsidRPr="008C2692" w:rsidRDefault="003A2A80" w:rsidP="003A2A80">
      <w:pPr>
        <w:spacing w:line="360" w:lineRule="auto"/>
        <w:ind w:left="680" w:hanging="680"/>
        <w:jc w:val="both"/>
        <w:rPr>
          <w:rFonts w:ascii="David" w:hAnsi="David"/>
          <w:rtl/>
        </w:rPr>
      </w:pPr>
    </w:p>
    <w:p w14:paraId="031894E0" w14:textId="77777777" w:rsidR="003A2A80" w:rsidRPr="008C2692" w:rsidRDefault="003A2A80" w:rsidP="003A2A80">
      <w:pPr>
        <w:spacing w:line="360" w:lineRule="auto"/>
        <w:jc w:val="both"/>
        <w:outlineLvl w:val="1"/>
        <w:rPr>
          <w:rFonts w:ascii="Calibri" w:hAnsi="Calibri"/>
          <w:u w:val="single"/>
          <w:rtl/>
        </w:rPr>
      </w:pPr>
      <w:r w:rsidRPr="008C2692">
        <w:rPr>
          <w:rFonts w:ascii="Calibri" w:hAnsi="Calibri"/>
          <w:u w:val="single"/>
          <w:rtl/>
        </w:rPr>
        <w:t>תמצית טיעוני ההגנה:</w:t>
      </w:r>
    </w:p>
    <w:p w14:paraId="61140241"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9.</w:t>
      </w:r>
      <w:r w:rsidRPr="008C2692">
        <w:rPr>
          <w:rFonts w:ascii="David" w:hAnsi="David"/>
          <w:rtl/>
        </w:rPr>
        <w:tab/>
        <w:t xml:space="preserve">ההגנה ביקשה להסתפק בתקופת מעצרו של הנאשם, כשישה חודשים. </w:t>
      </w:r>
    </w:p>
    <w:p w14:paraId="57A77040" w14:textId="77777777" w:rsidR="003A2A80" w:rsidRPr="008C2692" w:rsidRDefault="003A2A80" w:rsidP="003A2A80">
      <w:pPr>
        <w:spacing w:line="360" w:lineRule="auto"/>
        <w:ind w:left="680" w:hanging="680"/>
        <w:jc w:val="both"/>
        <w:rPr>
          <w:rFonts w:ascii="David" w:hAnsi="David"/>
          <w:rtl/>
        </w:rPr>
      </w:pPr>
    </w:p>
    <w:p w14:paraId="4D8A22A9"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10.</w:t>
      </w:r>
      <w:r w:rsidRPr="008C2692">
        <w:rPr>
          <w:rFonts w:ascii="David" w:hAnsi="David"/>
          <w:rtl/>
        </w:rPr>
        <w:tab/>
        <w:t xml:space="preserve">לטענת הסנגור: גזרי דין שניתנו בעניין נאשמים שהחזיקו נשק מסוג </w:t>
      </w:r>
      <w:r w:rsidRPr="008C2692">
        <w:rPr>
          <w:rFonts w:ascii="David" w:hAnsi="David"/>
        </w:rPr>
        <w:t>M16</w:t>
      </w:r>
      <w:r w:rsidRPr="008C2692">
        <w:rPr>
          <w:rFonts w:ascii="David" w:hAnsi="David"/>
          <w:rtl/>
        </w:rPr>
        <w:t xml:space="preserve"> ומחסניות מלאות אינם מלמדים על העונש המתאים למי שהחזיק בקבוק תבערה, שנועד לשימוש חד פעמי; סרטון האירוע מלמד שבזירה לא התרחשה התפרעות ולא נטען בכתב האישום שהיתה במקום התפרעות; חלקו היחסי של הנאשם בביצוע העבירה נמוך משמעותית מחלקו של סאלח, שהחזיק ויידה את בקבוק התבערה; החומה לעברה יודה בקבוק התבערה גבוהה מאוד; נטען שיש בחלקה העליון של החומה מצלמת אבטחה שלא נראית; "הבקבוק הבהב למספר שניות וזהו", כלשונו. </w:t>
      </w:r>
    </w:p>
    <w:p w14:paraId="47609E50" w14:textId="77777777" w:rsidR="003A2A80" w:rsidRPr="008C2692" w:rsidRDefault="003A2A80" w:rsidP="003A2A80">
      <w:pPr>
        <w:spacing w:line="360" w:lineRule="auto"/>
        <w:ind w:left="680" w:hanging="680"/>
        <w:jc w:val="both"/>
        <w:rPr>
          <w:rFonts w:ascii="David" w:hAnsi="David"/>
          <w:rtl/>
        </w:rPr>
      </w:pPr>
    </w:p>
    <w:p w14:paraId="60A632A2"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11.</w:t>
      </w:r>
      <w:r w:rsidRPr="008C2692">
        <w:rPr>
          <w:rFonts w:ascii="David" w:hAnsi="David"/>
          <w:rtl/>
        </w:rPr>
        <w:tab/>
        <w:t xml:space="preserve">הסנגור עמד בטיעוניו על כך שבחומה או מעבר לה לא היו חפצים דליקים ולא כלי רכב. פוטנציאל הסיכון, כך טען, "לא קיים ושאף לאפס", כלשונו. כמו כן, בפועל, לא נגרם נזק לגוף או לרכוש. </w:t>
      </w:r>
    </w:p>
    <w:p w14:paraId="62F16D4E" w14:textId="77777777" w:rsidR="003A2A80" w:rsidRPr="008C2692" w:rsidRDefault="003A2A80" w:rsidP="003A2A80">
      <w:pPr>
        <w:spacing w:line="360" w:lineRule="auto"/>
        <w:ind w:left="680" w:hanging="680"/>
        <w:jc w:val="both"/>
        <w:rPr>
          <w:rFonts w:ascii="David" w:hAnsi="David"/>
          <w:rtl/>
        </w:rPr>
      </w:pPr>
    </w:p>
    <w:p w14:paraId="62FB3E39"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12.</w:t>
      </w:r>
      <w:r w:rsidRPr="008C2692">
        <w:rPr>
          <w:rFonts w:ascii="David" w:hAnsi="David"/>
          <w:rtl/>
        </w:rPr>
        <w:tab/>
        <w:t xml:space="preserve">הסנגור הדגיש כי הנאשם לא היה מעורב בעבר במעשים מסוג זה, הוא עבד בעבודה מסודרת, אין לו עבר פלילי, הוא קיבל על עצמו אחריות למעשיו, מודה בהם ומתחרט עליהם. לדבריו, תנאי מעצרו קשים, הוא מרוחק ממשפחתו ולא התאפשר להם לבקרו. </w:t>
      </w:r>
    </w:p>
    <w:p w14:paraId="5B8EF855" w14:textId="77777777" w:rsidR="003A2A80" w:rsidRPr="008C2692" w:rsidRDefault="003A2A80" w:rsidP="003A2A80">
      <w:pPr>
        <w:spacing w:line="360" w:lineRule="auto"/>
        <w:ind w:left="680" w:hanging="680"/>
        <w:jc w:val="both"/>
        <w:rPr>
          <w:rFonts w:ascii="David" w:hAnsi="David"/>
          <w:rtl/>
        </w:rPr>
      </w:pPr>
    </w:p>
    <w:p w14:paraId="16D9B6BD"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13.</w:t>
      </w:r>
      <w:r w:rsidRPr="008C2692">
        <w:rPr>
          <w:rFonts w:ascii="David" w:hAnsi="David"/>
          <w:rtl/>
        </w:rPr>
        <w:tab/>
        <w:t xml:space="preserve">הסנגור הפנה לפסיקה בה נדונו עונשים שהוטלו על נאשמים שהורשעו במעשי עבירה שכללו, בין היתר, יידוי בקבוקי תבערה, והוטלו עליהם עונשים שנעו בין 14 לבין 32 חודשי מאסר בפועל. הסנגור הדגיש כי בכל המקרים מדובר בנסיבות חמורות יותר, ולמרות זאת הוטלו על הנאשמים עונשים נמוכים בהרבה מהעונש אתו מבקשת המאשימה במקרה זה. </w:t>
      </w:r>
    </w:p>
    <w:p w14:paraId="39442CAE" w14:textId="77777777" w:rsidR="003A2A80" w:rsidRPr="008C2692" w:rsidRDefault="003A2A80" w:rsidP="003A2A80">
      <w:pPr>
        <w:spacing w:line="360" w:lineRule="auto"/>
        <w:ind w:left="680" w:hanging="680"/>
        <w:jc w:val="both"/>
        <w:rPr>
          <w:rFonts w:ascii="David" w:hAnsi="David"/>
          <w:rtl/>
        </w:rPr>
      </w:pPr>
    </w:p>
    <w:p w14:paraId="0772D5A6"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14.</w:t>
      </w:r>
      <w:r w:rsidRPr="008C2692">
        <w:rPr>
          <w:rFonts w:ascii="David" w:hAnsi="David"/>
          <w:rtl/>
        </w:rPr>
        <w:tab/>
        <w:t>הנאשם בטיעוניו הביע צער על מעשיו, טען שהוא עומד לפני חתונה וביקש שיתאפשר לו לחזור לעבוד.</w:t>
      </w:r>
    </w:p>
    <w:p w14:paraId="5B7AEAE3" w14:textId="77777777" w:rsidR="003A2A80" w:rsidRPr="008C2692" w:rsidRDefault="003A2A80" w:rsidP="003A2A80">
      <w:pPr>
        <w:spacing w:line="360" w:lineRule="auto"/>
        <w:ind w:left="680" w:hanging="680"/>
        <w:jc w:val="both"/>
        <w:rPr>
          <w:rFonts w:ascii="David" w:hAnsi="David"/>
        </w:rPr>
      </w:pPr>
    </w:p>
    <w:p w14:paraId="1591FF67" w14:textId="77777777" w:rsidR="003A2A80" w:rsidRPr="008C2692" w:rsidRDefault="003A2A80" w:rsidP="003A2A80">
      <w:pPr>
        <w:spacing w:line="360" w:lineRule="auto"/>
        <w:jc w:val="both"/>
        <w:outlineLvl w:val="0"/>
        <w:rPr>
          <w:rFonts w:ascii="Calibri" w:eastAsia="Calibri" w:hAnsi="Calibri"/>
          <w:b/>
          <w:bCs/>
          <w:u w:val="single"/>
          <w:rtl/>
        </w:rPr>
      </w:pPr>
      <w:r w:rsidRPr="008C2692">
        <w:rPr>
          <w:rFonts w:ascii="Calibri" w:eastAsia="Calibri" w:hAnsi="Calibri"/>
          <w:b/>
          <w:bCs/>
          <w:u w:val="single"/>
          <w:rtl/>
        </w:rPr>
        <w:t>דיון ומסקנות:</w:t>
      </w:r>
    </w:p>
    <w:p w14:paraId="1CFFCC57" w14:textId="77777777" w:rsidR="003A2A80" w:rsidRPr="008C2692" w:rsidRDefault="003A2A80" w:rsidP="003A2A80">
      <w:pPr>
        <w:spacing w:line="360" w:lineRule="auto"/>
        <w:ind w:left="680" w:hanging="680"/>
        <w:jc w:val="both"/>
        <w:rPr>
          <w:rFonts w:ascii="David" w:eastAsia="Calibri" w:hAnsi="David"/>
          <w:rtl/>
        </w:rPr>
      </w:pPr>
    </w:p>
    <w:p w14:paraId="1C4EE8BE" w14:textId="77777777" w:rsidR="003A2A80" w:rsidRPr="008C2692" w:rsidRDefault="003A2A80" w:rsidP="003A2A80">
      <w:pPr>
        <w:spacing w:line="360" w:lineRule="auto"/>
        <w:jc w:val="both"/>
        <w:outlineLvl w:val="1"/>
        <w:rPr>
          <w:rFonts w:ascii="Calibri" w:hAnsi="Calibri"/>
          <w:u w:val="single"/>
          <w:rtl/>
        </w:rPr>
      </w:pPr>
      <w:r w:rsidRPr="008C2692">
        <w:rPr>
          <w:rFonts w:ascii="Calibri" w:hAnsi="Calibri"/>
          <w:u w:val="single"/>
          <w:rtl/>
        </w:rPr>
        <w:t>מתחם העונש ההולם:</w:t>
      </w:r>
    </w:p>
    <w:p w14:paraId="1A439146"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15.</w:t>
      </w:r>
      <w:r w:rsidRPr="008C2692">
        <w:rPr>
          <w:rFonts w:ascii="David" w:hAnsi="David"/>
          <w:rtl/>
        </w:rPr>
        <w:tab/>
        <w:t xml:space="preserve">בפסיקה נקבע באופן עקבי כי יידוי של בקבוקי תבערה טומן בחובו חומרה רבה, שכן הדבר עלול לגרום לפגיעות משמעותיות בגוף וברכוש, ואף לגרום לאבדן חיי אדם. העובדה שמדובר </w:t>
      </w:r>
      <w:r w:rsidRPr="008C2692">
        <w:rPr>
          <w:rFonts w:ascii="Century" w:hAnsi="Century"/>
          <w:rtl/>
        </w:rPr>
        <w:t>באמצעי פרימיטיבי כביכול</w:t>
      </w:r>
      <w:r w:rsidRPr="008C2692">
        <w:rPr>
          <w:rFonts w:ascii="David" w:hAnsi="David"/>
          <w:rtl/>
        </w:rPr>
        <w:t>, אינה מפחיתה מעוצמת הנזק שאמצעי זה עלול לחולל (</w:t>
      </w:r>
      <w:hyperlink r:id="rId18" w:history="1">
        <w:r w:rsidR="001D2AA7" w:rsidRPr="001D2AA7">
          <w:rPr>
            <w:rFonts w:ascii="David" w:hAnsi="David"/>
            <w:color w:val="0000FF"/>
            <w:u w:val="single"/>
            <w:rtl/>
          </w:rPr>
          <w:t>ע"פ 5590/16</w:t>
        </w:r>
      </w:hyperlink>
      <w:r w:rsidRPr="008C2692">
        <w:rPr>
          <w:rFonts w:ascii="David" w:hAnsi="David"/>
          <w:rtl/>
        </w:rPr>
        <w:t xml:space="preserve"> </w:t>
      </w:r>
      <w:r w:rsidRPr="008C2692">
        <w:rPr>
          <w:rFonts w:ascii="David" w:hAnsi="David"/>
          <w:b/>
          <w:bCs/>
          <w:rtl/>
        </w:rPr>
        <w:t>נתשה נ' מדינת ישראל</w:t>
      </w:r>
      <w:r w:rsidRPr="008C2692">
        <w:rPr>
          <w:rFonts w:ascii="David" w:hAnsi="David"/>
          <w:rtl/>
        </w:rPr>
        <w:t>, 17/1/2018).</w:t>
      </w:r>
    </w:p>
    <w:p w14:paraId="2D28F283" w14:textId="77777777" w:rsidR="003A2A80" w:rsidRPr="008C2692" w:rsidRDefault="003A2A80" w:rsidP="003A2A80">
      <w:pPr>
        <w:spacing w:line="360" w:lineRule="auto"/>
        <w:ind w:left="680" w:hanging="680"/>
        <w:jc w:val="both"/>
        <w:rPr>
          <w:rFonts w:ascii="David" w:hAnsi="David"/>
          <w:rtl/>
        </w:rPr>
      </w:pPr>
    </w:p>
    <w:p w14:paraId="16EC5B64"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16.</w:t>
      </w:r>
      <w:r w:rsidRPr="008C2692">
        <w:rPr>
          <w:rFonts w:ascii="David" w:hAnsi="David"/>
          <w:rtl/>
        </w:rPr>
        <w:tab/>
        <w:t>ברם, הנסיבות במקרה זה שונות בתכלית. אמת, העובדה שהנאשם עבר את העבירה כשבועיים לאחר פרוץ מלחמת חרבות ברזל ובמקביל למספר התפרעויות שהתרחשו במקומות סמוכים, מעצימה את חומרת הפגיעה בערכים המוגנים. יש בכך כדי להטיל נטל נוסף על כוחות הביטחון, הפועלים בעת מלחמה להגן על הציבור ולהשליט סדר במרחב ציבורי. הכבדה זו מקשה על כוחות הביטחון למלא את מלאכתם, מכרסמת באפשרות העומדת להם להגן על הציבור, ובכך מגבירה את הסכנה לתושבי המדינה. אולם, בזירת העבירה לא התגודדו מתפרעים, לא נכחו כוחות ביטחון ולא היה רכוש שעלול היה להיפגע. כיוון שכך, פוטנציאל הנזק ממעשיו של הנאשם נמוך באופן ניכר מזה הטמון במעשיהם של מיידי בקבוקי התבערה המובאים לדין חדשות לבקרים. מידת הפגיעה בערכים המוגנים במקרה זה נמוכה אפוא באופן יחסי.</w:t>
      </w:r>
    </w:p>
    <w:p w14:paraId="047ACFF7" w14:textId="77777777" w:rsidR="003A2A80" w:rsidRPr="008C2692" w:rsidRDefault="003A2A80" w:rsidP="003A2A80">
      <w:pPr>
        <w:spacing w:line="360" w:lineRule="auto"/>
        <w:ind w:left="680" w:hanging="680"/>
        <w:jc w:val="both"/>
        <w:rPr>
          <w:rFonts w:ascii="David" w:hAnsi="David"/>
          <w:rtl/>
        </w:rPr>
      </w:pPr>
    </w:p>
    <w:p w14:paraId="7688F8E4"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17.</w:t>
      </w:r>
      <w:r w:rsidRPr="008C2692">
        <w:rPr>
          <w:rFonts w:ascii="David" w:hAnsi="David"/>
          <w:rtl/>
        </w:rPr>
        <w:tab/>
        <w:t xml:space="preserve">עובדות כתב האישום לא מלמדות שהנאשם פעל לאחר תכנון. חלקו היחסי בביצוע העבירה נמוך במידה מסוימת מחלקו של סלאח. סלאח הוא זה שהחזיק את בקבוק התעברה ויידה אותו. הנזק שנגרם בפועל אינו כבד במיוחד, ודומה במהותו לנזק שהיה צפוי להיגרם. </w:t>
      </w:r>
    </w:p>
    <w:p w14:paraId="7FC12B93" w14:textId="77777777" w:rsidR="003A2A80" w:rsidRPr="008C2692" w:rsidRDefault="003A2A80" w:rsidP="003A2A80">
      <w:pPr>
        <w:spacing w:line="360" w:lineRule="auto"/>
        <w:ind w:left="680" w:hanging="680"/>
        <w:jc w:val="both"/>
        <w:rPr>
          <w:rFonts w:ascii="David" w:hAnsi="David"/>
          <w:rtl/>
        </w:rPr>
      </w:pPr>
    </w:p>
    <w:p w14:paraId="30B1A435" w14:textId="77777777" w:rsidR="003A2A80" w:rsidRPr="008C2692" w:rsidRDefault="003A2A80" w:rsidP="003A2A80">
      <w:pPr>
        <w:spacing w:line="360" w:lineRule="auto"/>
        <w:ind w:left="680" w:hanging="680"/>
        <w:jc w:val="both"/>
        <w:rPr>
          <w:rFonts w:ascii="David" w:hAnsi="David"/>
          <w:rtl/>
        </w:rPr>
      </w:pPr>
      <w:bookmarkStart w:id="8" w:name="Nitan"/>
      <w:r w:rsidRPr="008C2692">
        <w:rPr>
          <w:rFonts w:ascii="David" w:hAnsi="David"/>
          <w:rtl/>
        </w:rPr>
        <w:t>18.</w:t>
      </w:r>
      <w:r w:rsidRPr="008C2692">
        <w:rPr>
          <w:rFonts w:ascii="David" w:hAnsi="David"/>
          <w:rtl/>
        </w:rPr>
        <w:tab/>
        <w:t xml:space="preserve">על מנת לעמוד על מדיניות הענישה הנהוגה ניתן כמובן להיעזר בפסיקה אליה הפנו הצדדים. </w:t>
      </w:r>
      <w:bookmarkEnd w:id="8"/>
      <w:r w:rsidRPr="008C2692">
        <w:rPr>
          <w:rFonts w:ascii="David" w:hAnsi="David"/>
          <w:rtl/>
        </w:rPr>
        <w:t>אולם אין להתעלם מכך שהנסיבות שנדונו בהם חמורות בהרבה מהנסיבות במקרה זה, כמפורט לעיל. לעומת זאת, ניתן לציין את גזר הדין שניתן בעניינו של סלאח, בו נקבע כי מתחם העונש ההולם נע בין שמונה לבין 24 חודשי מאסר בפועל (</w:t>
      </w:r>
      <w:hyperlink r:id="rId19" w:history="1">
        <w:r w:rsidR="001D2AA7" w:rsidRPr="001D2AA7">
          <w:rPr>
            <w:rFonts w:ascii="David" w:hAnsi="David"/>
            <w:color w:val="0000FF"/>
            <w:u w:val="single"/>
            <w:rtl/>
          </w:rPr>
          <w:t>ת"פ (מחוזי ירושלים) 400-11-23</w:t>
        </w:r>
      </w:hyperlink>
      <w:r w:rsidRPr="008C2692">
        <w:rPr>
          <w:rFonts w:ascii="David" w:hAnsi="David"/>
          <w:rtl/>
        </w:rPr>
        <w:t xml:space="preserve"> </w:t>
      </w:r>
      <w:r w:rsidRPr="008C2692">
        <w:rPr>
          <w:rFonts w:ascii="David" w:hAnsi="David"/>
          <w:b/>
          <w:bCs/>
          <w:rtl/>
        </w:rPr>
        <w:t>מדינת ישראל נ' חטיב</w:t>
      </w:r>
      <w:r w:rsidRPr="008C2692">
        <w:rPr>
          <w:rFonts w:ascii="David" w:hAnsi="David"/>
          <w:rtl/>
        </w:rPr>
        <w:t>, 2/5/2024).</w:t>
      </w:r>
    </w:p>
    <w:p w14:paraId="29F55E32" w14:textId="77777777" w:rsidR="003A2A80" w:rsidRPr="008C2692" w:rsidRDefault="003A2A80" w:rsidP="003A2A80">
      <w:pPr>
        <w:spacing w:line="360" w:lineRule="auto"/>
        <w:ind w:left="1360" w:hanging="680"/>
        <w:jc w:val="both"/>
        <w:rPr>
          <w:rFonts w:ascii="Calibri" w:hAnsi="Calibri"/>
        </w:rPr>
      </w:pPr>
    </w:p>
    <w:p w14:paraId="452B6EF1"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19.</w:t>
      </w:r>
      <w:r w:rsidRPr="008C2692">
        <w:rPr>
          <w:rFonts w:ascii="David" w:hAnsi="David"/>
          <w:rtl/>
        </w:rPr>
        <w:tab/>
        <w:t>לאור כל האמור, בהתחשב בערכים החברתיים שנפגעו מביצוע העבירות, במידת הפגיעה בהם, במדיניות הענישה הנהוגה ובנסיבות הקשורות בביצוע העבירות, אני סבור כי מתחם העונש ההולם למעשיו של הנאשם נע בין שבעה חודשי מאסר בפועל, לבין 22 חודשי מאסר בפועל.</w:t>
      </w:r>
    </w:p>
    <w:p w14:paraId="2E4BF808" w14:textId="77777777" w:rsidR="003A2A80" w:rsidRPr="008C2692" w:rsidRDefault="003A2A80" w:rsidP="003A2A80">
      <w:pPr>
        <w:spacing w:line="360" w:lineRule="auto"/>
        <w:ind w:left="680" w:hanging="680"/>
        <w:jc w:val="both"/>
        <w:rPr>
          <w:rFonts w:ascii="David" w:hAnsi="David"/>
          <w:rtl/>
        </w:rPr>
      </w:pPr>
    </w:p>
    <w:p w14:paraId="337714A3" w14:textId="77777777" w:rsidR="003A2A80" w:rsidRPr="008C2692" w:rsidRDefault="003A2A80" w:rsidP="003A2A80">
      <w:pPr>
        <w:spacing w:line="360" w:lineRule="auto"/>
        <w:jc w:val="both"/>
        <w:outlineLvl w:val="1"/>
        <w:rPr>
          <w:rFonts w:ascii="Calibri" w:hAnsi="Calibri"/>
          <w:u w:val="single"/>
          <w:rtl/>
        </w:rPr>
      </w:pPr>
      <w:r w:rsidRPr="008C2692">
        <w:rPr>
          <w:rFonts w:ascii="Calibri" w:hAnsi="Calibri"/>
          <w:u w:val="single"/>
          <w:rtl/>
        </w:rPr>
        <w:t>העונש המתאים לנאשם:</w:t>
      </w:r>
    </w:p>
    <w:p w14:paraId="7A5F80DC"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20.</w:t>
      </w:r>
      <w:r w:rsidRPr="008C2692">
        <w:rPr>
          <w:rFonts w:ascii="David" w:hAnsi="David"/>
          <w:rtl/>
        </w:rPr>
        <w:tab/>
        <w:t>לצורך קביעת העונש המתאים לנאשם בתוך מתחמי הענישה שלעיל יש להביא בחשבון את: הודאתו שניתנה בשלב מוקדם מאוד של ההליכים, עוד במהלך הדיון המקדמי; גילו הצעיר; הפגיעה שתיגרם לו, מטבע הדברים, כתוצאה מהרשעתו ומהעונש שיוטל עליו; עברו הפלילי הנקי; והצער שהביע על מעשיו.</w:t>
      </w:r>
    </w:p>
    <w:p w14:paraId="3CDF7B59" w14:textId="77777777" w:rsidR="003A2A80" w:rsidRPr="008C2692" w:rsidRDefault="003A2A80" w:rsidP="003A2A80">
      <w:pPr>
        <w:spacing w:line="360" w:lineRule="auto"/>
        <w:ind w:left="680" w:hanging="680"/>
        <w:jc w:val="both"/>
        <w:rPr>
          <w:rFonts w:ascii="David" w:hAnsi="David"/>
          <w:rtl/>
        </w:rPr>
      </w:pPr>
    </w:p>
    <w:p w14:paraId="648BCFE2"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21.</w:t>
      </w:r>
      <w:r w:rsidRPr="008C2692">
        <w:rPr>
          <w:rFonts w:ascii="David" w:hAnsi="David"/>
          <w:rtl/>
        </w:rPr>
        <w:tab/>
        <w:t>לאור האמור, אני סבור שהעונש המתאים לנאשם עומד ברף התחתון של מתחם העונש ההולם.</w:t>
      </w:r>
    </w:p>
    <w:p w14:paraId="62B30709" w14:textId="77777777" w:rsidR="003A2A80" w:rsidRPr="008C2692" w:rsidRDefault="003A2A80" w:rsidP="003A2A80">
      <w:pPr>
        <w:spacing w:line="360" w:lineRule="auto"/>
        <w:ind w:left="680" w:hanging="680"/>
        <w:jc w:val="both"/>
        <w:rPr>
          <w:rFonts w:ascii="David" w:hAnsi="David"/>
          <w:rtl/>
        </w:rPr>
      </w:pPr>
    </w:p>
    <w:p w14:paraId="0921E0BB" w14:textId="77777777" w:rsidR="003A2A80" w:rsidRPr="008C2692" w:rsidRDefault="003A2A80" w:rsidP="003A2A80">
      <w:pPr>
        <w:spacing w:line="360" w:lineRule="auto"/>
        <w:jc w:val="both"/>
        <w:outlineLvl w:val="0"/>
        <w:rPr>
          <w:rFonts w:ascii="Calibri" w:eastAsia="Calibri" w:hAnsi="Calibri"/>
          <w:b/>
          <w:bCs/>
          <w:u w:val="single"/>
          <w:rtl/>
        </w:rPr>
      </w:pPr>
      <w:r w:rsidRPr="008C2692">
        <w:rPr>
          <w:rFonts w:ascii="Calibri" w:eastAsia="Calibri" w:hAnsi="Calibri"/>
          <w:b/>
          <w:bCs/>
          <w:u w:val="single"/>
          <w:rtl/>
        </w:rPr>
        <w:t>התוצאה:</w:t>
      </w:r>
    </w:p>
    <w:p w14:paraId="73B70E18" w14:textId="77777777" w:rsidR="003A2A80" w:rsidRPr="008C2692" w:rsidRDefault="003A2A80" w:rsidP="003A2A80">
      <w:pPr>
        <w:spacing w:line="360" w:lineRule="auto"/>
        <w:ind w:left="680" w:hanging="680"/>
        <w:jc w:val="both"/>
        <w:rPr>
          <w:rFonts w:ascii="David" w:eastAsia="Calibri" w:hAnsi="David"/>
          <w:rtl/>
        </w:rPr>
      </w:pPr>
      <w:r w:rsidRPr="008C2692">
        <w:rPr>
          <w:rFonts w:ascii="David" w:hAnsi="David"/>
          <w:rtl/>
        </w:rPr>
        <w:t>22.</w:t>
      </w:r>
      <w:r w:rsidRPr="008C2692">
        <w:rPr>
          <w:rFonts w:ascii="David" w:hAnsi="David"/>
          <w:rtl/>
        </w:rPr>
        <w:tab/>
        <w:t>אני דן אפוא את הנאשם לעונשים הבאים:</w:t>
      </w:r>
    </w:p>
    <w:p w14:paraId="50A49658" w14:textId="77777777" w:rsidR="003A2A80" w:rsidRPr="008C2692" w:rsidRDefault="003A2A80" w:rsidP="003A2A80">
      <w:pPr>
        <w:spacing w:line="360" w:lineRule="auto"/>
        <w:jc w:val="both"/>
        <w:rPr>
          <w:rFonts w:ascii="Calibri" w:eastAsia="Calibri" w:hAnsi="Calibri"/>
          <w:b/>
          <w:bCs/>
          <w:rtl/>
        </w:rPr>
      </w:pPr>
    </w:p>
    <w:p w14:paraId="55288FE6" w14:textId="77777777" w:rsidR="003A2A80" w:rsidRPr="008C2692" w:rsidRDefault="003A2A80" w:rsidP="003A2A80">
      <w:pPr>
        <w:spacing w:line="360" w:lineRule="auto"/>
        <w:ind w:left="1360" w:hanging="680"/>
        <w:jc w:val="both"/>
        <w:rPr>
          <w:rFonts w:ascii="Calibri" w:hAnsi="Calibri"/>
          <w:rtl/>
        </w:rPr>
      </w:pPr>
      <w:r w:rsidRPr="008C2692">
        <w:rPr>
          <w:rFonts w:ascii="Calibri" w:hAnsi="Calibri"/>
          <w:rtl/>
        </w:rPr>
        <w:t>א.</w:t>
      </w:r>
      <w:r w:rsidRPr="008C2692">
        <w:rPr>
          <w:rFonts w:ascii="Calibri" w:hAnsi="Calibri"/>
          <w:rtl/>
        </w:rPr>
        <w:tab/>
        <w:t xml:space="preserve">מאסר בפועל למשך שבעה חודשים החל מיום מעצרו, 23/10/2023. </w:t>
      </w:r>
    </w:p>
    <w:p w14:paraId="102553E8" w14:textId="77777777" w:rsidR="003A2A80" w:rsidRPr="008C2692" w:rsidRDefault="003A2A80" w:rsidP="003A2A80">
      <w:pPr>
        <w:spacing w:line="360" w:lineRule="auto"/>
        <w:ind w:left="1360" w:hanging="680"/>
        <w:jc w:val="both"/>
        <w:rPr>
          <w:rFonts w:ascii="Calibri" w:hAnsi="Calibri"/>
          <w:rtl/>
        </w:rPr>
      </w:pPr>
    </w:p>
    <w:p w14:paraId="0310AD99" w14:textId="77777777" w:rsidR="003A2A80" w:rsidRPr="008C2692" w:rsidRDefault="003A2A80" w:rsidP="003A2A80">
      <w:pPr>
        <w:spacing w:line="360" w:lineRule="auto"/>
        <w:ind w:left="1360" w:hanging="680"/>
        <w:jc w:val="both"/>
        <w:rPr>
          <w:rFonts w:ascii="Calibri" w:hAnsi="Calibri"/>
        </w:rPr>
      </w:pPr>
      <w:r w:rsidRPr="008C2692">
        <w:rPr>
          <w:rFonts w:ascii="Calibri" w:hAnsi="Calibri"/>
          <w:rtl/>
        </w:rPr>
        <w:t>ב.</w:t>
      </w:r>
      <w:r w:rsidRPr="008C2692">
        <w:rPr>
          <w:rFonts w:ascii="Calibri" w:hAnsi="Calibri"/>
          <w:rtl/>
        </w:rPr>
        <w:tab/>
        <w:t xml:space="preserve">מאסר למשך </w:t>
      </w:r>
      <w:r>
        <w:rPr>
          <w:rFonts w:ascii="Calibri" w:hAnsi="Calibri" w:hint="cs"/>
          <w:rtl/>
        </w:rPr>
        <w:t>13</w:t>
      </w:r>
      <w:r w:rsidRPr="008C2692">
        <w:rPr>
          <w:rFonts w:ascii="Calibri" w:hAnsi="Calibri"/>
          <w:rtl/>
        </w:rPr>
        <w:t xml:space="preserve"> חודשים וזאת על תנאי למשך שלוש שנים מיום שחרורו ממאסר, אם יעבור עבירה בנשק מסוג פשע.</w:t>
      </w:r>
    </w:p>
    <w:p w14:paraId="31E0708B" w14:textId="77777777" w:rsidR="003A2A80" w:rsidRPr="008C2692" w:rsidRDefault="003A2A80" w:rsidP="003A2A80">
      <w:pPr>
        <w:spacing w:line="360" w:lineRule="auto"/>
        <w:ind w:left="1360" w:hanging="680"/>
        <w:jc w:val="both"/>
        <w:rPr>
          <w:rFonts w:ascii="Calibri" w:hAnsi="Calibri"/>
          <w:rtl/>
        </w:rPr>
      </w:pPr>
    </w:p>
    <w:p w14:paraId="0A4A538D" w14:textId="77777777" w:rsidR="003A2A80" w:rsidRPr="008C2692" w:rsidRDefault="003A2A80" w:rsidP="003A2A80">
      <w:pPr>
        <w:spacing w:line="360" w:lineRule="auto"/>
        <w:ind w:left="1360" w:hanging="680"/>
        <w:jc w:val="both"/>
        <w:rPr>
          <w:rFonts w:ascii="Calibri" w:hAnsi="Calibri"/>
          <w:rtl/>
        </w:rPr>
      </w:pPr>
      <w:r w:rsidRPr="008C2692">
        <w:rPr>
          <w:rFonts w:ascii="Calibri" w:hAnsi="Calibri"/>
          <w:rtl/>
        </w:rPr>
        <w:t>ג.</w:t>
      </w:r>
      <w:r w:rsidRPr="008C2692">
        <w:rPr>
          <w:rFonts w:ascii="Calibri" w:hAnsi="Calibri"/>
          <w:rtl/>
        </w:rPr>
        <w:tab/>
        <w:t>מאסר למשך עשרה חודשים וזאת על תנאי למשך שלוש שנים מיום שחרורו ממאסר, אם יעבור עבירה בנשק מסוג עוון.</w:t>
      </w:r>
    </w:p>
    <w:p w14:paraId="6074048A" w14:textId="77777777" w:rsidR="003A2A80" w:rsidRPr="008C2692" w:rsidRDefault="003A2A80" w:rsidP="003A2A80">
      <w:pPr>
        <w:spacing w:line="360" w:lineRule="auto"/>
        <w:ind w:left="1360" w:hanging="680"/>
        <w:jc w:val="both"/>
        <w:rPr>
          <w:rFonts w:ascii="Calibri" w:hAnsi="Calibri"/>
          <w:rtl/>
        </w:rPr>
      </w:pPr>
    </w:p>
    <w:p w14:paraId="5DDF0470" w14:textId="77777777" w:rsidR="003A2A80" w:rsidRPr="008C2692" w:rsidRDefault="003A2A80" w:rsidP="003A2A80">
      <w:pPr>
        <w:spacing w:line="360" w:lineRule="auto"/>
        <w:ind w:left="1360" w:hanging="680"/>
        <w:jc w:val="both"/>
        <w:rPr>
          <w:rFonts w:ascii="Calibri" w:hAnsi="Calibri"/>
          <w:rtl/>
        </w:rPr>
      </w:pPr>
      <w:r w:rsidRPr="008C2692">
        <w:rPr>
          <w:rFonts w:ascii="Calibri" w:hAnsi="Calibri"/>
          <w:rtl/>
        </w:rPr>
        <w:t>ד.</w:t>
      </w:r>
      <w:r w:rsidRPr="008C2692">
        <w:rPr>
          <w:rFonts w:ascii="Calibri" w:hAnsi="Calibri"/>
          <w:rtl/>
        </w:rPr>
        <w:tab/>
        <w:t>קנס בסך 1,500 ₪, או 21 ימי מאסר תמורתו. הקנס ישולם עד ליום 5/6/2024.</w:t>
      </w:r>
    </w:p>
    <w:p w14:paraId="4FBA2284" w14:textId="77777777" w:rsidR="003A2A80" w:rsidRPr="008C2692" w:rsidRDefault="003A2A80" w:rsidP="003A2A80">
      <w:pPr>
        <w:spacing w:line="360" w:lineRule="auto"/>
        <w:ind w:left="1360" w:hanging="680"/>
        <w:jc w:val="both"/>
        <w:rPr>
          <w:rFonts w:ascii="Calibri" w:hAnsi="Calibri"/>
          <w:rtl/>
        </w:rPr>
      </w:pPr>
    </w:p>
    <w:p w14:paraId="32CAF606" w14:textId="77777777" w:rsidR="003A2A80" w:rsidRPr="008C2692" w:rsidRDefault="003A2A80" w:rsidP="003A2A80">
      <w:pPr>
        <w:spacing w:line="360" w:lineRule="auto"/>
        <w:ind w:left="680" w:hanging="680"/>
        <w:jc w:val="both"/>
        <w:rPr>
          <w:rFonts w:ascii="David" w:hAnsi="David"/>
          <w:rtl/>
        </w:rPr>
      </w:pPr>
    </w:p>
    <w:p w14:paraId="2F4D1661" w14:textId="77777777" w:rsidR="003A2A80" w:rsidRPr="008C2692" w:rsidRDefault="003A2A80" w:rsidP="003A2A80">
      <w:pPr>
        <w:spacing w:line="360" w:lineRule="auto"/>
        <w:ind w:left="680" w:hanging="680"/>
        <w:jc w:val="both"/>
        <w:rPr>
          <w:rFonts w:ascii="David" w:hAnsi="David"/>
          <w:rtl/>
        </w:rPr>
      </w:pPr>
      <w:r w:rsidRPr="008C2692">
        <w:rPr>
          <w:rFonts w:ascii="David" w:hAnsi="David"/>
          <w:rtl/>
        </w:rPr>
        <w:t>זכות ערעור לבית המשפט העליון תוך 45 יום מהיום.</w:t>
      </w:r>
    </w:p>
    <w:p w14:paraId="3B6044AE" w14:textId="77777777" w:rsidR="003A2A80" w:rsidRPr="000F2247" w:rsidRDefault="003A2A80" w:rsidP="003A2A80">
      <w:pPr>
        <w:rPr>
          <w:rFonts w:ascii="Arial" w:hAnsi="Arial"/>
          <w:b/>
          <w:bCs/>
          <w:sz w:val="26"/>
          <w:szCs w:val="26"/>
          <w:rtl/>
        </w:rPr>
      </w:pPr>
    </w:p>
    <w:p w14:paraId="77379EF3" w14:textId="77777777" w:rsidR="003A2A80" w:rsidRPr="001D2AA7" w:rsidRDefault="001D2AA7" w:rsidP="003A2A80">
      <w:pPr>
        <w:rPr>
          <w:rFonts w:ascii="Arial" w:hAnsi="Arial"/>
          <w:b/>
          <w:bCs/>
          <w:color w:val="FFFFFF"/>
          <w:sz w:val="2"/>
          <w:szCs w:val="2"/>
          <w:rtl/>
        </w:rPr>
      </w:pPr>
      <w:r w:rsidRPr="001D2AA7">
        <w:rPr>
          <w:rFonts w:ascii="Arial" w:hAnsi="Arial"/>
          <w:b/>
          <w:bCs/>
          <w:color w:val="FFFFFF"/>
          <w:sz w:val="2"/>
          <w:szCs w:val="2"/>
          <w:rtl/>
        </w:rPr>
        <w:t>5129371</w:t>
      </w:r>
    </w:p>
    <w:p w14:paraId="2BD9C504" w14:textId="77777777" w:rsidR="003A2A80" w:rsidRDefault="001D2AA7" w:rsidP="003A2A80">
      <w:pPr>
        <w:spacing w:line="360" w:lineRule="auto"/>
        <w:jc w:val="both"/>
        <w:rPr>
          <w:rFonts w:ascii="Arial" w:hAnsi="Arial"/>
          <w:b/>
          <w:bCs/>
          <w:sz w:val="26"/>
          <w:szCs w:val="26"/>
          <w:rtl/>
        </w:rPr>
      </w:pPr>
      <w:r w:rsidRPr="001D2AA7">
        <w:rPr>
          <w:rFonts w:ascii="Arial" w:hAnsi="Arial"/>
          <w:b/>
          <w:bCs/>
          <w:color w:val="FFFFFF"/>
          <w:sz w:val="2"/>
          <w:szCs w:val="2"/>
          <w:rtl/>
        </w:rPr>
        <w:t>54678313</w:t>
      </w:r>
      <w:r w:rsidR="003A2A80" w:rsidRPr="000F2247">
        <w:rPr>
          <w:rFonts w:ascii="Arial" w:hAnsi="Arial"/>
          <w:b/>
          <w:bCs/>
          <w:sz w:val="26"/>
          <w:szCs w:val="26"/>
          <w:rtl/>
        </w:rPr>
        <w:t xml:space="preserve">ניתן היום,  </w:t>
      </w:r>
      <w:r w:rsidR="003A2A80">
        <w:rPr>
          <w:rFonts w:ascii="Arial" w:hAnsi="Arial"/>
          <w:b/>
          <w:bCs/>
          <w:sz w:val="26"/>
          <w:szCs w:val="26"/>
          <w:rtl/>
        </w:rPr>
        <w:t>כ"ז ניסן תשפ"ד</w:t>
      </w:r>
      <w:r w:rsidR="003A2A80" w:rsidRPr="000F2247">
        <w:rPr>
          <w:rFonts w:ascii="Arial" w:hAnsi="Arial"/>
          <w:b/>
          <w:bCs/>
          <w:sz w:val="26"/>
          <w:szCs w:val="26"/>
          <w:rtl/>
        </w:rPr>
        <w:t xml:space="preserve">, </w:t>
      </w:r>
      <w:r w:rsidR="003A2A80">
        <w:rPr>
          <w:rFonts w:ascii="Arial" w:hAnsi="Arial"/>
          <w:b/>
          <w:bCs/>
          <w:sz w:val="26"/>
          <w:szCs w:val="26"/>
          <w:rtl/>
        </w:rPr>
        <w:t>05 מאי 2024</w:t>
      </w:r>
      <w:r w:rsidR="003A2A80" w:rsidRPr="000F2247">
        <w:rPr>
          <w:rFonts w:ascii="Arial" w:hAnsi="Arial"/>
          <w:b/>
          <w:bCs/>
          <w:sz w:val="26"/>
          <w:szCs w:val="26"/>
          <w:rtl/>
        </w:rPr>
        <w:t xml:space="preserve">, </w:t>
      </w:r>
      <w:r w:rsidR="003A2A80">
        <w:rPr>
          <w:rFonts w:ascii="Arial" w:hAnsi="Arial" w:hint="cs"/>
          <w:b/>
          <w:bCs/>
          <w:sz w:val="26"/>
          <w:szCs w:val="26"/>
          <w:rtl/>
        </w:rPr>
        <w:t>במעמד</w:t>
      </w:r>
      <w:r w:rsidR="003A2A80" w:rsidRPr="000F2247">
        <w:rPr>
          <w:rFonts w:ascii="Arial" w:hAnsi="Arial"/>
          <w:b/>
          <w:bCs/>
          <w:sz w:val="26"/>
          <w:szCs w:val="26"/>
          <w:rtl/>
        </w:rPr>
        <w:t xml:space="preserve"> הצדדים.</w:t>
      </w:r>
    </w:p>
    <w:p w14:paraId="5C68044A" w14:textId="77777777" w:rsidR="003A2A80" w:rsidRPr="000F2247" w:rsidRDefault="003A2A80" w:rsidP="003A2A80">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1D7982EC" w14:textId="77777777" w:rsidR="003A2A80" w:rsidRPr="000F2247" w:rsidRDefault="003A2A80" w:rsidP="003A2A80">
      <w:pPr>
        <w:jc w:val="center"/>
        <w:rPr>
          <w:rFonts w:ascii="Arial" w:hAnsi="Arial"/>
          <w:b/>
          <w:bCs/>
          <w:sz w:val="26"/>
          <w:szCs w:val="26"/>
          <w:rtl/>
        </w:rP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p>
    <w:p w14:paraId="59A04AC2" w14:textId="77777777" w:rsidR="001D2AA7" w:rsidRDefault="001D2AA7" w:rsidP="001D2AA7">
      <w:pPr>
        <w:rPr>
          <w:rtl/>
        </w:rPr>
      </w:pPr>
    </w:p>
    <w:p w14:paraId="7560E910" w14:textId="77777777" w:rsidR="001D2AA7" w:rsidRDefault="001D2AA7" w:rsidP="001D2AA7">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1D9FCEE" w14:textId="77777777" w:rsidR="00D61A86" w:rsidRPr="00D61A86" w:rsidRDefault="00D61A86" w:rsidP="00D61A86">
      <w:pPr>
        <w:keepNext/>
        <w:rPr>
          <w:rFonts w:ascii="David" w:hAnsi="David"/>
          <w:color w:val="000000"/>
          <w:sz w:val="22"/>
          <w:szCs w:val="22"/>
          <w:rtl/>
        </w:rPr>
      </w:pPr>
    </w:p>
    <w:p w14:paraId="42C90283" w14:textId="77777777" w:rsidR="00D61A86" w:rsidRPr="00D61A86" w:rsidRDefault="00D61A86" w:rsidP="00D61A86">
      <w:pPr>
        <w:keepNext/>
        <w:rPr>
          <w:rFonts w:ascii="David" w:hAnsi="David"/>
          <w:color w:val="000000"/>
          <w:sz w:val="22"/>
          <w:szCs w:val="22"/>
          <w:rtl/>
        </w:rPr>
      </w:pPr>
      <w:r w:rsidRPr="00D61A86">
        <w:rPr>
          <w:rFonts w:ascii="David" w:hAnsi="David"/>
          <w:color w:val="000000"/>
          <w:sz w:val="22"/>
          <w:szCs w:val="22"/>
          <w:rtl/>
        </w:rPr>
        <w:t>מרדכי כדורי 54678313-/</w:t>
      </w:r>
    </w:p>
    <w:p w14:paraId="34724371" w14:textId="77777777" w:rsidR="001D2AA7" w:rsidRPr="001D2AA7" w:rsidRDefault="00D61A86" w:rsidP="00D61A86">
      <w:pPr>
        <w:rPr>
          <w:color w:val="0000FF"/>
          <w:u w:val="single"/>
        </w:rPr>
      </w:pPr>
      <w:r w:rsidRPr="00D61A86">
        <w:rPr>
          <w:color w:val="000000"/>
          <w:u w:val="single"/>
          <w:rtl/>
        </w:rPr>
        <w:t>נוסח מסמך זה כפוף לשינויי ניסוח ועריכה</w:t>
      </w:r>
    </w:p>
    <w:sectPr w:rsidR="001D2AA7" w:rsidRPr="001D2AA7" w:rsidSect="00D61A86">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1FCF2" w14:textId="77777777" w:rsidR="00C173B8" w:rsidRDefault="00C173B8" w:rsidP="00D21334">
      <w:r>
        <w:separator/>
      </w:r>
    </w:p>
  </w:endnote>
  <w:endnote w:type="continuationSeparator" w:id="0">
    <w:p w14:paraId="6656548F" w14:textId="77777777" w:rsidR="00C173B8" w:rsidRDefault="00C173B8" w:rsidP="00D2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1F6C7" w14:textId="77777777" w:rsidR="00D61A86" w:rsidRDefault="00D61A86" w:rsidP="00D61A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8951C90" w14:textId="77777777" w:rsidR="00804819" w:rsidRPr="00D61A86" w:rsidRDefault="00D61A86" w:rsidP="00D61A86">
    <w:pPr>
      <w:pStyle w:val="a5"/>
      <w:pBdr>
        <w:top w:val="single" w:sz="4" w:space="1" w:color="auto"/>
        <w:between w:val="single" w:sz="4" w:space="0" w:color="auto"/>
      </w:pBdr>
      <w:spacing w:after="60"/>
      <w:jc w:val="center"/>
      <w:rPr>
        <w:rFonts w:ascii="FrankRuehl" w:hAnsi="FrankRuehl" w:cs="FrankRuehl"/>
        <w:color w:val="000000"/>
      </w:rPr>
    </w:pPr>
    <w:r w:rsidRPr="00D61A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C5CAD" w14:textId="77777777" w:rsidR="00D61A86" w:rsidRDefault="00D61A86" w:rsidP="00D61A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42B6">
      <w:rPr>
        <w:rFonts w:ascii="FrankRuehl" w:hAnsi="FrankRuehl" w:cs="FrankRuehl"/>
        <w:noProof/>
        <w:rtl/>
      </w:rPr>
      <w:t>1</w:t>
    </w:r>
    <w:r>
      <w:rPr>
        <w:rFonts w:ascii="FrankRuehl" w:hAnsi="FrankRuehl" w:cs="FrankRuehl"/>
        <w:rtl/>
      </w:rPr>
      <w:fldChar w:fldCharType="end"/>
    </w:r>
  </w:p>
  <w:p w14:paraId="4E5C1025" w14:textId="77777777" w:rsidR="00804819" w:rsidRPr="00D61A86" w:rsidRDefault="00D61A86" w:rsidP="00D61A86">
    <w:pPr>
      <w:pStyle w:val="a5"/>
      <w:pBdr>
        <w:top w:val="single" w:sz="4" w:space="1" w:color="auto"/>
        <w:between w:val="single" w:sz="4" w:space="0" w:color="auto"/>
      </w:pBdr>
      <w:spacing w:after="60"/>
      <w:jc w:val="center"/>
      <w:rPr>
        <w:rFonts w:ascii="FrankRuehl" w:hAnsi="FrankRuehl" w:cs="FrankRuehl"/>
        <w:color w:val="000000"/>
      </w:rPr>
    </w:pPr>
    <w:r w:rsidRPr="00D61A86">
      <w:rPr>
        <w:rFonts w:ascii="FrankRuehl" w:hAnsi="FrankRuehl" w:cs="FrankRuehl"/>
        <w:color w:val="000000"/>
      </w:rPr>
      <w:pict w14:anchorId="7C374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0FCB" w14:textId="77777777" w:rsidR="00C173B8" w:rsidRDefault="00C173B8" w:rsidP="00D21334">
      <w:r>
        <w:separator/>
      </w:r>
    </w:p>
  </w:footnote>
  <w:footnote w:type="continuationSeparator" w:id="0">
    <w:p w14:paraId="714E8181" w14:textId="77777777" w:rsidR="00C173B8" w:rsidRDefault="00C173B8" w:rsidP="00D21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1CAAC" w14:textId="77777777" w:rsidR="001D2AA7" w:rsidRPr="00D61A86" w:rsidRDefault="00D61A86" w:rsidP="00D61A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524-11-23</w:t>
    </w:r>
    <w:r>
      <w:rPr>
        <w:rFonts w:ascii="David" w:hAnsi="David"/>
        <w:color w:val="000000"/>
        <w:sz w:val="22"/>
        <w:szCs w:val="22"/>
        <w:rtl/>
      </w:rPr>
      <w:tab/>
      <w:t xml:space="preserve"> מדינת ישראל נ' מחמד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9864" w14:textId="77777777" w:rsidR="001D2AA7" w:rsidRPr="00D61A86" w:rsidRDefault="00D61A86" w:rsidP="00D61A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524-11-23</w:t>
    </w:r>
    <w:r>
      <w:rPr>
        <w:rFonts w:ascii="David" w:hAnsi="David"/>
        <w:color w:val="000000"/>
        <w:sz w:val="22"/>
        <w:szCs w:val="22"/>
        <w:rtl/>
      </w:rPr>
      <w:tab/>
      <w:t xml:space="preserve"> מדינת ישראל נ' מחמד עלי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2A80"/>
    <w:rsid w:val="001B5A3B"/>
    <w:rsid w:val="001D2AA7"/>
    <w:rsid w:val="00241A12"/>
    <w:rsid w:val="003A2A80"/>
    <w:rsid w:val="00804819"/>
    <w:rsid w:val="00B61ABF"/>
    <w:rsid w:val="00C173B8"/>
    <w:rsid w:val="00D21334"/>
    <w:rsid w:val="00D61A86"/>
    <w:rsid w:val="00FA4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69A639"/>
  <w15:chartTrackingRefBased/>
  <w15:docId w15:val="{AD0672A3-34AA-48C3-AE70-908221B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2A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2A80"/>
    <w:pPr>
      <w:tabs>
        <w:tab w:val="center" w:pos="4153"/>
        <w:tab w:val="right" w:pos="8306"/>
      </w:tabs>
    </w:pPr>
  </w:style>
  <w:style w:type="character" w:customStyle="1" w:styleId="a4">
    <w:name w:val="כותרת עליונה תו"/>
    <w:link w:val="a3"/>
    <w:rsid w:val="003A2A80"/>
    <w:rPr>
      <w:rFonts w:ascii="Times New Roman" w:eastAsia="Times New Roman" w:hAnsi="Times New Roman" w:cs="David"/>
      <w:sz w:val="24"/>
      <w:szCs w:val="24"/>
    </w:rPr>
  </w:style>
  <w:style w:type="paragraph" w:styleId="a5">
    <w:name w:val="footer"/>
    <w:basedOn w:val="a"/>
    <w:link w:val="a6"/>
    <w:rsid w:val="003A2A80"/>
    <w:pPr>
      <w:tabs>
        <w:tab w:val="center" w:pos="4153"/>
        <w:tab w:val="right" w:pos="8306"/>
      </w:tabs>
    </w:pPr>
  </w:style>
  <w:style w:type="character" w:customStyle="1" w:styleId="a6">
    <w:name w:val="כותרת תחתונה תו"/>
    <w:link w:val="a5"/>
    <w:rsid w:val="003A2A80"/>
    <w:rPr>
      <w:rFonts w:ascii="Times New Roman" w:eastAsia="Times New Roman" w:hAnsi="Times New Roman" w:cs="David"/>
      <w:sz w:val="24"/>
      <w:szCs w:val="24"/>
    </w:rPr>
  </w:style>
  <w:style w:type="table" w:styleId="a7">
    <w:name w:val="Table Grid"/>
    <w:basedOn w:val="a1"/>
    <w:rsid w:val="003A2A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2A80"/>
  </w:style>
  <w:style w:type="character" w:styleId="Hyperlink">
    <w:name w:val="Hyperlink"/>
    <w:rsid w:val="001D2A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8442197" TargetMode="External"/><Relationship Id="rId18" Type="http://schemas.openxmlformats.org/officeDocument/2006/relationships/hyperlink" Target="http://www.nevo.co.il/case/2147634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44.b"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30150592" TargetMode="Externa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case/28279783"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1411</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8454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3866740</vt:i4>
      </vt:variant>
      <vt:variant>
        <vt:i4>39</vt:i4>
      </vt:variant>
      <vt:variant>
        <vt:i4>0</vt:i4>
      </vt:variant>
      <vt:variant>
        <vt:i4>5</vt:i4>
      </vt:variant>
      <vt:variant>
        <vt:lpwstr>http://www.nevo.co.il/case/30150592</vt:lpwstr>
      </vt:variant>
      <vt:variant>
        <vt:lpwstr/>
      </vt:variant>
      <vt:variant>
        <vt:i4>3407985</vt:i4>
      </vt:variant>
      <vt:variant>
        <vt:i4>36</vt:i4>
      </vt:variant>
      <vt:variant>
        <vt:i4>0</vt:i4>
      </vt:variant>
      <vt:variant>
        <vt:i4>5</vt:i4>
      </vt:variant>
      <vt:variant>
        <vt:lpwstr>http://www.nevo.co.il/case/21476340</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3211388</vt:i4>
      </vt:variant>
      <vt:variant>
        <vt:i4>24</vt:i4>
      </vt:variant>
      <vt:variant>
        <vt:i4>0</vt:i4>
      </vt:variant>
      <vt:variant>
        <vt:i4>5</vt:i4>
      </vt:variant>
      <vt:variant>
        <vt:lpwstr>http://www.nevo.co.il/case/28279783</vt:lpwstr>
      </vt:variant>
      <vt:variant>
        <vt:lpwstr/>
      </vt:variant>
      <vt:variant>
        <vt:i4>3997817</vt:i4>
      </vt:variant>
      <vt:variant>
        <vt:i4>21</vt:i4>
      </vt:variant>
      <vt:variant>
        <vt:i4>0</vt:i4>
      </vt:variant>
      <vt:variant>
        <vt:i4>5</vt:i4>
      </vt:variant>
      <vt:variant>
        <vt:lpwstr>http://www.nevo.co.il/case/28442197</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524</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מחמד עלי</vt:lpwstr>
  </property>
  <property fmtid="{D5CDD505-2E9C-101B-9397-08002B2CF9AE}" pid="10" name="LAWYER">
    <vt:lpwstr>אילה גלברד;סתיו שפירא;מוחמד חלאילה</vt:lpwstr>
  </property>
  <property fmtid="{D5CDD505-2E9C-101B-9397-08002B2CF9AE}" pid="11" name="JUDGE">
    <vt:lpwstr>מרדכי כדורי</vt:lpwstr>
  </property>
  <property fmtid="{D5CDD505-2E9C-101B-9397-08002B2CF9AE}" pid="12" name="CITY">
    <vt:lpwstr>י-ם</vt:lpwstr>
  </property>
  <property fmtid="{D5CDD505-2E9C-101B-9397-08002B2CF9AE}" pid="13" name="TYPE_N_DATE">
    <vt:lpwstr>3901900001</vt:lpwstr>
  </property>
  <property fmtid="{D5CDD505-2E9C-101B-9397-08002B2CF9AE}" pid="14" name="CASESLISTTMP1">
    <vt:lpwstr>28442197;28279783;21476340;30150592</vt:lpwstr>
  </property>
  <property fmtid="{D5CDD505-2E9C-101B-9397-08002B2CF9AE}" pid="15" name="WORDNUMPAGES">
    <vt:lpwstr>6</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20240505</vt:lpwstr>
  </property>
  <property fmtid="{D5CDD505-2E9C-101B-9397-08002B2CF9AE}" pid="34" name="ISABSTRACT">
    <vt:lpwstr>Y</vt:lpwstr>
  </property>
  <property fmtid="{D5CDD505-2E9C-101B-9397-08002B2CF9AE}" pid="35" name="LAWLISTTMP1">
    <vt:lpwstr>70301/144.b:2;029;144.g</vt:lpwstr>
  </property>
</Properties>
</file>