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E50127" w:rsidRPr="00CD0F0B" w14:paraId="576CCC8D" w14:textId="77777777" w:rsidTr="00D6089D">
        <w:trPr>
          <w:gridAfter w:val="1"/>
          <w:wAfter w:w="99" w:type="dxa"/>
          <w:trHeight w:hRule="exact" w:val="418"/>
          <w:jc w:val="center"/>
        </w:trPr>
        <w:tc>
          <w:tcPr>
            <w:tcW w:w="8721" w:type="dxa"/>
            <w:gridSpan w:val="4"/>
          </w:tcPr>
          <w:p w14:paraId="45BBF9D9" w14:textId="77777777" w:rsidR="00E50127" w:rsidRPr="00CD0F0B" w:rsidRDefault="00E50127" w:rsidP="00B90994">
            <w:pPr>
              <w:pStyle w:val="a3"/>
              <w:jc w:val="center"/>
              <w:rPr>
                <w:rFonts w:ascii="Tahoma" w:hAnsi="Tahoma" w:cs="Tahoma"/>
                <w:color w:val="000080"/>
                <w:rtl/>
              </w:rPr>
            </w:pPr>
            <w:bookmarkStart w:id="0" w:name="LastJudge"/>
            <w:r w:rsidRPr="00CD0F0B">
              <w:rPr>
                <w:rFonts w:ascii="Tahoma" w:hAnsi="Tahoma" w:cs="Tahoma"/>
                <w:b/>
                <w:bCs/>
                <w:color w:val="000080"/>
                <w:rtl/>
              </w:rPr>
              <w:t>בית המשפט המחוזי בירושלים</w:t>
            </w:r>
          </w:p>
        </w:tc>
      </w:tr>
      <w:tr w:rsidR="00E50127" w:rsidRPr="00CD0F0B" w14:paraId="5E1DFAB2" w14:textId="77777777" w:rsidTr="00D6089D">
        <w:trPr>
          <w:gridAfter w:val="1"/>
          <w:wAfter w:w="99" w:type="dxa"/>
          <w:trHeight w:val="337"/>
          <w:jc w:val="center"/>
        </w:trPr>
        <w:tc>
          <w:tcPr>
            <w:tcW w:w="5057" w:type="dxa"/>
            <w:gridSpan w:val="3"/>
          </w:tcPr>
          <w:p w14:paraId="03F02B72" w14:textId="77777777" w:rsidR="00E50127" w:rsidRPr="00CD0F0B" w:rsidRDefault="00E50127" w:rsidP="00B90994">
            <w:pPr>
              <w:rPr>
                <w:rFonts w:cs="FrankRuehl"/>
                <w:sz w:val="28"/>
                <w:szCs w:val="28"/>
                <w:rtl/>
              </w:rPr>
            </w:pPr>
            <w:r w:rsidRPr="00CD0F0B">
              <w:rPr>
                <w:rFonts w:cs="FrankRuehl"/>
                <w:sz w:val="28"/>
                <w:szCs w:val="28"/>
                <w:rtl/>
              </w:rPr>
              <w:t>ת"פ</w:t>
            </w:r>
            <w:r w:rsidRPr="00CD0F0B">
              <w:rPr>
                <w:rFonts w:cs="FrankRuehl" w:hint="cs"/>
                <w:sz w:val="28"/>
                <w:szCs w:val="28"/>
                <w:rtl/>
              </w:rPr>
              <w:t xml:space="preserve"> </w:t>
            </w:r>
            <w:r w:rsidRPr="00CD0F0B">
              <w:rPr>
                <w:rFonts w:cs="FrankRuehl"/>
                <w:sz w:val="28"/>
                <w:szCs w:val="28"/>
                <w:rtl/>
              </w:rPr>
              <w:t>7074-11-23</w:t>
            </w:r>
            <w:r w:rsidRPr="00CD0F0B">
              <w:rPr>
                <w:rFonts w:cs="FrankRuehl" w:hint="cs"/>
                <w:sz w:val="28"/>
                <w:szCs w:val="28"/>
                <w:rtl/>
              </w:rPr>
              <w:t xml:space="preserve"> </w:t>
            </w:r>
            <w:r w:rsidRPr="00CD0F0B">
              <w:rPr>
                <w:rFonts w:cs="FrankRuehl"/>
                <w:sz w:val="28"/>
                <w:szCs w:val="28"/>
                <w:rtl/>
              </w:rPr>
              <w:t>מדינת ישראל נ' ברבי(עציר)</w:t>
            </w:r>
          </w:p>
        </w:tc>
        <w:tc>
          <w:tcPr>
            <w:tcW w:w="3664" w:type="dxa"/>
          </w:tcPr>
          <w:p w14:paraId="2FBF6F4F" w14:textId="77777777" w:rsidR="00E50127" w:rsidRPr="00CD0F0B" w:rsidRDefault="00E50127" w:rsidP="00B90994">
            <w:pPr>
              <w:pStyle w:val="a3"/>
              <w:jc w:val="right"/>
              <w:rPr>
                <w:rFonts w:cs="FrankRuehl"/>
                <w:sz w:val="28"/>
                <w:szCs w:val="28"/>
                <w:rtl/>
              </w:rPr>
            </w:pPr>
          </w:p>
        </w:tc>
      </w:tr>
      <w:tr w:rsidR="00E50127" w:rsidRPr="00CD0F0B" w14:paraId="225E72D3" w14:textId="77777777" w:rsidTr="00D6089D">
        <w:tblPrEx>
          <w:tblLook w:val="01E0" w:firstRow="1" w:lastRow="1" w:firstColumn="1" w:lastColumn="1" w:noHBand="0" w:noVBand="0"/>
        </w:tblPrEx>
        <w:trPr>
          <w:trHeight w:val="295"/>
          <w:jc w:val="center"/>
        </w:trPr>
        <w:tc>
          <w:tcPr>
            <w:tcW w:w="923" w:type="dxa"/>
            <w:shd w:val="clear" w:color="auto" w:fill="auto"/>
          </w:tcPr>
          <w:p w14:paraId="3F276611" w14:textId="77777777" w:rsidR="00E50127" w:rsidRPr="00CD0F0B" w:rsidRDefault="00E50127" w:rsidP="00E50127">
            <w:pPr>
              <w:jc w:val="both"/>
              <w:rPr>
                <w:rFonts w:ascii="David" w:hAnsi="David"/>
                <w:b/>
                <w:bCs/>
                <w:sz w:val="26"/>
                <w:szCs w:val="26"/>
              </w:rPr>
            </w:pPr>
            <w:r w:rsidRPr="00CD0F0B">
              <w:rPr>
                <w:rFonts w:hint="cs"/>
                <w:rtl/>
              </w:rPr>
              <w:t xml:space="preserve"> </w:t>
            </w:r>
            <w:r w:rsidRPr="00CD0F0B">
              <w:rPr>
                <w:rFonts w:ascii="David" w:hAnsi="David" w:hint="cs"/>
                <w:b/>
                <w:bCs/>
                <w:sz w:val="26"/>
                <w:szCs w:val="26"/>
                <w:rtl/>
              </w:rPr>
              <w:t>ל</w:t>
            </w:r>
            <w:r w:rsidRPr="00CD0F0B">
              <w:rPr>
                <w:rFonts w:ascii="David" w:hAnsi="David"/>
                <w:b/>
                <w:bCs/>
                <w:sz w:val="26"/>
                <w:szCs w:val="26"/>
                <w:rtl/>
              </w:rPr>
              <w:t>פני</w:t>
            </w:r>
            <w:r w:rsidRPr="00CD0F0B">
              <w:rPr>
                <w:rFonts w:ascii="David" w:hAnsi="David" w:hint="cs"/>
                <w:b/>
                <w:bCs/>
                <w:sz w:val="26"/>
                <w:szCs w:val="26"/>
                <w:rtl/>
              </w:rPr>
              <w:t>:</w:t>
            </w:r>
          </w:p>
        </w:tc>
        <w:tc>
          <w:tcPr>
            <w:tcW w:w="7897" w:type="dxa"/>
            <w:gridSpan w:val="4"/>
            <w:shd w:val="clear" w:color="auto" w:fill="auto"/>
          </w:tcPr>
          <w:p w14:paraId="65836720" w14:textId="77777777" w:rsidR="00E50127" w:rsidRPr="00CD0F0B" w:rsidRDefault="00E50127" w:rsidP="00B90994">
            <w:pPr>
              <w:rPr>
                <w:rFonts w:ascii="David" w:hAnsi="David"/>
                <w:b/>
                <w:bCs/>
                <w:sz w:val="26"/>
                <w:szCs w:val="26"/>
                <w:rtl/>
              </w:rPr>
            </w:pPr>
            <w:r w:rsidRPr="00CD0F0B">
              <w:rPr>
                <w:rFonts w:ascii="David" w:hAnsi="David"/>
                <w:b/>
                <w:bCs/>
                <w:sz w:val="26"/>
                <w:szCs w:val="26"/>
                <w:rtl/>
              </w:rPr>
              <w:t>כבוד השופטת חנה מרים לומפ</w:t>
            </w:r>
          </w:p>
          <w:p w14:paraId="7D18255E" w14:textId="77777777" w:rsidR="00E50127" w:rsidRPr="00CD0F0B" w:rsidRDefault="00E50127" w:rsidP="00E50127">
            <w:pPr>
              <w:jc w:val="both"/>
              <w:rPr>
                <w:rFonts w:ascii="David" w:hAnsi="David"/>
                <w:sz w:val="26"/>
                <w:szCs w:val="26"/>
              </w:rPr>
            </w:pPr>
          </w:p>
        </w:tc>
      </w:tr>
      <w:tr w:rsidR="00E50127" w:rsidRPr="00CD0F0B" w14:paraId="12C3B904" w14:textId="77777777" w:rsidTr="00D6089D">
        <w:tblPrEx>
          <w:tblLook w:val="01E0" w:firstRow="1" w:lastRow="1" w:firstColumn="1" w:lastColumn="1" w:noHBand="0" w:noVBand="0"/>
        </w:tblPrEx>
        <w:trPr>
          <w:trHeight w:val="355"/>
          <w:jc w:val="center"/>
        </w:trPr>
        <w:tc>
          <w:tcPr>
            <w:tcW w:w="923" w:type="dxa"/>
            <w:shd w:val="clear" w:color="auto" w:fill="auto"/>
          </w:tcPr>
          <w:p w14:paraId="1C67BCE1" w14:textId="77777777" w:rsidR="00E50127" w:rsidRPr="00CD0F0B" w:rsidRDefault="00E50127" w:rsidP="00E50127">
            <w:pPr>
              <w:jc w:val="both"/>
              <w:rPr>
                <w:rFonts w:ascii="David" w:hAnsi="David"/>
                <w:b/>
                <w:bCs/>
                <w:sz w:val="26"/>
                <w:szCs w:val="26"/>
              </w:rPr>
            </w:pPr>
            <w:bookmarkStart w:id="1" w:name="FirstAppellant"/>
            <w:bookmarkStart w:id="2" w:name="FirstLawyer"/>
            <w:r w:rsidRPr="00CD0F0B">
              <w:rPr>
                <w:rFonts w:ascii="David" w:hAnsi="David"/>
                <w:b/>
                <w:bCs/>
                <w:sz w:val="26"/>
                <w:szCs w:val="26"/>
                <w:rtl/>
              </w:rPr>
              <w:t>בעניין:</w:t>
            </w:r>
          </w:p>
        </w:tc>
        <w:tc>
          <w:tcPr>
            <w:tcW w:w="3219" w:type="dxa"/>
            <w:shd w:val="clear" w:color="auto" w:fill="auto"/>
          </w:tcPr>
          <w:p w14:paraId="52C5CE5E" w14:textId="77777777" w:rsidR="00E50127" w:rsidRPr="00CD0F0B" w:rsidRDefault="00E50127" w:rsidP="00E50127">
            <w:pPr>
              <w:suppressLineNumbers/>
            </w:pPr>
            <w:r w:rsidRPr="00CD0F0B">
              <w:rPr>
                <w:rFonts w:ascii="Arial" w:hAnsi="Arial" w:hint="cs"/>
                <w:b/>
                <w:bCs/>
                <w:sz w:val="26"/>
                <w:szCs w:val="26"/>
                <w:rtl/>
              </w:rPr>
              <w:t>ה</w:t>
            </w:r>
            <w:r w:rsidRPr="00CD0F0B">
              <w:rPr>
                <w:rFonts w:ascii="Arial" w:hAnsi="Arial"/>
                <w:b/>
                <w:bCs/>
                <w:sz w:val="26"/>
                <w:szCs w:val="26"/>
                <w:rtl/>
              </w:rPr>
              <w:t>מאשימה</w:t>
            </w:r>
          </w:p>
          <w:p w14:paraId="098AC2B2" w14:textId="77777777" w:rsidR="00E50127" w:rsidRPr="00CD0F0B" w:rsidRDefault="00E50127" w:rsidP="00B90994">
            <w:pPr>
              <w:rPr>
                <w:rFonts w:ascii="David" w:hAnsi="David"/>
                <w:sz w:val="26"/>
                <w:szCs w:val="26"/>
              </w:rPr>
            </w:pPr>
          </w:p>
        </w:tc>
        <w:tc>
          <w:tcPr>
            <w:tcW w:w="4678" w:type="dxa"/>
            <w:gridSpan w:val="3"/>
            <w:shd w:val="clear" w:color="auto" w:fill="auto"/>
            <w:vAlign w:val="center"/>
          </w:tcPr>
          <w:p w14:paraId="2B5BD246" w14:textId="77777777" w:rsidR="00E50127" w:rsidRPr="00CD0F0B" w:rsidRDefault="00E50127" w:rsidP="00E50127">
            <w:pPr>
              <w:suppressLineNumbers/>
              <w:spacing w:line="276" w:lineRule="auto"/>
              <w:rPr>
                <w:rFonts w:ascii="Arial" w:hAnsi="Arial"/>
                <w:b/>
                <w:bCs/>
                <w:sz w:val="26"/>
                <w:szCs w:val="26"/>
                <w:rtl/>
              </w:rPr>
            </w:pPr>
            <w:r w:rsidRPr="00CD0F0B">
              <w:rPr>
                <w:rFonts w:ascii="Arial" w:hAnsi="Arial"/>
                <w:b/>
                <w:bCs/>
                <w:sz w:val="26"/>
                <w:szCs w:val="26"/>
                <w:rtl/>
              </w:rPr>
              <w:t>מדינת ישראל</w:t>
            </w:r>
            <w:r w:rsidRPr="00CD0F0B">
              <w:rPr>
                <w:rFonts w:ascii="Arial" w:hAnsi="Arial" w:hint="cs"/>
                <w:b/>
                <w:bCs/>
                <w:sz w:val="26"/>
                <w:szCs w:val="26"/>
                <w:rtl/>
              </w:rPr>
              <w:t xml:space="preserve"> </w:t>
            </w:r>
          </w:p>
          <w:p w14:paraId="7C9E9653" w14:textId="77777777" w:rsidR="00E50127" w:rsidRPr="00CD0F0B" w:rsidRDefault="00E50127" w:rsidP="00E50127">
            <w:pPr>
              <w:suppressLineNumbers/>
              <w:spacing w:line="276" w:lineRule="auto"/>
              <w:rPr>
                <w:rtl/>
              </w:rPr>
            </w:pPr>
            <w:r w:rsidRPr="00CD0F0B">
              <w:rPr>
                <w:rFonts w:hint="cs"/>
                <w:rtl/>
              </w:rPr>
              <w:t>באמצעות פרקליטות מחוז ירושלים (פלילי)</w:t>
            </w:r>
          </w:p>
          <w:p w14:paraId="6AF9F89E" w14:textId="77777777" w:rsidR="00E50127" w:rsidRPr="00CD0F0B" w:rsidRDefault="00E50127" w:rsidP="00E50127">
            <w:pPr>
              <w:suppressLineNumbers/>
              <w:spacing w:line="276" w:lineRule="auto"/>
            </w:pPr>
            <w:r w:rsidRPr="00CD0F0B">
              <w:rPr>
                <w:rFonts w:hint="cs"/>
                <w:rtl/>
              </w:rPr>
              <w:t>ע"י ב"כ עו"ד רינת בן יעקב</w:t>
            </w:r>
          </w:p>
        </w:tc>
      </w:tr>
      <w:bookmarkEnd w:id="1"/>
      <w:bookmarkEnd w:id="2"/>
      <w:tr w:rsidR="00E50127" w:rsidRPr="00CD0F0B" w14:paraId="4A74BF72" w14:textId="77777777" w:rsidTr="00D6089D">
        <w:tblPrEx>
          <w:tblLook w:val="01E0" w:firstRow="1" w:lastRow="1" w:firstColumn="1" w:lastColumn="1" w:noHBand="0" w:noVBand="0"/>
        </w:tblPrEx>
        <w:trPr>
          <w:trHeight w:val="355"/>
          <w:jc w:val="center"/>
        </w:trPr>
        <w:tc>
          <w:tcPr>
            <w:tcW w:w="923" w:type="dxa"/>
            <w:shd w:val="clear" w:color="auto" w:fill="auto"/>
          </w:tcPr>
          <w:p w14:paraId="799D8C6A" w14:textId="77777777" w:rsidR="00E50127" w:rsidRPr="00CD0F0B" w:rsidRDefault="00E50127" w:rsidP="00E50127">
            <w:pPr>
              <w:jc w:val="both"/>
              <w:rPr>
                <w:rFonts w:ascii="David" w:hAnsi="David"/>
                <w:sz w:val="26"/>
                <w:szCs w:val="26"/>
                <w:rtl/>
              </w:rPr>
            </w:pPr>
          </w:p>
        </w:tc>
        <w:tc>
          <w:tcPr>
            <w:tcW w:w="7897" w:type="dxa"/>
            <w:gridSpan w:val="4"/>
            <w:shd w:val="clear" w:color="auto" w:fill="auto"/>
          </w:tcPr>
          <w:p w14:paraId="2C20C707" w14:textId="77777777" w:rsidR="00E50127" w:rsidRPr="00CD0F0B" w:rsidRDefault="00E50127" w:rsidP="00E50127">
            <w:pPr>
              <w:jc w:val="center"/>
              <w:rPr>
                <w:rFonts w:ascii="David" w:hAnsi="David"/>
                <w:b/>
                <w:bCs/>
                <w:sz w:val="12"/>
                <w:szCs w:val="12"/>
                <w:rtl/>
              </w:rPr>
            </w:pPr>
          </w:p>
          <w:p w14:paraId="00802F97" w14:textId="77777777" w:rsidR="00E50127" w:rsidRPr="00CD0F0B" w:rsidRDefault="00E50127" w:rsidP="00E50127">
            <w:pPr>
              <w:jc w:val="center"/>
              <w:rPr>
                <w:rFonts w:ascii="David" w:hAnsi="David"/>
                <w:b/>
                <w:bCs/>
                <w:sz w:val="26"/>
                <w:szCs w:val="26"/>
                <w:rtl/>
              </w:rPr>
            </w:pPr>
            <w:r w:rsidRPr="00CD0F0B">
              <w:rPr>
                <w:rFonts w:ascii="David" w:hAnsi="David"/>
                <w:b/>
                <w:bCs/>
                <w:sz w:val="26"/>
                <w:szCs w:val="26"/>
                <w:rtl/>
              </w:rPr>
              <w:t>נגד</w:t>
            </w:r>
          </w:p>
          <w:p w14:paraId="50AE5160" w14:textId="77777777" w:rsidR="00E50127" w:rsidRPr="00CD0F0B" w:rsidRDefault="00E50127" w:rsidP="00E50127">
            <w:pPr>
              <w:jc w:val="both"/>
              <w:rPr>
                <w:rFonts w:ascii="David" w:hAnsi="David"/>
                <w:sz w:val="12"/>
                <w:szCs w:val="12"/>
              </w:rPr>
            </w:pPr>
          </w:p>
        </w:tc>
      </w:tr>
      <w:tr w:rsidR="00E50127" w:rsidRPr="00CD0F0B" w14:paraId="4359F9BF" w14:textId="77777777" w:rsidTr="00D6089D">
        <w:tblPrEx>
          <w:tblLook w:val="01E0" w:firstRow="1" w:lastRow="1" w:firstColumn="1" w:lastColumn="1" w:noHBand="0" w:noVBand="0"/>
        </w:tblPrEx>
        <w:trPr>
          <w:trHeight w:val="355"/>
          <w:jc w:val="center"/>
        </w:trPr>
        <w:tc>
          <w:tcPr>
            <w:tcW w:w="923" w:type="dxa"/>
            <w:shd w:val="clear" w:color="auto" w:fill="auto"/>
          </w:tcPr>
          <w:p w14:paraId="7BE1491C" w14:textId="77777777" w:rsidR="00E50127" w:rsidRPr="00CD0F0B" w:rsidRDefault="00E50127" w:rsidP="00B90994">
            <w:pPr>
              <w:rPr>
                <w:rFonts w:ascii="David" w:hAnsi="David"/>
                <w:sz w:val="26"/>
                <w:szCs w:val="26"/>
                <w:rtl/>
              </w:rPr>
            </w:pPr>
          </w:p>
        </w:tc>
        <w:tc>
          <w:tcPr>
            <w:tcW w:w="3219" w:type="dxa"/>
            <w:shd w:val="clear" w:color="auto" w:fill="auto"/>
          </w:tcPr>
          <w:p w14:paraId="0CBEA911" w14:textId="77777777" w:rsidR="00E50127" w:rsidRPr="00CD0F0B" w:rsidRDefault="00E50127" w:rsidP="00B90994">
            <w:pPr>
              <w:rPr>
                <w:rFonts w:ascii="Arial" w:hAnsi="Arial"/>
                <w:b/>
                <w:bCs/>
                <w:sz w:val="26"/>
                <w:szCs w:val="26"/>
                <w:rtl/>
              </w:rPr>
            </w:pPr>
            <w:r w:rsidRPr="00CD0F0B">
              <w:rPr>
                <w:rFonts w:ascii="Arial" w:hAnsi="Arial"/>
                <w:b/>
                <w:bCs/>
                <w:sz w:val="26"/>
                <w:szCs w:val="26"/>
                <w:rtl/>
              </w:rPr>
              <w:t>הנאשם</w:t>
            </w:r>
          </w:p>
        </w:tc>
        <w:tc>
          <w:tcPr>
            <w:tcW w:w="4678" w:type="dxa"/>
            <w:gridSpan w:val="3"/>
            <w:shd w:val="clear" w:color="auto" w:fill="auto"/>
            <w:vAlign w:val="center"/>
          </w:tcPr>
          <w:p w14:paraId="0968A840" w14:textId="77777777" w:rsidR="00E50127" w:rsidRPr="00CD0F0B" w:rsidRDefault="00E50127" w:rsidP="00E50127">
            <w:pPr>
              <w:suppressLineNumbers/>
              <w:rPr>
                <w:rFonts w:ascii="Arial" w:hAnsi="Arial"/>
                <w:b/>
                <w:bCs/>
                <w:sz w:val="26"/>
                <w:szCs w:val="26"/>
                <w:rtl/>
              </w:rPr>
            </w:pPr>
            <w:r w:rsidRPr="00CD0F0B">
              <w:rPr>
                <w:rFonts w:ascii="Arial" w:hAnsi="Arial"/>
                <w:b/>
                <w:bCs/>
                <w:sz w:val="26"/>
                <w:szCs w:val="26"/>
                <w:rtl/>
              </w:rPr>
              <w:t>דוד שלמה ברבי (עציר)</w:t>
            </w:r>
          </w:p>
          <w:p w14:paraId="0F0B6623" w14:textId="77777777" w:rsidR="00E50127" w:rsidRPr="00CD0F0B" w:rsidRDefault="00E50127" w:rsidP="00E50127">
            <w:pPr>
              <w:suppressLineNumbers/>
              <w:rPr>
                <w:rFonts w:ascii="Arial" w:hAnsi="Arial"/>
              </w:rPr>
            </w:pPr>
            <w:r w:rsidRPr="00CD0F0B">
              <w:rPr>
                <w:rFonts w:ascii="Arial" w:hAnsi="Arial" w:hint="cs"/>
                <w:rtl/>
              </w:rPr>
              <w:t>ע"י ב"כ עו"ד דוד ברהום</w:t>
            </w:r>
          </w:p>
        </w:tc>
      </w:tr>
    </w:tbl>
    <w:p w14:paraId="6DCEF498" w14:textId="77777777" w:rsidR="00E50127" w:rsidRPr="00CD0F0B" w:rsidRDefault="00E50127" w:rsidP="00E50127">
      <w:pPr>
        <w:spacing w:line="360" w:lineRule="auto"/>
      </w:pPr>
    </w:p>
    <w:p w14:paraId="378A4DC0" w14:textId="77777777" w:rsidR="00D6089D" w:rsidRPr="00D6089D" w:rsidRDefault="00D6089D" w:rsidP="00D6089D">
      <w:pPr>
        <w:spacing w:before="120" w:after="120" w:line="240" w:lineRule="exact"/>
        <w:ind w:left="283" w:hanging="283"/>
        <w:jc w:val="both"/>
        <w:rPr>
          <w:rFonts w:ascii="FrankRuehl" w:hAnsi="FrankRuehl" w:cs="FrankRuehl"/>
          <w:rtl/>
        </w:rPr>
      </w:pPr>
      <w:bookmarkStart w:id="3" w:name="LawTable"/>
      <w:bookmarkEnd w:id="3"/>
    </w:p>
    <w:p w14:paraId="4FD59332" w14:textId="77777777" w:rsidR="00D6089D" w:rsidRPr="00D6089D" w:rsidRDefault="00D6089D" w:rsidP="00D6089D">
      <w:pPr>
        <w:spacing w:before="120" w:after="120" w:line="240" w:lineRule="exact"/>
        <w:ind w:left="283" w:hanging="283"/>
        <w:jc w:val="both"/>
        <w:rPr>
          <w:rFonts w:ascii="FrankRuehl" w:hAnsi="FrankRuehl" w:cs="FrankRuehl"/>
          <w:rtl/>
        </w:rPr>
      </w:pPr>
      <w:r w:rsidRPr="00D6089D">
        <w:rPr>
          <w:rFonts w:ascii="FrankRuehl" w:hAnsi="FrankRuehl" w:cs="FrankRuehl"/>
          <w:rtl/>
        </w:rPr>
        <w:t xml:space="preserve">חקיקה שאוזכרה: </w:t>
      </w:r>
    </w:p>
    <w:p w14:paraId="4F7CB3D7" w14:textId="77777777" w:rsidR="00D6089D" w:rsidRPr="00D6089D" w:rsidRDefault="00D6089D" w:rsidP="00D6089D">
      <w:pPr>
        <w:spacing w:before="120" w:after="120" w:line="240" w:lineRule="exact"/>
        <w:ind w:left="283" w:hanging="283"/>
        <w:jc w:val="both"/>
        <w:rPr>
          <w:rFonts w:ascii="FrankRuehl" w:hAnsi="FrankRuehl" w:cs="FrankRuehl"/>
          <w:color w:val="0000FF"/>
          <w:rtl/>
        </w:rPr>
      </w:pPr>
      <w:hyperlink r:id="rId7" w:history="1">
        <w:r w:rsidRPr="00D6089D">
          <w:rPr>
            <w:rStyle w:val="Hyperlink"/>
            <w:rFonts w:ascii="FrankRuehl" w:hAnsi="FrankRuehl" w:cs="FrankRuehl"/>
            <w:u w:val="none"/>
            <w:rtl/>
          </w:rPr>
          <w:t>חוק העונשין, תשל"ז-1977</w:t>
        </w:r>
      </w:hyperlink>
      <w:r w:rsidRPr="00D6089D">
        <w:rPr>
          <w:rFonts w:ascii="FrankRuehl" w:hAnsi="FrankRuehl" w:cs="FrankRuehl"/>
          <w:color w:val="0000FF"/>
          <w:rtl/>
        </w:rPr>
        <w:t xml:space="preserve">: סע'  </w:t>
      </w:r>
      <w:hyperlink r:id="rId8" w:history="1">
        <w:r w:rsidRPr="00D6089D">
          <w:rPr>
            <w:rStyle w:val="Hyperlink"/>
            <w:rFonts w:ascii="FrankRuehl" w:hAnsi="FrankRuehl" w:cs="FrankRuehl"/>
            <w:u w:val="none"/>
          </w:rPr>
          <w:t>40</w:t>
        </w:r>
        <w:r w:rsidRPr="00D6089D">
          <w:rPr>
            <w:rStyle w:val="Hyperlink"/>
            <w:rFonts w:ascii="FrankRuehl" w:hAnsi="FrankRuehl" w:cs="FrankRuehl"/>
            <w:u w:val="none"/>
            <w:rtl/>
          </w:rPr>
          <w:t>ב</w:t>
        </w:r>
      </w:hyperlink>
      <w:r w:rsidRPr="00D6089D">
        <w:rPr>
          <w:rFonts w:ascii="FrankRuehl" w:hAnsi="FrankRuehl" w:cs="FrankRuehl"/>
          <w:color w:val="0000FF"/>
          <w:rtl/>
        </w:rPr>
        <w:t xml:space="preserve">, </w:t>
      </w:r>
      <w:hyperlink r:id="rId9" w:history="1">
        <w:r w:rsidRPr="00D6089D">
          <w:rPr>
            <w:rStyle w:val="Hyperlink"/>
            <w:rFonts w:ascii="FrankRuehl" w:hAnsi="FrankRuehl" w:cs="FrankRuehl"/>
            <w:u w:val="none"/>
          </w:rPr>
          <w:t>40</w:t>
        </w:r>
        <w:r w:rsidRPr="00D6089D">
          <w:rPr>
            <w:rStyle w:val="Hyperlink"/>
            <w:rFonts w:ascii="FrankRuehl" w:hAnsi="FrankRuehl" w:cs="FrankRuehl"/>
            <w:u w:val="none"/>
            <w:rtl/>
          </w:rPr>
          <w:t>י</w:t>
        </w:r>
      </w:hyperlink>
      <w:r w:rsidRPr="00D6089D">
        <w:rPr>
          <w:rFonts w:ascii="FrankRuehl" w:hAnsi="FrankRuehl" w:cs="FrankRuehl"/>
          <w:color w:val="0000FF"/>
          <w:rtl/>
        </w:rPr>
        <w:t xml:space="preserve">(ג), </w:t>
      </w:r>
      <w:hyperlink r:id="rId10" w:history="1">
        <w:r w:rsidRPr="00D6089D">
          <w:rPr>
            <w:rStyle w:val="Hyperlink"/>
            <w:rFonts w:ascii="FrankRuehl" w:hAnsi="FrankRuehl" w:cs="FrankRuehl"/>
            <w:u w:val="none"/>
          </w:rPr>
          <w:t>144</w:t>
        </w:r>
      </w:hyperlink>
      <w:r w:rsidRPr="00D6089D">
        <w:rPr>
          <w:rFonts w:ascii="FrankRuehl" w:hAnsi="FrankRuehl" w:cs="FrankRuehl"/>
          <w:color w:val="0000FF"/>
          <w:rtl/>
        </w:rPr>
        <w:t xml:space="preserve">(ב), </w:t>
      </w:r>
      <w:hyperlink r:id="rId11" w:history="1">
        <w:r w:rsidRPr="00D6089D">
          <w:rPr>
            <w:rStyle w:val="Hyperlink"/>
            <w:rFonts w:ascii="FrankRuehl" w:hAnsi="FrankRuehl" w:cs="FrankRuehl"/>
            <w:u w:val="none"/>
          </w:rPr>
          <w:t>192</w:t>
        </w:r>
      </w:hyperlink>
      <w:r w:rsidRPr="00D6089D">
        <w:rPr>
          <w:rFonts w:ascii="FrankRuehl" w:hAnsi="FrankRuehl" w:cs="FrankRuehl"/>
          <w:color w:val="0000FF"/>
          <w:rtl/>
        </w:rPr>
        <w:t xml:space="preserve">, </w:t>
      </w:r>
      <w:hyperlink r:id="rId12" w:history="1">
        <w:r w:rsidRPr="00D6089D">
          <w:rPr>
            <w:rStyle w:val="Hyperlink"/>
            <w:rFonts w:ascii="FrankRuehl" w:hAnsi="FrankRuehl" w:cs="FrankRuehl"/>
            <w:u w:val="none"/>
          </w:rPr>
          <w:t>338</w:t>
        </w:r>
      </w:hyperlink>
      <w:r w:rsidRPr="00D6089D">
        <w:rPr>
          <w:rFonts w:ascii="FrankRuehl" w:hAnsi="FrankRuehl" w:cs="FrankRuehl"/>
          <w:color w:val="0000FF"/>
          <w:rtl/>
        </w:rPr>
        <w:t>(א)(5)</w:t>
      </w:r>
    </w:p>
    <w:p w14:paraId="7E0C0E4D" w14:textId="77777777" w:rsidR="00E50127" w:rsidRDefault="00E50127" w:rsidP="00D6089D">
      <w:pPr>
        <w:spacing w:line="360" w:lineRule="auto"/>
        <w:rPr>
          <w:rFonts w:ascii="Arial" w:hAnsi="Arial" w:hint="cs"/>
          <w:rtl/>
        </w:rPr>
      </w:pPr>
      <w:bookmarkStart w:id="4" w:name="LawTable_End"/>
      <w:bookmarkEnd w:id="4"/>
    </w:p>
    <w:p w14:paraId="2F8D9FF4" w14:textId="77777777" w:rsidR="00D6089D" w:rsidRDefault="00D6089D" w:rsidP="00D6089D">
      <w:pPr>
        <w:spacing w:line="360" w:lineRule="auto"/>
        <w:rPr>
          <w:rFonts w:ascii="Arial" w:hAnsi="Arial" w:hint="cs"/>
          <w:rtl/>
        </w:rPr>
      </w:pPr>
    </w:p>
    <w:p w14:paraId="673E1068" w14:textId="77777777" w:rsidR="00D6089D" w:rsidRPr="00D6089D" w:rsidRDefault="00D6089D" w:rsidP="00D6089D">
      <w:pPr>
        <w:spacing w:line="360" w:lineRule="auto"/>
        <w:rPr>
          <w:rFonts w:ascii="Arial" w:hAnsi="Arial" w:hint="cs"/>
          <w:rtl/>
        </w:rPr>
      </w:pPr>
    </w:p>
    <w:tbl>
      <w:tblPr>
        <w:bidiVisual/>
        <w:tblW w:w="8820" w:type="dxa"/>
        <w:jc w:val="center"/>
        <w:tblLook w:val="01E0" w:firstRow="1" w:lastRow="1" w:firstColumn="1" w:lastColumn="1" w:noHBand="0" w:noVBand="0"/>
      </w:tblPr>
      <w:tblGrid>
        <w:gridCol w:w="8820"/>
      </w:tblGrid>
      <w:tr w:rsidR="00E50127" w:rsidRPr="00A1361D" w14:paraId="2EA3A855" w14:textId="77777777" w:rsidTr="00E50127">
        <w:trPr>
          <w:trHeight w:val="355"/>
          <w:jc w:val="center"/>
        </w:trPr>
        <w:tc>
          <w:tcPr>
            <w:tcW w:w="8820" w:type="dxa"/>
            <w:shd w:val="clear" w:color="auto" w:fill="auto"/>
          </w:tcPr>
          <w:p w14:paraId="53084B88" w14:textId="77777777" w:rsidR="00CD0F0B" w:rsidRPr="00CD0F0B" w:rsidRDefault="00CD0F0B" w:rsidP="00CD0F0B">
            <w:pPr>
              <w:spacing w:line="360" w:lineRule="auto"/>
              <w:jc w:val="center"/>
              <w:rPr>
                <w:rFonts w:ascii="David" w:hAnsi="David"/>
                <w:b/>
                <w:bCs/>
                <w:sz w:val="28"/>
                <w:szCs w:val="28"/>
                <w:u w:val="single"/>
                <w:rtl/>
              </w:rPr>
            </w:pPr>
            <w:bookmarkStart w:id="5" w:name="PsakDin" w:colFirst="0" w:colLast="0"/>
            <w:bookmarkEnd w:id="0"/>
            <w:r w:rsidRPr="00CD0F0B">
              <w:rPr>
                <w:rFonts w:ascii="David" w:hAnsi="David"/>
                <w:b/>
                <w:bCs/>
                <w:sz w:val="28"/>
                <w:szCs w:val="28"/>
                <w:u w:val="single"/>
                <w:rtl/>
              </w:rPr>
              <w:t>גזר דין</w:t>
            </w:r>
          </w:p>
          <w:p w14:paraId="004693E0" w14:textId="77777777" w:rsidR="00E50127" w:rsidRPr="00CD0F0B" w:rsidRDefault="00E50127" w:rsidP="00CD0F0B">
            <w:pPr>
              <w:spacing w:line="360" w:lineRule="auto"/>
              <w:jc w:val="center"/>
              <w:rPr>
                <w:rFonts w:ascii="David" w:hAnsi="David"/>
                <w:bCs/>
                <w:sz w:val="28"/>
                <w:szCs w:val="28"/>
                <w:u w:val="single"/>
                <w:rtl/>
              </w:rPr>
            </w:pPr>
          </w:p>
        </w:tc>
      </w:tr>
    </w:tbl>
    <w:bookmarkEnd w:id="5"/>
    <w:p w14:paraId="577D81F2" w14:textId="77777777" w:rsidR="00E50127" w:rsidRPr="00A1361D" w:rsidRDefault="00E50127" w:rsidP="00E50127">
      <w:pPr>
        <w:spacing w:line="360" w:lineRule="auto"/>
        <w:rPr>
          <w:rFonts w:ascii="Arial" w:hAnsi="Arial"/>
          <w:b/>
          <w:bCs/>
          <w:u w:val="single"/>
          <w:rtl/>
        </w:rPr>
      </w:pPr>
      <w:r w:rsidRPr="00A1361D">
        <w:rPr>
          <w:rFonts w:ascii="Arial" w:hAnsi="Arial" w:hint="cs"/>
          <w:b/>
          <w:bCs/>
          <w:u w:val="single"/>
          <w:rtl/>
        </w:rPr>
        <w:t>רקע</w:t>
      </w:r>
    </w:p>
    <w:p w14:paraId="04EF0A91" w14:textId="77777777" w:rsidR="00E50127" w:rsidRPr="00A1361D" w:rsidRDefault="00E50127" w:rsidP="00E50127">
      <w:pPr>
        <w:pStyle w:val="a9"/>
        <w:numPr>
          <w:ilvl w:val="0"/>
          <w:numId w:val="1"/>
        </w:numPr>
        <w:spacing w:line="360" w:lineRule="auto"/>
        <w:ind w:left="283" w:hanging="283"/>
        <w:jc w:val="both"/>
        <w:rPr>
          <w:rFonts w:ascii="Arial" w:hAnsi="Arial"/>
        </w:rPr>
      </w:pPr>
      <w:bookmarkStart w:id="6" w:name="ABSTRACT_START"/>
      <w:bookmarkEnd w:id="6"/>
      <w:r w:rsidRPr="00A1361D">
        <w:rPr>
          <w:rFonts w:ascii="Arial" w:hAnsi="Arial" w:hint="cs"/>
          <w:rtl/>
        </w:rPr>
        <w:t xml:space="preserve">הנאשם הורשע, על פי הודאתו, לאחר שחזר בו מכפירתו, בעובדות כתב האישום שהוגש </w:t>
      </w:r>
      <w:r>
        <w:rPr>
          <w:rFonts w:ascii="Arial" w:hAnsi="Arial" w:hint="cs"/>
          <w:rtl/>
        </w:rPr>
        <w:t>כ</w:t>
      </w:r>
      <w:r w:rsidRPr="00A1361D">
        <w:rPr>
          <w:rFonts w:ascii="Arial" w:hAnsi="Arial" w:hint="cs"/>
          <w:rtl/>
        </w:rPr>
        <w:t xml:space="preserve">נגדו, בעבירות של נשיאת נשק לפי </w:t>
      </w:r>
      <w:hyperlink r:id="rId13" w:history="1">
        <w:r w:rsidR="00D6089D" w:rsidRPr="00D6089D">
          <w:rPr>
            <w:rStyle w:val="Hyperlink"/>
            <w:rFonts w:ascii="Arial" w:hAnsi="Arial" w:hint="eastAsia"/>
            <w:color w:val="0000FF"/>
            <w:rtl/>
          </w:rPr>
          <w:t>סעיף</w:t>
        </w:r>
        <w:r w:rsidR="00D6089D" w:rsidRPr="00D6089D">
          <w:rPr>
            <w:rStyle w:val="Hyperlink"/>
            <w:rFonts w:ascii="Arial" w:hAnsi="Arial"/>
            <w:color w:val="0000FF"/>
            <w:rtl/>
          </w:rPr>
          <w:t xml:space="preserve"> 144(ב)</w:t>
        </w:r>
      </w:hyperlink>
      <w:r w:rsidRPr="00A1361D">
        <w:rPr>
          <w:rFonts w:ascii="Arial" w:hAnsi="Arial" w:hint="cs"/>
          <w:rtl/>
        </w:rPr>
        <w:t xml:space="preserve"> רישה ל</w:t>
      </w:r>
      <w:hyperlink r:id="rId14" w:history="1">
        <w:r w:rsidR="00CD0F0B" w:rsidRPr="00CD0F0B">
          <w:rPr>
            <w:rFonts w:ascii="Arial" w:hAnsi="Arial"/>
            <w:color w:val="0000FF"/>
            <w:u w:val="single"/>
            <w:rtl/>
          </w:rPr>
          <w:t>חוק העונשין</w:t>
        </w:r>
      </w:hyperlink>
      <w:r w:rsidRPr="00A1361D">
        <w:rPr>
          <w:rFonts w:ascii="Arial" w:hAnsi="Arial" w:hint="cs"/>
          <w:rtl/>
        </w:rPr>
        <w:t xml:space="preserve">, התשל"ז-1977 (להלן: </w:t>
      </w:r>
      <w:r w:rsidRPr="00A1361D">
        <w:rPr>
          <w:rFonts w:ascii="Arial" w:hAnsi="Arial" w:hint="cs"/>
          <w:b/>
          <w:bCs/>
          <w:rtl/>
        </w:rPr>
        <w:t>"החוק"</w:t>
      </w:r>
      <w:r w:rsidRPr="00A1361D">
        <w:rPr>
          <w:rFonts w:ascii="Arial" w:hAnsi="Arial" w:hint="cs"/>
          <w:rtl/>
        </w:rPr>
        <w:t xml:space="preserve">), איומים לפי </w:t>
      </w:r>
      <w:hyperlink r:id="rId15" w:history="1">
        <w:r w:rsidR="00D6089D" w:rsidRPr="00D6089D">
          <w:rPr>
            <w:rStyle w:val="Hyperlink"/>
            <w:rFonts w:ascii="Arial" w:hAnsi="Arial" w:hint="eastAsia"/>
            <w:color w:val="0000FF"/>
            <w:rtl/>
          </w:rPr>
          <w:t>סעיף</w:t>
        </w:r>
        <w:r w:rsidR="00D6089D" w:rsidRPr="00D6089D">
          <w:rPr>
            <w:rStyle w:val="Hyperlink"/>
            <w:rFonts w:ascii="Arial" w:hAnsi="Arial"/>
            <w:color w:val="0000FF"/>
            <w:rtl/>
          </w:rPr>
          <w:t xml:space="preserve"> 192</w:t>
        </w:r>
      </w:hyperlink>
      <w:r w:rsidRPr="00A1361D">
        <w:rPr>
          <w:rFonts w:ascii="Arial" w:hAnsi="Arial" w:hint="cs"/>
          <w:rtl/>
        </w:rPr>
        <w:t xml:space="preserve"> לחוק, ומעשה פזיזות ורשלנות לפי </w:t>
      </w:r>
      <w:hyperlink r:id="rId16" w:history="1">
        <w:r w:rsidR="00D6089D" w:rsidRPr="00D6089D">
          <w:rPr>
            <w:rStyle w:val="Hyperlink"/>
            <w:rFonts w:ascii="Arial" w:hAnsi="Arial" w:hint="eastAsia"/>
            <w:color w:val="0000FF"/>
            <w:rtl/>
          </w:rPr>
          <w:t>סעיף</w:t>
        </w:r>
        <w:r w:rsidR="00D6089D" w:rsidRPr="00D6089D">
          <w:rPr>
            <w:rStyle w:val="Hyperlink"/>
            <w:rFonts w:ascii="Arial" w:hAnsi="Arial"/>
            <w:color w:val="0000FF"/>
            <w:rtl/>
          </w:rPr>
          <w:t xml:space="preserve"> 338(א)(5)</w:t>
        </w:r>
      </w:hyperlink>
      <w:r w:rsidRPr="00A1361D">
        <w:rPr>
          <w:rFonts w:ascii="Arial" w:hAnsi="Arial" w:hint="cs"/>
          <w:rtl/>
        </w:rPr>
        <w:t xml:space="preserve"> לחוק</w:t>
      </w:r>
      <w:bookmarkStart w:id="7" w:name="ABSTRACT_END"/>
      <w:bookmarkEnd w:id="7"/>
      <w:r w:rsidRPr="00A1361D">
        <w:rPr>
          <w:rFonts w:ascii="Arial" w:hAnsi="Arial" w:hint="cs"/>
          <w:rtl/>
        </w:rPr>
        <w:t xml:space="preserve">. </w:t>
      </w:r>
    </w:p>
    <w:p w14:paraId="6175147F" w14:textId="77777777" w:rsidR="00E50127" w:rsidRPr="00A1361D" w:rsidRDefault="00E50127" w:rsidP="00E50127">
      <w:pPr>
        <w:pStyle w:val="a9"/>
        <w:spacing w:line="360" w:lineRule="auto"/>
        <w:ind w:left="283"/>
        <w:jc w:val="both"/>
        <w:rPr>
          <w:rFonts w:ascii="Arial" w:hAnsi="Arial"/>
          <w:sz w:val="12"/>
          <w:szCs w:val="12"/>
        </w:rPr>
      </w:pPr>
    </w:p>
    <w:p w14:paraId="63A03256"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הנאשם ניהל הליך הוכחות מלא אשר במסגרתו התקיימו שתי ישיבות ונשמעו ראיות</w:t>
      </w:r>
      <w:r>
        <w:rPr>
          <w:rFonts w:ascii="Arial" w:hAnsi="Arial" w:hint="cs"/>
          <w:rtl/>
        </w:rPr>
        <w:t>.</w:t>
      </w:r>
      <w:r w:rsidRPr="00A1361D">
        <w:rPr>
          <w:rFonts w:ascii="Arial" w:hAnsi="Arial" w:hint="cs"/>
          <w:rtl/>
        </w:rPr>
        <w:t xml:space="preserve"> </w:t>
      </w:r>
      <w:r>
        <w:rPr>
          <w:rFonts w:ascii="Arial" w:hAnsi="Arial" w:hint="cs"/>
          <w:rtl/>
        </w:rPr>
        <w:t>רק</w:t>
      </w:r>
      <w:r w:rsidRPr="00A1361D">
        <w:rPr>
          <w:rFonts w:ascii="Arial" w:hAnsi="Arial" w:hint="cs"/>
          <w:rtl/>
        </w:rPr>
        <w:t xml:space="preserve"> בתום פרשת ההגנה, לאחר הפסקה ארוכה אשר במהלכה התייעץ הנאשם עם בא כוחו, ובטרם נשמעו הסיכומים, החליט הנאשם</w:t>
      </w:r>
      <w:r>
        <w:rPr>
          <w:rFonts w:ascii="Arial" w:hAnsi="Arial" w:hint="cs"/>
          <w:rtl/>
        </w:rPr>
        <w:t>,</w:t>
      </w:r>
      <w:r w:rsidRPr="00A1361D">
        <w:rPr>
          <w:rFonts w:ascii="Arial" w:hAnsi="Arial" w:hint="cs"/>
          <w:rtl/>
        </w:rPr>
        <w:t xml:space="preserve"> כאמור</w:t>
      </w:r>
      <w:r>
        <w:rPr>
          <w:rFonts w:ascii="Arial" w:hAnsi="Arial" w:hint="cs"/>
          <w:rtl/>
        </w:rPr>
        <w:t>, לחזור בו מכפירתו</w:t>
      </w:r>
      <w:r w:rsidRPr="00A1361D">
        <w:rPr>
          <w:rFonts w:ascii="Arial" w:hAnsi="Arial" w:hint="cs"/>
          <w:rtl/>
        </w:rPr>
        <w:t xml:space="preserve"> </w:t>
      </w:r>
      <w:r>
        <w:rPr>
          <w:rFonts w:ascii="Arial" w:hAnsi="Arial" w:hint="cs"/>
          <w:rtl/>
        </w:rPr>
        <w:t>ו</w:t>
      </w:r>
      <w:r w:rsidRPr="00A1361D">
        <w:rPr>
          <w:rFonts w:ascii="Arial" w:hAnsi="Arial" w:hint="cs"/>
          <w:rtl/>
        </w:rPr>
        <w:t xml:space="preserve">להודות בעובדות כתב האישום. </w:t>
      </w:r>
      <w:r>
        <w:rPr>
          <w:rFonts w:ascii="Arial" w:hAnsi="Arial" w:hint="cs"/>
          <w:rtl/>
        </w:rPr>
        <w:t xml:space="preserve">בד בבד, </w:t>
      </w:r>
      <w:r w:rsidRPr="00A1361D">
        <w:rPr>
          <w:rFonts w:ascii="Arial" w:hAnsi="Arial" w:hint="cs"/>
          <w:rtl/>
        </w:rPr>
        <w:t xml:space="preserve">ביקש ב"כ הנאשם להוסיף נסיבה שאינה מוזכרת בכתב האישום, והיא שהנאשם נשלח לבצע את העבירה על ידי אחר, ועל כך יפורט בהמשך. המאשימה התנגדה להוספת הנסיבה האמורה וביקשה לחקור את הנאשם אודותיה, </w:t>
      </w:r>
      <w:r>
        <w:rPr>
          <w:rFonts w:ascii="Arial" w:hAnsi="Arial" w:hint="cs"/>
          <w:rtl/>
        </w:rPr>
        <w:t>אולם</w:t>
      </w:r>
      <w:r w:rsidRPr="00A1361D">
        <w:rPr>
          <w:rFonts w:ascii="Arial" w:hAnsi="Arial" w:hint="cs"/>
          <w:rtl/>
        </w:rPr>
        <w:t xml:space="preserve"> הנאשם התנגד לכך</w:t>
      </w:r>
      <w:r>
        <w:rPr>
          <w:rFonts w:ascii="Arial" w:hAnsi="Arial" w:hint="cs"/>
          <w:rtl/>
        </w:rPr>
        <w:t>, והדגיש שלא ימסור את השם של מי ששלח אותו</w:t>
      </w:r>
      <w:r w:rsidRPr="00A1361D">
        <w:rPr>
          <w:rFonts w:ascii="Arial" w:hAnsi="Arial" w:hint="cs"/>
          <w:rtl/>
        </w:rPr>
        <w:t xml:space="preserve">. נוכח האמור, במסגרת הכרעת הדין </w:t>
      </w:r>
      <w:r>
        <w:rPr>
          <w:rFonts w:ascii="Arial" w:hAnsi="Arial" w:hint="cs"/>
          <w:rtl/>
        </w:rPr>
        <w:t>נקבע,</w:t>
      </w:r>
      <w:r w:rsidRPr="00A1361D">
        <w:rPr>
          <w:rFonts w:ascii="Arial" w:hAnsi="Arial" w:hint="cs"/>
          <w:rtl/>
        </w:rPr>
        <w:t xml:space="preserve"> כי הצדדים יטענו ביחס לקיומה של הנסיבה האמורה במסגרת הטיעונים לעונש.</w:t>
      </w:r>
    </w:p>
    <w:p w14:paraId="13B80428" w14:textId="77777777" w:rsidR="00E50127" w:rsidRPr="00A1361D" w:rsidRDefault="00E50127" w:rsidP="00E50127">
      <w:pPr>
        <w:pStyle w:val="a9"/>
        <w:spacing w:line="360" w:lineRule="auto"/>
        <w:rPr>
          <w:rFonts w:ascii="Arial" w:hAnsi="Arial"/>
          <w:sz w:val="12"/>
          <w:szCs w:val="12"/>
          <w:rtl/>
        </w:rPr>
      </w:pPr>
    </w:p>
    <w:p w14:paraId="15843020"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 xml:space="preserve">בתמצית, על פי עובדות כתב האישום, א.פ ור.פ (להלן: </w:t>
      </w:r>
      <w:r w:rsidRPr="00A1361D">
        <w:rPr>
          <w:rFonts w:ascii="Arial" w:hAnsi="Arial" w:hint="cs"/>
          <w:b/>
          <w:bCs/>
          <w:rtl/>
        </w:rPr>
        <w:t>"המתלוננים"</w:t>
      </w:r>
      <w:r w:rsidRPr="00A1361D">
        <w:rPr>
          <w:rFonts w:ascii="Arial" w:hAnsi="Arial" w:hint="cs"/>
          <w:rtl/>
        </w:rPr>
        <w:t xml:space="preserve">) מתגוררים בירושלים יחד עם ארבעת ילדיהם, אשר ביניהם ילד כבן 7 הסובל מנכות ושני ילדים קטינים הסובלים מפיגור שכלי. ביום 24.10.23 בסביבות השעה 20:08, הגיע הנאשם לאזור ביתם של המתלוננים מחלקו </w:t>
      </w:r>
      <w:r w:rsidRPr="00A1361D">
        <w:rPr>
          <w:rFonts w:ascii="Arial" w:hAnsi="Arial" w:hint="cs"/>
          <w:rtl/>
        </w:rPr>
        <w:lastRenderedPageBreak/>
        <w:t xml:space="preserve">האחורי של הבית, כאשר הוא נושא על גופו רימון הלם תקני מסוג </w:t>
      </w:r>
      <w:r w:rsidRPr="00A1361D">
        <w:rPr>
          <w:rFonts w:ascii="David" w:hAnsi="David"/>
        </w:rPr>
        <w:t>M7290</w:t>
      </w:r>
      <w:r w:rsidRPr="00A1361D">
        <w:rPr>
          <w:rFonts w:ascii="Arial" w:hAnsi="Arial" w:hint="cs"/>
          <w:rtl/>
        </w:rPr>
        <w:t xml:space="preserve"> שבכוחו להזיק לאדם (להלן: </w:t>
      </w:r>
      <w:r w:rsidRPr="00A1361D">
        <w:rPr>
          <w:rFonts w:ascii="Arial" w:hAnsi="Arial" w:hint="cs"/>
          <w:b/>
          <w:bCs/>
          <w:rtl/>
        </w:rPr>
        <w:t>"הרימון"</w:t>
      </w:r>
      <w:r w:rsidRPr="00A1361D">
        <w:rPr>
          <w:rFonts w:ascii="Arial" w:hAnsi="Arial" w:hint="cs"/>
          <w:rtl/>
        </w:rPr>
        <w:t>). הנאשם חלף מספר פעמים ליד הגדר המקיפה את בית המתלוננים, ומסיבה שאינה ידועה למאשימה זרק את הרימון לעבר חצר הבית מבלי ששלף את נצרתו, שעה שהמתלוננים וילדיהם היו בבית, וזאת במטרה להפחידם. הרימון פגע בתריס דלת היציאה לחצר אשר היה סגור ברובו.</w:t>
      </w:r>
    </w:p>
    <w:p w14:paraId="0B36FAF1" w14:textId="77777777" w:rsidR="00E50127" w:rsidRPr="00A94F51" w:rsidRDefault="00E50127" w:rsidP="00E50127">
      <w:pPr>
        <w:spacing w:line="360" w:lineRule="auto"/>
        <w:rPr>
          <w:rFonts w:ascii="Arial" w:hAnsi="Arial"/>
          <w:rtl/>
        </w:rPr>
      </w:pPr>
    </w:p>
    <w:p w14:paraId="5745B5AF" w14:textId="77777777" w:rsidR="00E50127" w:rsidRPr="00A1361D" w:rsidRDefault="00E50127" w:rsidP="00E50127">
      <w:pPr>
        <w:spacing w:line="360" w:lineRule="auto"/>
        <w:rPr>
          <w:rFonts w:ascii="Arial" w:hAnsi="Arial"/>
          <w:b/>
          <w:bCs/>
          <w:u w:val="single"/>
          <w:rtl/>
        </w:rPr>
      </w:pPr>
      <w:r w:rsidRPr="00A1361D">
        <w:rPr>
          <w:rFonts w:ascii="Arial" w:hAnsi="Arial" w:hint="cs"/>
          <w:b/>
          <w:bCs/>
          <w:u w:val="single"/>
          <w:rtl/>
        </w:rPr>
        <w:t>תסקיר שירות המבחן</w:t>
      </w:r>
    </w:p>
    <w:p w14:paraId="2857D504"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 xml:space="preserve">מתסקיר שירות המבחן מיום 25.8.24 עולה, כי הנאשם כיום בן 20, רווק </w:t>
      </w:r>
      <w:r>
        <w:rPr>
          <w:rFonts w:ascii="Arial" w:hAnsi="Arial" w:hint="cs"/>
          <w:rtl/>
        </w:rPr>
        <w:t xml:space="preserve">אשר </w:t>
      </w:r>
      <w:r w:rsidRPr="00A1361D">
        <w:rPr>
          <w:rFonts w:ascii="Arial" w:hAnsi="Arial" w:hint="cs"/>
          <w:rtl/>
        </w:rPr>
        <w:t xml:space="preserve">טרם מעצרו התגורר בבית הוריו. משפחת מוצאו של הנאשם מונה זוג הורים ושבעה ילדים, והוא מסר כי שניים מאחיו היו מעורבים בפלילים. הנאשם סיים תשע שנות לימוד שבמהלכן עבר בין מסגרות לימוד שונות, </w:t>
      </w:r>
      <w:r>
        <w:rPr>
          <w:rFonts w:ascii="Arial" w:hAnsi="Arial" w:hint="cs"/>
          <w:rtl/>
        </w:rPr>
        <w:t>ו</w:t>
      </w:r>
      <w:r w:rsidRPr="00A1361D">
        <w:rPr>
          <w:rFonts w:ascii="Arial" w:hAnsi="Arial" w:hint="cs"/>
          <w:rtl/>
        </w:rPr>
        <w:t>בגיל 15 הפסיק את לימודיו ופנה לעבוד בתחום השיפוצים עם אביו</w:t>
      </w:r>
      <w:r>
        <w:rPr>
          <w:rFonts w:ascii="Arial" w:hAnsi="Arial" w:hint="cs"/>
          <w:rtl/>
        </w:rPr>
        <w:t>,</w:t>
      </w:r>
      <w:r w:rsidRPr="00A1361D">
        <w:rPr>
          <w:rFonts w:ascii="Arial" w:hAnsi="Arial" w:hint="cs"/>
          <w:rtl/>
        </w:rPr>
        <w:t xml:space="preserve"> ובהמשך עבד </w:t>
      </w:r>
      <w:r>
        <w:rPr>
          <w:rFonts w:ascii="Arial" w:hAnsi="Arial" w:hint="cs"/>
          <w:rtl/>
        </w:rPr>
        <w:t xml:space="preserve">בעבודות </w:t>
      </w:r>
      <w:r w:rsidRPr="00A1361D">
        <w:rPr>
          <w:rFonts w:ascii="Arial" w:hAnsi="Arial" w:hint="cs"/>
          <w:rtl/>
        </w:rPr>
        <w:t xml:space="preserve">מזדמנות. </w:t>
      </w:r>
      <w:r>
        <w:rPr>
          <w:rFonts w:ascii="Arial" w:hAnsi="Arial" w:hint="cs"/>
          <w:rtl/>
        </w:rPr>
        <w:t>הנאשם מעורב בפלילים מגיל 12</w:t>
      </w:r>
      <w:r w:rsidRPr="00A1361D">
        <w:rPr>
          <w:rFonts w:ascii="Arial" w:hAnsi="Arial" w:hint="cs"/>
          <w:rtl/>
        </w:rPr>
        <w:t xml:space="preserve">, והחל להשתמש באלכוהול ובסמים שונים מגיל 14 ובמהלך השנים התדרדר לשימוש בסמים קשים. הנאשם קיבל פטור מגיוס לצה"ל בשל </w:t>
      </w:r>
      <w:r>
        <w:rPr>
          <w:rFonts w:ascii="Arial" w:hAnsi="Arial" w:hint="cs"/>
          <w:rtl/>
        </w:rPr>
        <w:t xml:space="preserve">כך. </w:t>
      </w:r>
      <w:r w:rsidRPr="00A1361D">
        <w:rPr>
          <w:rFonts w:ascii="Arial" w:hAnsi="Arial" w:hint="cs"/>
          <w:rtl/>
        </w:rPr>
        <w:t>שירות המבחן התרשם שהנאשם נחשף לדפוסים ולקשרים שוליים ובלתי מיטיבים בסביבתו המשפחתית והחברתית, שהוטמעו והופנמו בתהליך גיבוש זהותו ובאים לידי ביטוי בנורמות עוברות חוק על פי הן הוא פועל.</w:t>
      </w:r>
    </w:p>
    <w:p w14:paraId="4C93B725" w14:textId="77777777" w:rsidR="00E50127" w:rsidRPr="00A1361D" w:rsidRDefault="00E50127" w:rsidP="00E50127">
      <w:pPr>
        <w:pStyle w:val="a9"/>
        <w:spacing w:line="360" w:lineRule="auto"/>
        <w:ind w:left="283"/>
        <w:jc w:val="both"/>
        <w:rPr>
          <w:rFonts w:ascii="Arial" w:hAnsi="Arial"/>
          <w:sz w:val="12"/>
          <w:szCs w:val="12"/>
        </w:rPr>
      </w:pPr>
    </w:p>
    <w:p w14:paraId="59E5E539"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שירות המבחן ציין</w:t>
      </w:r>
      <w:r>
        <w:rPr>
          <w:rFonts w:ascii="Arial" w:hAnsi="Arial" w:hint="cs"/>
          <w:rtl/>
        </w:rPr>
        <w:t>,</w:t>
      </w:r>
      <w:r w:rsidRPr="00A1361D">
        <w:rPr>
          <w:rFonts w:ascii="Arial" w:hAnsi="Arial" w:hint="cs"/>
          <w:rtl/>
        </w:rPr>
        <w:t xml:space="preserve"> כי </w:t>
      </w:r>
      <w:r>
        <w:rPr>
          <w:rFonts w:ascii="Arial" w:hAnsi="Arial" w:hint="cs"/>
          <w:rtl/>
        </w:rPr>
        <w:t>לנאשם עבר פלילי הכולל</w:t>
      </w:r>
      <w:r w:rsidRPr="00A1361D">
        <w:rPr>
          <w:rFonts w:ascii="Arial" w:hAnsi="Arial" w:hint="cs"/>
          <w:rtl/>
        </w:rPr>
        <w:t xml:space="preserve"> שלוש הרשעות בעבירות אלימות, רכוש וסמים. כמו כן</w:t>
      </w:r>
      <w:r>
        <w:rPr>
          <w:rFonts w:ascii="Arial" w:hAnsi="Arial" w:hint="cs"/>
          <w:rtl/>
        </w:rPr>
        <w:t xml:space="preserve"> צוין, </w:t>
      </w:r>
      <w:r w:rsidRPr="00A1361D">
        <w:rPr>
          <w:rFonts w:ascii="Arial" w:hAnsi="Arial" w:hint="cs"/>
          <w:rtl/>
        </w:rPr>
        <w:t xml:space="preserve"> כי </w:t>
      </w:r>
      <w:r>
        <w:rPr>
          <w:rFonts w:ascii="Arial" w:hAnsi="Arial" w:hint="cs"/>
          <w:rtl/>
        </w:rPr>
        <w:t>תלויים ועומדים כ</w:t>
      </w:r>
      <w:r w:rsidRPr="00A1361D">
        <w:rPr>
          <w:rFonts w:ascii="Arial" w:hAnsi="Arial" w:hint="cs"/>
          <w:rtl/>
        </w:rPr>
        <w:t xml:space="preserve">נגד הנאשם תיקים פליליים נוספים בגין עבירות אלימות וסמים שבהם הוגשו כתבי אישום. אשר </w:t>
      </w:r>
      <w:r>
        <w:rPr>
          <w:rFonts w:ascii="Arial" w:hAnsi="Arial" w:hint="cs"/>
          <w:rtl/>
        </w:rPr>
        <w:t>ליחסו של הנאשם לעבירות בתיק דנן-</w:t>
      </w:r>
      <w:r w:rsidRPr="00A1361D">
        <w:rPr>
          <w:rFonts w:ascii="Arial" w:hAnsi="Arial" w:hint="cs"/>
          <w:rtl/>
        </w:rPr>
        <w:t xml:space="preserve"> מסר </w:t>
      </w:r>
      <w:r>
        <w:rPr>
          <w:rFonts w:ascii="Arial" w:hAnsi="Arial" w:hint="cs"/>
          <w:rtl/>
        </w:rPr>
        <w:t xml:space="preserve">הנאשם, </w:t>
      </w:r>
      <w:r w:rsidRPr="00A1361D">
        <w:rPr>
          <w:rFonts w:ascii="Arial" w:hAnsi="Arial" w:hint="cs"/>
          <w:rtl/>
        </w:rPr>
        <w:t>כי פעל מתוך שיקולים ומניעים כספיים לצורך מימון הסמים בהם הוא משתמש. לדבריו, הוא היה ממוקד בסיפוק צרכיו באותה עת</w:t>
      </w:r>
      <w:r>
        <w:rPr>
          <w:rFonts w:ascii="Arial" w:hAnsi="Arial" w:hint="cs"/>
          <w:rtl/>
        </w:rPr>
        <w:t>,</w:t>
      </w:r>
      <w:r w:rsidRPr="00A1361D">
        <w:rPr>
          <w:rFonts w:ascii="Arial" w:hAnsi="Arial" w:hint="cs"/>
          <w:rtl/>
        </w:rPr>
        <w:t xml:space="preserve"> בהשפעת החומרים ההתמכרותיים</w:t>
      </w:r>
      <w:r>
        <w:rPr>
          <w:rFonts w:ascii="Arial" w:hAnsi="Arial" w:hint="cs"/>
          <w:rtl/>
        </w:rPr>
        <w:t>,</w:t>
      </w:r>
      <w:r w:rsidRPr="00A1361D">
        <w:rPr>
          <w:rFonts w:ascii="Arial" w:hAnsi="Arial" w:hint="cs"/>
          <w:rtl/>
        </w:rPr>
        <w:t xml:space="preserve"> ולא הצליח לחשוב על חומרת המעשה ומשמעותו. נוסף על כך </w:t>
      </w:r>
      <w:r>
        <w:rPr>
          <w:rFonts w:ascii="Arial" w:hAnsi="Arial" w:hint="cs"/>
          <w:rtl/>
        </w:rPr>
        <w:t>התייחס לקושי של הנאשם בשל סביבת מגוריו</w:t>
      </w:r>
      <w:r w:rsidRPr="00A1361D">
        <w:rPr>
          <w:rFonts w:ascii="Arial" w:hAnsi="Arial" w:hint="cs"/>
          <w:rtl/>
        </w:rPr>
        <w:t>,</w:t>
      </w:r>
      <w:r>
        <w:rPr>
          <w:rFonts w:ascii="Arial" w:hAnsi="Arial" w:hint="cs"/>
          <w:rtl/>
        </w:rPr>
        <w:t xml:space="preserve"> וכי לאורך </w:t>
      </w:r>
      <w:r w:rsidRPr="00A1361D">
        <w:rPr>
          <w:rFonts w:ascii="Arial" w:hAnsi="Arial" w:hint="cs"/>
          <w:rtl/>
        </w:rPr>
        <w:t xml:space="preserve">תקופה הנאשם היה מצוי במצבי סיכון והתקשה לשתף פעולה בטיפול. באפריל 2019 הנאשם שולב באשפוזית "מלכישוע", ולאחר כשלושה שבועות סיים </w:t>
      </w:r>
      <w:r>
        <w:rPr>
          <w:rFonts w:ascii="Arial" w:hAnsi="Arial" w:hint="cs"/>
          <w:rtl/>
        </w:rPr>
        <w:t xml:space="preserve">את </w:t>
      </w:r>
      <w:r w:rsidRPr="00A1361D">
        <w:rPr>
          <w:rFonts w:ascii="Arial" w:hAnsi="Arial" w:hint="cs"/>
          <w:rtl/>
        </w:rPr>
        <w:t xml:space="preserve">שהותו </w:t>
      </w:r>
      <w:r>
        <w:rPr>
          <w:rFonts w:ascii="Arial" w:hAnsi="Arial" w:hint="cs"/>
          <w:rtl/>
        </w:rPr>
        <w:t xml:space="preserve">במקום, בעקבות מעורבות באירוע אלימות. </w:t>
      </w:r>
      <w:r w:rsidRPr="00A1361D">
        <w:rPr>
          <w:rFonts w:ascii="Arial" w:hAnsi="Arial" w:hint="cs"/>
          <w:rtl/>
        </w:rPr>
        <w:t>במאי 2019 שולב בקהילת "רטורנו" שם ביטא קשיים בקבלת סמכות והתנהגות חריגה שכללה שימוש באלימות מילולית, התנגדות לצוות ו</w:t>
      </w:r>
      <w:r>
        <w:rPr>
          <w:rFonts w:ascii="Arial" w:hAnsi="Arial" w:hint="cs"/>
          <w:rtl/>
        </w:rPr>
        <w:t>ל</w:t>
      </w:r>
      <w:r w:rsidRPr="00A1361D">
        <w:rPr>
          <w:rFonts w:ascii="Arial" w:hAnsi="Arial" w:hint="cs"/>
          <w:rtl/>
        </w:rPr>
        <w:t>סמכותו, צריכת חומרים ממכרים ואף בריחה מהמסגרת. ביחס למעצרו הנוכחי מסר הנאשם</w:t>
      </w:r>
      <w:r>
        <w:rPr>
          <w:rFonts w:ascii="Arial" w:hAnsi="Arial" w:hint="cs"/>
          <w:rtl/>
        </w:rPr>
        <w:t>,</w:t>
      </w:r>
      <w:r w:rsidRPr="00A1361D">
        <w:rPr>
          <w:rFonts w:ascii="Arial" w:hAnsi="Arial" w:hint="cs"/>
          <w:rtl/>
        </w:rPr>
        <w:t xml:space="preserve"> כי עבר אירועי אלימות מצד הסוהרים ללא סיבה. נוכח זאת, שירות המבחן התרשם כי לנאשם דפוסים עברייניים והתמכרותיים, והוא נוטה לצמצם ולטשטש מחומרת מעשיו, מתקשה בהתבוננות עליהם לצורך עריכת שינוי ואינו רואה בעייתיות </w:t>
      </w:r>
      <w:r>
        <w:rPr>
          <w:rFonts w:ascii="Arial" w:hAnsi="Arial" w:hint="cs"/>
          <w:rtl/>
        </w:rPr>
        <w:t xml:space="preserve">בהתנהלותו. בשיחה עם שירות המבחן, הנאשם </w:t>
      </w:r>
      <w:r w:rsidRPr="00A1361D">
        <w:rPr>
          <w:rFonts w:ascii="Arial" w:hAnsi="Arial" w:hint="cs"/>
          <w:rtl/>
        </w:rPr>
        <w:t>שלל נזקקות טיפולית, הן בתחום הסמים והן בתחום האלימות, כשלדבריו הצליח להיגמל בכוחות עצמו.</w:t>
      </w:r>
    </w:p>
    <w:p w14:paraId="6397B34A" w14:textId="77777777" w:rsidR="00E50127" w:rsidRPr="00A1361D" w:rsidRDefault="00E50127" w:rsidP="00E50127">
      <w:pPr>
        <w:pStyle w:val="a9"/>
        <w:spacing w:line="360" w:lineRule="auto"/>
        <w:rPr>
          <w:rFonts w:ascii="Arial" w:hAnsi="Arial"/>
          <w:sz w:val="12"/>
          <w:szCs w:val="12"/>
          <w:rtl/>
        </w:rPr>
      </w:pPr>
    </w:p>
    <w:p w14:paraId="4DC61A30"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שירות המבחן סיכם</w:t>
      </w:r>
      <w:r>
        <w:rPr>
          <w:rFonts w:ascii="Arial" w:hAnsi="Arial" w:hint="cs"/>
          <w:rtl/>
        </w:rPr>
        <w:t>,</w:t>
      </w:r>
      <w:r w:rsidRPr="00A1361D">
        <w:rPr>
          <w:rFonts w:ascii="Arial" w:hAnsi="Arial" w:hint="cs"/>
          <w:rtl/>
        </w:rPr>
        <w:t xml:space="preserve"> כי התרשם מבחור צעיר אשר גדל במשפחה בה ההורים התקשו להוות עבורו גורם סמכותי ומציב גבול ברור, דבר שהוביל ליצירת קשרים שוליים שסיפקו לו צרכים ראשוניים של שייכות וביטחון. שירות המבחן העריך</w:t>
      </w:r>
      <w:r>
        <w:rPr>
          <w:rFonts w:ascii="Arial" w:hAnsi="Arial" w:hint="cs"/>
          <w:rtl/>
        </w:rPr>
        <w:t>,</w:t>
      </w:r>
      <w:r w:rsidRPr="00A1361D">
        <w:rPr>
          <w:rFonts w:ascii="Arial" w:hAnsi="Arial" w:hint="cs"/>
          <w:rtl/>
        </w:rPr>
        <w:t xml:space="preserve"> כי קשייו לאורך השנים במסגרות לימודיות </w:t>
      </w:r>
      <w:r w:rsidRPr="00A1361D">
        <w:rPr>
          <w:rFonts w:ascii="Arial" w:hAnsi="Arial" w:hint="cs"/>
          <w:rtl/>
        </w:rPr>
        <w:lastRenderedPageBreak/>
        <w:t>וטיפוליות הן ביטוי לקשייו לעמוד בגבולות. שירות המבחן התרשם</w:t>
      </w:r>
      <w:r>
        <w:rPr>
          <w:rFonts w:ascii="Arial" w:hAnsi="Arial" w:hint="cs"/>
          <w:rtl/>
        </w:rPr>
        <w:t>,</w:t>
      </w:r>
      <w:r w:rsidRPr="00A1361D">
        <w:rPr>
          <w:rFonts w:ascii="Arial" w:hAnsi="Arial" w:hint="cs"/>
          <w:rtl/>
        </w:rPr>
        <w:t xml:space="preserve"> כי לנאשם דפוסים אלימים, כאשר לאורך חייו נ</w:t>
      </w:r>
      <w:r>
        <w:rPr>
          <w:rFonts w:ascii="Arial" w:hAnsi="Arial" w:hint="cs"/>
          <w:rtl/>
        </w:rPr>
        <w:t>טה לפעול באופן אימפולסיבי ואלים. הנאשם</w:t>
      </w:r>
      <w:r w:rsidRPr="00A1361D">
        <w:rPr>
          <w:rFonts w:ascii="Arial" w:hAnsi="Arial" w:hint="cs"/>
          <w:rtl/>
        </w:rPr>
        <w:t xml:space="preserve"> אינו רואה בעייתיות בהתנהלותו ואינו</w:t>
      </w:r>
      <w:r>
        <w:rPr>
          <w:rFonts w:ascii="Arial" w:hAnsi="Arial" w:hint="cs"/>
          <w:rtl/>
        </w:rPr>
        <w:t xml:space="preserve"> מבטא נזקקות טיפולית. עוד, התרשם שירות המבחן,</w:t>
      </w:r>
      <w:r w:rsidRPr="00A1361D">
        <w:rPr>
          <w:rFonts w:ascii="Arial" w:hAnsi="Arial" w:hint="cs"/>
          <w:rtl/>
        </w:rPr>
        <w:t xml:space="preserve"> מעמימות אותה </w:t>
      </w:r>
      <w:r>
        <w:rPr>
          <w:rFonts w:ascii="Arial" w:hAnsi="Arial" w:hint="cs"/>
          <w:rtl/>
        </w:rPr>
        <w:t>ה</w:t>
      </w:r>
      <w:r w:rsidRPr="00A1361D">
        <w:rPr>
          <w:rFonts w:ascii="Arial" w:hAnsi="Arial" w:hint="cs"/>
          <w:rtl/>
        </w:rPr>
        <w:t xml:space="preserve">ציג </w:t>
      </w:r>
      <w:r>
        <w:rPr>
          <w:rFonts w:ascii="Arial" w:hAnsi="Arial" w:hint="cs"/>
          <w:rtl/>
        </w:rPr>
        <w:t xml:space="preserve">הנאשם </w:t>
      </w:r>
      <w:r w:rsidRPr="00A1361D">
        <w:rPr>
          <w:rFonts w:ascii="Arial" w:hAnsi="Arial" w:hint="cs"/>
          <w:rtl/>
        </w:rPr>
        <w:t>בנוגע למצבו ההתמכרותי ושימוש</w:t>
      </w:r>
      <w:r>
        <w:rPr>
          <w:rFonts w:ascii="Arial" w:hAnsi="Arial" w:hint="cs"/>
          <w:rtl/>
        </w:rPr>
        <w:t>ו</w:t>
      </w:r>
      <w:r w:rsidRPr="00A1361D">
        <w:rPr>
          <w:rFonts w:ascii="Arial" w:hAnsi="Arial" w:hint="cs"/>
          <w:rtl/>
        </w:rPr>
        <w:t xml:space="preserve"> בסמים, כאשר ניכר שהוא מתקשה לראות בצריכת הסמים מוקד סיכון המגביר חשיפתו למצבים בהם הוא עלול לפעול בשיקול דעת לקוי ואף פוגעני לסיפוק צרכיו. </w:t>
      </w:r>
    </w:p>
    <w:p w14:paraId="43E78A64" w14:textId="77777777" w:rsidR="00E50127" w:rsidRPr="00A1361D" w:rsidRDefault="00E50127" w:rsidP="00E50127">
      <w:pPr>
        <w:pStyle w:val="a9"/>
        <w:spacing w:line="360" w:lineRule="auto"/>
        <w:rPr>
          <w:rFonts w:ascii="Arial" w:hAnsi="Arial"/>
          <w:sz w:val="12"/>
          <w:szCs w:val="12"/>
          <w:rtl/>
        </w:rPr>
      </w:pPr>
    </w:p>
    <w:p w14:paraId="24B4E7D6"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בנוסף</w:t>
      </w:r>
      <w:r>
        <w:rPr>
          <w:rFonts w:ascii="Arial" w:hAnsi="Arial" w:hint="cs"/>
          <w:rtl/>
        </w:rPr>
        <w:t>,</w:t>
      </w:r>
      <w:r w:rsidRPr="00A1361D">
        <w:rPr>
          <w:rFonts w:ascii="Arial" w:hAnsi="Arial" w:hint="cs"/>
          <w:rtl/>
        </w:rPr>
        <w:t xml:space="preserve"> שירות המבחן לקח בחשבון </w:t>
      </w:r>
      <w:r>
        <w:rPr>
          <w:rFonts w:ascii="Arial" w:hAnsi="Arial" w:hint="cs"/>
          <w:rtl/>
        </w:rPr>
        <w:t>שאין</w:t>
      </w:r>
      <w:r w:rsidRPr="00A1361D">
        <w:rPr>
          <w:rFonts w:ascii="Arial" w:hAnsi="Arial" w:hint="cs"/>
          <w:rtl/>
        </w:rPr>
        <w:t xml:space="preserve"> מדובר במעורבותו הראשונה של הנאשם בפלילים, כאשר גם הרשעתו הקודמת היא בתחום האלימות, וההערכה היא </w:t>
      </w:r>
      <w:r>
        <w:rPr>
          <w:rFonts w:ascii="Arial" w:hAnsi="Arial" w:hint="cs"/>
          <w:rtl/>
        </w:rPr>
        <w:t>ש</w:t>
      </w:r>
      <w:r w:rsidRPr="00A1361D">
        <w:rPr>
          <w:rFonts w:ascii="Arial" w:hAnsi="Arial" w:hint="cs"/>
          <w:rtl/>
        </w:rPr>
        <w:t>הוא מתקשה לראות בענישה קודמת ובמעצרו הנוכחי גורם ממתן ומציב גבול להתנהלותו, ו</w:t>
      </w:r>
      <w:r>
        <w:rPr>
          <w:rFonts w:ascii="Arial" w:hAnsi="Arial" w:hint="cs"/>
          <w:rtl/>
        </w:rPr>
        <w:t>הוא גם ה</w:t>
      </w:r>
      <w:r w:rsidRPr="00A1361D">
        <w:rPr>
          <w:rFonts w:ascii="Arial" w:hAnsi="Arial" w:hint="cs"/>
          <w:rtl/>
        </w:rPr>
        <w:t xml:space="preserve">תקשה </w:t>
      </w:r>
      <w:r>
        <w:rPr>
          <w:rFonts w:ascii="Arial" w:hAnsi="Arial" w:hint="cs"/>
          <w:rtl/>
        </w:rPr>
        <w:t xml:space="preserve">בעבר </w:t>
      </w:r>
      <w:r w:rsidRPr="00A1361D">
        <w:rPr>
          <w:rFonts w:ascii="Arial" w:hAnsi="Arial" w:hint="cs"/>
          <w:rtl/>
        </w:rPr>
        <w:t>בשיתוף פעולה עם גורמי טיפול. בשקלול הגורמים שצוינו לעיל, שירות המבחן העריך כי קיים סיכון גבוה להישנות התנהגות עוברת חוק מצד הנאשם. על כן, לאור כל האמור לעיל, ובכלל זאת הערכת הסיכון המשמעותית בעניינו, ההתרשמות מדפוסיו האישיותיים והאלימים, חומרת העבירות והסיכון הנשקף מהן, שירות המבחן נמנע מהמלצה בעניינו של הנאשם.</w:t>
      </w:r>
    </w:p>
    <w:p w14:paraId="4B2EB77C" w14:textId="77777777" w:rsidR="00E50127" w:rsidRPr="00A1361D" w:rsidRDefault="00E50127" w:rsidP="00E50127">
      <w:pPr>
        <w:spacing w:line="360" w:lineRule="auto"/>
        <w:jc w:val="both"/>
        <w:rPr>
          <w:rFonts w:ascii="Arial" w:hAnsi="Arial"/>
          <w:rtl/>
        </w:rPr>
      </w:pPr>
    </w:p>
    <w:p w14:paraId="5A41F978" w14:textId="77777777" w:rsidR="00E50127" w:rsidRPr="00A1361D" w:rsidRDefault="00E50127" w:rsidP="00E50127">
      <w:pPr>
        <w:spacing w:line="360" w:lineRule="auto"/>
        <w:jc w:val="both"/>
        <w:rPr>
          <w:rFonts w:ascii="Arial" w:hAnsi="Arial"/>
          <w:b/>
          <w:bCs/>
          <w:u w:val="single"/>
        </w:rPr>
      </w:pPr>
      <w:r w:rsidRPr="00A1361D">
        <w:rPr>
          <w:rFonts w:ascii="Arial" w:hAnsi="Arial" w:hint="cs"/>
          <w:b/>
          <w:bCs/>
          <w:u w:val="single"/>
          <w:rtl/>
        </w:rPr>
        <w:t>הצהרת נפגעי העבירה</w:t>
      </w:r>
    </w:p>
    <w:p w14:paraId="300C603D"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 xml:space="preserve">המתלוננים הגישו הצהרה מפורטת בדבר הנזקים הנפשיים והכלכליים שנגרמו להם ולילדיהם כתוצאה מהעבירה. המתלוננים ציינו כי הם הורים לארבעה ילדים אשר שלושה מהם, ילד בגיל 7 ושתי בנות בגילאים 13 ו-17, סובלים מפיגור כבד, ואילו בתם הבכורה בת ה-19 מסייעת בטיפול באחיה ובתחזוקת הבית. המתלוננים </w:t>
      </w:r>
      <w:r>
        <w:rPr>
          <w:rFonts w:ascii="Arial" w:hAnsi="Arial" w:hint="cs"/>
          <w:rtl/>
        </w:rPr>
        <w:t xml:space="preserve">סיפרו, </w:t>
      </w:r>
      <w:r w:rsidRPr="00A1361D">
        <w:rPr>
          <w:rFonts w:ascii="Arial" w:hAnsi="Arial" w:hint="cs"/>
          <w:rtl/>
        </w:rPr>
        <w:t xml:space="preserve">כי ברקע לעבירות ישנו סכסוך מול שכנם, אשר לטענתם השתלט על חנייה פרטית שלהם. לדבריהם, הסכסוך התדרדר לכדי אירועים פליליים, הגשת תלונה וצווי הרחקה, ואף נגזרו על השכן מספר חודשי מאסר. בהמשך לכך, ביום 24.10.23 הושלך רימון לחצר ביתם על ידי הנאשם, ולא זאת אף זאת, ביום 27.5.24 הושלך פעם נוספת רימון לעבר ביתם, על ידי </w:t>
      </w:r>
      <w:r>
        <w:rPr>
          <w:rFonts w:ascii="Arial" w:hAnsi="Arial" w:hint="cs"/>
          <w:rtl/>
        </w:rPr>
        <w:t>קטין בשם י.כ.</w:t>
      </w:r>
      <w:r w:rsidRPr="00A1361D">
        <w:rPr>
          <w:rFonts w:ascii="Arial" w:hAnsi="Arial" w:hint="cs"/>
          <w:rtl/>
        </w:rPr>
        <w:t>, אשר הורשע ודינו נגזר לאחרונה, כפי שיפורט בהמשך.</w:t>
      </w:r>
    </w:p>
    <w:p w14:paraId="65D4D05C" w14:textId="77777777" w:rsidR="00E50127" w:rsidRPr="00A1361D" w:rsidRDefault="00E50127" w:rsidP="00E50127">
      <w:pPr>
        <w:pStyle w:val="a9"/>
        <w:spacing w:line="360" w:lineRule="auto"/>
        <w:rPr>
          <w:rFonts w:ascii="Arial" w:hAnsi="Arial"/>
          <w:sz w:val="12"/>
          <w:szCs w:val="12"/>
          <w:rtl/>
        </w:rPr>
      </w:pPr>
    </w:p>
    <w:p w14:paraId="304A4F36"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המתלוננים תיארו תחושת חוסר אונים וציינו</w:t>
      </w:r>
      <w:r>
        <w:rPr>
          <w:rFonts w:ascii="Arial" w:hAnsi="Arial" w:hint="cs"/>
          <w:rtl/>
        </w:rPr>
        <w:t>,</w:t>
      </w:r>
      <w:r w:rsidRPr="00A1361D">
        <w:rPr>
          <w:rFonts w:ascii="Arial" w:hAnsi="Arial" w:hint="cs"/>
          <w:rtl/>
        </w:rPr>
        <w:t xml:space="preserve"> כי בנותיהם חוששות לצאת מפתח הבית</w:t>
      </w:r>
      <w:r>
        <w:rPr>
          <w:rFonts w:ascii="Arial" w:hAnsi="Arial" w:hint="cs"/>
          <w:rtl/>
        </w:rPr>
        <w:t>,</w:t>
      </w:r>
      <w:r w:rsidRPr="00A1361D">
        <w:rPr>
          <w:rFonts w:ascii="Arial" w:hAnsi="Arial" w:hint="cs"/>
          <w:rtl/>
        </w:rPr>
        <w:t xml:space="preserve"> אפילו לחצר הפרטית של הבית</w:t>
      </w:r>
      <w:r>
        <w:rPr>
          <w:rFonts w:ascii="Arial" w:hAnsi="Arial" w:hint="cs"/>
          <w:rtl/>
        </w:rPr>
        <w:t>,</w:t>
      </w:r>
      <w:r w:rsidRPr="00A1361D">
        <w:rPr>
          <w:rFonts w:ascii="Arial" w:hAnsi="Arial" w:hint="cs"/>
          <w:rtl/>
        </w:rPr>
        <w:t xml:space="preserve"> ללא ליווי. לדבריהם, בחצר הבית אליה נזרק הרימון ישנם חפצים נפיצים ודליקים, כמו מעלון חשמלי שהתקינו עבור בנם, תאורה ותריסים חשמליים. המתלוננים הוסיפו</w:t>
      </w:r>
      <w:r>
        <w:rPr>
          <w:rFonts w:ascii="Arial" w:hAnsi="Arial" w:hint="cs"/>
          <w:rtl/>
        </w:rPr>
        <w:t>,</w:t>
      </w:r>
      <w:r w:rsidRPr="00A1361D">
        <w:rPr>
          <w:rFonts w:ascii="Arial" w:hAnsi="Arial" w:hint="cs"/>
          <w:rtl/>
        </w:rPr>
        <w:t xml:space="preserve"> כי ילדיהם היו בבית בעת התרחשות האירוע</w:t>
      </w:r>
      <w:r>
        <w:rPr>
          <w:rFonts w:ascii="Arial" w:hAnsi="Arial" w:hint="cs"/>
          <w:rtl/>
        </w:rPr>
        <w:t xml:space="preserve"> וראו ושמעו </w:t>
      </w:r>
      <w:r w:rsidRPr="00A1361D">
        <w:rPr>
          <w:rFonts w:ascii="Arial" w:hAnsi="Arial" w:hint="cs"/>
          <w:rtl/>
        </w:rPr>
        <w:t xml:space="preserve">הכל, וכעת בני המשפחה חרדים מאוד ובכל יציאה מהבית מתבוננים לצדדים שמא יתקפו אותם. </w:t>
      </w:r>
      <w:r>
        <w:rPr>
          <w:rFonts w:ascii="Arial" w:hAnsi="Arial" w:hint="cs"/>
          <w:rtl/>
        </w:rPr>
        <w:t xml:space="preserve">עוד </w:t>
      </w:r>
      <w:r w:rsidRPr="00A1361D">
        <w:rPr>
          <w:rFonts w:ascii="Arial" w:hAnsi="Arial" w:hint="cs"/>
          <w:rtl/>
        </w:rPr>
        <w:t>ציינו</w:t>
      </w:r>
      <w:r>
        <w:rPr>
          <w:rFonts w:ascii="Arial" w:hAnsi="Arial" w:hint="cs"/>
          <w:rtl/>
        </w:rPr>
        <w:t>,</w:t>
      </w:r>
      <w:r w:rsidRPr="00A1361D">
        <w:rPr>
          <w:rFonts w:ascii="Arial" w:hAnsi="Arial" w:hint="cs"/>
          <w:rtl/>
        </w:rPr>
        <w:t xml:space="preserve"> כי נוכח החשש התמידי הם התקינו בעלות גבוהה מצלמות אבטחה בנוסף לאלה שכבר התקינו בעקבות הסכסוך, כדי לשפר את ביטחונם האישי. </w:t>
      </w:r>
      <w:r>
        <w:rPr>
          <w:rFonts w:ascii="Arial" w:hAnsi="Arial" w:hint="cs"/>
          <w:rtl/>
        </w:rPr>
        <w:t>לדברי</w:t>
      </w:r>
      <w:r w:rsidRPr="00A1361D">
        <w:rPr>
          <w:rFonts w:ascii="Arial" w:hAnsi="Arial" w:hint="cs"/>
          <w:rtl/>
        </w:rPr>
        <w:t xml:space="preserve"> המתלוננים</w:t>
      </w:r>
      <w:r>
        <w:rPr>
          <w:rFonts w:ascii="Arial" w:hAnsi="Arial" w:hint="cs"/>
          <w:rtl/>
        </w:rPr>
        <w:t xml:space="preserve">, </w:t>
      </w:r>
      <w:r w:rsidRPr="00A1361D">
        <w:rPr>
          <w:rFonts w:ascii="Arial" w:hAnsi="Arial" w:hint="cs"/>
          <w:rtl/>
        </w:rPr>
        <w:t>האירוע החר</w:t>
      </w:r>
      <w:r>
        <w:rPr>
          <w:rFonts w:ascii="Arial" w:hAnsi="Arial" w:hint="cs"/>
          <w:rtl/>
        </w:rPr>
        <w:t>יף את מצבם ותפקודם של הילדים והם</w:t>
      </w:r>
      <w:r w:rsidRPr="00A1361D">
        <w:rPr>
          <w:rFonts w:ascii="Arial" w:hAnsi="Arial" w:hint="cs"/>
          <w:rtl/>
        </w:rPr>
        <w:t xml:space="preserve"> מגלים סימני עצבנות ומתח, והפכו מילדים מלאי שמחה לנרגזים עם התקפות זעם. המתלוננים הוסיפו וציינו</w:t>
      </w:r>
      <w:r>
        <w:rPr>
          <w:rFonts w:ascii="Arial" w:hAnsi="Arial" w:hint="cs"/>
          <w:rtl/>
        </w:rPr>
        <w:t>,</w:t>
      </w:r>
      <w:r w:rsidRPr="00A1361D">
        <w:rPr>
          <w:rFonts w:ascii="Arial" w:hAnsi="Arial" w:hint="cs"/>
          <w:rtl/>
        </w:rPr>
        <w:t xml:space="preserve"> כי המשפחה כולה נעזרת בטיפולים נפשיים ובפסיכולוגיים רגשיים בעלויות משמעותיות, והם נאלצים להקדיש שעות רבות לקחת את הילדים למטפלים ולהחזיר אותם, על חשבון עבודה. </w:t>
      </w:r>
      <w:r>
        <w:rPr>
          <w:rFonts w:ascii="Arial" w:hAnsi="Arial" w:hint="cs"/>
          <w:rtl/>
        </w:rPr>
        <w:t xml:space="preserve">כל אלה הובילו להוצאות </w:t>
      </w:r>
      <w:r w:rsidRPr="00A1361D">
        <w:rPr>
          <w:rFonts w:ascii="Arial" w:hAnsi="Arial" w:hint="cs"/>
          <w:rtl/>
        </w:rPr>
        <w:t>בלתי צפויות</w:t>
      </w:r>
      <w:r>
        <w:rPr>
          <w:rFonts w:ascii="Arial" w:hAnsi="Arial" w:hint="cs"/>
          <w:rtl/>
        </w:rPr>
        <w:t>,</w:t>
      </w:r>
      <w:r w:rsidRPr="00A1361D">
        <w:rPr>
          <w:rFonts w:ascii="Arial" w:hAnsi="Arial" w:hint="cs"/>
          <w:rtl/>
        </w:rPr>
        <w:t xml:space="preserve"> כתוצאה מהעבירות</w:t>
      </w:r>
      <w:r>
        <w:rPr>
          <w:rFonts w:ascii="Arial" w:hAnsi="Arial" w:hint="cs"/>
          <w:rtl/>
        </w:rPr>
        <w:t xml:space="preserve">, ובשל כך נאלצו </w:t>
      </w:r>
      <w:r w:rsidRPr="00A1361D">
        <w:rPr>
          <w:rFonts w:ascii="Arial" w:hAnsi="Arial" w:hint="cs"/>
          <w:rtl/>
        </w:rPr>
        <w:t>לקחת הלוואות ו</w:t>
      </w:r>
      <w:r>
        <w:rPr>
          <w:rFonts w:ascii="Arial" w:hAnsi="Arial" w:hint="cs"/>
          <w:rtl/>
        </w:rPr>
        <w:t>הם מתקשים</w:t>
      </w:r>
      <w:r w:rsidRPr="00A1361D">
        <w:rPr>
          <w:rFonts w:ascii="Arial" w:hAnsi="Arial" w:hint="cs"/>
          <w:rtl/>
        </w:rPr>
        <w:t xml:space="preserve"> לעמוד בהוצאות שוטפות.</w:t>
      </w:r>
    </w:p>
    <w:p w14:paraId="2DCD92C6" w14:textId="77777777" w:rsidR="00E50127" w:rsidRPr="00A1361D" w:rsidRDefault="00E50127" w:rsidP="00E50127">
      <w:pPr>
        <w:pStyle w:val="a9"/>
        <w:spacing w:line="360" w:lineRule="auto"/>
        <w:rPr>
          <w:rFonts w:ascii="Arial" w:hAnsi="Arial"/>
          <w:rtl/>
        </w:rPr>
      </w:pPr>
    </w:p>
    <w:p w14:paraId="42848CB2" w14:textId="77777777" w:rsidR="00E50127" w:rsidRPr="00A1361D" w:rsidRDefault="00E50127" w:rsidP="00E50127">
      <w:pPr>
        <w:spacing w:line="360" w:lineRule="auto"/>
        <w:rPr>
          <w:rFonts w:ascii="Arial" w:hAnsi="Arial"/>
          <w:b/>
          <w:bCs/>
          <w:u w:val="single"/>
          <w:rtl/>
        </w:rPr>
      </w:pPr>
      <w:r w:rsidRPr="00A1361D">
        <w:rPr>
          <w:rFonts w:ascii="Arial" w:hAnsi="Arial" w:hint="cs"/>
          <w:b/>
          <w:bCs/>
          <w:u w:val="single"/>
          <w:rtl/>
        </w:rPr>
        <w:t>ראיות הצדדים לעונש</w:t>
      </w:r>
    </w:p>
    <w:p w14:paraId="72166F8A"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ב"כ המאשימה הגישה גיליון רישום פלילי של הנאשם (</w:t>
      </w:r>
      <w:r w:rsidRPr="00A1361D">
        <w:rPr>
          <w:rFonts w:ascii="Arial" w:hAnsi="Arial" w:hint="cs"/>
          <w:b/>
          <w:bCs/>
          <w:rtl/>
        </w:rPr>
        <w:t>ת/1</w:t>
      </w:r>
      <w:r w:rsidRPr="00A1361D">
        <w:rPr>
          <w:rFonts w:ascii="Arial" w:hAnsi="Arial" w:hint="cs"/>
          <w:rtl/>
        </w:rPr>
        <w:t>), תצהיר נפגעי עבירה (</w:t>
      </w:r>
      <w:r w:rsidRPr="00A1361D">
        <w:rPr>
          <w:rFonts w:ascii="Arial" w:hAnsi="Arial" w:hint="cs"/>
          <w:b/>
          <w:bCs/>
          <w:rtl/>
        </w:rPr>
        <w:t>ת/2</w:t>
      </w:r>
      <w:r w:rsidRPr="00A1361D">
        <w:rPr>
          <w:rFonts w:ascii="Arial" w:hAnsi="Arial" w:hint="cs"/>
          <w:rtl/>
        </w:rPr>
        <w:t>) כמפורט לעיל, וגזר דין שניתן ב</w:t>
      </w:r>
      <w:hyperlink r:id="rId17" w:history="1">
        <w:r w:rsidR="00CD0F0B" w:rsidRPr="00CD0F0B">
          <w:rPr>
            <w:rFonts w:ascii="Arial" w:hAnsi="Arial"/>
            <w:color w:val="0000FF"/>
            <w:u w:val="single"/>
            <w:rtl/>
          </w:rPr>
          <w:t>ת"פ 14040-06-24</w:t>
        </w:r>
      </w:hyperlink>
      <w:r w:rsidRPr="00A1361D">
        <w:rPr>
          <w:rFonts w:ascii="Arial" w:hAnsi="Arial" w:hint="cs"/>
          <w:rtl/>
        </w:rPr>
        <w:t xml:space="preserve"> </w:t>
      </w:r>
      <w:r w:rsidRPr="00A1361D">
        <w:rPr>
          <w:rFonts w:ascii="Arial" w:hAnsi="Arial" w:hint="cs"/>
          <w:b/>
          <w:bCs/>
          <w:rtl/>
        </w:rPr>
        <w:t>מדינת ישראל נ' י</w:t>
      </w:r>
      <w:r>
        <w:rPr>
          <w:rFonts w:ascii="Arial" w:hAnsi="Arial" w:hint="cs"/>
          <w:b/>
          <w:bCs/>
          <w:rtl/>
        </w:rPr>
        <w:t>.כ.</w:t>
      </w:r>
      <w:r w:rsidRPr="00A1361D">
        <w:rPr>
          <w:rFonts w:ascii="Arial" w:hAnsi="Arial" w:hint="cs"/>
          <w:rtl/>
        </w:rPr>
        <w:t xml:space="preserve"> מיום 27.6.24 (</w:t>
      </w:r>
      <w:r w:rsidRPr="00A1361D">
        <w:rPr>
          <w:rFonts w:ascii="Arial" w:hAnsi="Arial" w:hint="cs"/>
          <w:b/>
          <w:bCs/>
          <w:rtl/>
        </w:rPr>
        <w:t>ת/3</w:t>
      </w:r>
      <w:r w:rsidRPr="00A1361D">
        <w:rPr>
          <w:rFonts w:ascii="Arial" w:hAnsi="Arial" w:hint="cs"/>
          <w:rtl/>
        </w:rPr>
        <w:t xml:space="preserve">) (להלן: </w:t>
      </w:r>
      <w:r w:rsidRPr="00A1361D">
        <w:rPr>
          <w:rFonts w:ascii="Arial" w:hAnsi="Arial" w:hint="cs"/>
          <w:b/>
          <w:bCs/>
          <w:rtl/>
        </w:rPr>
        <w:t xml:space="preserve">"עניין </w:t>
      </w:r>
      <w:r>
        <w:rPr>
          <w:rFonts w:ascii="Arial" w:hAnsi="Arial" w:hint="cs"/>
          <w:b/>
          <w:bCs/>
          <w:rtl/>
        </w:rPr>
        <w:t>י.כ.</w:t>
      </w:r>
      <w:r w:rsidRPr="00A1361D">
        <w:rPr>
          <w:rFonts w:ascii="Arial" w:hAnsi="Arial" w:hint="cs"/>
          <w:b/>
          <w:bCs/>
          <w:rtl/>
        </w:rPr>
        <w:t>"</w:t>
      </w:r>
      <w:r w:rsidRPr="00A1361D">
        <w:rPr>
          <w:rFonts w:ascii="Arial" w:hAnsi="Arial" w:hint="cs"/>
          <w:rtl/>
        </w:rPr>
        <w:t xml:space="preserve">) אשר יפורט בהמשך. </w:t>
      </w:r>
    </w:p>
    <w:p w14:paraId="61C1EA08" w14:textId="77777777" w:rsidR="00E50127" w:rsidRPr="00A1361D" w:rsidRDefault="00E50127" w:rsidP="00E50127">
      <w:pPr>
        <w:pStyle w:val="a9"/>
        <w:spacing w:line="360" w:lineRule="auto"/>
        <w:ind w:left="283"/>
        <w:jc w:val="both"/>
        <w:rPr>
          <w:rFonts w:ascii="Arial" w:hAnsi="Arial"/>
          <w:sz w:val="12"/>
          <w:szCs w:val="12"/>
        </w:rPr>
      </w:pPr>
    </w:p>
    <w:p w14:paraId="673C1A22"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מגיליון הרישום הפלילי של הנאשם עולה, כי לנאשם שלוש הרשעות קודמות בעבירות אלימות, סמים ורכוש, כדלקמן: הנאשם הורשע לראשונה ביום 9.9.19, בהיותו כבן 14 שנים, בגין שלושה תיקים שצורפו יחד ואשר את העבירות שהורשע בהם ביצע בהיותו בגיל 12-13 שנים בלבד. בתיק הראשון</w:t>
      </w:r>
      <w:r>
        <w:rPr>
          <w:rFonts w:ascii="Arial" w:hAnsi="Arial" w:hint="cs"/>
          <w:rtl/>
        </w:rPr>
        <w:t>,</w:t>
      </w:r>
      <w:r w:rsidRPr="00A1361D">
        <w:rPr>
          <w:rFonts w:ascii="Arial" w:hAnsi="Arial" w:hint="cs"/>
          <w:rtl/>
        </w:rPr>
        <w:t xml:space="preserve"> הוא הורשע בעבירות של ניסיון לגניבה, ניסיון להיזק לרכוש במזיד ושתי עבירות גניבה; בתיק השני</w:t>
      </w:r>
      <w:r>
        <w:rPr>
          <w:rFonts w:ascii="Arial" w:hAnsi="Arial" w:hint="cs"/>
          <w:rtl/>
        </w:rPr>
        <w:t>,</w:t>
      </w:r>
      <w:r w:rsidRPr="00A1361D">
        <w:rPr>
          <w:rFonts w:ascii="Arial" w:hAnsi="Arial" w:hint="cs"/>
          <w:rtl/>
        </w:rPr>
        <w:t xml:space="preserve"> הוא הורשע בעבירות של פריצה לבניין שאינו דירה וביצוע גניבה, והיזק לרכוש במזיד; ובתיק השלישי</w:t>
      </w:r>
      <w:r>
        <w:rPr>
          <w:rFonts w:ascii="Arial" w:hAnsi="Arial" w:hint="cs"/>
          <w:rtl/>
        </w:rPr>
        <w:t>,</w:t>
      </w:r>
      <w:r w:rsidRPr="00A1361D">
        <w:rPr>
          <w:rFonts w:ascii="Arial" w:hAnsi="Arial" w:hint="cs"/>
          <w:rtl/>
        </w:rPr>
        <w:t xml:space="preserve"> הוא הורשע בעבירות של ניסיון להחזקת אגרופן או סכין ותקיפה הגורמת חבלה של ממש. בית המשפט לנוער גזר על הנאשם עונש כולל של מאסר מותנה לתקופה של ארבעה חודשים ופיצויים לשלושה נפגעי עבירה בסך כולל של 1,700 ₪. </w:t>
      </w:r>
    </w:p>
    <w:p w14:paraId="07C37368" w14:textId="77777777" w:rsidR="00E50127" w:rsidRPr="00A1361D" w:rsidRDefault="00E50127" w:rsidP="00E50127">
      <w:pPr>
        <w:pStyle w:val="a9"/>
        <w:spacing w:line="360" w:lineRule="auto"/>
        <w:rPr>
          <w:rFonts w:ascii="Arial" w:hAnsi="Arial"/>
          <w:sz w:val="12"/>
          <w:szCs w:val="12"/>
          <w:rtl/>
        </w:rPr>
      </w:pPr>
    </w:p>
    <w:p w14:paraId="702F0338" w14:textId="77777777" w:rsidR="00E50127" w:rsidRPr="00A1361D" w:rsidRDefault="00E50127" w:rsidP="00E50127">
      <w:pPr>
        <w:pStyle w:val="a9"/>
        <w:spacing w:line="360" w:lineRule="auto"/>
        <w:ind w:left="283"/>
        <w:jc w:val="both"/>
        <w:rPr>
          <w:rFonts w:ascii="Arial" w:hAnsi="Arial"/>
          <w:rtl/>
        </w:rPr>
      </w:pPr>
      <w:r w:rsidRPr="00A1361D">
        <w:rPr>
          <w:rFonts w:ascii="Arial" w:hAnsi="Arial" w:hint="cs"/>
          <w:rtl/>
        </w:rPr>
        <w:t xml:space="preserve">הנאשם הורשע פעם נוספת ביום 24.4.23, בהיותו כבן 18.5 שנים, בגין עבירה שביצע בהיותו בן 16 שנים של החזקה או שימוש בסמים שלא לצריכה עצמית. בית המשפט לנוער הטיל עליו תקופת מאסר מותנה למשך 6 חודשים, קנס בסך 5,000 ₪ וצו התחייבות להימנע מעבירה בסך 2,000 ₪ למשך שנתיים. </w:t>
      </w:r>
    </w:p>
    <w:p w14:paraId="569B5C26" w14:textId="77777777" w:rsidR="00E50127" w:rsidRPr="00A1361D" w:rsidRDefault="00E50127" w:rsidP="00E50127">
      <w:pPr>
        <w:pStyle w:val="a9"/>
        <w:spacing w:line="360" w:lineRule="auto"/>
        <w:ind w:left="283"/>
        <w:jc w:val="both"/>
        <w:rPr>
          <w:rFonts w:ascii="Arial" w:hAnsi="Arial"/>
          <w:sz w:val="12"/>
          <w:szCs w:val="12"/>
          <w:rtl/>
        </w:rPr>
      </w:pPr>
    </w:p>
    <w:p w14:paraId="212B11B9" w14:textId="77777777" w:rsidR="00E50127" w:rsidRPr="00A1361D" w:rsidRDefault="00E50127" w:rsidP="00E50127">
      <w:pPr>
        <w:pStyle w:val="a9"/>
        <w:spacing w:line="360" w:lineRule="auto"/>
        <w:ind w:left="283"/>
        <w:jc w:val="both"/>
        <w:rPr>
          <w:rFonts w:ascii="Arial" w:hAnsi="Arial"/>
        </w:rPr>
      </w:pPr>
      <w:r w:rsidRPr="00A1361D">
        <w:rPr>
          <w:rFonts w:ascii="Arial" w:hAnsi="Arial" w:hint="cs"/>
          <w:rtl/>
        </w:rPr>
        <w:t>כשנה לאחר מכן ביום 14.3.24</w:t>
      </w:r>
      <w:r>
        <w:rPr>
          <w:rFonts w:ascii="Arial" w:hAnsi="Arial" w:hint="cs"/>
          <w:rtl/>
        </w:rPr>
        <w:t>,</w:t>
      </w:r>
      <w:r w:rsidRPr="00A1361D">
        <w:rPr>
          <w:rFonts w:ascii="Arial" w:hAnsi="Arial" w:hint="cs"/>
          <w:rtl/>
        </w:rPr>
        <w:t xml:space="preserve"> הורשע הנאשם בפעם השלישית, בגין עבירה שגם אותה ביצע בהיותו כבן 16 שנים, של החזקה או שימוש בסמים שלא לצריכה עצמית. הוטל עליו מאסר מותנה לתקופה של 5 חודשים, לצד קנס בסך 2,000 ₪ וצו התחייבות להימנע מעבירה בסך 3,000 ₪ למשך שנתיים. </w:t>
      </w:r>
    </w:p>
    <w:p w14:paraId="0C53999C" w14:textId="77777777" w:rsidR="00E50127" w:rsidRPr="00A1361D" w:rsidRDefault="00E50127" w:rsidP="00E50127">
      <w:pPr>
        <w:pStyle w:val="a9"/>
        <w:spacing w:line="360" w:lineRule="auto"/>
        <w:rPr>
          <w:rFonts w:ascii="Arial" w:hAnsi="Arial"/>
          <w:sz w:val="12"/>
          <w:szCs w:val="12"/>
          <w:rtl/>
        </w:rPr>
      </w:pPr>
    </w:p>
    <w:p w14:paraId="7E38C05F" w14:textId="77777777" w:rsidR="00E50127" w:rsidRPr="00DE38C0"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אשר לעניינו של י</w:t>
      </w:r>
      <w:r>
        <w:rPr>
          <w:rFonts w:ascii="Arial" w:hAnsi="Arial" w:hint="cs"/>
          <w:rtl/>
        </w:rPr>
        <w:t>.</w:t>
      </w:r>
      <w:r w:rsidRPr="00A1361D">
        <w:rPr>
          <w:rFonts w:ascii="Arial" w:hAnsi="Arial" w:hint="cs"/>
          <w:rtl/>
        </w:rPr>
        <w:t>כ</w:t>
      </w:r>
      <w:r>
        <w:rPr>
          <w:rFonts w:ascii="Arial" w:hAnsi="Arial" w:hint="cs"/>
          <w:rtl/>
        </w:rPr>
        <w:t>.</w:t>
      </w:r>
      <w:r w:rsidRPr="00A1361D">
        <w:rPr>
          <w:rFonts w:ascii="Arial" w:hAnsi="Arial" w:hint="cs"/>
          <w:rtl/>
        </w:rPr>
        <w:t>, כפי שצוין לעיל, מדובר במי שהשליך גם הוא רימון לעבר חצר ביתם של המתלוננים בתיק דנן, מספר חודשים בלבד לאחר שעשה זאת הנאשם. כנגד י</w:t>
      </w:r>
      <w:r>
        <w:rPr>
          <w:rFonts w:ascii="Arial" w:hAnsi="Arial" w:hint="cs"/>
          <w:rtl/>
        </w:rPr>
        <w:t>.</w:t>
      </w:r>
      <w:r w:rsidRPr="00A1361D">
        <w:rPr>
          <w:rFonts w:ascii="Arial" w:hAnsi="Arial" w:hint="cs"/>
          <w:rtl/>
        </w:rPr>
        <w:t>כ</w:t>
      </w:r>
      <w:r>
        <w:rPr>
          <w:rFonts w:ascii="Arial" w:hAnsi="Arial" w:hint="cs"/>
          <w:rtl/>
        </w:rPr>
        <w:t>.</w:t>
      </w:r>
      <w:r w:rsidRPr="00A1361D">
        <w:rPr>
          <w:rFonts w:ascii="Arial" w:hAnsi="Arial" w:hint="cs"/>
          <w:rtl/>
        </w:rPr>
        <w:t xml:space="preserve"> הוגש כתב אישום מתוקן, אשר בעובדותיו הוא הודה במסגרת הסדר טיעון, ולפיהן, לבקשתו של אדם שזהותו אינה ידועה למאשימה ובתמורה לסכום של 2,000 ₪, הוא קיבל לידיו רימון גז תקני שאותו יידה לעבר בית המתלוננים מבלי לשלוף את נצרת הרימון. במסגרת הסדר הטיעון עם י</w:t>
      </w:r>
      <w:r>
        <w:rPr>
          <w:rFonts w:ascii="Arial" w:hAnsi="Arial" w:hint="cs"/>
          <w:rtl/>
        </w:rPr>
        <w:t>.</w:t>
      </w:r>
      <w:r w:rsidRPr="00A1361D">
        <w:rPr>
          <w:rFonts w:ascii="Arial" w:hAnsi="Arial" w:hint="cs"/>
          <w:rtl/>
        </w:rPr>
        <w:t>כ</w:t>
      </w:r>
      <w:r>
        <w:rPr>
          <w:rFonts w:ascii="Arial" w:hAnsi="Arial" w:hint="cs"/>
          <w:rtl/>
        </w:rPr>
        <w:t>.</w:t>
      </w:r>
      <w:r w:rsidRPr="00A1361D">
        <w:rPr>
          <w:rFonts w:ascii="Arial" w:hAnsi="Arial" w:hint="cs"/>
          <w:rtl/>
        </w:rPr>
        <w:t>, אשר ביצע את העבירה בהיותו קטין בגיל 15 שנים, עתרו הצדדים לעונש מאסר מוסכם. בית המשפט קיבל את הסדר הטיעון וגזר על</w:t>
      </w:r>
      <w:r>
        <w:rPr>
          <w:rFonts w:ascii="Arial" w:hAnsi="Arial" w:hint="cs"/>
          <w:rtl/>
        </w:rPr>
        <w:t>יו</w:t>
      </w:r>
      <w:r w:rsidRPr="00A1361D">
        <w:rPr>
          <w:rFonts w:ascii="Arial" w:hAnsi="Arial" w:hint="cs"/>
          <w:rtl/>
        </w:rPr>
        <w:t xml:space="preserve"> מאסר בפועל למשך 7 חודשים, מאסר מותנה, קנס בסך 500 ₪ ופיצוי למתלוננים בסך 2,000 ₪, בהדגישו, כי סכומי הפיצוי</w:t>
      </w:r>
      <w:r>
        <w:rPr>
          <w:rFonts w:ascii="Arial" w:hAnsi="Arial" w:hint="cs"/>
          <w:rtl/>
        </w:rPr>
        <w:t xml:space="preserve"> והקנס מתונים נוכח גילו הצעיר </w:t>
      </w:r>
      <w:r w:rsidRPr="00DE38C0">
        <w:rPr>
          <w:rFonts w:ascii="Arial" w:hAnsi="Arial" w:hint="cs"/>
          <w:rtl/>
        </w:rPr>
        <w:t>(</w:t>
      </w:r>
      <w:r w:rsidRPr="00DE38C0">
        <w:rPr>
          <w:rFonts w:ascii="Arial" w:hAnsi="Arial" w:hint="cs"/>
          <w:b/>
          <w:bCs/>
          <w:rtl/>
        </w:rPr>
        <w:t>נ/1</w:t>
      </w:r>
      <w:r w:rsidRPr="00DE38C0">
        <w:rPr>
          <w:rFonts w:ascii="Arial" w:hAnsi="Arial" w:hint="cs"/>
          <w:rtl/>
        </w:rPr>
        <w:t>).</w:t>
      </w:r>
    </w:p>
    <w:p w14:paraId="62390062" w14:textId="77777777" w:rsidR="00E50127" w:rsidRPr="00A1361D" w:rsidRDefault="00E50127" w:rsidP="00E50127">
      <w:pPr>
        <w:spacing w:line="360" w:lineRule="auto"/>
        <w:jc w:val="both"/>
        <w:rPr>
          <w:rFonts w:ascii="Arial" w:hAnsi="Arial"/>
          <w:rtl/>
        </w:rPr>
      </w:pPr>
    </w:p>
    <w:p w14:paraId="3FD0A3D1" w14:textId="77777777" w:rsidR="00E50127" w:rsidRPr="00A1361D" w:rsidRDefault="00E50127" w:rsidP="00E50127">
      <w:pPr>
        <w:spacing w:line="360" w:lineRule="auto"/>
        <w:jc w:val="both"/>
        <w:rPr>
          <w:rFonts w:ascii="Arial" w:hAnsi="Arial"/>
          <w:b/>
          <w:bCs/>
          <w:u w:val="single"/>
        </w:rPr>
      </w:pPr>
      <w:r w:rsidRPr="00A1361D">
        <w:rPr>
          <w:rFonts w:ascii="Arial" w:hAnsi="Arial" w:hint="cs"/>
          <w:b/>
          <w:bCs/>
          <w:u w:val="single"/>
          <w:rtl/>
        </w:rPr>
        <w:t>טיעוני הצדדים לעונש</w:t>
      </w:r>
    </w:p>
    <w:p w14:paraId="42295833"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ב"כ המאשימה טענה, כי הנאשם זרק את הרימון לעבר ביתם של המתלוננים כאשר הם וילדיהם, שחלקם בעלי מוגבלות, נמצאים בו, כשהנאשם לא ידע בוודאות הי</w:t>
      </w:r>
      <w:r>
        <w:rPr>
          <w:rFonts w:ascii="Arial" w:hAnsi="Arial" w:hint="cs"/>
          <w:rtl/>
        </w:rPr>
        <w:t>כן הרימון י</w:t>
      </w:r>
      <w:r w:rsidRPr="00A1361D">
        <w:rPr>
          <w:rFonts w:ascii="Arial" w:hAnsi="Arial" w:hint="cs"/>
          <w:rtl/>
        </w:rPr>
        <w:t>פול והוא היה אדיש ביחס לנזק שייגרם. כמו כן, לטענתה, הגם שמדובר ברימון הלם ולא ברימון רסס, עדיין מדובר בכלי נשק אשר בכוחו לפצוע אדם בנסיבות מסוימות. עוד ציינה, כי כפי שעולה מתצהירי נפגעי העבירה, משפחת המתלוננים מתמודדת עם חרדה ופחד כתוצאה ממעשי הנאשם. אשר למחלוקת  אם הנאשם נשלח לבצע את העבירה על ידי אחר או ביצע אותה מיוזמתו, ב"כ המאשימה טענה כי הנאשם בחר שלא להעיד על גרסתו לפיה נשלח על ידי אחר, ומסר זאת בצורה רפה ולאחר שקו ההגנה שלו כשל</w:t>
      </w:r>
      <w:r>
        <w:rPr>
          <w:rFonts w:ascii="Arial" w:hAnsi="Arial" w:hint="cs"/>
          <w:rtl/>
        </w:rPr>
        <w:t xml:space="preserve">. </w:t>
      </w:r>
      <w:r w:rsidRPr="00A1361D">
        <w:rPr>
          <w:rFonts w:ascii="Arial" w:hAnsi="Arial" w:hint="cs"/>
          <w:rtl/>
        </w:rPr>
        <w:t>לכן לשיטתה</w:t>
      </w:r>
      <w:r>
        <w:rPr>
          <w:rFonts w:ascii="Arial" w:hAnsi="Arial" w:hint="cs"/>
          <w:rtl/>
        </w:rPr>
        <w:t>,</w:t>
      </w:r>
      <w:r w:rsidRPr="00A1361D">
        <w:rPr>
          <w:rFonts w:ascii="Arial" w:hAnsi="Arial" w:hint="cs"/>
          <w:rtl/>
        </w:rPr>
        <w:t xml:space="preserve"> המשקל שיש לתת לטענה זו מבלי שהנאשם נחקר עליה הוא אפסי. </w:t>
      </w:r>
    </w:p>
    <w:p w14:paraId="47297D1C" w14:textId="77777777" w:rsidR="00E50127" w:rsidRPr="00DE38C0" w:rsidRDefault="00E50127" w:rsidP="00E50127">
      <w:pPr>
        <w:pStyle w:val="a9"/>
        <w:spacing w:line="360" w:lineRule="auto"/>
        <w:ind w:left="283"/>
        <w:jc w:val="both"/>
        <w:rPr>
          <w:rFonts w:ascii="Arial" w:hAnsi="Arial"/>
          <w:sz w:val="12"/>
          <w:szCs w:val="12"/>
        </w:rPr>
      </w:pPr>
    </w:p>
    <w:p w14:paraId="1DB17A2F"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 xml:space="preserve">לעניין מדיניות הענישה </w:t>
      </w:r>
      <w:r>
        <w:rPr>
          <w:rFonts w:ascii="Arial" w:hAnsi="Arial" w:hint="cs"/>
          <w:rtl/>
        </w:rPr>
        <w:t xml:space="preserve">הנוהגת, הפנתה </w:t>
      </w:r>
      <w:r w:rsidRPr="00A1361D">
        <w:rPr>
          <w:rFonts w:ascii="Arial" w:hAnsi="Arial" w:hint="cs"/>
          <w:rtl/>
        </w:rPr>
        <w:t>ב"כ המאשימה לפסקי דין שלטענתה מבטאים את הענישה הראויה בענייננו. כמו כן</w:t>
      </w:r>
      <w:r>
        <w:rPr>
          <w:rFonts w:ascii="Arial" w:hAnsi="Arial" w:hint="cs"/>
          <w:rtl/>
        </w:rPr>
        <w:t>,</w:t>
      </w:r>
      <w:r w:rsidRPr="00A1361D">
        <w:rPr>
          <w:rFonts w:ascii="Arial" w:hAnsi="Arial" w:hint="cs"/>
          <w:rtl/>
        </w:rPr>
        <w:t xml:space="preserve"> היא התייחסה לגזר הדין שניתן בעניינו של י</w:t>
      </w:r>
      <w:r>
        <w:rPr>
          <w:rFonts w:ascii="Arial" w:hAnsi="Arial" w:hint="cs"/>
          <w:rtl/>
        </w:rPr>
        <w:t>.כ.</w:t>
      </w:r>
      <w:r w:rsidRPr="00A1361D">
        <w:rPr>
          <w:rFonts w:ascii="Arial" w:hAnsi="Arial" w:hint="cs"/>
          <w:rtl/>
        </w:rPr>
        <w:t xml:space="preserve">, וטענה כי ישנו הבדל מהותי בין הליך זה להליך דנן, שכן שם דובר בקטין בן 15; כתב האישום תוקן כך שהוא הורשע בעבירה של החזקת נשק בלבד ולא נשיאתו; ולאור קשיים ראייתיים הוסכם שירצה 7 חודשי מאסר בפועל בלבד. </w:t>
      </w:r>
      <w:r>
        <w:rPr>
          <w:rFonts w:ascii="Arial" w:hAnsi="Arial" w:hint="cs"/>
          <w:rtl/>
        </w:rPr>
        <w:t>בעוד ש</w:t>
      </w:r>
      <w:r w:rsidRPr="00A1361D">
        <w:rPr>
          <w:rFonts w:ascii="Arial" w:hAnsi="Arial" w:hint="cs"/>
          <w:rtl/>
        </w:rPr>
        <w:t>בעניינ</w:t>
      </w:r>
      <w:r>
        <w:rPr>
          <w:rFonts w:ascii="Arial" w:hAnsi="Arial" w:hint="cs"/>
          <w:rtl/>
        </w:rPr>
        <w:t>נו הנאשם בגיר, אינו</w:t>
      </w:r>
      <w:r w:rsidRPr="00A1361D">
        <w:rPr>
          <w:rFonts w:ascii="Arial" w:hAnsi="Arial" w:hint="cs"/>
          <w:rtl/>
        </w:rPr>
        <w:t xml:space="preserve"> ל</w:t>
      </w:r>
      <w:r>
        <w:rPr>
          <w:rFonts w:ascii="Arial" w:hAnsi="Arial" w:hint="cs"/>
          <w:rtl/>
        </w:rPr>
        <w:t>ו</w:t>
      </w:r>
      <w:r w:rsidRPr="00A1361D">
        <w:rPr>
          <w:rFonts w:ascii="Arial" w:hAnsi="Arial" w:hint="cs"/>
          <w:rtl/>
        </w:rPr>
        <w:t xml:space="preserve">קח אחריות, אלא הודה </w:t>
      </w:r>
      <w:r>
        <w:rPr>
          <w:rFonts w:ascii="Arial" w:hAnsi="Arial" w:hint="cs"/>
          <w:rtl/>
        </w:rPr>
        <w:t>רק בעת</w:t>
      </w:r>
      <w:r w:rsidRPr="00A1361D">
        <w:rPr>
          <w:rFonts w:ascii="Arial" w:hAnsi="Arial" w:hint="cs"/>
          <w:rtl/>
        </w:rPr>
        <w:t xml:space="preserve"> </w:t>
      </w:r>
      <w:r>
        <w:rPr>
          <w:rFonts w:ascii="Arial" w:hAnsi="Arial" w:hint="cs"/>
          <w:rtl/>
        </w:rPr>
        <w:t>ש</w:t>
      </w:r>
      <w:r w:rsidRPr="00A1361D">
        <w:rPr>
          <w:rFonts w:ascii="Arial" w:hAnsi="Arial" w:hint="cs"/>
          <w:rtl/>
        </w:rPr>
        <w:t>קו ההגנה שלו קרס</w:t>
      </w:r>
      <w:r>
        <w:rPr>
          <w:rFonts w:ascii="Arial" w:hAnsi="Arial" w:hint="cs"/>
          <w:rtl/>
        </w:rPr>
        <w:t>,</w:t>
      </w:r>
      <w:r w:rsidRPr="00A1361D">
        <w:rPr>
          <w:rFonts w:ascii="Arial" w:hAnsi="Arial" w:hint="cs"/>
          <w:rtl/>
        </w:rPr>
        <w:t xml:space="preserve"> תוך כדי שהעיד בפרשת ההגנה. </w:t>
      </w:r>
      <w:r>
        <w:rPr>
          <w:rFonts w:ascii="Arial" w:hAnsi="Arial" w:hint="cs"/>
          <w:rtl/>
        </w:rPr>
        <w:t xml:space="preserve">בהתחשב בכל אלה, עתרה </w:t>
      </w:r>
      <w:r w:rsidRPr="00A1361D">
        <w:rPr>
          <w:rFonts w:ascii="Arial" w:hAnsi="Arial" w:hint="cs"/>
          <w:rtl/>
        </w:rPr>
        <w:t xml:space="preserve"> ב"כ המאשימה לקב</w:t>
      </w:r>
      <w:r>
        <w:rPr>
          <w:rFonts w:ascii="Arial" w:hAnsi="Arial" w:hint="cs"/>
          <w:rtl/>
        </w:rPr>
        <w:t>י</w:t>
      </w:r>
      <w:r w:rsidRPr="00A1361D">
        <w:rPr>
          <w:rFonts w:ascii="Arial" w:hAnsi="Arial" w:hint="cs"/>
          <w:rtl/>
        </w:rPr>
        <w:t>ע</w:t>
      </w:r>
      <w:r>
        <w:rPr>
          <w:rFonts w:ascii="Arial" w:hAnsi="Arial" w:hint="cs"/>
          <w:rtl/>
        </w:rPr>
        <w:t>ת</w:t>
      </w:r>
      <w:r w:rsidRPr="00A1361D">
        <w:rPr>
          <w:rFonts w:ascii="Arial" w:hAnsi="Arial" w:hint="cs"/>
          <w:rtl/>
        </w:rPr>
        <w:t xml:space="preserve"> מתחם עונש הולם </w:t>
      </w:r>
      <w:r>
        <w:rPr>
          <w:rFonts w:ascii="Arial" w:hAnsi="Arial" w:hint="cs"/>
          <w:rtl/>
        </w:rPr>
        <w:t>ה</w:t>
      </w:r>
      <w:r w:rsidRPr="00A1361D">
        <w:rPr>
          <w:rFonts w:ascii="Arial" w:hAnsi="Arial" w:hint="cs"/>
          <w:rtl/>
        </w:rPr>
        <w:t>נע בין 30 ל-60 חודשי מאסר בפועל.</w:t>
      </w:r>
    </w:p>
    <w:p w14:paraId="3CA91CD7" w14:textId="77777777" w:rsidR="00E50127" w:rsidRPr="00D70BEC" w:rsidRDefault="00E50127" w:rsidP="00E50127">
      <w:pPr>
        <w:pStyle w:val="a9"/>
        <w:spacing w:line="360" w:lineRule="auto"/>
        <w:rPr>
          <w:rFonts w:ascii="Arial" w:hAnsi="Arial"/>
          <w:sz w:val="12"/>
          <w:szCs w:val="12"/>
          <w:rtl/>
        </w:rPr>
      </w:pPr>
    </w:p>
    <w:p w14:paraId="3EC42DAF" w14:textId="77777777" w:rsidR="00E50127" w:rsidRPr="00A1361D" w:rsidRDefault="00E50127" w:rsidP="00E50127">
      <w:pPr>
        <w:pStyle w:val="a9"/>
        <w:numPr>
          <w:ilvl w:val="0"/>
          <w:numId w:val="1"/>
        </w:numPr>
        <w:spacing w:line="360" w:lineRule="auto"/>
        <w:ind w:left="283" w:hanging="283"/>
        <w:jc w:val="both"/>
        <w:rPr>
          <w:rFonts w:ascii="Arial" w:hAnsi="Arial"/>
        </w:rPr>
      </w:pPr>
      <w:r>
        <w:rPr>
          <w:rFonts w:ascii="Arial" w:hAnsi="Arial" w:hint="cs"/>
          <w:rtl/>
        </w:rPr>
        <w:t>אשר</w:t>
      </w:r>
      <w:r w:rsidRPr="00A1361D">
        <w:rPr>
          <w:rFonts w:ascii="Arial" w:hAnsi="Arial" w:hint="cs"/>
          <w:rtl/>
        </w:rPr>
        <w:t xml:space="preserve"> למיקום עונשו</w:t>
      </w:r>
      <w:r>
        <w:rPr>
          <w:rFonts w:ascii="Arial" w:hAnsi="Arial" w:hint="cs"/>
          <w:rtl/>
        </w:rPr>
        <w:t xml:space="preserve"> של הנאשם בתוך מתחם העונש ההולם-</w:t>
      </w:r>
      <w:r w:rsidRPr="00A1361D">
        <w:rPr>
          <w:rFonts w:ascii="Arial" w:hAnsi="Arial" w:hint="cs"/>
          <w:rtl/>
        </w:rPr>
        <w:t xml:space="preserve"> ציינה ב"כ המאשימה</w:t>
      </w:r>
      <w:r>
        <w:rPr>
          <w:rFonts w:ascii="Arial" w:hAnsi="Arial" w:hint="cs"/>
          <w:rtl/>
        </w:rPr>
        <w:t>,</w:t>
      </w:r>
      <w:r w:rsidRPr="00A1361D">
        <w:rPr>
          <w:rFonts w:ascii="Arial" w:hAnsi="Arial" w:hint="cs"/>
          <w:rtl/>
        </w:rPr>
        <w:t xml:space="preserve"> כי לנאשם עבר פלילי, הגם שהמאסר הצפוי להיגזר עליו במסגרת ההליך דנן הוא מאסרו הראשון. </w:t>
      </w:r>
      <w:r>
        <w:rPr>
          <w:rFonts w:ascii="Arial" w:hAnsi="Arial" w:hint="cs"/>
          <w:rtl/>
        </w:rPr>
        <w:t xml:space="preserve">עוד </w:t>
      </w:r>
      <w:r w:rsidRPr="00A1361D">
        <w:rPr>
          <w:rFonts w:ascii="Arial" w:hAnsi="Arial" w:hint="cs"/>
          <w:rtl/>
        </w:rPr>
        <w:t>ציינה</w:t>
      </w:r>
      <w:r>
        <w:rPr>
          <w:rFonts w:ascii="Arial" w:hAnsi="Arial" w:hint="cs"/>
          <w:rtl/>
        </w:rPr>
        <w:t>,</w:t>
      </w:r>
      <w:r w:rsidRPr="00A1361D">
        <w:rPr>
          <w:rFonts w:ascii="Arial" w:hAnsi="Arial" w:hint="cs"/>
          <w:rtl/>
        </w:rPr>
        <w:t xml:space="preserve"> כי הנאשם עצור בתיק דנן מיום 24.10.23 ותלוי ועומד </w:t>
      </w:r>
      <w:r>
        <w:rPr>
          <w:rFonts w:ascii="Arial" w:hAnsi="Arial" w:hint="cs"/>
          <w:rtl/>
        </w:rPr>
        <w:t>כ</w:t>
      </w:r>
      <w:r w:rsidRPr="00A1361D">
        <w:rPr>
          <w:rFonts w:ascii="Arial" w:hAnsi="Arial" w:hint="cs"/>
          <w:rtl/>
        </w:rPr>
        <w:t>נגדו תיק נוסף. ב"כ המאשימה התייחסה גם לתסקיר שירות המבחן, אשר תיאר סיכון</w:t>
      </w:r>
      <w:r>
        <w:rPr>
          <w:rFonts w:ascii="Arial" w:hAnsi="Arial" w:hint="cs"/>
          <w:rtl/>
        </w:rPr>
        <w:t xml:space="preserve"> גבוה להישנות התנהגות עוברת חוק</w:t>
      </w:r>
      <w:r w:rsidRPr="00A1361D">
        <w:rPr>
          <w:rFonts w:ascii="Arial" w:hAnsi="Arial" w:hint="cs"/>
          <w:rtl/>
        </w:rPr>
        <w:t xml:space="preserve"> וטענה</w:t>
      </w:r>
      <w:r>
        <w:rPr>
          <w:rFonts w:ascii="Arial" w:hAnsi="Arial" w:hint="cs"/>
          <w:rtl/>
        </w:rPr>
        <w:t>,</w:t>
      </w:r>
      <w:r w:rsidRPr="00A1361D">
        <w:rPr>
          <w:rFonts w:ascii="Arial" w:hAnsi="Arial" w:hint="cs"/>
          <w:rtl/>
        </w:rPr>
        <w:t xml:space="preserve"> כי עולה ממנו תמונה מדאיגה לפיה מגיל צעיר הנאשם מסתבך בפלילים ונחשף לדפוסים שוליים שהוטמעו </w:t>
      </w:r>
      <w:r>
        <w:rPr>
          <w:rFonts w:ascii="Arial" w:hAnsi="Arial" w:hint="cs"/>
          <w:rtl/>
        </w:rPr>
        <w:t>בו. לדבריה, מובן שנסיבות חייו אינן</w:t>
      </w:r>
      <w:r w:rsidRPr="00A1361D">
        <w:rPr>
          <w:rFonts w:ascii="Arial" w:hAnsi="Arial" w:hint="cs"/>
          <w:rtl/>
        </w:rPr>
        <w:t xml:space="preserve"> פשוטות, ומדובר במי שהוא כיום בן 20 בלבד, אך הנאשם במשך שנים שב ומסתבך בפלילים בכל סוגי העבירות, כשלא נראה שהוא פועל כדי לצאת ממעגל זה ושולל נזקקות טיפולית, ועל כן יש להגן על הציבור</w:t>
      </w:r>
      <w:r>
        <w:rPr>
          <w:rFonts w:ascii="Arial" w:hAnsi="Arial" w:hint="cs"/>
          <w:rtl/>
        </w:rPr>
        <w:t xml:space="preserve"> מפניו</w:t>
      </w:r>
      <w:r w:rsidRPr="00A1361D">
        <w:rPr>
          <w:rFonts w:ascii="Arial" w:hAnsi="Arial" w:hint="cs"/>
          <w:rtl/>
        </w:rPr>
        <w:t xml:space="preserve">. </w:t>
      </w:r>
    </w:p>
    <w:p w14:paraId="07197AA7" w14:textId="77777777" w:rsidR="00E50127" w:rsidRPr="00A1361D" w:rsidRDefault="00E50127" w:rsidP="00E50127">
      <w:pPr>
        <w:pStyle w:val="a9"/>
        <w:spacing w:line="360" w:lineRule="auto"/>
        <w:rPr>
          <w:rFonts w:ascii="Arial" w:hAnsi="Arial"/>
          <w:sz w:val="12"/>
          <w:szCs w:val="12"/>
          <w:rtl/>
        </w:rPr>
      </w:pPr>
    </w:p>
    <w:p w14:paraId="7783179B" w14:textId="77777777" w:rsidR="00E50127" w:rsidRPr="00A1361D" w:rsidRDefault="00E50127" w:rsidP="00E50127">
      <w:pPr>
        <w:pStyle w:val="a9"/>
        <w:numPr>
          <w:ilvl w:val="0"/>
          <w:numId w:val="1"/>
        </w:numPr>
        <w:spacing w:line="360" w:lineRule="auto"/>
        <w:ind w:left="283" w:hanging="283"/>
        <w:jc w:val="both"/>
        <w:rPr>
          <w:rFonts w:ascii="Arial" w:hAnsi="Arial"/>
        </w:rPr>
      </w:pPr>
      <w:r>
        <w:rPr>
          <w:rFonts w:ascii="Arial" w:hAnsi="Arial" w:hint="cs"/>
          <w:rtl/>
        </w:rPr>
        <w:t>סופו של דבר, סברה</w:t>
      </w:r>
      <w:r w:rsidRPr="00A1361D">
        <w:rPr>
          <w:rFonts w:ascii="Arial" w:hAnsi="Arial" w:hint="cs"/>
          <w:rtl/>
        </w:rPr>
        <w:t xml:space="preserve"> ב"כ המאשימה</w:t>
      </w:r>
      <w:r>
        <w:rPr>
          <w:rFonts w:ascii="Arial" w:hAnsi="Arial" w:hint="cs"/>
          <w:rtl/>
        </w:rPr>
        <w:t>,</w:t>
      </w:r>
      <w:r w:rsidRPr="00A1361D">
        <w:rPr>
          <w:rFonts w:ascii="Arial" w:hAnsi="Arial" w:hint="cs"/>
          <w:rtl/>
        </w:rPr>
        <w:t xml:space="preserve"> כי נוכח המסוכנות הנשקפת מהנאשם, יש צורך ממשי בענישה מרתיעה, ועתרה להטלת עונש של 42 חודשי מאסר בפועל לצד מאסר </w:t>
      </w:r>
      <w:r>
        <w:rPr>
          <w:rFonts w:ascii="Arial" w:hAnsi="Arial" w:hint="cs"/>
          <w:rtl/>
        </w:rPr>
        <w:t>מותנה</w:t>
      </w:r>
      <w:r w:rsidRPr="00A1361D">
        <w:rPr>
          <w:rFonts w:ascii="Arial" w:hAnsi="Arial" w:hint="cs"/>
          <w:rtl/>
        </w:rPr>
        <w:t xml:space="preserve"> ופיצוי הולם למתלוננים.</w:t>
      </w:r>
    </w:p>
    <w:p w14:paraId="7B2D8553" w14:textId="77777777" w:rsidR="00E50127" w:rsidRPr="00A1361D" w:rsidRDefault="00E50127" w:rsidP="00E50127">
      <w:pPr>
        <w:pStyle w:val="a9"/>
        <w:spacing w:line="360" w:lineRule="auto"/>
        <w:rPr>
          <w:rFonts w:ascii="Arial" w:hAnsi="Arial"/>
          <w:sz w:val="12"/>
          <w:szCs w:val="12"/>
          <w:rtl/>
        </w:rPr>
      </w:pPr>
    </w:p>
    <w:p w14:paraId="1C60B046"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מנגד, ב"כ הנאשם טען, כי אף שעבירת הנשק היא העבירה החמורה ביותר שבה הורשע הנאשם</w:t>
      </w:r>
      <w:r>
        <w:rPr>
          <w:rFonts w:ascii="Arial" w:hAnsi="Arial" w:hint="cs"/>
          <w:rtl/>
        </w:rPr>
        <w:t xml:space="preserve"> בתיק בו עסקינן</w:t>
      </w:r>
      <w:r w:rsidRPr="00A1361D">
        <w:rPr>
          <w:rFonts w:ascii="Arial" w:hAnsi="Arial" w:hint="cs"/>
          <w:rtl/>
        </w:rPr>
        <w:t>, למעשה לב האירוע והערך החברתי המרכזי שנפגע הוא שלוות נפשו של האדם, במסגרת עבירת האיומים שביצע הנאשם. לדבריו, נשיאת הנשק, שהוא בענייננו הרימון, לא נועדה להביא לכדי שימוש בו</w:t>
      </w:r>
      <w:r>
        <w:rPr>
          <w:rFonts w:ascii="Arial" w:hAnsi="Arial" w:hint="cs"/>
          <w:rtl/>
        </w:rPr>
        <w:t>,</w:t>
      </w:r>
      <w:r w:rsidRPr="00A1361D">
        <w:rPr>
          <w:rFonts w:ascii="Arial" w:hAnsi="Arial" w:hint="cs"/>
          <w:rtl/>
        </w:rPr>
        <w:t xml:space="preserve"> כשלעצמו</w:t>
      </w:r>
      <w:r>
        <w:rPr>
          <w:rFonts w:ascii="Arial" w:hAnsi="Arial" w:hint="cs"/>
          <w:rtl/>
        </w:rPr>
        <w:t>,</w:t>
      </w:r>
      <w:r w:rsidRPr="00A1361D">
        <w:rPr>
          <w:rFonts w:ascii="Arial" w:hAnsi="Arial" w:hint="cs"/>
          <w:rtl/>
        </w:rPr>
        <w:t xml:space="preserve"> אלא רק היווה כלי להשגת מטרה אחרת, שגם היא מטרה פלילית, אך שונה מהמטרות הרגילות של שימוש בנשק. </w:t>
      </w:r>
      <w:r>
        <w:rPr>
          <w:rFonts w:ascii="Arial" w:hAnsi="Arial" w:hint="cs"/>
          <w:rtl/>
        </w:rPr>
        <w:t>ב"כ הנאשם ציין,</w:t>
      </w:r>
      <w:r w:rsidRPr="00A1361D">
        <w:rPr>
          <w:rFonts w:ascii="Arial" w:hAnsi="Arial" w:hint="cs"/>
          <w:rtl/>
        </w:rPr>
        <w:t xml:space="preserve"> כי א</w:t>
      </w:r>
      <w:r>
        <w:rPr>
          <w:rFonts w:ascii="Arial" w:hAnsi="Arial" w:hint="cs"/>
          <w:rtl/>
        </w:rPr>
        <w:t>ין</w:t>
      </w:r>
      <w:r w:rsidRPr="00A1361D">
        <w:rPr>
          <w:rFonts w:ascii="Arial" w:hAnsi="Arial" w:hint="cs"/>
          <w:rtl/>
        </w:rPr>
        <w:t xml:space="preserve"> מדובר ברימון רסס אלא ברימון הלם</w:t>
      </w:r>
      <w:r>
        <w:rPr>
          <w:rFonts w:ascii="Arial" w:hAnsi="Arial" w:hint="cs"/>
          <w:rtl/>
        </w:rPr>
        <w:t>,</w:t>
      </w:r>
      <w:r w:rsidRPr="00A1361D">
        <w:rPr>
          <w:rFonts w:ascii="Arial" w:hAnsi="Arial" w:hint="cs"/>
          <w:rtl/>
        </w:rPr>
        <w:t xml:space="preserve"> אשר היה נצור ומלכתחילה לא הייתה </w:t>
      </w:r>
      <w:r>
        <w:rPr>
          <w:rFonts w:ascii="Arial" w:hAnsi="Arial" w:hint="cs"/>
          <w:rtl/>
        </w:rPr>
        <w:t xml:space="preserve">כל </w:t>
      </w:r>
      <w:r w:rsidRPr="00A1361D">
        <w:rPr>
          <w:rFonts w:ascii="Arial" w:hAnsi="Arial" w:hint="cs"/>
          <w:rtl/>
        </w:rPr>
        <w:t xml:space="preserve">כוונה להפעילו. </w:t>
      </w:r>
      <w:r>
        <w:rPr>
          <w:rFonts w:ascii="Arial" w:hAnsi="Arial" w:hint="cs"/>
          <w:rtl/>
        </w:rPr>
        <w:t xml:space="preserve">עוד ציין </w:t>
      </w:r>
      <w:r w:rsidRPr="00A1361D">
        <w:rPr>
          <w:rFonts w:ascii="Arial" w:hAnsi="Arial" w:hint="cs"/>
          <w:rtl/>
        </w:rPr>
        <w:t>ב"כ הנאשם</w:t>
      </w:r>
      <w:r>
        <w:rPr>
          <w:rFonts w:ascii="Arial" w:hAnsi="Arial" w:hint="cs"/>
          <w:rtl/>
        </w:rPr>
        <w:t>,</w:t>
      </w:r>
      <w:r w:rsidRPr="00A1361D">
        <w:rPr>
          <w:rFonts w:ascii="Arial" w:hAnsi="Arial" w:hint="cs"/>
          <w:rtl/>
        </w:rPr>
        <w:t xml:space="preserve"> כי לא נטען שהיה סכסוך בין הנאשם למתלונן, והנסיבות מלמדות שאדם אחר הוא זה שעומד מאחורי המעשה, ממש כפי שנקבע בעניינו של </w:t>
      </w:r>
      <w:r>
        <w:rPr>
          <w:rFonts w:ascii="Arial" w:hAnsi="Arial" w:hint="cs"/>
          <w:rtl/>
        </w:rPr>
        <w:t>י.כ.</w:t>
      </w:r>
      <w:r w:rsidRPr="00A1361D">
        <w:rPr>
          <w:rFonts w:ascii="Arial" w:hAnsi="Arial" w:hint="cs"/>
          <w:rtl/>
        </w:rPr>
        <w:t xml:space="preserve"> וכפי שעולה מתצהיר נפגעי העבירה. </w:t>
      </w:r>
    </w:p>
    <w:p w14:paraId="44572F4B" w14:textId="77777777" w:rsidR="00E50127" w:rsidRPr="00A1361D" w:rsidRDefault="00E50127" w:rsidP="00E50127">
      <w:pPr>
        <w:pStyle w:val="a9"/>
        <w:spacing w:line="360" w:lineRule="auto"/>
        <w:rPr>
          <w:rFonts w:ascii="Arial" w:hAnsi="Arial"/>
          <w:sz w:val="12"/>
          <w:szCs w:val="12"/>
          <w:rtl/>
        </w:rPr>
      </w:pPr>
    </w:p>
    <w:p w14:paraId="5FBE1D1F"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בכל הנוגע למדיניות הענישה הנוהגת, טען ב"כ הנאשם</w:t>
      </w:r>
      <w:r>
        <w:rPr>
          <w:rFonts w:ascii="Arial" w:hAnsi="Arial" w:hint="cs"/>
          <w:rtl/>
        </w:rPr>
        <w:t>,</w:t>
      </w:r>
      <w:r w:rsidRPr="00A1361D">
        <w:rPr>
          <w:rFonts w:ascii="Arial" w:hAnsi="Arial" w:hint="cs"/>
          <w:rtl/>
        </w:rPr>
        <w:t xml:space="preserve"> כי חרף ההחמרה בענישה בעבירות נשק, בענייננו מדובר במקרה מיוחד בעל מספר מאפיינים שאינם קיימים בתיקים אחרים, והם: העובדה שנשיאת הנשק שביצע הנאשם קרובה מבחינה מושגית להחזקה, שכן לא מדובר בירי או בסחר; העובדה שמדובר ברימון הלם ולא ברימון רסס; העובדה שהרימון לא התפוצץ ולא הייתה כוונה שהוא יתפוצץ; והעובדה שהרימון הוא שחקן משנה כאשר העבירה המרכזית היא עבירת האיומים. לכן, לשיטתו, יש לבחון את הפסיקה לעניין הענישה </w:t>
      </w:r>
      <w:r>
        <w:rPr>
          <w:rFonts w:ascii="Arial" w:hAnsi="Arial" w:hint="cs"/>
          <w:rtl/>
        </w:rPr>
        <w:t>הנוהגת בשים לב</w:t>
      </w:r>
      <w:r w:rsidRPr="00A1361D">
        <w:rPr>
          <w:rFonts w:ascii="Arial" w:hAnsi="Arial" w:hint="cs"/>
          <w:rtl/>
        </w:rPr>
        <w:t xml:space="preserve"> </w:t>
      </w:r>
      <w:r>
        <w:rPr>
          <w:rFonts w:ascii="Arial" w:hAnsi="Arial" w:hint="cs"/>
          <w:rtl/>
        </w:rPr>
        <w:t>ל</w:t>
      </w:r>
      <w:r w:rsidRPr="00A1361D">
        <w:rPr>
          <w:rFonts w:ascii="Arial" w:hAnsi="Arial" w:hint="cs"/>
          <w:rtl/>
        </w:rPr>
        <w:t xml:space="preserve">מאפיינים אלה, והפנה לפסקי דין שונים </w:t>
      </w:r>
      <w:r>
        <w:rPr>
          <w:rFonts w:ascii="Arial" w:hAnsi="Arial" w:hint="cs"/>
          <w:rtl/>
        </w:rPr>
        <w:t>לתמיכה</w:t>
      </w:r>
      <w:r w:rsidRPr="00A1361D">
        <w:rPr>
          <w:rFonts w:ascii="Arial" w:hAnsi="Arial" w:hint="cs"/>
          <w:rtl/>
        </w:rPr>
        <w:t xml:space="preserve"> </w:t>
      </w:r>
      <w:r>
        <w:rPr>
          <w:rFonts w:ascii="Arial" w:hAnsi="Arial" w:hint="cs"/>
          <w:rtl/>
        </w:rPr>
        <w:t>ב</w:t>
      </w:r>
      <w:r w:rsidRPr="00A1361D">
        <w:rPr>
          <w:rFonts w:ascii="Arial" w:hAnsi="Arial" w:hint="cs"/>
          <w:rtl/>
        </w:rPr>
        <w:t xml:space="preserve">טענתו. הוא הוסיף, כי אף </w:t>
      </w:r>
      <w:r>
        <w:rPr>
          <w:rFonts w:ascii="Arial" w:hAnsi="Arial" w:hint="cs"/>
          <w:rtl/>
        </w:rPr>
        <w:t>שי.כ.</w:t>
      </w:r>
      <w:r w:rsidRPr="00A1361D">
        <w:rPr>
          <w:rFonts w:ascii="Arial" w:hAnsi="Arial" w:hint="cs"/>
          <w:rtl/>
        </w:rPr>
        <w:t xml:space="preserve"> אינו נאשם באותו כתב אישום יחד עם הנאשם, העונש שנגזר עליו מהווה נקודת אחיזה משמעותית והכרחית גם לעניין המתחם שייקבע בעניינו של הנאשם. אשר לנזק שנגרם למתלוננים, ב"כ הנאשם לא חלק על כך שהמשפחה חוותה בהלה וחרדה, </w:t>
      </w:r>
      <w:r>
        <w:rPr>
          <w:rFonts w:ascii="Arial" w:hAnsi="Arial" w:hint="cs"/>
          <w:rtl/>
        </w:rPr>
        <w:t xml:space="preserve">לצד זאת </w:t>
      </w:r>
      <w:r w:rsidRPr="00A1361D">
        <w:rPr>
          <w:rFonts w:ascii="Arial" w:hAnsi="Arial" w:hint="cs"/>
          <w:rtl/>
        </w:rPr>
        <w:t>ציין</w:t>
      </w:r>
      <w:r>
        <w:rPr>
          <w:rFonts w:ascii="Arial" w:hAnsi="Arial" w:hint="cs"/>
          <w:rtl/>
        </w:rPr>
        <w:t>,</w:t>
      </w:r>
      <w:r w:rsidRPr="00A1361D">
        <w:rPr>
          <w:rFonts w:ascii="Arial" w:hAnsi="Arial" w:hint="cs"/>
          <w:rtl/>
        </w:rPr>
        <w:t xml:space="preserve"> כי א</w:t>
      </w:r>
      <w:r>
        <w:rPr>
          <w:rFonts w:ascii="Arial" w:hAnsi="Arial" w:hint="cs"/>
          <w:rtl/>
        </w:rPr>
        <w:t>ין</w:t>
      </w:r>
      <w:r w:rsidRPr="00A1361D">
        <w:rPr>
          <w:rFonts w:ascii="Arial" w:hAnsi="Arial" w:hint="cs"/>
          <w:rtl/>
        </w:rPr>
        <w:t xml:space="preserve"> מדובר בנזק ממשי פיזי וגם לא בנזק נפשי פתולוגי, כך שעל הפיצוי שייפסק להיות מדוד.</w:t>
      </w:r>
    </w:p>
    <w:p w14:paraId="1B70160A" w14:textId="77777777" w:rsidR="00E50127" w:rsidRPr="00A1361D" w:rsidRDefault="00E50127" w:rsidP="00E50127">
      <w:pPr>
        <w:pStyle w:val="a9"/>
        <w:spacing w:line="360" w:lineRule="auto"/>
        <w:rPr>
          <w:rFonts w:ascii="Arial" w:hAnsi="Arial"/>
          <w:sz w:val="12"/>
          <w:szCs w:val="12"/>
          <w:rtl/>
        </w:rPr>
      </w:pPr>
    </w:p>
    <w:p w14:paraId="360A4710"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 xml:space="preserve">לאור כל האמור לעיל, </w:t>
      </w:r>
      <w:r>
        <w:rPr>
          <w:rFonts w:ascii="Arial" w:hAnsi="Arial" w:hint="cs"/>
          <w:rtl/>
        </w:rPr>
        <w:t xml:space="preserve">סבר </w:t>
      </w:r>
      <w:r w:rsidRPr="00A1361D">
        <w:rPr>
          <w:rFonts w:ascii="Arial" w:hAnsi="Arial" w:hint="cs"/>
          <w:rtl/>
        </w:rPr>
        <w:t xml:space="preserve">ב"כ הנאשם סבר </w:t>
      </w:r>
      <w:r>
        <w:rPr>
          <w:rFonts w:ascii="Arial" w:hAnsi="Arial" w:hint="cs"/>
          <w:rtl/>
        </w:rPr>
        <w:t>ש</w:t>
      </w:r>
      <w:r w:rsidRPr="00A1361D">
        <w:rPr>
          <w:rFonts w:ascii="Arial" w:hAnsi="Arial" w:hint="cs"/>
          <w:rtl/>
        </w:rPr>
        <w:t xml:space="preserve">יש לקבוע מתחם עונש הולם </w:t>
      </w:r>
      <w:r>
        <w:rPr>
          <w:rFonts w:ascii="Arial" w:hAnsi="Arial" w:hint="cs"/>
          <w:rtl/>
        </w:rPr>
        <w:t>ה</w:t>
      </w:r>
      <w:r w:rsidRPr="00A1361D">
        <w:rPr>
          <w:rFonts w:ascii="Arial" w:hAnsi="Arial" w:hint="cs"/>
          <w:rtl/>
        </w:rPr>
        <w:t xml:space="preserve">נע בין מאסר שירוצה בעבודות שירות ועד </w:t>
      </w:r>
      <w:r>
        <w:rPr>
          <w:rFonts w:ascii="Arial" w:hAnsi="Arial" w:hint="cs"/>
          <w:rtl/>
        </w:rPr>
        <w:t>ל</w:t>
      </w:r>
      <w:r w:rsidRPr="00A1361D">
        <w:rPr>
          <w:rFonts w:ascii="Arial" w:hAnsi="Arial" w:hint="cs"/>
          <w:rtl/>
        </w:rPr>
        <w:t>מאסר בפועל לתקופה של 20 חודשים. כמו כן, ביחס לפסיקה שהגישה</w:t>
      </w:r>
      <w:r>
        <w:rPr>
          <w:rFonts w:ascii="Arial" w:hAnsi="Arial" w:hint="cs"/>
          <w:rtl/>
        </w:rPr>
        <w:t xml:space="preserve"> ב"כ המאשימה, טען ב"כ הנאשם ש</w:t>
      </w:r>
      <w:r w:rsidRPr="00A1361D">
        <w:rPr>
          <w:rFonts w:ascii="Arial" w:hAnsi="Arial" w:hint="cs"/>
          <w:rtl/>
        </w:rPr>
        <w:t>זו אינה משקפת את מדיניות הענישה הנוהגת.</w:t>
      </w:r>
    </w:p>
    <w:p w14:paraId="43550AF4" w14:textId="77777777" w:rsidR="00E50127" w:rsidRPr="003F3F6C" w:rsidRDefault="00E50127" w:rsidP="00E50127">
      <w:pPr>
        <w:pStyle w:val="a9"/>
        <w:spacing w:line="360" w:lineRule="auto"/>
        <w:rPr>
          <w:rFonts w:ascii="Arial" w:hAnsi="Arial"/>
          <w:sz w:val="12"/>
          <w:szCs w:val="12"/>
          <w:rtl/>
        </w:rPr>
      </w:pPr>
    </w:p>
    <w:p w14:paraId="3091F9D3" w14:textId="77777777" w:rsidR="00E50127" w:rsidRPr="00A1361D" w:rsidRDefault="00E50127" w:rsidP="00E50127">
      <w:pPr>
        <w:pStyle w:val="a9"/>
        <w:numPr>
          <w:ilvl w:val="0"/>
          <w:numId w:val="1"/>
        </w:numPr>
        <w:spacing w:line="360" w:lineRule="auto"/>
        <w:ind w:left="283" w:hanging="283"/>
        <w:jc w:val="both"/>
        <w:rPr>
          <w:rFonts w:ascii="Arial" w:hAnsi="Arial"/>
        </w:rPr>
      </w:pPr>
      <w:r>
        <w:rPr>
          <w:rFonts w:ascii="Arial" w:hAnsi="Arial" w:hint="cs"/>
          <w:rtl/>
        </w:rPr>
        <w:t xml:space="preserve">אשר </w:t>
      </w:r>
      <w:r w:rsidRPr="00A1361D">
        <w:rPr>
          <w:rFonts w:ascii="Arial" w:hAnsi="Arial" w:hint="cs"/>
          <w:rtl/>
        </w:rPr>
        <w:t>לנסיבות שאינן קשורות לביצוע העבירה</w:t>
      </w:r>
      <w:r>
        <w:rPr>
          <w:rFonts w:ascii="Arial" w:hAnsi="Arial" w:hint="cs"/>
          <w:rtl/>
        </w:rPr>
        <w:t>-</w:t>
      </w:r>
      <w:r w:rsidRPr="00A1361D">
        <w:rPr>
          <w:rFonts w:ascii="Arial" w:hAnsi="Arial" w:hint="cs"/>
          <w:rtl/>
        </w:rPr>
        <w:t xml:space="preserve"> נטען</w:t>
      </w:r>
      <w:r>
        <w:rPr>
          <w:rFonts w:ascii="Arial" w:hAnsi="Arial" w:hint="cs"/>
          <w:rtl/>
        </w:rPr>
        <w:t>,</w:t>
      </w:r>
      <w:r w:rsidRPr="00A1361D">
        <w:rPr>
          <w:rFonts w:ascii="Arial" w:hAnsi="Arial" w:hint="cs"/>
          <w:rtl/>
        </w:rPr>
        <w:t xml:space="preserve"> כי אף אם הנאשם הודה כאשר היה עם גבו אל הקי</w:t>
      </w:r>
      <w:r>
        <w:rPr>
          <w:rFonts w:ascii="Arial" w:hAnsi="Arial" w:hint="cs"/>
          <w:rtl/>
        </w:rPr>
        <w:t xml:space="preserve">ר ובסיומה של פרשת ההוכחות, הוא </w:t>
      </w:r>
      <w:r w:rsidRPr="00A1361D">
        <w:rPr>
          <w:rFonts w:ascii="Arial" w:hAnsi="Arial" w:hint="cs"/>
          <w:rtl/>
        </w:rPr>
        <w:t>חסך את</w:t>
      </w:r>
      <w:r>
        <w:rPr>
          <w:rFonts w:ascii="Arial" w:hAnsi="Arial" w:hint="cs"/>
          <w:rtl/>
        </w:rPr>
        <w:t xml:space="preserve"> כתיבת הכרעת הדין, ולק</w:t>
      </w:r>
      <w:r w:rsidRPr="00A1361D">
        <w:rPr>
          <w:rFonts w:ascii="Arial" w:hAnsi="Arial" w:hint="cs"/>
          <w:rtl/>
        </w:rPr>
        <w:t>ח אחריות ממשית</w:t>
      </w:r>
      <w:r>
        <w:rPr>
          <w:rFonts w:ascii="Arial" w:hAnsi="Arial" w:hint="cs"/>
          <w:rtl/>
        </w:rPr>
        <w:t xml:space="preserve"> למעשיו</w:t>
      </w:r>
      <w:r w:rsidRPr="00A1361D">
        <w:rPr>
          <w:rFonts w:ascii="Arial" w:hAnsi="Arial" w:hint="cs"/>
          <w:rtl/>
        </w:rPr>
        <w:t xml:space="preserve">. אף שהודאה בשלב זה אינה שקולה </w:t>
      </w:r>
      <w:r>
        <w:rPr>
          <w:rFonts w:ascii="Arial" w:hAnsi="Arial" w:hint="cs"/>
          <w:rtl/>
        </w:rPr>
        <w:t>ל</w:t>
      </w:r>
      <w:r w:rsidRPr="00A1361D">
        <w:rPr>
          <w:rFonts w:ascii="Arial" w:hAnsi="Arial" w:hint="cs"/>
          <w:rtl/>
        </w:rPr>
        <w:t xml:space="preserve">הודאה </w:t>
      </w:r>
      <w:r>
        <w:rPr>
          <w:rFonts w:ascii="Arial" w:hAnsi="Arial" w:hint="cs"/>
          <w:rtl/>
        </w:rPr>
        <w:t>בתחילת</w:t>
      </w:r>
      <w:r w:rsidRPr="00A1361D">
        <w:rPr>
          <w:rFonts w:ascii="Arial" w:hAnsi="Arial" w:hint="cs"/>
          <w:rtl/>
        </w:rPr>
        <w:t xml:space="preserve"> המשפט, היא עדיין ניתנה ללא הבטחה מצד המדינה, שלא בהסדר טיעון, וסירובו של הנאשם למסור את שמו של האדם ששלח אותו ברור. עוד צוין</w:t>
      </w:r>
      <w:r>
        <w:rPr>
          <w:rFonts w:ascii="Arial" w:hAnsi="Arial" w:hint="cs"/>
          <w:rtl/>
        </w:rPr>
        <w:t>, כי הנאשם שוהה כ</w:t>
      </w:r>
      <w:r w:rsidRPr="00A1361D">
        <w:rPr>
          <w:rFonts w:ascii="Arial" w:hAnsi="Arial" w:hint="cs"/>
          <w:rtl/>
        </w:rPr>
        <w:t>שנה בבית מעצר בתנאים לא פשוטים, וכי העונש שייגזר עליו כעת יהיה מאסרו הראשון. עוד נטען</w:t>
      </w:r>
      <w:r>
        <w:rPr>
          <w:rFonts w:ascii="Arial" w:hAnsi="Arial" w:hint="cs"/>
          <w:rtl/>
        </w:rPr>
        <w:t>,</w:t>
      </w:r>
      <w:r w:rsidRPr="00A1361D">
        <w:rPr>
          <w:rFonts w:ascii="Arial" w:hAnsi="Arial" w:hint="cs"/>
          <w:rtl/>
        </w:rPr>
        <w:t xml:space="preserve"> כי הנאשם אדם צעיר אשר גדל בנסיבות חיים לא פשוטות, אך יש לקוות כי כאשר הוא ייצא מהמאסר הוא יתחיל את חייו מחדש וישתקם. </w:t>
      </w:r>
    </w:p>
    <w:p w14:paraId="6B29DC8E" w14:textId="77777777" w:rsidR="00E50127" w:rsidRPr="00A1361D" w:rsidRDefault="00E50127" w:rsidP="00E50127">
      <w:pPr>
        <w:pStyle w:val="a9"/>
        <w:spacing w:line="360" w:lineRule="auto"/>
        <w:rPr>
          <w:rFonts w:ascii="Arial" w:hAnsi="Arial"/>
          <w:sz w:val="14"/>
          <w:szCs w:val="14"/>
          <w:rtl/>
        </w:rPr>
      </w:pPr>
    </w:p>
    <w:p w14:paraId="3FFF29AC"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 xml:space="preserve">נוכח כל אלה, לרבות העובדה שעבירת האיומים היא העבירה המרכזית בענייננו, </w:t>
      </w:r>
      <w:r>
        <w:rPr>
          <w:rFonts w:ascii="Arial" w:hAnsi="Arial" w:hint="cs"/>
          <w:rtl/>
        </w:rPr>
        <w:t>ו</w:t>
      </w:r>
      <w:r w:rsidRPr="00A1361D">
        <w:rPr>
          <w:rFonts w:ascii="Arial" w:hAnsi="Arial" w:hint="cs"/>
          <w:rtl/>
        </w:rPr>
        <w:t xml:space="preserve">העובדה שמדובר במאסר ראשון, </w:t>
      </w:r>
      <w:r>
        <w:rPr>
          <w:rFonts w:ascii="Arial" w:hAnsi="Arial" w:hint="cs"/>
          <w:rtl/>
        </w:rPr>
        <w:t>ובשים לב ל</w:t>
      </w:r>
      <w:r w:rsidRPr="00A1361D">
        <w:rPr>
          <w:rFonts w:ascii="Arial" w:hAnsi="Arial" w:hint="cs"/>
          <w:rtl/>
        </w:rPr>
        <w:t>תקופת המעצר הממושכת</w:t>
      </w:r>
      <w:r>
        <w:rPr>
          <w:rFonts w:ascii="Arial" w:hAnsi="Arial" w:hint="cs"/>
          <w:rtl/>
        </w:rPr>
        <w:t xml:space="preserve"> בה שהה הנאשם</w:t>
      </w:r>
      <w:r w:rsidRPr="00A1361D">
        <w:rPr>
          <w:rFonts w:ascii="Arial" w:hAnsi="Arial" w:hint="cs"/>
          <w:rtl/>
        </w:rPr>
        <w:t>, ההודאה ומדיניות הענישה</w:t>
      </w:r>
      <w:r>
        <w:rPr>
          <w:rFonts w:ascii="Arial" w:hAnsi="Arial" w:hint="cs"/>
          <w:rtl/>
        </w:rPr>
        <w:t xml:space="preserve"> הנוהגת</w:t>
      </w:r>
      <w:r w:rsidRPr="00A1361D">
        <w:rPr>
          <w:rFonts w:ascii="Arial" w:hAnsi="Arial" w:hint="cs"/>
          <w:rtl/>
        </w:rPr>
        <w:t xml:space="preserve">, </w:t>
      </w:r>
      <w:r>
        <w:rPr>
          <w:rFonts w:ascii="Arial" w:hAnsi="Arial" w:hint="cs"/>
          <w:rtl/>
        </w:rPr>
        <w:t xml:space="preserve">עתר </w:t>
      </w:r>
      <w:r w:rsidRPr="00A1361D">
        <w:rPr>
          <w:rFonts w:ascii="Arial" w:hAnsi="Arial" w:hint="cs"/>
          <w:rtl/>
        </w:rPr>
        <w:t>ב"כ הנאשם לגזירת עונש של 12 חודשי מאסר בפועל בצירוף עונשים נלווים.</w:t>
      </w:r>
    </w:p>
    <w:p w14:paraId="3AEE8F84" w14:textId="77777777" w:rsidR="00E50127" w:rsidRPr="00A1361D" w:rsidRDefault="00E50127" w:rsidP="00E50127">
      <w:pPr>
        <w:pStyle w:val="a9"/>
        <w:spacing w:line="360" w:lineRule="auto"/>
        <w:rPr>
          <w:rFonts w:ascii="Arial" w:hAnsi="Arial"/>
          <w:sz w:val="12"/>
          <w:szCs w:val="12"/>
          <w:rtl/>
        </w:rPr>
      </w:pPr>
    </w:p>
    <w:p w14:paraId="6D04813C" w14:textId="77777777" w:rsidR="00E50127" w:rsidRPr="00A1361D" w:rsidRDefault="00E50127" w:rsidP="00E50127">
      <w:pPr>
        <w:pStyle w:val="a9"/>
        <w:numPr>
          <w:ilvl w:val="0"/>
          <w:numId w:val="1"/>
        </w:numPr>
        <w:spacing w:line="360" w:lineRule="auto"/>
        <w:ind w:left="283" w:hanging="283"/>
        <w:jc w:val="both"/>
        <w:rPr>
          <w:rFonts w:ascii="Arial" w:hAnsi="Arial"/>
          <w:rtl/>
        </w:rPr>
      </w:pPr>
      <w:r w:rsidRPr="00A1361D">
        <w:rPr>
          <w:rFonts w:ascii="Arial" w:hAnsi="Arial" w:hint="cs"/>
          <w:rtl/>
        </w:rPr>
        <w:t xml:space="preserve">הנאשם בדבריו האחרונים לבית המשפט </w:t>
      </w:r>
      <w:r>
        <w:rPr>
          <w:rFonts w:ascii="Arial" w:hAnsi="Arial" w:hint="cs"/>
          <w:rtl/>
        </w:rPr>
        <w:t>מס</w:t>
      </w:r>
      <w:r w:rsidRPr="00A1361D">
        <w:rPr>
          <w:rFonts w:ascii="Arial" w:hAnsi="Arial" w:hint="cs"/>
          <w:rtl/>
        </w:rPr>
        <w:t>ר</w:t>
      </w:r>
      <w:r>
        <w:rPr>
          <w:rFonts w:ascii="Arial" w:hAnsi="Arial" w:hint="cs"/>
          <w:rtl/>
        </w:rPr>
        <w:t>,</w:t>
      </w:r>
      <w:r w:rsidRPr="00A1361D">
        <w:rPr>
          <w:rFonts w:ascii="Arial" w:hAnsi="Arial" w:hint="cs"/>
          <w:rtl/>
        </w:rPr>
        <w:t xml:space="preserve"> כי הוא לוקח אחריות על כך ששיקר בעדותו בבית המשפט בטרם הודה בעובדות כתב האישום. כמו כן</w:t>
      </w:r>
      <w:r>
        <w:rPr>
          <w:rFonts w:ascii="Arial" w:hAnsi="Arial" w:hint="cs"/>
          <w:rtl/>
        </w:rPr>
        <w:t>,</w:t>
      </w:r>
      <w:r w:rsidRPr="00A1361D">
        <w:rPr>
          <w:rFonts w:ascii="Arial" w:hAnsi="Arial" w:hint="cs"/>
          <w:rtl/>
        </w:rPr>
        <w:t xml:space="preserve"> לקח הנאשם </w:t>
      </w:r>
      <w:r>
        <w:rPr>
          <w:rFonts w:ascii="Arial" w:hAnsi="Arial" w:hint="cs"/>
          <w:rtl/>
        </w:rPr>
        <w:t xml:space="preserve">אחריות </w:t>
      </w:r>
      <w:r w:rsidRPr="00A1361D">
        <w:rPr>
          <w:rFonts w:ascii="Arial" w:hAnsi="Arial" w:hint="cs"/>
          <w:rtl/>
        </w:rPr>
        <w:t>למעשיו, ובהם זריקת הרימון לעבר ביתם של המתלוננים</w:t>
      </w:r>
      <w:r>
        <w:rPr>
          <w:rFonts w:ascii="Arial" w:hAnsi="Arial" w:hint="cs"/>
          <w:rtl/>
        </w:rPr>
        <w:t>,</w:t>
      </w:r>
      <w:r w:rsidRPr="00A1361D">
        <w:rPr>
          <w:rFonts w:ascii="Arial" w:hAnsi="Arial" w:hint="cs"/>
          <w:rtl/>
        </w:rPr>
        <w:t xml:space="preserve"> ומסר שהוא מצטער אם מישהו נבהל מכך. הנאשם הוסיף</w:t>
      </w:r>
      <w:r>
        <w:rPr>
          <w:rFonts w:ascii="Arial" w:hAnsi="Arial" w:hint="cs"/>
          <w:rtl/>
        </w:rPr>
        <w:t>,</w:t>
      </w:r>
      <w:r w:rsidRPr="00A1361D">
        <w:rPr>
          <w:rFonts w:ascii="Arial" w:hAnsi="Arial" w:hint="cs"/>
          <w:rtl/>
        </w:rPr>
        <w:t xml:space="preserve"> כי הוא מעוניין לעשות שינוי בחייו וביקש שתינתן לו ההזדמנות לעשות כן.</w:t>
      </w:r>
    </w:p>
    <w:p w14:paraId="60DEC32C" w14:textId="77777777" w:rsidR="00E50127" w:rsidRPr="00A1361D" w:rsidRDefault="00E50127" w:rsidP="00E50127">
      <w:pPr>
        <w:spacing w:line="360" w:lineRule="auto"/>
        <w:jc w:val="both"/>
        <w:rPr>
          <w:rFonts w:ascii="Arial" w:hAnsi="Arial"/>
          <w:rtl/>
        </w:rPr>
      </w:pPr>
    </w:p>
    <w:p w14:paraId="5CF249DF" w14:textId="77777777" w:rsidR="00E50127" w:rsidRDefault="00E50127" w:rsidP="00E50127">
      <w:pPr>
        <w:spacing w:line="360" w:lineRule="auto"/>
        <w:jc w:val="both"/>
        <w:rPr>
          <w:rFonts w:ascii="Arial" w:hAnsi="Arial"/>
          <w:b/>
          <w:bCs/>
          <w:u w:val="single"/>
          <w:rtl/>
        </w:rPr>
      </w:pPr>
    </w:p>
    <w:p w14:paraId="5608D683" w14:textId="77777777" w:rsidR="00E50127" w:rsidRPr="00A1361D" w:rsidRDefault="00E50127" w:rsidP="00E50127">
      <w:pPr>
        <w:spacing w:line="360" w:lineRule="auto"/>
        <w:jc w:val="both"/>
        <w:rPr>
          <w:rFonts w:ascii="Arial" w:hAnsi="Arial"/>
          <w:b/>
          <w:bCs/>
          <w:u w:val="single"/>
          <w:rtl/>
        </w:rPr>
      </w:pPr>
      <w:r w:rsidRPr="00A1361D">
        <w:rPr>
          <w:rFonts w:ascii="Arial" w:hAnsi="Arial" w:hint="cs"/>
          <w:b/>
          <w:bCs/>
          <w:u w:val="single"/>
          <w:rtl/>
        </w:rPr>
        <w:t>דיון והכרעה</w:t>
      </w:r>
    </w:p>
    <w:p w14:paraId="2C1A4C03" w14:textId="77777777" w:rsidR="00E50127" w:rsidRPr="008F3A23" w:rsidRDefault="00E50127" w:rsidP="00E50127">
      <w:pPr>
        <w:spacing w:line="360" w:lineRule="auto"/>
        <w:jc w:val="both"/>
        <w:rPr>
          <w:rFonts w:ascii="Arial" w:hAnsi="Arial"/>
          <w:b/>
          <w:bCs/>
          <w:sz w:val="12"/>
          <w:szCs w:val="12"/>
          <w:u w:val="single"/>
          <w:rtl/>
        </w:rPr>
      </w:pPr>
    </w:p>
    <w:p w14:paraId="07E2E290" w14:textId="77777777" w:rsidR="00E50127" w:rsidRPr="00A1361D" w:rsidRDefault="00E50127" w:rsidP="00E50127">
      <w:pPr>
        <w:spacing w:line="360" w:lineRule="auto"/>
        <w:jc w:val="both"/>
        <w:rPr>
          <w:rFonts w:ascii="Arial" w:hAnsi="Arial"/>
          <w:b/>
          <w:bCs/>
          <w:u w:val="single"/>
        </w:rPr>
      </w:pPr>
      <w:r w:rsidRPr="00A1361D">
        <w:rPr>
          <w:rFonts w:ascii="Arial" w:hAnsi="Arial" w:hint="cs"/>
          <w:b/>
          <w:bCs/>
          <w:u w:val="single"/>
          <w:rtl/>
        </w:rPr>
        <w:t>מתחם העונש ההולם</w:t>
      </w:r>
    </w:p>
    <w:p w14:paraId="261A6F21"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rtl/>
        </w:rPr>
        <w:t xml:space="preserve">בהתאם </w:t>
      </w:r>
      <w:hyperlink r:id="rId18" w:history="1">
        <w:r w:rsidR="00D6089D" w:rsidRPr="00D6089D">
          <w:rPr>
            <w:rStyle w:val="Hyperlink"/>
            <w:rFonts w:ascii="Arial" w:hAnsi="Arial"/>
            <w:color w:val="0000FF"/>
            <w:rtl/>
          </w:rPr>
          <w:t>לסעיף 40ב</w:t>
        </w:r>
      </w:hyperlink>
      <w:r w:rsidRPr="00A1361D">
        <w:rPr>
          <w:rFonts w:ascii="Arial" w:hAnsi="Arial"/>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5F25FD08" w14:textId="77777777" w:rsidR="00E50127" w:rsidRPr="00A1361D" w:rsidRDefault="00E50127" w:rsidP="00E50127">
      <w:pPr>
        <w:pStyle w:val="a9"/>
        <w:spacing w:line="360" w:lineRule="auto"/>
        <w:ind w:left="283"/>
        <w:jc w:val="both"/>
        <w:rPr>
          <w:rFonts w:ascii="Arial" w:hAnsi="Arial"/>
          <w:sz w:val="12"/>
          <w:szCs w:val="12"/>
        </w:rPr>
      </w:pPr>
    </w:p>
    <w:p w14:paraId="4F691703"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rtl/>
        </w:rPr>
        <w:t>הערכים החברתיים עליהם יש להגן מפני אלה המבצעים עבירות בנשק, הם הגנה על שלום הציבור וביטחונו, שמירה על שלמות גופו ורכושו של אדם ומניעת פגיעה משמעותית בהם כתוצאה משימוש בנשק חם.</w:t>
      </w:r>
      <w:r w:rsidRPr="00A1361D">
        <w:rPr>
          <w:rFonts w:ascii="Arial" w:hAnsi="Arial" w:hint="cs"/>
          <w:rtl/>
        </w:rPr>
        <w:t xml:space="preserve"> </w:t>
      </w:r>
      <w:r w:rsidRPr="00A1361D">
        <w:rPr>
          <w:rFonts w:ascii="Arial" w:hAnsi="Arial"/>
          <w:rtl/>
        </w:rPr>
        <w:t>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r w:rsidRPr="00A1361D">
        <w:rPr>
          <w:rFonts w:ascii="Arial" w:hAnsi="Arial" w:hint="cs"/>
          <w:rtl/>
        </w:rPr>
        <w:t>.</w:t>
      </w:r>
    </w:p>
    <w:p w14:paraId="0DA4B8A4" w14:textId="77777777" w:rsidR="00E50127" w:rsidRPr="00A1361D" w:rsidRDefault="00E50127" w:rsidP="00E50127">
      <w:pPr>
        <w:pStyle w:val="a9"/>
        <w:spacing w:line="360" w:lineRule="auto"/>
        <w:rPr>
          <w:rFonts w:ascii="Arial" w:hAnsi="Arial"/>
          <w:sz w:val="12"/>
          <w:szCs w:val="12"/>
          <w:rtl/>
        </w:rPr>
      </w:pPr>
    </w:p>
    <w:p w14:paraId="034C2A4C" w14:textId="77777777" w:rsidR="00E50127" w:rsidRPr="00A1361D" w:rsidRDefault="00E50127" w:rsidP="00E50127">
      <w:pPr>
        <w:pStyle w:val="a9"/>
        <w:numPr>
          <w:ilvl w:val="0"/>
          <w:numId w:val="1"/>
        </w:numPr>
        <w:spacing w:line="360" w:lineRule="auto"/>
        <w:ind w:left="283" w:hanging="283"/>
        <w:jc w:val="both"/>
        <w:rPr>
          <w:rFonts w:ascii="Arial" w:hAnsi="Arial"/>
          <w:rtl/>
        </w:rPr>
      </w:pPr>
      <w:r w:rsidRPr="00A1361D">
        <w:rPr>
          <w:rFonts w:ascii="Arial" w:hAnsi="Arial" w:hint="cs"/>
          <w:rtl/>
        </w:rPr>
        <w:t>על ע</w:t>
      </w:r>
      <w:r>
        <w:rPr>
          <w:rFonts w:ascii="Arial" w:hAnsi="Arial" w:hint="cs"/>
          <w:rtl/>
        </w:rPr>
        <w:t>ו</w:t>
      </w:r>
      <w:r w:rsidRPr="00A1361D">
        <w:rPr>
          <w:rFonts w:ascii="Arial" w:hAnsi="Arial" w:hint="cs"/>
          <w:rtl/>
        </w:rPr>
        <w:t>צמת הערך המוגן, ניתן ללמוד מכך שהעונש המרבי הקבוע לצדה של עבירת נשיאת הנשק עומד על 10 שנות מאסר.</w:t>
      </w:r>
      <w:r w:rsidRPr="00A1361D">
        <w:rPr>
          <w:rFonts w:ascii="David" w:hAnsi="David"/>
          <w:rtl/>
        </w:rPr>
        <w:t xml:space="preserve"> עבירות הנשק עלולות להביא, בסופו של יום, לביצוע עבירות שלצדן אלימות קשה, ואף חלילה לקיפוד חיי אדם, וכן עלול להיגרם נזק גדול לביטחון המדינה. </w:t>
      </w:r>
      <w:r w:rsidRPr="00A1361D">
        <w:rPr>
          <w:rFonts w:ascii="David" w:hAnsi="David" w:hint="cs"/>
          <w:rtl/>
        </w:rPr>
        <w:t>באחת הפרשות ציין בית המשפט העליון כי עבירות הנשק "</w:t>
      </w:r>
      <w:r w:rsidRPr="00A1361D">
        <w:rPr>
          <w:rFonts w:ascii="Arial" w:hAnsi="Arial"/>
          <w:b/>
          <w:bCs/>
          <w:rtl/>
        </w:rPr>
        <w:t>הפכו זה מכבר ל"מכת מדינה" בחברה הישראלית [...]. הן מסכנות את שלום הציבור, גם בהיותן "קרקע פורייה" לביצוע עבירות אחרות – החל מעבירות איומים וכלה בעבירות המתה, ובשל יכולתן לגרום לפגיעות בגוף ובנפש"</w:t>
      </w:r>
      <w:r w:rsidRPr="00A1361D">
        <w:rPr>
          <w:rFonts w:ascii="Arial" w:hAnsi="Arial" w:hint="cs"/>
          <w:b/>
          <w:bCs/>
          <w:rtl/>
        </w:rPr>
        <w:t xml:space="preserve"> </w:t>
      </w:r>
      <w:r w:rsidRPr="00A1361D">
        <w:rPr>
          <w:rFonts w:ascii="Arial" w:hAnsi="Arial" w:hint="cs"/>
          <w:rtl/>
        </w:rPr>
        <w:t>(</w:t>
      </w:r>
      <w:hyperlink r:id="rId19" w:history="1">
        <w:r w:rsidR="00CD0F0B" w:rsidRPr="00CD0F0B">
          <w:rPr>
            <w:rFonts w:ascii="Arial" w:hAnsi="Arial"/>
            <w:color w:val="0000FF"/>
            <w:u w:val="single"/>
            <w:rtl/>
          </w:rPr>
          <w:t>ע"פ 2165/23</w:t>
        </w:r>
      </w:hyperlink>
      <w:r w:rsidRPr="00A1361D">
        <w:rPr>
          <w:rFonts w:ascii="Arial" w:hAnsi="Arial"/>
          <w:rtl/>
        </w:rPr>
        <w:t xml:space="preserve"> </w:t>
      </w:r>
      <w:r w:rsidRPr="00A1361D">
        <w:rPr>
          <w:rFonts w:ascii="Arial" w:hAnsi="Arial"/>
          <w:b/>
          <w:bCs/>
          <w:rtl/>
        </w:rPr>
        <w:t>מדינת ישראל נ' פלאח בלאל</w:t>
      </w:r>
      <w:r w:rsidRPr="00A1361D">
        <w:rPr>
          <w:rFonts w:ascii="Arial" w:hAnsi="Arial" w:hint="cs"/>
          <w:rtl/>
        </w:rPr>
        <w:t>, פסקה 10</w:t>
      </w:r>
      <w:r w:rsidRPr="00A1361D">
        <w:rPr>
          <w:rFonts w:ascii="Arial" w:hAnsi="Arial"/>
          <w:rtl/>
        </w:rPr>
        <w:t xml:space="preserve"> (4.5.23</w:t>
      </w:r>
      <w:r w:rsidRPr="00A1361D">
        <w:rPr>
          <w:rFonts w:ascii="Arial" w:hAnsi="Arial" w:hint="cs"/>
          <w:rtl/>
        </w:rPr>
        <w:t>)). עוד הודגש</w:t>
      </w:r>
      <w:r>
        <w:rPr>
          <w:rFonts w:ascii="Arial" w:hAnsi="Arial" w:hint="cs"/>
          <w:rtl/>
        </w:rPr>
        <w:t>,</w:t>
      </w:r>
      <w:r w:rsidRPr="00A1361D">
        <w:rPr>
          <w:rFonts w:ascii="Arial" w:hAnsi="Arial" w:hint="cs"/>
          <w:rtl/>
        </w:rPr>
        <w:t xml:space="preserve"> כי "</w:t>
      </w:r>
      <w:r w:rsidRPr="00A1361D">
        <w:rPr>
          <w:rFonts w:ascii="Arial" w:hAnsi="Arial"/>
          <w:b/>
          <w:bCs/>
          <w:rtl/>
        </w:rPr>
        <w:t>חומרה מיוחדת מיוחסת בפסיקת בית משפט זה לאותם מקרים שבהם השימוש בנשק חם נעשה בתוך שטח עירוני ובסביבת בתי מגורים</w:t>
      </w:r>
      <w:r w:rsidRPr="00A1361D">
        <w:rPr>
          <w:rFonts w:ascii="Arial" w:hAnsi="Arial" w:hint="cs"/>
          <w:b/>
          <w:bCs/>
          <w:rtl/>
        </w:rPr>
        <w:t>"</w:t>
      </w:r>
      <w:r w:rsidRPr="00A1361D">
        <w:rPr>
          <w:rFonts w:ascii="Arial" w:hAnsi="Arial" w:hint="cs"/>
          <w:rtl/>
        </w:rPr>
        <w:t xml:space="preserve"> (</w:t>
      </w:r>
      <w:hyperlink r:id="rId20" w:history="1">
        <w:r w:rsidR="00CD0F0B" w:rsidRPr="00CD0F0B">
          <w:rPr>
            <w:color w:val="0000FF"/>
            <w:u w:val="single"/>
            <w:rtl/>
          </w:rPr>
          <w:t>ע"פ 4377/16</w:t>
        </w:r>
      </w:hyperlink>
      <w:r w:rsidRPr="00A1361D">
        <w:rPr>
          <w:rtl/>
        </w:rPr>
        <w:t xml:space="preserve"> </w:t>
      </w:r>
      <w:r w:rsidRPr="00A1361D">
        <w:rPr>
          <w:b/>
          <w:bCs/>
          <w:rtl/>
        </w:rPr>
        <w:t>רמדאן תורק נ' מדינת</w:t>
      </w:r>
      <w:r w:rsidRPr="00A1361D">
        <w:rPr>
          <w:rFonts w:hint="cs"/>
          <w:rtl/>
        </w:rPr>
        <w:t xml:space="preserve"> </w:t>
      </w:r>
      <w:r w:rsidRPr="00A1361D">
        <w:rPr>
          <w:rFonts w:hint="cs"/>
          <w:b/>
          <w:bCs/>
          <w:rtl/>
        </w:rPr>
        <w:t>ישראל</w:t>
      </w:r>
      <w:r w:rsidRPr="00A1361D">
        <w:rPr>
          <w:rFonts w:hint="cs"/>
          <w:rtl/>
        </w:rPr>
        <w:t>, פסקה 18</w:t>
      </w:r>
      <w:r w:rsidRPr="00A1361D">
        <w:rPr>
          <w:rtl/>
        </w:rPr>
        <w:t xml:space="preserve"> </w:t>
      </w:r>
      <w:r w:rsidRPr="00A1361D">
        <w:rPr>
          <w:rFonts w:hint="cs"/>
          <w:rtl/>
        </w:rPr>
        <w:t>(6.10.16)</w:t>
      </w:r>
      <w:r w:rsidRPr="00A1361D">
        <w:rPr>
          <w:rtl/>
        </w:rPr>
        <w:t>)</w:t>
      </w:r>
      <w:r w:rsidRPr="00A1361D">
        <w:rPr>
          <w:rFonts w:hint="cs"/>
          <w:rtl/>
        </w:rPr>
        <w:t>.</w:t>
      </w:r>
    </w:p>
    <w:p w14:paraId="1BFF5A5D" w14:textId="77777777" w:rsidR="00E50127" w:rsidRPr="00A1361D" w:rsidRDefault="00E50127" w:rsidP="00E50127">
      <w:pPr>
        <w:pStyle w:val="a9"/>
        <w:spacing w:line="360" w:lineRule="auto"/>
        <w:rPr>
          <w:rFonts w:ascii="Arial" w:hAnsi="Arial"/>
          <w:sz w:val="12"/>
          <w:szCs w:val="12"/>
          <w:rtl/>
        </w:rPr>
      </w:pPr>
    </w:p>
    <w:p w14:paraId="2E3A5078"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tl/>
        </w:rPr>
        <w:t>הערך החברתי המוגן שנפגע כתוצאה מביצוע עבירת האיומים הוא הגנה על שלוות נפשו של הפרט ושלמות גופו וחירותו. ערך מוגן עקיף הנובע מהגנה</w:t>
      </w:r>
      <w:r>
        <w:rPr>
          <w:rtl/>
        </w:rPr>
        <w:t xml:space="preserve"> על החירות ה</w:t>
      </w:r>
      <w:r w:rsidRPr="00A1361D">
        <w:rPr>
          <w:rtl/>
        </w:rPr>
        <w:t>ו</w:t>
      </w:r>
      <w:r>
        <w:rPr>
          <w:rFonts w:hint="cs"/>
          <w:rtl/>
        </w:rPr>
        <w:t>א</w:t>
      </w:r>
      <w:r w:rsidRPr="00A1361D">
        <w:rPr>
          <w:rtl/>
        </w:rPr>
        <w:t xml:space="preserve"> חופש הפעולה והבחירה של הפרט. בתי המשפט עמדו זה מכבר על החומרה הנובעת מעבירת האיומים בשל המסוכנות הטבועה בה בהתייחס להוצאת דברי האיומים מן הכ</w:t>
      </w:r>
      <w:r w:rsidRPr="00A1361D">
        <w:rPr>
          <w:rFonts w:hint="cs"/>
          <w:rtl/>
        </w:rPr>
        <w:t>ו</w:t>
      </w:r>
      <w:r w:rsidRPr="00A1361D">
        <w:rPr>
          <w:rtl/>
        </w:rPr>
        <w:t>ח אל הפועל ולהיותם מעשי בריונות לשמה</w:t>
      </w:r>
      <w:r w:rsidRPr="00A1361D">
        <w:t>.</w:t>
      </w:r>
    </w:p>
    <w:p w14:paraId="0E2DDC4B" w14:textId="77777777" w:rsidR="00E50127" w:rsidRPr="00A1361D" w:rsidRDefault="00E50127" w:rsidP="00E50127">
      <w:pPr>
        <w:pStyle w:val="a9"/>
        <w:spacing w:line="360" w:lineRule="auto"/>
        <w:rPr>
          <w:rFonts w:ascii="David" w:hAnsi="David"/>
          <w:sz w:val="12"/>
          <w:szCs w:val="12"/>
          <w:rtl/>
        </w:rPr>
      </w:pPr>
    </w:p>
    <w:p w14:paraId="1068F4C7"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David" w:hAnsi="David"/>
          <w:rtl/>
        </w:rPr>
        <w:t>ב</w:t>
      </w:r>
      <w:hyperlink r:id="rId21" w:history="1">
        <w:r w:rsidR="00CD0F0B" w:rsidRPr="00CD0F0B">
          <w:rPr>
            <w:rFonts w:ascii="David" w:hAnsi="David"/>
            <w:color w:val="0000FF"/>
            <w:u w:val="single"/>
            <w:rtl/>
          </w:rPr>
          <w:t>ע"פ 103/88</w:t>
        </w:r>
      </w:hyperlink>
      <w:r w:rsidRPr="00A1361D">
        <w:rPr>
          <w:rFonts w:ascii="David" w:hAnsi="David"/>
          <w:rtl/>
        </w:rPr>
        <w:t xml:space="preserve"> </w:t>
      </w:r>
      <w:r w:rsidRPr="00A1361D">
        <w:rPr>
          <w:rFonts w:ascii="David" w:hAnsi="David"/>
          <w:b/>
          <w:bCs/>
          <w:rtl/>
        </w:rPr>
        <w:t>ליכטמן נ' מדינת ישרא</w:t>
      </w:r>
      <w:r w:rsidRPr="00A1361D">
        <w:rPr>
          <w:rFonts w:ascii="David" w:hAnsi="David" w:hint="cs"/>
          <w:b/>
          <w:bCs/>
          <w:rtl/>
        </w:rPr>
        <w:t>ל</w:t>
      </w:r>
      <w:r w:rsidRPr="00A1361D">
        <w:rPr>
          <w:rFonts w:ascii="David" w:hAnsi="David" w:hint="cs"/>
          <w:rtl/>
        </w:rPr>
        <w:t xml:space="preserve"> (6.9.89) </w:t>
      </w:r>
      <w:r w:rsidRPr="00A1361D">
        <w:rPr>
          <w:rFonts w:ascii="David" w:hAnsi="David"/>
          <w:rtl/>
        </w:rPr>
        <w:t>בית המשפט העליון קבע</w:t>
      </w:r>
      <w:r w:rsidRPr="00A1361D">
        <w:rPr>
          <w:rFonts w:ascii="David" w:hAnsi="David" w:hint="cs"/>
          <w:rtl/>
        </w:rPr>
        <w:t>,</w:t>
      </w:r>
      <w:r w:rsidRPr="00A1361D">
        <w:rPr>
          <w:rFonts w:ascii="David" w:hAnsi="David"/>
          <w:rtl/>
        </w:rPr>
        <w:t xml:space="preserve"> כי: </w:t>
      </w:r>
      <w:r w:rsidRPr="00A1361D">
        <w:rPr>
          <w:rFonts w:ascii="David" w:hAnsi="David"/>
          <w:b/>
          <w:bCs/>
          <w:rtl/>
        </w:rPr>
        <w:t>"אינטרס החברה הוא להגן על שלוות נפשו של הפרט</w:t>
      </w:r>
      <w:r w:rsidRPr="00A1361D">
        <w:rPr>
          <w:rFonts w:ascii="David" w:hAnsi="David" w:hint="cs"/>
          <w:b/>
          <w:bCs/>
          <w:rtl/>
        </w:rPr>
        <w:t xml:space="preserve"> [</w:t>
      </w:r>
      <w:r w:rsidRPr="00A1361D">
        <w:rPr>
          <w:rFonts w:ascii="David" w:hAnsi="David"/>
          <w:b/>
          <w:bCs/>
          <w:rtl/>
        </w:rPr>
        <w:t>...</w:t>
      </w:r>
      <w:r w:rsidRPr="00A1361D">
        <w:rPr>
          <w:rFonts w:ascii="David" w:hAnsi="David" w:hint="cs"/>
          <w:b/>
          <w:bCs/>
          <w:rtl/>
        </w:rPr>
        <w:t xml:space="preserve">] </w:t>
      </w:r>
      <w:r w:rsidRPr="00A1361D">
        <w:rPr>
          <w:rFonts w:ascii="David" w:hAnsi="David"/>
          <w:b/>
          <w:bCs/>
          <w:rtl/>
        </w:rPr>
        <w:t>מפני מעשי הפחדה והקנטה שלא כדין, אינטרס חברתי נוסף אף הוא מוגן בעקיפין בעבירה זו, והוא נוגע לחופש הפעולה של הפרט</w:t>
      </w:r>
      <w:r w:rsidRPr="00A1361D">
        <w:rPr>
          <w:rFonts w:ascii="David" w:hAnsi="David" w:hint="cs"/>
          <w:b/>
          <w:bCs/>
          <w:rtl/>
        </w:rPr>
        <w:t xml:space="preserve"> [</w:t>
      </w:r>
      <w:r w:rsidRPr="00A1361D">
        <w:rPr>
          <w:rFonts w:ascii="David" w:hAnsi="David"/>
          <w:b/>
          <w:bCs/>
          <w:rtl/>
        </w:rPr>
        <w:t>...</w:t>
      </w:r>
      <w:r w:rsidRPr="00A1361D">
        <w:rPr>
          <w:rFonts w:ascii="David" w:hAnsi="David" w:hint="cs"/>
          <w:b/>
          <w:bCs/>
          <w:rtl/>
        </w:rPr>
        <w:t>]</w:t>
      </w:r>
      <w:r w:rsidRPr="00A1361D">
        <w:rPr>
          <w:rFonts w:ascii="David" w:hAnsi="David"/>
          <w:b/>
          <w:bCs/>
          <w:rtl/>
        </w:rPr>
        <w:t xml:space="preserve"> וידוע הוא שבמקרים רבים מושמעים איומים </w:t>
      </w:r>
      <w:r w:rsidRPr="00A1361D">
        <w:rPr>
          <w:rFonts w:ascii="David" w:hAnsi="David"/>
          <w:b/>
          <w:bCs/>
        </w:rPr>
        <w:t>SE PER</w:t>
      </w:r>
      <w:r w:rsidRPr="00A1361D">
        <w:rPr>
          <w:rFonts w:ascii="David" w:hAnsi="David"/>
          <w:b/>
          <w:bCs/>
          <w:rtl/>
        </w:rPr>
        <w:t xml:space="preserve"> כמסר מסווה להתנהגות המצופה מן המאוים</w:t>
      </w:r>
      <w:r w:rsidRPr="00A1361D">
        <w:rPr>
          <w:rFonts w:ascii="David" w:hAnsi="David" w:hint="cs"/>
          <w:b/>
          <w:bCs/>
          <w:rtl/>
        </w:rPr>
        <w:t>[</w:t>
      </w:r>
      <w:r w:rsidRPr="00A1361D">
        <w:rPr>
          <w:rFonts w:ascii="David" w:hAnsi="David"/>
          <w:b/>
          <w:bCs/>
          <w:rtl/>
        </w:rPr>
        <w:t>...</w:t>
      </w:r>
      <w:r w:rsidRPr="00A1361D">
        <w:rPr>
          <w:rFonts w:ascii="David" w:hAnsi="David" w:hint="cs"/>
          <w:b/>
          <w:bCs/>
          <w:rtl/>
        </w:rPr>
        <w:t>]</w:t>
      </w:r>
      <w:r w:rsidRPr="00A1361D">
        <w:rPr>
          <w:rFonts w:ascii="David" w:hAnsi="David"/>
          <w:b/>
          <w:bCs/>
          <w:rtl/>
        </w:rPr>
        <w:t>"</w:t>
      </w:r>
      <w:r w:rsidRPr="00A1361D">
        <w:rPr>
          <w:rFonts w:ascii="David" w:hAnsi="David"/>
          <w:rtl/>
        </w:rPr>
        <w:t>.</w:t>
      </w:r>
    </w:p>
    <w:p w14:paraId="25832D5E" w14:textId="77777777" w:rsidR="00E50127" w:rsidRPr="00A1361D" w:rsidRDefault="00E50127" w:rsidP="00E50127">
      <w:pPr>
        <w:pStyle w:val="a9"/>
        <w:spacing w:line="360" w:lineRule="auto"/>
        <w:rPr>
          <w:rFonts w:ascii="Arial" w:hAnsi="Arial"/>
          <w:sz w:val="12"/>
          <w:szCs w:val="12"/>
          <w:rtl/>
        </w:rPr>
      </w:pPr>
    </w:p>
    <w:p w14:paraId="34703608"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 xml:space="preserve">אשר לנסיבות הקשורות לביצוע העבירה, שקלתי כי לעבירה קדם תכנון, שכן בטרם ביצועה היה על הנאשם לקבל לידיו את רימון ההלם, ללבוש חולצה ארוכה עם קפוצ'ון ולהגיע לבית המתלוננים בשעת ערב חשוכה כדי להקשות על זיהויו, וכן הוא הגיע מחלקו האחורי של הבית על מנת להשליך את הרימון לעבר חצר בית המתלוננים. </w:t>
      </w:r>
    </w:p>
    <w:p w14:paraId="4FD5A44D" w14:textId="77777777" w:rsidR="00E50127" w:rsidRPr="00A1361D" w:rsidRDefault="00E50127" w:rsidP="00E50127">
      <w:pPr>
        <w:pStyle w:val="a9"/>
        <w:spacing w:line="360" w:lineRule="auto"/>
        <w:rPr>
          <w:rFonts w:ascii="Arial" w:hAnsi="Arial"/>
          <w:sz w:val="12"/>
          <w:szCs w:val="12"/>
          <w:rtl/>
        </w:rPr>
      </w:pPr>
    </w:p>
    <w:p w14:paraId="520CFE2E" w14:textId="77777777" w:rsidR="00E50127" w:rsidRPr="00A1361D" w:rsidRDefault="00E50127" w:rsidP="00E50127">
      <w:pPr>
        <w:pStyle w:val="a9"/>
        <w:spacing w:line="360" w:lineRule="auto"/>
        <w:ind w:left="283"/>
        <w:jc w:val="both"/>
        <w:rPr>
          <w:rFonts w:ascii="Arial" w:hAnsi="Arial"/>
          <w:rtl/>
        </w:rPr>
      </w:pPr>
      <w:r w:rsidRPr="00A1361D">
        <w:rPr>
          <w:rFonts w:ascii="Arial" w:hAnsi="Arial" w:hint="cs"/>
          <w:rtl/>
        </w:rPr>
        <w:t>אשר לשאלה בדבר חלקו היחסי של הנאשם בביצוע העבירה ומידת ההשפעה של אחר עליו בביצועה</w:t>
      </w:r>
      <w:r>
        <w:rPr>
          <w:rFonts w:ascii="Arial" w:hAnsi="Arial" w:hint="cs"/>
          <w:rtl/>
        </w:rPr>
        <w:t>-</w:t>
      </w:r>
      <w:r w:rsidRPr="00A1361D">
        <w:rPr>
          <w:rFonts w:ascii="Arial" w:hAnsi="Arial" w:hint="cs"/>
          <w:rtl/>
        </w:rPr>
        <w:t xml:space="preserve"> טען ב"כ הנאשם</w:t>
      </w:r>
      <w:r>
        <w:rPr>
          <w:rFonts w:ascii="Arial" w:hAnsi="Arial" w:hint="cs"/>
          <w:rtl/>
        </w:rPr>
        <w:t>,</w:t>
      </w:r>
      <w:r w:rsidRPr="00A1361D">
        <w:rPr>
          <w:rFonts w:ascii="Arial" w:hAnsi="Arial" w:hint="cs"/>
          <w:rtl/>
        </w:rPr>
        <w:t xml:space="preserve"> כי בדומה לעניינו של </w:t>
      </w:r>
      <w:r>
        <w:rPr>
          <w:rFonts w:ascii="Arial" w:hAnsi="Arial" w:hint="cs"/>
          <w:rtl/>
        </w:rPr>
        <w:t>י.כ.</w:t>
      </w:r>
      <w:r w:rsidRPr="00A1361D">
        <w:rPr>
          <w:rFonts w:ascii="Arial" w:hAnsi="Arial" w:hint="cs"/>
          <w:rtl/>
        </w:rPr>
        <w:t>, אדם אחר שלח את הנאשם להשליך את רימון ההלם לעבר בית המתלוננים, וכי לנאשם עצמו אין כל סכסוך עמם. מנגד, ב"כ המאשימה טענה כי מאחר שהנאשם סירב להעיד לעניין זה ולא מסר את שמו של מי ששלח אותו, אין מקום לקבוע באופן פוזיטיבי עובדה זו שאינה מוזכרת בכתב האישום. אכן, דרך המלך הייתה כי הנאשם יעיד וייחקר במהלך דיוני ההוכחות בדבר גרסתו</w:t>
      </w:r>
      <w:r>
        <w:rPr>
          <w:rFonts w:ascii="Arial" w:hAnsi="Arial" w:hint="cs"/>
          <w:rtl/>
        </w:rPr>
        <w:t>,</w:t>
      </w:r>
      <w:r w:rsidRPr="00A1361D">
        <w:rPr>
          <w:rFonts w:ascii="Arial" w:hAnsi="Arial" w:hint="cs"/>
          <w:rtl/>
        </w:rPr>
        <w:t xml:space="preserve"> כי לא ביצע את העבירה מיוזמתו, אלא נשלח על ידי אחר לעשותה. עם זאת, מאחר שהנאשם הודה בתום פרשת ההגנה, לאחר שעדותו כבר הסתיימה, מצאתי לנכון להורות כי הצדדים יטענו ביחס לנסיבה זו במסגרת הטיעונים לעונש. דומני</w:t>
      </w:r>
      <w:r>
        <w:rPr>
          <w:rFonts w:ascii="Arial" w:hAnsi="Arial" w:hint="cs"/>
          <w:rtl/>
        </w:rPr>
        <w:t>,</w:t>
      </w:r>
      <w:r w:rsidRPr="00A1361D">
        <w:rPr>
          <w:rFonts w:ascii="Arial" w:hAnsi="Arial" w:hint="cs"/>
          <w:rtl/>
        </w:rPr>
        <w:t xml:space="preserve"> כי בענייננו, העובדה שהנאשם נשלח על ידי אחר להשליך את הרימון עולה בבירור לא רק מדברי הנאשם אלא אף מראיות התביעה, </w:t>
      </w:r>
      <w:r>
        <w:rPr>
          <w:rFonts w:ascii="Arial" w:hAnsi="Arial" w:hint="cs"/>
          <w:rtl/>
        </w:rPr>
        <w:t xml:space="preserve">שכן אחד מעדי התביעה, סגן ניצב ליאור בן שלום, העיד כי בתחילת החקירה היה חשוד נוסף במעורבות באירוע, אשר נחשד בקשירת קשר לזריקת הרימון (ר' פרוטוקול הדיון מיום 18.7.24, עמ' 53, ש' 26-27; עמ' 54, ש' 16-22; עמ' 56, ש' 31-32). כך גם עולה </w:t>
      </w:r>
      <w:r w:rsidRPr="00A1361D">
        <w:rPr>
          <w:rFonts w:ascii="Arial" w:hAnsi="Arial" w:hint="cs"/>
          <w:rtl/>
        </w:rPr>
        <w:t>מגרסת המתלוננים</w:t>
      </w:r>
      <w:r>
        <w:rPr>
          <w:rFonts w:ascii="Arial" w:hAnsi="Arial" w:hint="cs"/>
          <w:rtl/>
        </w:rPr>
        <w:t xml:space="preserve">, </w:t>
      </w:r>
      <w:r w:rsidRPr="00A1361D">
        <w:rPr>
          <w:rFonts w:ascii="Arial" w:hAnsi="Arial" w:hint="cs"/>
          <w:rtl/>
        </w:rPr>
        <w:t xml:space="preserve">כפי שהיא באה לידי ביטוי בתסקיר נפגעי העבירה. </w:t>
      </w:r>
      <w:r>
        <w:rPr>
          <w:rFonts w:ascii="Arial" w:hAnsi="Arial" w:hint="cs"/>
          <w:rtl/>
        </w:rPr>
        <w:t>נוסף על כך,</w:t>
      </w:r>
      <w:r w:rsidRPr="00A1361D">
        <w:rPr>
          <w:rFonts w:ascii="Arial" w:hAnsi="Arial" w:hint="cs"/>
          <w:rtl/>
        </w:rPr>
        <w:t xml:space="preserve"> גם עניינו של </w:t>
      </w:r>
      <w:r>
        <w:rPr>
          <w:rFonts w:ascii="Arial" w:hAnsi="Arial" w:hint="cs"/>
          <w:rtl/>
        </w:rPr>
        <w:t>י.כ.</w:t>
      </w:r>
      <w:r w:rsidRPr="00A1361D">
        <w:rPr>
          <w:rFonts w:ascii="Arial" w:hAnsi="Arial" w:hint="cs"/>
          <w:rtl/>
        </w:rPr>
        <w:t xml:space="preserve">, אשר לגביו הוסכם כי נשלח על ידי אחר, ומעשיו </w:t>
      </w:r>
      <w:r>
        <w:rPr>
          <w:rFonts w:ascii="Arial" w:hAnsi="Arial" w:hint="cs"/>
          <w:rtl/>
        </w:rPr>
        <w:t>דומים</w:t>
      </w:r>
      <w:r w:rsidRPr="00A1361D">
        <w:rPr>
          <w:rFonts w:ascii="Arial" w:hAnsi="Arial" w:hint="cs"/>
          <w:rtl/>
        </w:rPr>
        <w:t xml:space="preserve"> לאלה של הנאשם ואף אירעו מבחינה כרונולוגית לאחר שהנאשם ביצע את העבירות וכבר היה עצור, מצביע</w:t>
      </w:r>
      <w:r>
        <w:rPr>
          <w:rFonts w:ascii="Arial" w:hAnsi="Arial" w:hint="cs"/>
          <w:rtl/>
        </w:rPr>
        <w:t>ים</w:t>
      </w:r>
      <w:r w:rsidRPr="00A1361D">
        <w:rPr>
          <w:rFonts w:ascii="Arial" w:hAnsi="Arial" w:hint="cs"/>
          <w:rtl/>
        </w:rPr>
        <w:t xml:space="preserve"> על כך שהנאשם, בדומה לי</w:t>
      </w:r>
      <w:r>
        <w:rPr>
          <w:rFonts w:ascii="Arial" w:hAnsi="Arial" w:hint="cs"/>
          <w:rtl/>
        </w:rPr>
        <w:t>.כ.</w:t>
      </w:r>
      <w:r w:rsidRPr="00A1361D">
        <w:rPr>
          <w:rFonts w:ascii="Arial" w:hAnsi="Arial" w:hint="cs"/>
          <w:rtl/>
        </w:rPr>
        <w:t>, לא פעל מיוזמתו</w:t>
      </w:r>
      <w:r w:rsidRPr="00C46B2E">
        <w:rPr>
          <w:rFonts w:ascii="Arial" w:hAnsi="Arial" w:hint="cs"/>
          <w:rtl/>
        </w:rPr>
        <w:t>. יצוי</w:t>
      </w:r>
      <w:r w:rsidRPr="00C46B2E">
        <w:rPr>
          <w:rFonts w:ascii="Arial" w:hAnsi="Arial" w:hint="eastAsia"/>
          <w:rtl/>
        </w:rPr>
        <w:t>ן</w:t>
      </w:r>
      <w:r w:rsidRPr="00C46B2E">
        <w:rPr>
          <w:rFonts w:ascii="Arial" w:hAnsi="Arial" w:hint="cs"/>
          <w:rtl/>
        </w:rPr>
        <w:t xml:space="preserve">, כי כאשר הנאשם טוען לקיומה של נסיבה מקילה הקשורה בביצוע העבירה, בהתאם להוראת </w:t>
      </w:r>
      <w:hyperlink r:id="rId22" w:history="1">
        <w:r w:rsidR="00D6089D" w:rsidRPr="00D6089D">
          <w:rPr>
            <w:rStyle w:val="Hyperlink"/>
            <w:rFonts w:ascii="Arial" w:hAnsi="Arial" w:hint="eastAsia"/>
            <w:color w:val="0000FF"/>
            <w:rtl/>
          </w:rPr>
          <w:t>סעיף</w:t>
        </w:r>
        <w:r w:rsidR="00D6089D" w:rsidRPr="00D6089D">
          <w:rPr>
            <w:rStyle w:val="Hyperlink"/>
            <w:rFonts w:ascii="Arial" w:hAnsi="Arial"/>
            <w:color w:val="0000FF"/>
            <w:rtl/>
          </w:rPr>
          <w:t xml:space="preserve"> 40י(ג)</w:t>
        </w:r>
      </w:hyperlink>
      <w:r w:rsidRPr="00C46B2E">
        <w:rPr>
          <w:rFonts w:ascii="Arial" w:hAnsi="Arial" w:hint="cs"/>
          <w:rtl/>
        </w:rPr>
        <w:t xml:space="preserve"> לחוק, הנטל המוטל עליו להוכחתה הוא כמו במשפט אזרחי.</w:t>
      </w:r>
      <w:r>
        <w:rPr>
          <w:rFonts w:ascii="Arial" w:hAnsi="Arial" w:hint="cs"/>
          <w:rtl/>
        </w:rPr>
        <w:t xml:space="preserve"> בהתחשב בצבר הראיות, המפורט לעיל, ניתן לומר ששוכנעתי כי הנאשם נשלח על ידי אחר לזרוק את רימון ההלם.</w:t>
      </w:r>
    </w:p>
    <w:p w14:paraId="57800D3E" w14:textId="77777777" w:rsidR="00E50127" w:rsidRPr="00A1361D" w:rsidRDefault="00E50127" w:rsidP="00E50127">
      <w:pPr>
        <w:pStyle w:val="a9"/>
        <w:spacing w:line="360" w:lineRule="auto"/>
        <w:ind w:left="283"/>
        <w:jc w:val="both"/>
        <w:rPr>
          <w:rFonts w:ascii="Arial" w:hAnsi="Arial"/>
          <w:sz w:val="12"/>
          <w:szCs w:val="12"/>
          <w:rtl/>
        </w:rPr>
      </w:pPr>
    </w:p>
    <w:p w14:paraId="6688D7E4" w14:textId="77777777" w:rsidR="00E50127" w:rsidRPr="00A1361D" w:rsidRDefault="00E50127" w:rsidP="00E50127">
      <w:pPr>
        <w:pStyle w:val="a9"/>
        <w:spacing w:line="360" w:lineRule="auto"/>
        <w:ind w:left="283"/>
        <w:jc w:val="both"/>
        <w:rPr>
          <w:rFonts w:ascii="Arial" w:hAnsi="Arial"/>
          <w:rtl/>
        </w:rPr>
      </w:pPr>
      <w:r w:rsidRPr="00A1361D">
        <w:rPr>
          <w:rFonts w:ascii="Arial" w:hAnsi="Arial" w:hint="cs"/>
          <w:rtl/>
        </w:rPr>
        <w:t xml:space="preserve">על כל פנים, יוער כי אף אם הנאשם לא יזם את ביצוע העבירה ואין לו דבר וחצי דבר </w:t>
      </w:r>
      <w:r>
        <w:rPr>
          <w:rFonts w:ascii="Arial" w:hAnsi="Arial" w:hint="cs"/>
          <w:rtl/>
        </w:rPr>
        <w:t>כ</w:t>
      </w:r>
      <w:r w:rsidRPr="00A1361D">
        <w:rPr>
          <w:rFonts w:ascii="Arial" w:hAnsi="Arial" w:hint="cs"/>
          <w:rtl/>
        </w:rPr>
        <w:t xml:space="preserve">נגד המתלוננים, קשה לומר שמדובר בנסיבה מקילה, שכן התנהלותו של הנאשם כשכיר חרב מלמדת על אדם שמוכן תמורת בצע כסף לנקוט באלימות </w:t>
      </w:r>
      <w:r>
        <w:rPr>
          <w:rFonts w:ascii="Arial" w:hAnsi="Arial" w:hint="cs"/>
          <w:rtl/>
        </w:rPr>
        <w:t>כ</w:t>
      </w:r>
      <w:r w:rsidRPr="00A1361D">
        <w:rPr>
          <w:rFonts w:ascii="Arial" w:hAnsi="Arial" w:hint="cs"/>
          <w:rtl/>
        </w:rPr>
        <w:t>נגד אזרחים תמימים וחפים מפשע, לרבות משפחה עם ילדים בעלי מוגבלויות קשות, כשהוא אדיש לחלוטין להשלכות האפשריות של מעשיו.</w:t>
      </w:r>
    </w:p>
    <w:p w14:paraId="2ACF33E6" w14:textId="77777777" w:rsidR="00E50127" w:rsidRPr="00A1361D" w:rsidRDefault="00E50127" w:rsidP="00E50127">
      <w:pPr>
        <w:pStyle w:val="a9"/>
        <w:spacing w:line="360" w:lineRule="auto"/>
        <w:ind w:left="283"/>
        <w:jc w:val="both"/>
        <w:rPr>
          <w:rFonts w:ascii="Arial" w:hAnsi="Arial"/>
          <w:sz w:val="12"/>
          <w:szCs w:val="12"/>
          <w:rtl/>
        </w:rPr>
      </w:pPr>
    </w:p>
    <w:p w14:paraId="6A06D1DF" w14:textId="77777777" w:rsidR="00E50127" w:rsidRPr="00A1361D" w:rsidRDefault="00E50127" w:rsidP="00E50127">
      <w:pPr>
        <w:pStyle w:val="a9"/>
        <w:spacing w:line="360" w:lineRule="auto"/>
        <w:ind w:left="283"/>
        <w:jc w:val="both"/>
        <w:rPr>
          <w:rFonts w:ascii="Arial" w:hAnsi="Arial"/>
          <w:rtl/>
        </w:rPr>
      </w:pPr>
      <w:r w:rsidRPr="00A1361D">
        <w:rPr>
          <w:rFonts w:ascii="Arial" w:hAnsi="Arial" w:hint="cs"/>
          <w:rtl/>
        </w:rPr>
        <w:t>הנזק הפוטנציאלי הגלום בעבירה שביצע הנאשם הוא משמעותי. אמנם, מדובר בנזק פוטנציאלי מוגבל באופן יחסי, שכן מדובר ברימון הלם אשר נצרתו לא נשלפה, ולא ברימון רסס למשל. עם זאת, ברי כי גם רימון הלם עלול "</w:t>
      </w:r>
      <w:r w:rsidRPr="00A1361D">
        <w:rPr>
          <w:rFonts w:ascii="Arial" w:hAnsi="Arial"/>
          <w:rtl/>
        </w:rPr>
        <w:t>לגרום פציעה לאדם, בכפוף לקרבתו למוקד הפעלתו</w:t>
      </w:r>
      <w:r w:rsidRPr="00A1361D">
        <w:rPr>
          <w:rFonts w:ascii="Arial" w:hAnsi="Arial" w:hint="cs"/>
          <w:rtl/>
        </w:rPr>
        <w:t>" (</w:t>
      </w:r>
      <w:hyperlink r:id="rId23" w:history="1">
        <w:r w:rsidR="00CD0F0B" w:rsidRPr="00CD0F0B">
          <w:rPr>
            <w:rFonts w:ascii="Arial" w:hAnsi="Arial"/>
            <w:color w:val="0000FF"/>
            <w:u w:val="single"/>
            <w:rtl/>
          </w:rPr>
          <w:t>ע"פ 1323/13</w:t>
        </w:r>
      </w:hyperlink>
      <w:r w:rsidRPr="00A1361D">
        <w:rPr>
          <w:rFonts w:ascii="Arial" w:hAnsi="Arial"/>
          <w:rtl/>
        </w:rPr>
        <w:t xml:space="preserve"> </w:t>
      </w:r>
      <w:r w:rsidRPr="00A1361D">
        <w:rPr>
          <w:rFonts w:ascii="Arial" w:hAnsi="Arial"/>
          <w:b/>
          <w:bCs/>
          <w:rtl/>
        </w:rPr>
        <w:t>רך חסן נ' מדינת ישראל</w:t>
      </w:r>
      <w:r w:rsidRPr="00A1361D">
        <w:rPr>
          <w:rFonts w:ascii="Arial" w:hAnsi="Arial" w:hint="cs"/>
          <w:rtl/>
        </w:rPr>
        <w:t>, פסקה 10</w:t>
      </w:r>
      <w:r w:rsidRPr="00A1361D">
        <w:rPr>
          <w:rFonts w:ascii="Arial" w:hAnsi="Arial"/>
          <w:rtl/>
        </w:rPr>
        <w:t xml:space="preserve"> (</w:t>
      </w:r>
      <w:r w:rsidRPr="00A1361D">
        <w:rPr>
          <w:rFonts w:ascii="Arial" w:hAnsi="Arial" w:hint="cs"/>
          <w:rtl/>
        </w:rPr>
        <w:t>5.6.13</w:t>
      </w:r>
      <w:r w:rsidRPr="00A1361D">
        <w:rPr>
          <w:rFonts w:ascii="Arial" w:hAnsi="Arial"/>
          <w:rtl/>
        </w:rPr>
        <w:t>)</w:t>
      </w:r>
      <w:r w:rsidRPr="00A1361D">
        <w:rPr>
          <w:rFonts w:ascii="Arial" w:hAnsi="Arial" w:hint="cs"/>
          <w:rtl/>
        </w:rPr>
        <w:t xml:space="preserve">). כמו כן, </w:t>
      </w:r>
      <w:r>
        <w:rPr>
          <w:rFonts w:ascii="Arial" w:hAnsi="Arial" w:hint="cs"/>
          <w:rtl/>
        </w:rPr>
        <w:t xml:space="preserve">אך </w:t>
      </w:r>
      <w:r w:rsidRPr="00A1361D">
        <w:rPr>
          <w:rFonts w:ascii="Arial" w:hAnsi="Arial" w:hint="cs"/>
          <w:rtl/>
        </w:rPr>
        <w:t>במזל איש לא נכח בחצר בעת שהרימון הושלך ואיש לא</w:t>
      </w:r>
      <w:r>
        <w:rPr>
          <w:rFonts w:ascii="Arial" w:hAnsi="Arial" w:hint="cs"/>
          <w:rtl/>
        </w:rPr>
        <w:t xml:space="preserve"> נגע בו, כך שהוא לא התפוצץ. </w:t>
      </w:r>
      <w:r w:rsidRPr="00A1361D">
        <w:rPr>
          <w:rFonts w:ascii="Arial" w:hAnsi="Arial" w:hint="cs"/>
          <w:rtl/>
        </w:rPr>
        <w:t xml:space="preserve">עם זאת, הגם שלמרבה המזל לא נגרם בפועל נזק בנפש או ברכוש, </w:t>
      </w:r>
      <w:r>
        <w:rPr>
          <w:rFonts w:ascii="Arial" w:hAnsi="Arial" w:hint="cs"/>
          <w:rtl/>
        </w:rPr>
        <w:t>הרי ש</w:t>
      </w:r>
      <w:r w:rsidRPr="00A1361D">
        <w:rPr>
          <w:rFonts w:ascii="Arial" w:hAnsi="Arial" w:hint="cs"/>
          <w:rtl/>
        </w:rPr>
        <w:t>נגרם נזק נפשי משמעותי למתלוננים. כפי שעולה מתצהיר נפגעי העבירה, מדובר במשפחה שמלכתחילה מתמודדת עם מציאות חיים מורכבת שבה שלושה מארבעת ילדיהם הם בעלי צרכים מיוחדים. האימה והפחד שאחזו בהם בעת השלכת הרימון לחצר ביתם לא הסתיימו באותו ערב, אלא מוסיפים ללוות אותם עד עצם היום הזה. כפי שמתואר בתצהיר נפגעי העבירה, ילדיהם של המתלוננים חוששים לשהות בחצר הבית והמשפחה כולה חוששת כשהיא יוצאת מהבית ונמצאת סמוך לו.</w:t>
      </w:r>
    </w:p>
    <w:p w14:paraId="22AE579E" w14:textId="77777777" w:rsidR="00E50127" w:rsidRPr="00A1361D" w:rsidRDefault="00E50127" w:rsidP="00E50127">
      <w:pPr>
        <w:pStyle w:val="a9"/>
        <w:spacing w:line="360" w:lineRule="auto"/>
        <w:ind w:left="283"/>
        <w:jc w:val="both"/>
        <w:rPr>
          <w:rFonts w:ascii="Arial" w:hAnsi="Arial"/>
          <w:sz w:val="12"/>
          <w:szCs w:val="12"/>
          <w:rtl/>
        </w:rPr>
      </w:pPr>
    </w:p>
    <w:p w14:paraId="156408B1"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David" w:hAnsi="David"/>
          <w:shd w:val="clear" w:color="auto" w:fill="FFFFFF"/>
          <w:rtl/>
        </w:rPr>
        <w:t xml:space="preserve">בקביעת מתחם העונש ההולם </w:t>
      </w:r>
      <w:r w:rsidRPr="00A1361D">
        <w:rPr>
          <w:rFonts w:ascii="David" w:hAnsi="David" w:hint="cs"/>
          <w:shd w:val="clear" w:color="auto" w:fill="FFFFFF"/>
          <w:rtl/>
        </w:rPr>
        <w:t xml:space="preserve">בענייננו </w:t>
      </w:r>
      <w:r w:rsidRPr="00A1361D">
        <w:rPr>
          <w:rFonts w:ascii="David" w:hAnsi="David"/>
          <w:shd w:val="clear" w:color="auto" w:fill="FFFFFF"/>
          <w:rtl/>
        </w:rPr>
        <w:t>יש לתת משקל</w:t>
      </w:r>
      <w:r w:rsidRPr="00A1361D">
        <w:rPr>
          <w:rFonts w:ascii="David" w:hAnsi="David" w:hint="cs"/>
          <w:shd w:val="clear" w:color="auto" w:fill="FFFFFF"/>
          <w:rtl/>
        </w:rPr>
        <w:t>, בין היתר,</w:t>
      </w:r>
      <w:r w:rsidRPr="00A1361D">
        <w:rPr>
          <w:rFonts w:ascii="David" w:hAnsi="David"/>
          <w:shd w:val="clear" w:color="auto" w:fill="FFFFFF"/>
          <w:rtl/>
        </w:rPr>
        <w:t xml:space="preserve"> </w:t>
      </w:r>
      <w:r w:rsidRPr="00A1361D">
        <w:rPr>
          <w:rFonts w:ascii="Arial" w:hAnsi="Arial" w:hint="cs"/>
          <w:rtl/>
        </w:rPr>
        <w:t xml:space="preserve">לסוג הרימון שהושלך, ולנזק שנגרם ועלול היה להיגרם, הן פיזית והן נפשית, לנפגע העבירה. </w:t>
      </w:r>
      <w:r w:rsidRPr="00A1361D">
        <w:rPr>
          <w:rFonts w:ascii="David" w:hAnsi="David"/>
          <w:shd w:val="clear" w:color="auto" w:fill="FFFFFF"/>
          <w:rtl/>
        </w:rPr>
        <w:t>בחינת מדיניות הענישה הנהוגה מעלה, כי במקרים דומים הוטלו על נאשמים עונשי מאסר בפועל מאחורי סורג ובריח לתקופות משתנות, כפי שיפורט להלן</w:t>
      </w:r>
      <w:r w:rsidRPr="00A1361D">
        <w:rPr>
          <w:rFonts w:ascii="David" w:hAnsi="David" w:hint="cs"/>
          <w:shd w:val="clear" w:color="auto" w:fill="FFFFFF"/>
          <w:rtl/>
        </w:rPr>
        <w:t>:</w:t>
      </w:r>
    </w:p>
    <w:p w14:paraId="39AE1BEF" w14:textId="77777777" w:rsidR="00E50127" w:rsidRPr="00A1361D" w:rsidRDefault="00E50127" w:rsidP="00E50127">
      <w:pPr>
        <w:pStyle w:val="a9"/>
        <w:spacing w:line="360" w:lineRule="auto"/>
        <w:ind w:left="283"/>
        <w:jc w:val="both"/>
        <w:rPr>
          <w:rFonts w:ascii="Arial" w:hAnsi="Arial"/>
          <w:sz w:val="12"/>
          <w:szCs w:val="12"/>
        </w:rPr>
      </w:pPr>
    </w:p>
    <w:p w14:paraId="67726B0D"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24" w:history="1">
        <w:r w:rsidR="00CD0F0B" w:rsidRPr="00CD0F0B">
          <w:rPr>
            <w:rFonts w:ascii="Arial" w:hAnsi="Arial"/>
            <w:color w:val="0000FF"/>
            <w:u w:val="single"/>
            <w:rtl/>
          </w:rPr>
          <w:t>ע"פ 1693/23</w:t>
        </w:r>
      </w:hyperlink>
      <w:r w:rsidRPr="00A1361D">
        <w:rPr>
          <w:rFonts w:ascii="Arial" w:hAnsi="Arial" w:hint="cs"/>
          <w:rtl/>
        </w:rPr>
        <w:t xml:space="preserve"> </w:t>
      </w:r>
      <w:r w:rsidRPr="00A1361D">
        <w:rPr>
          <w:rFonts w:ascii="Arial" w:hAnsi="Arial" w:hint="cs"/>
          <w:b/>
          <w:bCs/>
          <w:rtl/>
        </w:rPr>
        <w:t>אסלאם אבו אחמד נ' מדינת ישראל</w:t>
      </w:r>
      <w:r w:rsidRPr="00A1361D">
        <w:rPr>
          <w:rFonts w:ascii="Arial" w:hAnsi="Arial" w:hint="cs"/>
          <w:rtl/>
        </w:rPr>
        <w:t xml:space="preserve"> (3.12.23), נדון עניינו של מי שהורשע, על פי הודאתו בהסדר טיעון, בעבירות של נשיאת נשק בצוותא ואיומים. כדי לאיים על שוטר שסבר שהתנכל לו</w:t>
      </w:r>
      <w:r>
        <w:rPr>
          <w:rFonts w:ascii="Arial" w:hAnsi="Arial" w:hint="cs"/>
          <w:rtl/>
        </w:rPr>
        <w:t>,</w:t>
      </w:r>
      <w:r w:rsidRPr="00A1361D">
        <w:rPr>
          <w:rFonts w:ascii="Arial" w:hAnsi="Arial" w:hint="cs"/>
          <w:rtl/>
        </w:rPr>
        <w:t xml:space="preserve"> המערער חבר לאחר והשניים נסעו לעבר בית השוטר כשהם מצוידים ברימון הלם. המערער שנהג ברכב הוריד את האחר במרחק קצר מבית השוטר ועזב את המקום, ואילו האחר נטל את רימון ההלם והשליכו לעבר הכניסה לבית, שם הוא התפוצץ וגרם לרעש גדול ולסימני פיח. בית המשפט המחוזי קבע מתחם עונש הולם שנע בין 30 ל-60 חודשי מאסר בפועל, וגזר על המערער 48 חודשי מאסר בפועל, מאסר על תנאי, קנס בסך 2,000 ₪ ופיצוי לנפגע העבירה בסך 10,000 ₪. בית המשפט העליון דחה את הערעור.</w:t>
      </w:r>
    </w:p>
    <w:p w14:paraId="2B81B9A6" w14:textId="77777777" w:rsidR="00E50127" w:rsidRPr="00A1361D" w:rsidRDefault="00E50127" w:rsidP="00E50127">
      <w:pPr>
        <w:pStyle w:val="a9"/>
        <w:spacing w:line="360" w:lineRule="auto"/>
        <w:ind w:left="643"/>
        <w:jc w:val="both"/>
        <w:rPr>
          <w:rFonts w:ascii="Arial" w:hAnsi="Arial"/>
          <w:sz w:val="12"/>
          <w:szCs w:val="12"/>
        </w:rPr>
      </w:pPr>
    </w:p>
    <w:p w14:paraId="2ABBECAC"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25" w:history="1">
        <w:r w:rsidR="00CD0F0B" w:rsidRPr="00CD0F0B">
          <w:rPr>
            <w:rFonts w:ascii="Arial" w:hAnsi="Arial"/>
            <w:color w:val="0000FF"/>
            <w:u w:val="single"/>
            <w:rtl/>
          </w:rPr>
          <w:t>ע"פ 6469/19</w:t>
        </w:r>
      </w:hyperlink>
      <w:r w:rsidRPr="00A1361D">
        <w:rPr>
          <w:rFonts w:ascii="Arial" w:hAnsi="Arial" w:hint="cs"/>
          <w:rtl/>
        </w:rPr>
        <w:t xml:space="preserve"> </w:t>
      </w:r>
      <w:r w:rsidRPr="00A1361D">
        <w:rPr>
          <w:rFonts w:ascii="Arial" w:hAnsi="Arial" w:hint="cs"/>
          <w:b/>
          <w:bCs/>
          <w:rtl/>
        </w:rPr>
        <w:t>מחמוד אבו דקה נ' מדינת ישראל</w:t>
      </w:r>
      <w:r w:rsidRPr="00A1361D">
        <w:rPr>
          <w:rFonts w:ascii="Arial" w:hAnsi="Arial" w:hint="cs"/>
          <w:rtl/>
        </w:rPr>
        <w:t xml:space="preserve"> (27.11.19), נדון עניינו של מי שהורשע, על פי הודאתו בהסדר טיעון, בעבירות של קשירת קשר לביצוע פשע, שתי עבירות של החזקת נשק שלא כדין וירי באזור מגורים. המערער נשלח על ידי שני אחרים תמורת תשלום כספי, בשתי הזדמנויות שונות, לבצע ירי ולהשליך רימונים סמוך לבית המתלונן. בפעם הראשונה המערער ירה 9 כדורים מאקדח לעבר ביתו של המתלונן, וחלק מהקליעים פגעו בחלון הבית ובקיר החיצוני; ובפעם השנייה המערער השליך רימון הלם לעבר בית המתלונן כשהוא ובני משפחתו ישנו בבית, והרימון התפוצץ ויצר בהלה בקרב בני הבית. במסגרת הסדר הטיעון הוסכם כי המאשימה תעתור להטלת עונש של 14 חודשי מאסר בלבד. בית המשפט המחוזי קבע מתחם עונש הולם שנע בין 12 ל-36 חודשי מאסר בפועל, וגזר על המערער עונש של 12 חודשי מאסר בפועל, מאסר על תנאי וקנס בסך 3,000 ₪. בית המשפט העליון דחה את הערעור.</w:t>
      </w:r>
    </w:p>
    <w:p w14:paraId="06735463" w14:textId="77777777" w:rsidR="00E50127" w:rsidRPr="00A1361D" w:rsidRDefault="00E50127" w:rsidP="00E50127">
      <w:pPr>
        <w:pStyle w:val="a9"/>
        <w:spacing w:line="360" w:lineRule="auto"/>
        <w:rPr>
          <w:rFonts w:ascii="Arial" w:hAnsi="Arial"/>
          <w:sz w:val="12"/>
          <w:szCs w:val="12"/>
          <w:rtl/>
        </w:rPr>
      </w:pPr>
    </w:p>
    <w:p w14:paraId="1178FB89"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26" w:history="1">
        <w:r w:rsidR="00CD0F0B" w:rsidRPr="00CD0F0B">
          <w:rPr>
            <w:rFonts w:ascii="Arial" w:hAnsi="Arial"/>
            <w:color w:val="0000FF"/>
            <w:u w:val="single"/>
            <w:rtl/>
          </w:rPr>
          <w:t>ע"פ 2933/19</w:t>
        </w:r>
      </w:hyperlink>
      <w:r w:rsidRPr="00A1361D">
        <w:rPr>
          <w:rFonts w:ascii="Arial" w:hAnsi="Arial" w:hint="cs"/>
          <w:rtl/>
        </w:rPr>
        <w:t xml:space="preserve"> </w:t>
      </w:r>
      <w:r w:rsidRPr="00A1361D">
        <w:rPr>
          <w:rFonts w:ascii="Arial" w:hAnsi="Arial" w:hint="cs"/>
          <w:b/>
          <w:bCs/>
          <w:rtl/>
        </w:rPr>
        <w:t xml:space="preserve">אהרון צדיק נ' מדינת ישראל </w:t>
      </w:r>
      <w:r w:rsidRPr="00A1361D">
        <w:rPr>
          <w:rFonts w:ascii="Arial" w:hAnsi="Arial" w:hint="cs"/>
          <w:rtl/>
        </w:rPr>
        <w:t xml:space="preserve">(26.9.19), נדון עניינו של מי שהורשע, על פי הודאתו בהסדר טיעון, בעבירות של נשיאת והובלת נשק ומעשה פזיזות ורשלנות. המערער נסע ברכבו כשהוא נושא רימון הלם, החנה את הרכב והתקרב רגלית למסעדה, שם שחרר את נצרת הרימון והשליכו לעבר מדרכה הסמוכה למסעדה, ושם התפוצץ הרימון במרחק קצר מהמסעדה. בית המשפט המחוזי קבע מתחם עונש הולם שנע בין 9 ל-26 חודשי מאסר בפועל, וגזר על הנאשם עונש של 12 חודשי מאסר בפועל ומאסר על תנאי. בית המשפט העליון דחה את הערעור. </w:t>
      </w:r>
    </w:p>
    <w:p w14:paraId="695678A1" w14:textId="77777777" w:rsidR="00E50127" w:rsidRPr="00A1361D" w:rsidRDefault="00E50127" w:rsidP="00E50127">
      <w:pPr>
        <w:pStyle w:val="a9"/>
        <w:spacing w:line="360" w:lineRule="auto"/>
        <w:rPr>
          <w:rFonts w:ascii="Arial" w:hAnsi="Arial"/>
          <w:sz w:val="12"/>
          <w:szCs w:val="12"/>
          <w:rtl/>
        </w:rPr>
      </w:pPr>
    </w:p>
    <w:p w14:paraId="355EABBB"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27" w:history="1">
        <w:r w:rsidR="00CD0F0B" w:rsidRPr="00CD0F0B">
          <w:rPr>
            <w:rFonts w:ascii="Arial" w:hAnsi="Arial"/>
            <w:color w:val="0000FF"/>
            <w:u w:val="single"/>
            <w:rtl/>
          </w:rPr>
          <w:t>ע"פ 8845/15</w:t>
        </w:r>
      </w:hyperlink>
      <w:r w:rsidRPr="00A1361D">
        <w:rPr>
          <w:rFonts w:ascii="Arial" w:hAnsi="Arial" w:hint="cs"/>
          <w:rtl/>
        </w:rPr>
        <w:t xml:space="preserve"> </w:t>
      </w:r>
      <w:r w:rsidRPr="00A1361D">
        <w:rPr>
          <w:rFonts w:ascii="Arial" w:hAnsi="Arial" w:hint="cs"/>
          <w:b/>
          <w:bCs/>
          <w:rtl/>
        </w:rPr>
        <w:t>מנסור פואז נ' מדינת ישראל</w:t>
      </w:r>
      <w:r w:rsidRPr="00A1361D">
        <w:rPr>
          <w:rFonts w:ascii="Arial" w:hAnsi="Arial" w:hint="cs"/>
          <w:rtl/>
        </w:rPr>
        <w:t xml:space="preserve"> (17.11.16), נדון עניינו של מי שהורשע, לאחר שמיעת ראיות, בעבירות של נשיאת והובלת נשק ומעשה פזיזות ורשלנות. המערער, שמשפחתו הייתה מסוכסכת עם משפחת המתלוננים, הגיע רגלית לעבר בתי המשפחה האחרת וזרק רימון הלם לעבר שניים מהם, אשר נפל במרחק קצר מהם והתפוצץ בסמוך א</w:t>
      </w:r>
      <w:r>
        <w:rPr>
          <w:rFonts w:ascii="Arial" w:hAnsi="Arial" w:hint="cs"/>
          <w:rtl/>
        </w:rPr>
        <w:t>ל</w:t>
      </w:r>
      <w:r w:rsidRPr="00A1361D">
        <w:rPr>
          <w:rFonts w:ascii="Arial" w:hAnsi="Arial" w:hint="cs"/>
          <w:rtl/>
        </w:rPr>
        <w:t xml:space="preserve">יהם, מבלי שנגרם נזק. בית המשפט המחוזי גזר על המערער עונש של 18 חודשי מאסר בפועל, מאסר על תנאי וקנס בסך 7,500 ₪. בית המשפט העליון דחה את הערעור.  </w:t>
      </w:r>
    </w:p>
    <w:p w14:paraId="0BEEE659" w14:textId="77777777" w:rsidR="00E50127" w:rsidRPr="00A1361D" w:rsidRDefault="00E50127" w:rsidP="00E50127">
      <w:pPr>
        <w:pStyle w:val="a9"/>
        <w:spacing w:line="360" w:lineRule="auto"/>
        <w:rPr>
          <w:rFonts w:ascii="Arial" w:hAnsi="Arial"/>
          <w:sz w:val="12"/>
          <w:szCs w:val="12"/>
          <w:rtl/>
        </w:rPr>
      </w:pPr>
    </w:p>
    <w:p w14:paraId="6707ADC2"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28" w:history="1">
        <w:r w:rsidR="00CD0F0B" w:rsidRPr="00CD0F0B">
          <w:rPr>
            <w:rFonts w:ascii="Arial" w:hAnsi="Arial"/>
            <w:color w:val="0000FF"/>
            <w:u w:val="single"/>
            <w:rtl/>
          </w:rPr>
          <w:t>ת"פ 22642-11-23</w:t>
        </w:r>
      </w:hyperlink>
      <w:r w:rsidRPr="00A1361D">
        <w:rPr>
          <w:rFonts w:ascii="Arial" w:hAnsi="Arial" w:hint="cs"/>
          <w:rtl/>
        </w:rPr>
        <w:t xml:space="preserve"> </w:t>
      </w:r>
      <w:r w:rsidRPr="00A1361D">
        <w:rPr>
          <w:rFonts w:ascii="Arial" w:hAnsi="Arial" w:hint="cs"/>
          <w:b/>
          <w:bCs/>
          <w:rtl/>
        </w:rPr>
        <w:t xml:space="preserve">מדינת ישראל זידאן טאהא </w:t>
      </w:r>
      <w:r w:rsidRPr="00A1361D">
        <w:rPr>
          <w:rFonts w:ascii="Arial" w:hAnsi="Arial" w:hint="cs"/>
          <w:rtl/>
        </w:rPr>
        <w:t>(5.2.24), נדון עניינו של מי שהורשע, על פי הודאתו בהסדר טיעון, בעבירה של החזקת נשק. הנאשם וחברו נסעו ברכב כאשר הנאשם יושב במושב הנוסע והחבר נהג, וכאשר הנאשם מחזיק על רצפת הרכב, סמוך לרגליו, רימון הלם. בית המשפט קבע מתחם עונש הולם שנע בין 8 ל-20 חודשי מאסר, וגזר על הנאשם עונש של 8 חודשי מאסר לריצוי בעבודות שירות, מאסר על תנאי וקנס בסך 3,000 ₪.</w:t>
      </w:r>
    </w:p>
    <w:p w14:paraId="2CA1EBFB" w14:textId="77777777" w:rsidR="00E50127" w:rsidRPr="00A1361D" w:rsidRDefault="00E50127" w:rsidP="00E50127">
      <w:pPr>
        <w:pStyle w:val="a9"/>
        <w:spacing w:line="360" w:lineRule="auto"/>
        <w:rPr>
          <w:rFonts w:ascii="Arial" w:hAnsi="Arial"/>
          <w:sz w:val="12"/>
          <w:szCs w:val="12"/>
          <w:rtl/>
        </w:rPr>
      </w:pPr>
    </w:p>
    <w:p w14:paraId="5AE6C35D"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29" w:history="1">
        <w:r w:rsidR="00CD0F0B" w:rsidRPr="00CD0F0B">
          <w:rPr>
            <w:rFonts w:ascii="Arial" w:hAnsi="Arial"/>
            <w:color w:val="0000FF"/>
            <w:u w:val="single"/>
            <w:rtl/>
          </w:rPr>
          <w:t>ת"פ 54202-01-23</w:t>
        </w:r>
      </w:hyperlink>
      <w:r w:rsidRPr="00A1361D">
        <w:rPr>
          <w:rFonts w:ascii="Arial" w:hAnsi="Arial" w:hint="cs"/>
          <w:rtl/>
        </w:rPr>
        <w:t xml:space="preserve"> </w:t>
      </w:r>
      <w:r w:rsidRPr="00A1361D">
        <w:rPr>
          <w:rFonts w:ascii="Arial" w:hAnsi="Arial" w:hint="cs"/>
          <w:b/>
          <w:bCs/>
          <w:rtl/>
        </w:rPr>
        <w:t>מדינת ישראל נ' עמנואל מנגיסטו</w:t>
      </w:r>
      <w:r w:rsidRPr="00A1361D">
        <w:rPr>
          <w:rFonts w:ascii="Arial" w:hAnsi="Arial" w:hint="cs"/>
          <w:rtl/>
        </w:rPr>
        <w:t xml:space="preserve"> (22.10.23), נדון עניינו של מי שהורשע, על פי הודאתו בהסדר טיעון, בשתי עבירות של סחר בנשק ובעבירה של נשיאת נשק. הנאשם מכר לסוכן משטרתי שלושה רימוני הלם תמורת סכום כולל של 2,400 ₪. בית המשפט קבע מתחם עונש הולם שנע בין 20 ל-50 חודשי מאסר בפועל, וגזר על הנאשם עונש של 25 חודשי מאסר בפועל, מאסר על תנאי וקנס בסך 5,000 ₪. </w:t>
      </w:r>
    </w:p>
    <w:p w14:paraId="61E1B60D" w14:textId="77777777" w:rsidR="00E50127" w:rsidRPr="00A1361D" w:rsidRDefault="00E50127" w:rsidP="00E50127">
      <w:pPr>
        <w:pStyle w:val="a9"/>
        <w:spacing w:line="360" w:lineRule="auto"/>
        <w:rPr>
          <w:rFonts w:ascii="Arial" w:hAnsi="Arial"/>
          <w:sz w:val="12"/>
          <w:szCs w:val="12"/>
          <w:rtl/>
        </w:rPr>
      </w:pPr>
    </w:p>
    <w:p w14:paraId="2B1206D0"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30" w:history="1">
        <w:r w:rsidR="00CD0F0B" w:rsidRPr="00CD0F0B">
          <w:rPr>
            <w:rFonts w:ascii="Arial" w:hAnsi="Arial"/>
            <w:color w:val="0000FF"/>
            <w:u w:val="single"/>
            <w:rtl/>
          </w:rPr>
          <w:t>ת"פ 38883-05-22</w:t>
        </w:r>
      </w:hyperlink>
      <w:r w:rsidRPr="00A1361D">
        <w:rPr>
          <w:rFonts w:ascii="Arial" w:hAnsi="Arial" w:hint="cs"/>
          <w:rtl/>
        </w:rPr>
        <w:t xml:space="preserve"> </w:t>
      </w:r>
      <w:r w:rsidRPr="00A1361D">
        <w:rPr>
          <w:rFonts w:ascii="Arial" w:hAnsi="Arial" w:hint="cs"/>
          <w:b/>
          <w:bCs/>
          <w:rtl/>
        </w:rPr>
        <w:t>מדינת ישראל נ' פאר סרקיה ואח'</w:t>
      </w:r>
      <w:r w:rsidRPr="00A1361D">
        <w:rPr>
          <w:rFonts w:ascii="Arial" w:hAnsi="Arial" w:hint="cs"/>
          <w:rtl/>
        </w:rPr>
        <w:t xml:space="preserve"> (2.1.23), נדון עניינו של מי שהורשע, על פי הודאתו בהסדר טיעון, בעבירות של קשירת קשר לפשע, נשיאת והובלת נשק בצוותא, ואיומים בצוותא. על רקע סכסוך בין הנאשם ושני אחרים למתלונן, השלושה קשרו קשר להשליך רימון הלם על ביתו בכוונה להפחידו. הנאשמים נסעו לעבר הבית, ואחד מהם השליך את הרימון על הבית, שם הוא התפוצץ ברעש וגרם לנזקי פיח בחצר הבית. בית המשפט קבע מתחם עונש הולם שנע בין 18 ל-36 חודשי מאסר, וגזר על הנאשם עונש של 24 חודשי מאסר בפועל, כאשר יחד עם הפעלת מאסרים מותנים שחלקם בחופף וחלקם במצטבר ירצה בסך הכל תקופה של 28 חודשי מאסר בפועל, וכן מאסר על תנאי, קנס בסך 4,000 ₪ ופיצוי בסך 6,000 ₪. </w:t>
      </w:r>
    </w:p>
    <w:p w14:paraId="6D9C173A" w14:textId="77777777" w:rsidR="00E50127" w:rsidRPr="00A1361D" w:rsidRDefault="00E50127" w:rsidP="00E50127">
      <w:pPr>
        <w:pStyle w:val="a9"/>
        <w:spacing w:line="360" w:lineRule="auto"/>
        <w:rPr>
          <w:rFonts w:ascii="Arial" w:hAnsi="Arial"/>
          <w:sz w:val="12"/>
          <w:szCs w:val="12"/>
          <w:rtl/>
        </w:rPr>
      </w:pPr>
    </w:p>
    <w:p w14:paraId="1833F8B8" w14:textId="77777777" w:rsidR="00E50127" w:rsidRPr="00A1361D"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31" w:history="1">
        <w:r w:rsidR="00CD0F0B" w:rsidRPr="00CD0F0B">
          <w:rPr>
            <w:rFonts w:ascii="Arial" w:hAnsi="Arial"/>
            <w:color w:val="0000FF"/>
            <w:u w:val="single"/>
            <w:rtl/>
          </w:rPr>
          <w:t>ת"פ 7133-07-20</w:t>
        </w:r>
      </w:hyperlink>
      <w:r w:rsidRPr="00A1361D">
        <w:rPr>
          <w:rFonts w:ascii="Arial" w:hAnsi="Arial" w:hint="cs"/>
          <w:rtl/>
        </w:rPr>
        <w:t xml:space="preserve"> </w:t>
      </w:r>
      <w:r w:rsidRPr="00A1361D">
        <w:rPr>
          <w:rFonts w:ascii="Arial" w:hAnsi="Arial" w:hint="cs"/>
          <w:b/>
          <w:bCs/>
          <w:rtl/>
        </w:rPr>
        <w:t xml:space="preserve">מדינת ישראל נ' ניסים נס רוזן </w:t>
      </w:r>
      <w:r w:rsidRPr="00A1361D">
        <w:rPr>
          <w:rFonts w:ascii="Arial" w:hAnsi="Arial" w:hint="cs"/>
          <w:rtl/>
        </w:rPr>
        <w:t xml:space="preserve">(6.9.22), נדון עניינו של מי שהורשע, על פי הודאתו בהסדר טיעון, בעבירות של נשיאת והובלת נשק, החזקת נשק ומעשה פזיזות ורשלנות בחומר נפיץ. הנאשם נסע עם אחר לבית הגרוש של בת זוגו, כשהנאשם נוהג ברכב והאחר יושב לצדו, ועם הגעתם לבית המתלונן, השליך האחר רימון הלם אל עבר גדר הבית, והרימון התפוצץ בעוצמה. כמו כן, באותו מועד החזיק הנאשם ברכב אקדח. בית המשפט קבע מתחם עונש הולם שנע בין 19 ל-48 חודשי מאסר, וגזר על הנאשם עונש של 19 חודשי מאסר בפועל ומאסר על תנאי. </w:t>
      </w:r>
    </w:p>
    <w:p w14:paraId="1CD96D02" w14:textId="77777777" w:rsidR="00E50127" w:rsidRPr="00A1361D" w:rsidRDefault="00E50127" w:rsidP="00E50127">
      <w:pPr>
        <w:pStyle w:val="a9"/>
        <w:spacing w:line="360" w:lineRule="auto"/>
        <w:rPr>
          <w:rFonts w:ascii="Arial" w:hAnsi="Arial"/>
          <w:sz w:val="12"/>
          <w:szCs w:val="12"/>
          <w:rtl/>
        </w:rPr>
      </w:pPr>
    </w:p>
    <w:p w14:paraId="5C37A81D" w14:textId="77777777" w:rsidR="00E50127" w:rsidRDefault="00E50127" w:rsidP="00E50127">
      <w:pPr>
        <w:pStyle w:val="a9"/>
        <w:numPr>
          <w:ilvl w:val="0"/>
          <w:numId w:val="2"/>
        </w:numPr>
        <w:spacing w:line="360" w:lineRule="auto"/>
        <w:jc w:val="both"/>
        <w:rPr>
          <w:rFonts w:ascii="Arial" w:hAnsi="Arial"/>
        </w:rPr>
      </w:pPr>
      <w:r w:rsidRPr="00A1361D">
        <w:rPr>
          <w:rFonts w:ascii="Arial" w:hAnsi="Arial" w:hint="cs"/>
          <w:rtl/>
        </w:rPr>
        <w:t>ב</w:t>
      </w:r>
      <w:hyperlink r:id="rId32" w:history="1">
        <w:r w:rsidR="00CD0F0B" w:rsidRPr="00CD0F0B">
          <w:rPr>
            <w:rFonts w:ascii="Arial" w:hAnsi="Arial"/>
            <w:color w:val="0000FF"/>
            <w:u w:val="single"/>
            <w:rtl/>
          </w:rPr>
          <w:t>ת"פ 22765-09-19</w:t>
        </w:r>
      </w:hyperlink>
      <w:r w:rsidRPr="00A1361D">
        <w:rPr>
          <w:rFonts w:ascii="Arial" w:hAnsi="Arial" w:hint="cs"/>
          <w:rtl/>
        </w:rPr>
        <w:t xml:space="preserve"> </w:t>
      </w:r>
      <w:r w:rsidRPr="00A1361D">
        <w:rPr>
          <w:rFonts w:ascii="Arial" w:hAnsi="Arial" w:hint="cs"/>
          <w:b/>
          <w:bCs/>
          <w:rtl/>
        </w:rPr>
        <w:t>מדינת ישראל נ' מחמוד מטרי</w:t>
      </w:r>
      <w:r w:rsidRPr="00A1361D">
        <w:rPr>
          <w:rFonts w:ascii="Arial" w:hAnsi="Arial" w:hint="cs"/>
          <w:rtl/>
        </w:rPr>
        <w:t xml:space="preserve"> (5.12.19), נדון עניינו של מי שהורשע, על פי הודאתו בהסדר טיעון, בעבירות של נשיאת והובלת נשק, מעשה פזיזות ורשלנות ואיומים. הנאשם הגיע ברכבו לבית המתלונן, והשליך מתוך הרכב רימון לחצר ביתו, הרימון התפוצץ וגרם קול נפץ חזק. בית המשפט קבע מתחם עונש הולם שנע בין 9 חודשי מאסר שניתן לרצות גם בעבודות שירות ל-24 חודשי מאסר בפועל, וגזר על הנאשם עונש של 9 חודשי מאסר לריצוי בעבודות שירות, מאסר על תנאי וקנס בסך 15,000 ₪. </w:t>
      </w:r>
    </w:p>
    <w:p w14:paraId="5E3937D3" w14:textId="77777777" w:rsidR="00E50127" w:rsidRPr="00A02003" w:rsidRDefault="00E50127" w:rsidP="00E50127">
      <w:pPr>
        <w:pStyle w:val="a9"/>
        <w:rPr>
          <w:rFonts w:ascii="Arial" w:hAnsi="Arial"/>
          <w:sz w:val="12"/>
          <w:szCs w:val="12"/>
          <w:rtl/>
        </w:rPr>
      </w:pPr>
    </w:p>
    <w:p w14:paraId="541F8AF1" w14:textId="77777777" w:rsidR="00E50127" w:rsidRPr="001A147D" w:rsidRDefault="00E50127" w:rsidP="00E50127">
      <w:pPr>
        <w:pStyle w:val="a9"/>
        <w:numPr>
          <w:ilvl w:val="0"/>
          <w:numId w:val="2"/>
        </w:numPr>
        <w:spacing w:line="360" w:lineRule="auto"/>
        <w:jc w:val="both"/>
        <w:rPr>
          <w:rFonts w:ascii="Arial" w:hAnsi="Arial"/>
        </w:rPr>
      </w:pPr>
      <w:r w:rsidRPr="001A147D">
        <w:rPr>
          <w:rFonts w:ascii="Arial" w:hAnsi="Arial" w:hint="cs"/>
          <w:rtl/>
        </w:rPr>
        <w:t>כאמור, י.כ. נדון בשל מעשים דומים לעונש של 7 חודשי מאסר, אולם לא ניתן ללמוד מגזר דין זה, גזירה שווה לעניינינו. בניגוד לנאשם שהוא בגיר בן 19 בעת ביצוע המעשים, הנאשם שם היה בן 15, הוא הודה במסגרת הסדר טיעון סגור בתחילת ההליך, העבירה המיוחסות לו היא במדרג חומרה נמוך יותר, הוא החזיק רימון גז ולא רימון הלם, ו</w:t>
      </w:r>
      <w:r>
        <w:rPr>
          <w:rFonts w:ascii="Arial" w:hAnsi="Arial" w:hint="cs"/>
          <w:rtl/>
        </w:rPr>
        <w:t>הוא נעדר עבר פלילי.</w:t>
      </w:r>
    </w:p>
    <w:p w14:paraId="592231F7" w14:textId="77777777" w:rsidR="00E50127" w:rsidRPr="00A1361D" w:rsidRDefault="00E50127" w:rsidP="00E50127">
      <w:pPr>
        <w:spacing w:line="360" w:lineRule="auto"/>
        <w:jc w:val="both"/>
        <w:rPr>
          <w:rFonts w:ascii="Arial" w:hAnsi="Arial"/>
          <w:sz w:val="12"/>
          <w:szCs w:val="12"/>
          <w:rtl/>
        </w:rPr>
      </w:pPr>
    </w:p>
    <w:p w14:paraId="0FE3B896"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לאחר ש</w:t>
      </w:r>
      <w:r w:rsidRPr="00A1361D">
        <w:rPr>
          <w:rFonts w:ascii="David" w:hAnsi="David"/>
          <w:rtl/>
        </w:rPr>
        <w:t xml:space="preserve">בחנתי את הערך החברתי שנפגע כתוצאה מביצוע העבירות, את נסיבות ביצוען ואת מדיניות הענישה הנהוגה, </w:t>
      </w:r>
      <w:r>
        <w:rPr>
          <w:rFonts w:ascii="David" w:hAnsi="David" w:hint="cs"/>
          <w:rtl/>
        </w:rPr>
        <w:t xml:space="preserve">ואת מדיניות ההחמרה בעבירות הנשק, </w:t>
      </w:r>
      <w:r w:rsidRPr="00A1361D">
        <w:rPr>
          <w:rFonts w:ascii="David" w:hAnsi="David"/>
          <w:rtl/>
        </w:rPr>
        <w:t xml:space="preserve">הגעתי לכלל מסקנה שיש לקבוע מתחם עונש הולם </w:t>
      </w:r>
      <w:r>
        <w:rPr>
          <w:rFonts w:ascii="David" w:hAnsi="David" w:hint="cs"/>
          <w:rtl/>
        </w:rPr>
        <w:t>ה</w:t>
      </w:r>
      <w:r w:rsidRPr="00A1361D">
        <w:rPr>
          <w:rFonts w:ascii="David" w:hAnsi="David"/>
          <w:rtl/>
        </w:rPr>
        <w:t>נע בין</w:t>
      </w:r>
      <w:r>
        <w:rPr>
          <w:rFonts w:ascii="David" w:hAnsi="David" w:hint="cs"/>
          <w:rtl/>
        </w:rPr>
        <w:t xml:space="preserve"> 16 לבין </w:t>
      </w:r>
      <w:r w:rsidRPr="0021547C">
        <w:rPr>
          <w:rFonts w:ascii="David" w:hAnsi="David" w:hint="cs"/>
          <w:rtl/>
        </w:rPr>
        <w:t>32</w:t>
      </w:r>
      <w:r>
        <w:rPr>
          <w:rFonts w:ascii="David" w:hAnsi="David" w:hint="cs"/>
          <w:rtl/>
        </w:rPr>
        <w:t xml:space="preserve"> </w:t>
      </w:r>
      <w:r w:rsidRPr="00A1361D">
        <w:rPr>
          <w:rFonts w:ascii="David" w:hAnsi="David"/>
          <w:rtl/>
        </w:rPr>
        <w:t xml:space="preserve">חודשי מאסר בפועל, זאת </w:t>
      </w:r>
      <w:r>
        <w:rPr>
          <w:rFonts w:ascii="David" w:hAnsi="David" w:hint="cs"/>
          <w:rtl/>
        </w:rPr>
        <w:t>ל</w:t>
      </w:r>
      <w:r w:rsidRPr="00A1361D">
        <w:rPr>
          <w:rFonts w:ascii="David" w:hAnsi="David"/>
          <w:rtl/>
        </w:rPr>
        <w:t>צד רכיבי ענישה נלווים.</w:t>
      </w:r>
    </w:p>
    <w:p w14:paraId="2E2CFC87" w14:textId="77777777" w:rsidR="00E50127" w:rsidRPr="00A1361D" w:rsidRDefault="00E50127" w:rsidP="00E50127">
      <w:pPr>
        <w:spacing w:line="360" w:lineRule="auto"/>
        <w:jc w:val="both"/>
        <w:rPr>
          <w:rFonts w:ascii="Arial" w:hAnsi="Arial"/>
          <w:rtl/>
        </w:rPr>
      </w:pPr>
    </w:p>
    <w:p w14:paraId="0EE09D10" w14:textId="77777777" w:rsidR="00E50127" w:rsidRPr="00A1361D" w:rsidRDefault="00E50127" w:rsidP="00E50127">
      <w:pPr>
        <w:spacing w:line="360" w:lineRule="auto"/>
        <w:jc w:val="both"/>
        <w:rPr>
          <w:rFonts w:ascii="Arial" w:hAnsi="Arial"/>
          <w:b/>
          <w:bCs/>
          <w:u w:val="single"/>
        </w:rPr>
      </w:pPr>
      <w:r w:rsidRPr="00A1361D">
        <w:rPr>
          <w:rFonts w:ascii="Arial" w:hAnsi="Arial" w:hint="cs"/>
          <w:b/>
          <w:bCs/>
          <w:u w:val="single"/>
          <w:rtl/>
        </w:rPr>
        <w:t>העונש המתאים</w:t>
      </w:r>
    </w:p>
    <w:p w14:paraId="59F6365E" w14:textId="77777777" w:rsidR="00E50127" w:rsidRPr="00A1361D" w:rsidRDefault="00E50127" w:rsidP="00E50127">
      <w:pPr>
        <w:pStyle w:val="a9"/>
        <w:numPr>
          <w:ilvl w:val="0"/>
          <w:numId w:val="1"/>
        </w:numPr>
        <w:spacing w:line="360" w:lineRule="auto"/>
        <w:ind w:left="283" w:hanging="283"/>
        <w:jc w:val="both"/>
        <w:rPr>
          <w:rFonts w:ascii="Arial" w:hAnsi="Arial"/>
        </w:rPr>
      </w:pPr>
      <w:r w:rsidRPr="00A1361D">
        <w:rPr>
          <w:rFonts w:ascii="Arial" w:hAnsi="Arial" w:hint="cs"/>
          <w:rtl/>
        </w:rPr>
        <w:t>אשר לנס</w:t>
      </w:r>
      <w:r>
        <w:rPr>
          <w:rFonts w:ascii="Arial" w:hAnsi="Arial" w:hint="cs"/>
          <w:rtl/>
        </w:rPr>
        <w:t>יבות שאינן קשורות לביצוע העבירה-</w:t>
      </w:r>
      <w:r w:rsidRPr="00A1361D">
        <w:rPr>
          <w:rFonts w:ascii="Arial" w:hAnsi="Arial" w:hint="cs"/>
          <w:rtl/>
        </w:rPr>
        <w:t xml:space="preserve"> לקולה שקלתי, כי הנאשם בחור צעיר מאוד, בן 20 כיום ובן 19 בלבד במועד ביצוע העבירה, אשר נמצא במעצר </w:t>
      </w:r>
      <w:r>
        <w:rPr>
          <w:rFonts w:ascii="Arial" w:hAnsi="Arial" w:hint="cs"/>
          <w:rtl/>
        </w:rPr>
        <w:t>למעלה מ-11 חודשים</w:t>
      </w:r>
      <w:r w:rsidRPr="00A1361D">
        <w:rPr>
          <w:rFonts w:ascii="Arial" w:hAnsi="Arial" w:hint="cs"/>
          <w:rtl/>
        </w:rPr>
        <w:t xml:space="preserve">, וידוע כי תנאי המעצר קשים מהתנאים </w:t>
      </w:r>
      <w:r>
        <w:rPr>
          <w:rFonts w:ascii="Arial" w:hAnsi="Arial" w:hint="cs"/>
          <w:rtl/>
        </w:rPr>
        <w:t>במאסר</w:t>
      </w:r>
      <w:r w:rsidRPr="00A1361D">
        <w:rPr>
          <w:rFonts w:ascii="Arial" w:hAnsi="Arial" w:hint="cs"/>
          <w:rtl/>
        </w:rPr>
        <w:t>. כמו כן, אף שזוהי אינה הרשעתו הראשונה של הנאשם בפלילים</w:t>
      </w:r>
      <w:r>
        <w:rPr>
          <w:rFonts w:ascii="Arial" w:hAnsi="Arial" w:hint="cs"/>
          <w:rtl/>
        </w:rPr>
        <w:t>,</w:t>
      </w:r>
      <w:r w:rsidRPr="00A1361D">
        <w:rPr>
          <w:rFonts w:ascii="Arial" w:hAnsi="Arial" w:hint="cs"/>
          <w:rtl/>
        </w:rPr>
        <w:t xml:space="preserve"> הוא מעולם לא ריצה מאסר מאחורי סורג ובריח וזהו מאסרו הראשון. התחשבתי לקולה גם בנסיבות חייו המורכבות של הנאשם, כפי שעולה מתסקיר שירות המבחן, אשר מילדותו נחשף לחברה שולית ובלתי מיטבית בסביבתו המשפחתית והחברתית, שהוטמעו והופנמו בתהליך גיבוש זהותו.</w:t>
      </w:r>
    </w:p>
    <w:p w14:paraId="55909FE5" w14:textId="77777777" w:rsidR="00E50127" w:rsidRPr="00A1361D" w:rsidRDefault="00E50127" w:rsidP="00E50127">
      <w:pPr>
        <w:pStyle w:val="a9"/>
        <w:spacing w:line="360" w:lineRule="auto"/>
        <w:ind w:left="283"/>
        <w:jc w:val="both"/>
        <w:rPr>
          <w:rFonts w:ascii="Arial" w:hAnsi="Arial"/>
          <w:sz w:val="12"/>
          <w:szCs w:val="12"/>
        </w:rPr>
      </w:pPr>
    </w:p>
    <w:p w14:paraId="2852F5AD" w14:textId="77777777" w:rsidR="00E50127" w:rsidRPr="00A1361D" w:rsidRDefault="00E50127" w:rsidP="00E50127">
      <w:pPr>
        <w:pStyle w:val="a9"/>
        <w:spacing w:line="360" w:lineRule="auto"/>
        <w:ind w:left="283"/>
        <w:jc w:val="both"/>
        <w:rPr>
          <w:rFonts w:ascii="Arial" w:hAnsi="Arial"/>
        </w:rPr>
      </w:pPr>
      <w:r w:rsidRPr="00A1361D">
        <w:rPr>
          <w:rFonts w:ascii="Arial" w:hAnsi="Arial" w:hint="cs"/>
          <w:rtl/>
        </w:rPr>
        <w:t>עוד שקלתי לזכותו של הנאשם את החלטתו בסופו של דבר להודות בעובדות כתב האישום. אמנם, הנאשם עשה כן רק בתום פרשת ההגנה, לאחר שעדי התביעה כבר הטריחו עצמם להגיע לבית המשפט ולהיחקר בחקירה נגדית, ולאחר שהתברר לנאשם בתום עדותו כי גרסתו הופרכה אל מול ראיות התביעה ועדויות עדי ההגנה שלו עצמו. ואולם</w:t>
      </w:r>
      <w:r>
        <w:rPr>
          <w:rFonts w:ascii="Arial" w:hAnsi="Arial" w:hint="cs"/>
          <w:rtl/>
        </w:rPr>
        <w:t>,</w:t>
      </w:r>
      <w:r w:rsidRPr="00A1361D">
        <w:rPr>
          <w:rFonts w:ascii="Arial" w:hAnsi="Arial" w:hint="cs"/>
          <w:rtl/>
        </w:rPr>
        <w:t xml:space="preserve"> בכך שהנאשם בחר להודות </w:t>
      </w:r>
      <w:r>
        <w:rPr>
          <w:rFonts w:ascii="Arial" w:hAnsi="Arial" w:hint="cs"/>
          <w:rtl/>
        </w:rPr>
        <w:t xml:space="preserve">בסופו של דבר, </w:t>
      </w:r>
      <w:r w:rsidRPr="00A1361D">
        <w:rPr>
          <w:rFonts w:ascii="Arial" w:hAnsi="Arial" w:hint="cs"/>
          <w:rtl/>
        </w:rPr>
        <w:t>יש משום לקיחת אחריות ראשונית מצדו, כמו גם חיסכון בזמן השיפוטי הדרוש ל</w:t>
      </w:r>
      <w:r>
        <w:rPr>
          <w:rFonts w:ascii="Arial" w:hAnsi="Arial" w:hint="cs"/>
          <w:rtl/>
        </w:rPr>
        <w:t xml:space="preserve">שמיעת סיכומי הצדדים ולצורך </w:t>
      </w:r>
      <w:r w:rsidRPr="00A1361D">
        <w:rPr>
          <w:rFonts w:ascii="Arial" w:hAnsi="Arial" w:hint="cs"/>
          <w:rtl/>
        </w:rPr>
        <w:t>כתיבת הכרעת הדין. הגם</w:t>
      </w:r>
      <w:r>
        <w:rPr>
          <w:rFonts w:ascii="Arial" w:hAnsi="Arial" w:hint="cs"/>
          <w:rtl/>
        </w:rPr>
        <w:t>, כאמור, ש</w:t>
      </w:r>
      <w:r w:rsidRPr="00A1361D">
        <w:rPr>
          <w:rFonts w:ascii="Arial" w:hAnsi="Arial" w:hint="cs"/>
          <w:rtl/>
        </w:rPr>
        <w:t>א</w:t>
      </w:r>
      <w:r>
        <w:rPr>
          <w:rFonts w:ascii="Arial" w:hAnsi="Arial" w:hint="cs"/>
          <w:rtl/>
        </w:rPr>
        <w:t>ין</w:t>
      </w:r>
      <w:r w:rsidRPr="00A1361D">
        <w:rPr>
          <w:rFonts w:ascii="Arial" w:hAnsi="Arial" w:hint="cs"/>
          <w:rtl/>
        </w:rPr>
        <w:t xml:space="preserve"> מדובר באותו משקל שניתן להודאה בתחילת המשפט מבחינת לקיחת האחריות והחיסכון בזמן שיפוטי. כמו כן, ראיתי לחיוב את דבריו האחרונים של הנאשם לפניי, אשר לקח אחריות פעם נוספת, התנצל על כך ששיקר בעדותו בבית המשפט והביע צער ואמפתיה למתלוננים </w:t>
      </w:r>
      <w:r>
        <w:rPr>
          <w:rFonts w:ascii="Arial" w:hAnsi="Arial" w:hint="cs"/>
          <w:rtl/>
        </w:rPr>
        <w:t>בשל</w:t>
      </w:r>
      <w:r w:rsidRPr="00A1361D">
        <w:rPr>
          <w:rFonts w:ascii="Arial" w:hAnsi="Arial" w:hint="cs"/>
          <w:rtl/>
        </w:rPr>
        <w:t xml:space="preserve"> מעשיו. </w:t>
      </w:r>
    </w:p>
    <w:p w14:paraId="11A7AD64" w14:textId="77777777" w:rsidR="00E50127" w:rsidRPr="00A1361D" w:rsidRDefault="00E50127" w:rsidP="00E50127">
      <w:pPr>
        <w:pStyle w:val="a9"/>
        <w:spacing w:line="360" w:lineRule="auto"/>
        <w:ind w:left="283"/>
        <w:jc w:val="both"/>
        <w:rPr>
          <w:rFonts w:ascii="Arial" w:hAnsi="Arial"/>
          <w:sz w:val="12"/>
          <w:szCs w:val="12"/>
          <w:rtl/>
        </w:rPr>
      </w:pPr>
    </w:p>
    <w:p w14:paraId="68B38A00" w14:textId="77777777" w:rsidR="00E50127" w:rsidRPr="00A1361D" w:rsidRDefault="00E50127" w:rsidP="00E50127">
      <w:pPr>
        <w:pStyle w:val="a9"/>
        <w:spacing w:line="360" w:lineRule="auto"/>
        <w:ind w:left="283"/>
        <w:jc w:val="both"/>
        <w:rPr>
          <w:rFonts w:ascii="Arial" w:hAnsi="Arial"/>
          <w:rtl/>
        </w:rPr>
      </w:pPr>
      <w:r w:rsidRPr="00A1361D">
        <w:rPr>
          <w:rFonts w:ascii="Arial" w:hAnsi="Arial" w:hint="cs"/>
          <w:rtl/>
        </w:rPr>
        <w:t xml:space="preserve">מנגד, לחומרה שקלתי, כי לנאשם עבר פלילי מכביד </w:t>
      </w:r>
      <w:r>
        <w:rPr>
          <w:rFonts w:ascii="Arial" w:hAnsi="Arial" w:hint="cs"/>
          <w:rtl/>
        </w:rPr>
        <w:t>בשים לב לכך שמדובר ב</w:t>
      </w:r>
      <w:r w:rsidRPr="00A1361D">
        <w:rPr>
          <w:rFonts w:ascii="Arial" w:hAnsi="Arial" w:hint="cs"/>
          <w:rtl/>
        </w:rPr>
        <w:t xml:space="preserve">אדם כה צעיר. לנאשם שלוש הרשעות קודמות בעבירות אלימות, רכוש וסמים, כאשר בפועל מדובר בחמישה תיקים פליליים שהנאשם הורשע בהם, שכן במסגרת הרשעתו הראשונה צירף </w:t>
      </w:r>
      <w:r>
        <w:rPr>
          <w:rFonts w:ascii="Arial" w:hAnsi="Arial" w:hint="cs"/>
          <w:rtl/>
        </w:rPr>
        <w:t xml:space="preserve">הנאשם </w:t>
      </w:r>
      <w:r w:rsidRPr="00A1361D">
        <w:rPr>
          <w:rFonts w:ascii="Arial" w:hAnsi="Arial" w:hint="cs"/>
          <w:rtl/>
        </w:rPr>
        <w:t>יחד</w:t>
      </w:r>
      <w:r>
        <w:rPr>
          <w:rFonts w:ascii="Arial" w:hAnsi="Arial" w:hint="cs"/>
          <w:rtl/>
        </w:rPr>
        <w:t>יו</w:t>
      </w:r>
      <w:r w:rsidRPr="00A1361D">
        <w:rPr>
          <w:rFonts w:ascii="Arial" w:hAnsi="Arial" w:hint="cs"/>
          <w:rtl/>
        </w:rPr>
        <w:t xml:space="preserve"> שלושה תיקים, אשר את העבירות בהם ביצע כבר בהיותו בגיל 12-13 שנים בלבד. </w:t>
      </w:r>
      <w:r>
        <w:rPr>
          <w:rFonts w:ascii="Arial" w:hAnsi="Arial" w:hint="cs"/>
          <w:rtl/>
        </w:rPr>
        <w:t>בנוסף</w:t>
      </w:r>
      <w:r w:rsidRPr="00A1361D">
        <w:rPr>
          <w:rFonts w:ascii="Arial" w:hAnsi="Arial" w:hint="cs"/>
          <w:rtl/>
        </w:rPr>
        <w:t xml:space="preserve">, שירות המבחן התרשם </w:t>
      </w:r>
      <w:r>
        <w:rPr>
          <w:rFonts w:ascii="Arial" w:hAnsi="Arial" w:hint="cs"/>
          <w:rtl/>
        </w:rPr>
        <w:t>ש</w:t>
      </w:r>
      <w:r w:rsidRPr="00A1361D">
        <w:rPr>
          <w:rFonts w:ascii="Arial" w:hAnsi="Arial" w:hint="cs"/>
          <w:rtl/>
        </w:rPr>
        <w:t>לנאשם דפוסי אישיות עברייניים והתמכרותיים, הוא מצמצם ומטשטש מחומרת מעשיו, מתקשה בהתבוננות עליהם לצורך עריכת שינוי, אינו רואה בעייתיות בהתנהלותו ושולל כל נזקקות טיפולית. בהקשר זה יצוין</w:t>
      </w:r>
      <w:r>
        <w:rPr>
          <w:rFonts w:ascii="Arial" w:hAnsi="Arial" w:hint="cs"/>
          <w:rtl/>
        </w:rPr>
        <w:t>,</w:t>
      </w:r>
      <w:r w:rsidRPr="00A1361D">
        <w:rPr>
          <w:rFonts w:ascii="Arial" w:hAnsi="Arial" w:hint="cs"/>
          <w:rtl/>
        </w:rPr>
        <w:t xml:space="preserve"> כי מתסקיר שירות המבחן גם עולה </w:t>
      </w:r>
      <w:r>
        <w:rPr>
          <w:rFonts w:ascii="Arial" w:hAnsi="Arial" w:hint="cs"/>
          <w:rtl/>
        </w:rPr>
        <w:t>שלפני מספר שנים</w:t>
      </w:r>
      <w:r w:rsidRPr="00A1361D">
        <w:rPr>
          <w:rFonts w:ascii="Arial" w:hAnsi="Arial" w:hint="cs"/>
          <w:rtl/>
        </w:rPr>
        <w:t xml:space="preserve"> נעשו שני ניסיונות לשלב את הנאשם בתכניות טיפוליות, אך אלה עלו בתוהו נוכח מעורבותו באירועי אלימות פיזית ומילולית, התנגדות לצוות המסגרת ו</w:t>
      </w:r>
      <w:r>
        <w:rPr>
          <w:rFonts w:ascii="Arial" w:hAnsi="Arial" w:hint="cs"/>
          <w:rtl/>
        </w:rPr>
        <w:t>ל</w:t>
      </w:r>
      <w:r w:rsidRPr="00A1361D">
        <w:rPr>
          <w:rFonts w:ascii="Arial" w:hAnsi="Arial" w:hint="cs"/>
          <w:rtl/>
        </w:rPr>
        <w:t>סמכותו, צריכת חומרים ממכרים ואף בריחה מהמסגרת. לכן, ב</w:t>
      </w:r>
      <w:r>
        <w:rPr>
          <w:rFonts w:ascii="Arial" w:hAnsi="Arial" w:hint="cs"/>
          <w:rtl/>
        </w:rPr>
        <w:t>י</w:t>
      </w:r>
      <w:r w:rsidRPr="00A1361D">
        <w:rPr>
          <w:rFonts w:ascii="Arial" w:hAnsi="Arial" w:hint="cs"/>
          <w:rtl/>
        </w:rPr>
        <w:t>ן היתר, שירות המבחן העריך כי קיים סיכון גבוה להישנות התנהגות עוברת חוק מצד הנאשם, ונמנע מהמלצה בעניינו.</w:t>
      </w:r>
    </w:p>
    <w:p w14:paraId="4AC21670" w14:textId="77777777" w:rsidR="00E50127" w:rsidRPr="008F3A23" w:rsidRDefault="00E50127" w:rsidP="00E50127">
      <w:pPr>
        <w:spacing w:line="360" w:lineRule="auto"/>
        <w:jc w:val="both"/>
        <w:rPr>
          <w:rFonts w:ascii="Arial" w:hAnsi="Arial"/>
          <w:sz w:val="10"/>
          <w:szCs w:val="10"/>
          <w:rtl/>
        </w:rPr>
      </w:pPr>
    </w:p>
    <w:p w14:paraId="12E3AADF" w14:textId="77777777" w:rsidR="00E50127" w:rsidRPr="000607A0" w:rsidRDefault="00E50127" w:rsidP="00E50127">
      <w:pPr>
        <w:pStyle w:val="a9"/>
        <w:numPr>
          <w:ilvl w:val="0"/>
          <w:numId w:val="1"/>
        </w:numPr>
        <w:spacing w:line="360" w:lineRule="auto"/>
        <w:ind w:left="283" w:hanging="283"/>
        <w:jc w:val="both"/>
        <w:rPr>
          <w:rFonts w:ascii="Arial" w:hAnsi="Arial"/>
        </w:rPr>
      </w:pPr>
      <w:r>
        <w:rPr>
          <w:rFonts w:hint="cs"/>
          <w:rtl/>
        </w:rPr>
        <w:t>מכאן, ש</w:t>
      </w:r>
      <w:r w:rsidRPr="00A1361D">
        <w:rPr>
          <w:rtl/>
        </w:rPr>
        <w:t xml:space="preserve">יש ליתן דגש </w:t>
      </w:r>
      <w:r w:rsidRPr="00A1361D">
        <w:rPr>
          <w:rFonts w:hint="cs"/>
          <w:rtl/>
        </w:rPr>
        <w:t>ל</w:t>
      </w:r>
      <w:r w:rsidRPr="00A1361D">
        <w:rPr>
          <w:rtl/>
        </w:rPr>
        <w:t>שיקולי הרתעת היחיד</w:t>
      </w:r>
      <w:r>
        <w:rPr>
          <w:rFonts w:hint="cs"/>
          <w:rtl/>
        </w:rPr>
        <w:t xml:space="preserve"> ולצורך להגן על הציבור מפני הנאשם</w:t>
      </w:r>
      <w:r w:rsidRPr="00A1361D">
        <w:rPr>
          <w:rFonts w:hint="cs"/>
          <w:rtl/>
        </w:rPr>
        <w:t>,</w:t>
      </w:r>
      <w:r w:rsidRPr="00A1361D">
        <w:rPr>
          <w:rtl/>
        </w:rPr>
        <w:t xml:space="preserve"> בהיעדר</w:t>
      </w:r>
      <w:r w:rsidRPr="00A1361D">
        <w:rPr>
          <w:rFonts w:hint="cs"/>
          <w:rtl/>
        </w:rPr>
        <w:t xml:space="preserve"> </w:t>
      </w:r>
      <w:r w:rsidRPr="00A1361D">
        <w:rPr>
          <w:rtl/>
        </w:rPr>
        <w:t>אופק שיקומי טיפולי ברור ו</w:t>
      </w:r>
      <w:r w:rsidRPr="00A1361D">
        <w:rPr>
          <w:rFonts w:hint="cs"/>
          <w:rtl/>
        </w:rPr>
        <w:t xml:space="preserve">נוכח </w:t>
      </w:r>
      <w:r w:rsidRPr="00A1361D">
        <w:rPr>
          <w:rtl/>
        </w:rPr>
        <w:t>הצורך בהצבת גבול ברור ומרתיע לנאשם, וכן יש לתת דגש לשיקולי הרתעת הרבים</w:t>
      </w:r>
      <w:r>
        <w:rPr>
          <w:rFonts w:hint="cs"/>
          <w:rtl/>
        </w:rPr>
        <w:t>. מנגד, יש להתחשב בגילו הצעיר מאוד של הנאשם, שאך מלאו לו 20 שנה, ושזהו לו מאסרו הראשון</w:t>
      </w:r>
      <w:r>
        <w:rPr>
          <w:rtl/>
        </w:rPr>
        <w:t>.</w:t>
      </w:r>
      <w:r>
        <w:rPr>
          <w:rFonts w:hint="cs"/>
          <w:rtl/>
        </w:rPr>
        <w:t xml:space="preserve"> </w:t>
      </w:r>
      <w:r w:rsidRPr="00A1361D">
        <w:rPr>
          <w:rFonts w:hint="cs"/>
          <w:rtl/>
        </w:rPr>
        <w:t>משכך,</w:t>
      </w:r>
      <w:r w:rsidRPr="00A1361D">
        <w:rPr>
          <w:rtl/>
        </w:rPr>
        <w:t xml:space="preserve"> החלטתי להטיל על הנאשם עונש </w:t>
      </w:r>
      <w:r>
        <w:rPr>
          <w:rFonts w:hint="cs"/>
          <w:rtl/>
        </w:rPr>
        <w:t>בתפר שבין הרף התחתון לרף הבינוני</w:t>
      </w:r>
      <w:r w:rsidRPr="00A1361D">
        <w:rPr>
          <w:rFonts w:hint="cs"/>
          <w:rtl/>
        </w:rPr>
        <w:t xml:space="preserve"> </w:t>
      </w:r>
      <w:r w:rsidRPr="00A1361D">
        <w:rPr>
          <w:rtl/>
        </w:rPr>
        <w:t>של מתחם העונש ההולם.</w:t>
      </w:r>
      <w:r w:rsidRPr="000607A0">
        <w:rPr>
          <w:rFonts w:hint="cs"/>
          <w:rtl/>
        </w:rPr>
        <w:t xml:space="preserve"> </w:t>
      </w:r>
    </w:p>
    <w:p w14:paraId="431EDADE" w14:textId="77777777" w:rsidR="00E50127" w:rsidRPr="008F3A23" w:rsidRDefault="00E50127" w:rsidP="00E50127">
      <w:pPr>
        <w:pStyle w:val="a9"/>
        <w:spacing w:line="360" w:lineRule="auto"/>
        <w:ind w:left="283"/>
        <w:jc w:val="both"/>
        <w:rPr>
          <w:rFonts w:ascii="Arial" w:hAnsi="Arial"/>
          <w:sz w:val="10"/>
          <w:szCs w:val="10"/>
        </w:rPr>
      </w:pPr>
    </w:p>
    <w:p w14:paraId="11BF56C9" w14:textId="77777777" w:rsidR="00E50127" w:rsidRPr="002B6D01" w:rsidRDefault="00E50127" w:rsidP="00E50127">
      <w:pPr>
        <w:pStyle w:val="a9"/>
        <w:numPr>
          <w:ilvl w:val="0"/>
          <w:numId w:val="1"/>
        </w:numPr>
        <w:spacing w:line="360" w:lineRule="auto"/>
        <w:ind w:left="283" w:hanging="283"/>
        <w:jc w:val="both"/>
        <w:rPr>
          <w:rFonts w:ascii="Arial" w:hAnsi="Arial"/>
        </w:rPr>
      </w:pPr>
      <w:r>
        <w:rPr>
          <w:rFonts w:hint="cs"/>
          <w:rtl/>
        </w:rPr>
        <w:t>בטרם חתימה יצוין, כי בשים לב לגילו המאוד צעיר, ניתן לומר שהנאשם עומד כעת בצומת דרכים, והבחירה נתונה בידו. האם יבחר להמשיך להתבוסס בעולם העברייני, והוא יכנס ויצא מבין כותלי שב"ס לעוד שנים רבות, או שמא, למרות הקושי הרב, הוא יבחר להשתלב בהליכי טיפול ושיקום בעת מאסרו ולאחר שחרורו, ישנה את דפוסיו, ויבחר בדרך הישר והטוב. אנו מצויים כעת בחודש הרחמים</w:t>
      </w:r>
      <w:r w:rsidRPr="00FC01DB">
        <w:rPr>
          <w:rFonts w:hint="cs"/>
          <w:rtl/>
        </w:rPr>
        <w:t xml:space="preserve"> </w:t>
      </w:r>
      <w:r>
        <w:rPr>
          <w:rFonts w:hint="cs"/>
          <w:rtl/>
        </w:rPr>
        <w:t>והסליחות, בערב ראש השנה, תקופה בה שערי תשובה פתוחים לרווחה, ואני תקווה שהנאשם ישכיל למצוא את הכוחות לצאת ממעגל זה, ולעבור שינוי.</w:t>
      </w:r>
    </w:p>
    <w:p w14:paraId="74711237" w14:textId="77777777" w:rsidR="00E50127" w:rsidRPr="008F3A23" w:rsidRDefault="00E50127" w:rsidP="00E50127">
      <w:pPr>
        <w:pStyle w:val="a9"/>
        <w:spacing w:line="360" w:lineRule="auto"/>
        <w:ind w:left="283"/>
        <w:jc w:val="both"/>
        <w:rPr>
          <w:rFonts w:ascii="Arial" w:hAnsi="Arial"/>
          <w:sz w:val="10"/>
          <w:szCs w:val="10"/>
        </w:rPr>
      </w:pPr>
    </w:p>
    <w:p w14:paraId="30D4C6D6" w14:textId="77777777" w:rsidR="00E50127" w:rsidRPr="00A1361D" w:rsidRDefault="00E50127" w:rsidP="00E50127">
      <w:pPr>
        <w:pStyle w:val="a9"/>
        <w:numPr>
          <w:ilvl w:val="0"/>
          <w:numId w:val="1"/>
        </w:numPr>
        <w:spacing w:line="360" w:lineRule="auto"/>
        <w:ind w:left="283" w:hanging="283"/>
        <w:jc w:val="both"/>
        <w:rPr>
          <w:rFonts w:ascii="Arial" w:hAnsi="Arial"/>
        </w:rPr>
      </w:pPr>
      <w:r>
        <w:rPr>
          <w:rFonts w:ascii="Arial" w:hAnsi="Arial" w:hint="cs"/>
          <w:rtl/>
        </w:rPr>
        <w:t>סופו של דבר</w:t>
      </w:r>
      <w:r w:rsidRPr="00A1361D">
        <w:rPr>
          <w:rFonts w:ascii="Arial" w:hAnsi="Arial" w:hint="cs"/>
          <w:rtl/>
        </w:rPr>
        <w:t>, החלטתי להטיל על הנאשם את העונשים הבאים כדלהלן:</w:t>
      </w:r>
    </w:p>
    <w:p w14:paraId="6DDCC725" w14:textId="77777777" w:rsidR="00E50127" w:rsidRPr="008F3A23" w:rsidRDefault="00E50127" w:rsidP="00E50127">
      <w:pPr>
        <w:pStyle w:val="a9"/>
        <w:spacing w:line="360" w:lineRule="auto"/>
        <w:rPr>
          <w:rFonts w:ascii="Arial" w:hAnsi="Arial"/>
          <w:sz w:val="6"/>
          <w:szCs w:val="6"/>
          <w:rtl/>
        </w:rPr>
      </w:pPr>
    </w:p>
    <w:p w14:paraId="49D0DA9D" w14:textId="77777777" w:rsidR="00E50127" w:rsidRPr="00A1361D" w:rsidRDefault="00E50127" w:rsidP="00E50127">
      <w:pPr>
        <w:pStyle w:val="a9"/>
        <w:numPr>
          <w:ilvl w:val="0"/>
          <w:numId w:val="3"/>
        </w:numPr>
        <w:spacing w:line="360" w:lineRule="auto"/>
        <w:jc w:val="both"/>
        <w:rPr>
          <w:rFonts w:ascii="Arial" w:hAnsi="Arial"/>
        </w:rPr>
      </w:pPr>
      <w:r>
        <w:rPr>
          <w:rFonts w:ascii="Arial" w:hAnsi="Arial" w:hint="cs"/>
          <w:rtl/>
        </w:rPr>
        <w:t xml:space="preserve">21 </w:t>
      </w:r>
      <w:r w:rsidRPr="00A1361D">
        <w:rPr>
          <w:rFonts w:ascii="Arial" w:hAnsi="Arial" w:hint="cs"/>
          <w:rtl/>
        </w:rPr>
        <w:t>חודשי מאסר בפועל, אשר ירוצו מיום מעצרו 24.10.23.</w:t>
      </w:r>
    </w:p>
    <w:p w14:paraId="6C5FA2C2" w14:textId="77777777" w:rsidR="00E50127" w:rsidRPr="008F3A23" w:rsidRDefault="00E50127" w:rsidP="00E50127">
      <w:pPr>
        <w:pStyle w:val="a9"/>
        <w:spacing w:line="360" w:lineRule="auto"/>
        <w:ind w:left="643"/>
        <w:jc w:val="both"/>
        <w:rPr>
          <w:rFonts w:ascii="Arial" w:hAnsi="Arial"/>
          <w:sz w:val="6"/>
          <w:szCs w:val="6"/>
        </w:rPr>
      </w:pPr>
    </w:p>
    <w:p w14:paraId="2BF3D1A2" w14:textId="77777777" w:rsidR="00E50127" w:rsidRPr="00A1361D" w:rsidRDefault="00E50127" w:rsidP="00E50127">
      <w:pPr>
        <w:pStyle w:val="a9"/>
        <w:numPr>
          <w:ilvl w:val="0"/>
          <w:numId w:val="3"/>
        </w:numPr>
        <w:spacing w:line="360" w:lineRule="auto"/>
        <w:jc w:val="both"/>
        <w:rPr>
          <w:rFonts w:ascii="Arial" w:hAnsi="Arial"/>
        </w:rPr>
      </w:pPr>
      <w:r>
        <w:rPr>
          <w:rFonts w:ascii="Arial" w:hAnsi="Arial" w:hint="cs"/>
          <w:rtl/>
        </w:rPr>
        <w:t>12</w:t>
      </w:r>
      <w:r w:rsidRPr="00A1361D">
        <w:rPr>
          <w:rFonts w:ascii="Arial" w:hAnsi="Arial" w:hint="cs"/>
          <w:rtl/>
        </w:rPr>
        <w:t xml:space="preserve"> חודשי מאסר. הנאשם לא ירצה עונש זה אלא אם יעבור בתוך שלוש שנים מיום שחרורו מהמאסר על כל עבירת נשק מסוג פשע.</w:t>
      </w:r>
    </w:p>
    <w:p w14:paraId="43BDEFB8" w14:textId="77777777" w:rsidR="00E50127" w:rsidRPr="008F3A23" w:rsidRDefault="00E50127" w:rsidP="00E50127">
      <w:pPr>
        <w:pStyle w:val="a9"/>
        <w:spacing w:line="360" w:lineRule="auto"/>
        <w:rPr>
          <w:rFonts w:ascii="Arial" w:hAnsi="Arial"/>
          <w:sz w:val="6"/>
          <w:szCs w:val="6"/>
          <w:rtl/>
        </w:rPr>
      </w:pPr>
    </w:p>
    <w:p w14:paraId="68A244B3" w14:textId="77777777" w:rsidR="00E50127" w:rsidRPr="00A1361D" w:rsidRDefault="00E50127" w:rsidP="00E50127">
      <w:pPr>
        <w:pStyle w:val="a9"/>
        <w:numPr>
          <w:ilvl w:val="0"/>
          <w:numId w:val="3"/>
        </w:numPr>
        <w:spacing w:line="360" w:lineRule="auto"/>
        <w:jc w:val="both"/>
        <w:rPr>
          <w:rFonts w:ascii="Arial" w:hAnsi="Arial"/>
        </w:rPr>
      </w:pPr>
      <w:r>
        <w:rPr>
          <w:rFonts w:ascii="Arial" w:hAnsi="Arial" w:hint="cs"/>
          <w:rtl/>
        </w:rPr>
        <w:t>6</w:t>
      </w:r>
      <w:r w:rsidRPr="00A1361D">
        <w:rPr>
          <w:rFonts w:ascii="Arial" w:hAnsi="Arial" w:hint="cs"/>
          <w:rtl/>
        </w:rPr>
        <w:t xml:space="preserve"> חודשי מאסר. הנאשם לא ירצה עונש זה אלא יעבור בתוך שלוש שנים מיום שחרורו מהמאסר על כל עבירת נשק </w:t>
      </w:r>
      <w:r>
        <w:rPr>
          <w:rFonts w:ascii="Arial" w:hAnsi="Arial" w:hint="cs"/>
          <w:rtl/>
        </w:rPr>
        <w:t xml:space="preserve">מסוג עוון </w:t>
      </w:r>
      <w:r w:rsidRPr="00A1361D">
        <w:rPr>
          <w:rFonts w:ascii="Arial" w:hAnsi="Arial" w:hint="cs"/>
          <w:rtl/>
        </w:rPr>
        <w:t>או</w:t>
      </w:r>
      <w:r>
        <w:rPr>
          <w:rFonts w:ascii="Arial" w:hAnsi="Arial" w:hint="cs"/>
          <w:rtl/>
        </w:rPr>
        <w:t xml:space="preserve"> מעשה פזיזות ורשלנות או כל עבירת אלימות</w:t>
      </w:r>
      <w:r w:rsidRPr="00A1361D">
        <w:rPr>
          <w:rFonts w:ascii="Arial" w:hAnsi="Arial" w:hint="cs"/>
          <w:rtl/>
        </w:rPr>
        <w:t xml:space="preserve">. </w:t>
      </w:r>
    </w:p>
    <w:p w14:paraId="34328595" w14:textId="77777777" w:rsidR="00E50127" w:rsidRPr="008F3A23" w:rsidRDefault="00E50127" w:rsidP="00E50127">
      <w:pPr>
        <w:pStyle w:val="a9"/>
        <w:rPr>
          <w:rFonts w:ascii="Arial" w:hAnsi="Arial"/>
          <w:sz w:val="6"/>
          <w:szCs w:val="6"/>
          <w:rtl/>
        </w:rPr>
      </w:pPr>
    </w:p>
    <w:p w14:paraId="113B76F4" w14:textId="77777777" w:rsidR="00E50127" w:rsidRPr="00A1361D" w:rsidRDefault="00E50127" w:rsidP="00E50127">
      <w:pPr>
        <w:pStyle w:val="a9"/>
        <w:numPr>
          <w:ilvl w:val="0"/>
          <w:numId w:val="3"/>
        </w:numPr>
        <w:spacing w:line="360" w:lineRule="auto"/>
        <w:jc w:val="both"/>
        <w:rPr>
          <w:rFonts w:ascii="Arial" w:hAnsi="Arial"/>
        </w:rPr>
      </w:pPr>
      <w:r w:rsidRPr="00A1361D">
        <w:rPr>
          <w:rFonts w:ascii="Arial" w:hAnsi="Arial" w:hint="cs"/>
          <w:rtl/>
        </w:rPr>
        <w:t>פיצוי לנפגעי העבירה בסך</w:t>
      </w:r>
      <w:r>
        <w:rPr>
          <w:rFonts w:ascii="Arial" w:hAnsi="Arial" w:hint="cs"/>
          <w:rtl/>
        </w:rPr>
        <w:t xml:space="preserve"> 5,000</w:t>
      </w:r>
      <w:r w:rsidRPr="00A1361D">
        <w:rPr>
          <w:rFonts w:ascii="Arial" w:hAnsi="Arial" w:hint="cs"/>
          <w:rtl/>
        </w:rPr>
        <w:t xml:space="preserve"> ₪. </w:t>
      </w:r>
      <w:r>
        <w:rPr>
          <w:rFonts w:ascii="Arial" w:hAnsi="Arial" w:hint="cs"/>
          <w:rtl/>
        </w:rPr>
        <w:t>הפיצוי ישולם בעשרה תשלומים שווים ורצופים החל מיום 1.1.25 ובכל האחד לחודש שלאחריו. לא ישולם תשלום במועדו או במלואו, תעמוד יתרת הפיצוי לפירעון מיידי.</w:t>
      </w:r>
    </w:p>
    <w:p w14:paraId="314F2F9B" w14:textId="77777777" w:rsidR="00E50127" w:rsidRPr="008F3A23" w:rsidRDefault="00E50127" w:rsidP="00E50127">
      <w:pPr>
        <w:spacing w:line="360" w:lineRule="auto"/>
        <w:rPr>
          <w:rFonts w:ascii="Arial" w:hAnsi="Arial"/>
          <w:b/>
          <w:bCs/>
          <w:sz w:val="10"/>
          <w:szCs w:val="10"/>
          <w:rtl/>
        </w:rPr>
      </w:pPr>
    </w:p>
    <w:p w14:paraId="45E2134B" w14:textId="77777777" w:rsidR="00E50127" w:rsidRPr="00A1361D" w:rsidRDefault="00E50127" w:rsidP="00E50127">
      <w:pPr>
        <w:spacing w:line="360" w:lineRule="auto"/>
        <w:jc w:val="both"/>
        <w:rPr>
          <w:rFonts w:ascii="Arial" w:hAnsi="Arial"/>
          <w:b/>
          <w:bCs/>
          <w:sz w:val="26"/>
          <w:szCs w:val="26"/>
        </w:rPr>
      </w:pPr>
      <w:r w:rsidRPr="008F3A23">
        <w:rPr>
          <w:rFonts w:ascii="Arial" w:hAnsi="Arial"/>
          <w:b/>
          <w:bCs/>
          <w:rtl/>
        </w:rPr>
        <w:t>העתק גזר הדין ישלח לשירות המבחן</w:t>
      </w:r>
      <w:r w:rsidRPr="00A1361D">
        <w:rPr>
          <w:rFonts w:ascii="Arial" w:hAnsi="Arial"/>
          <w:b/>
          <w:bCs/>
          <w:sz w:val="26"/>
          <w:szCs w:val="26"/>
          <w:rtl/>
        </w:rPr>
        <w:t>.</w:t>
      </w:r>
    </w:p>
    <w:p w14:paraId="0D0AF0C0" w14:textId="77777777" w:rsidR="00E50127" w:rsidRPr="00A1361D" w:rsidRDefault="00CD0F0B" w:rsidP="00E50127">
      <w:pPr>
        <w:spacing w:line="360" w:lineRule="auto"/>
        <w:jc w:val="both"/>
        <w:rPr>
          <w:rFonts w:ascii="Arial" w:hAnsi="Arial"/>
          <w:b/>
          <w:bCs/>
          <w:sz w:val="2"/>
          <w:szCs w:val="2"/>
          <w:rtl/>
        </w:rPr>
      </w:pPr>
      <w:r w:rsidRPr="00CD0F0B">
        <w:rPr>
          <w:rFonts w:ascii="Arial" w:hAnsi="Arial"/>
          <w:b/>
          <w:bCs/>
          <w:color w:val="FFFFFF"/>
          <w:sz w:val="2"/>
          <w:szCs w:val="2"/>
          <w:rtl/>
        </w:rPr>
        <w:t>5129371</w:t>
      </w:r>
      <w:r w:rsidR="00E50127" w:rsidRPr="00A1361D">
        <w:rPr>
          <w:rFonts w:ascii="Arial" w:hAnsi="Arial"/>
          <w:b/>
          <w:bCs/>
          <w:sz w:val="2"/>
          <w:szCs w:val="2"/>
          <w:rtl/>
        </w:rPr>
        <w:t>54678313</w:t>
      </w:r>
    </w:p>
    <w:p w14:paraId="77C2BAAE" w14:textId="77777777" w:rsidR="00E50127" w:rsidRPr="00CD0F0B" w:rsidRDefault="00CD0F0B" w:rsidP="00E50127">
      <w:pPr>
        <w:spacing w:line="360" w:lineRule="auto"/>
        <w:jc w:val="both"/>
        <w:rPr>
          <w:rFonts w:ascii="Arial" w:hAnsi="Arial"/>
          <w:b/>
          <w:bCs/>
          <w:color w:val="FFFFFF"/>
          <w:sz w:val="2"/>
          <w:szCs w:val="2"/>
          <w:rtl/>
        </w:rPr>
      </w:pPr>
      <w:r w:rsidRPr="00CD0F0B">
        <w:rPr>
          <w:rFonts w:ascii="Arial" w:hAnsi="Arial"/>
          <w:b/>
          <w:bCs/>
          <w:color w:val="FFFFFF"/>
          <w:sz w:val="2"/>
          <w:szCs w:val="2"/>
          <w:rtl/>
        </w:rPr>
        <w:t>54678313</w:t>
      </w:r>
    </w:p>
    <w:p w14:paraId="0480A99D" w14:textId="77777777" w:rsidR="00E50127" w:rsidRPr="00A1361D" w:rsidRDefault="00E50127" w:rsidP="00E50127">
      <w:pPr>
        <w:spacing w:line="360" w:lineRule="auto"/>
        <w:jc w:val="both"/>
        <w:rPr>
          <w:rFonts w:ascii="Arial" w:hAnsi="Arial"/>
          <w:b/>
          <w:bCs/>
          <w:sz w:val="26"/>
          <w:szCs w:val="26"/>
          <w:rtl/>
        </w:rPr>
      </w:pPr>
      <w:r w:rsidRPr="008F3A23">
        <w:rPr>
          <w:rFonts w:ascii="Arial" w:hAnsi="Arial"/>
          <w:b/>
          <w:bCs/>
          <w:rtl/>
        </w:rPr>
        <w:t>זכות ערעור לבית המשפט העליון בתוך 45 יום מהיום</w:t>
      </w:r>
      <w:r w:rsidRPr="00A1361D">
        <w:rPr>
          <w:rFonts w:ascii="Arial" w:hAnsi="Arial"/>
          <w:b/>
          <w:bCs/>
          <w:sz w:val="26"/>
          <w:szCs w:val="26"/>
          <w:rtl/>
        </w:rPr>
        <w:t>.</w:t>
      </w:r>
    </w:p>
    <w:p w14:paraId="56F79E03" w14:textId="77777777" w:rsidR="00E50127" w:rsidRPr="008F3A23" w:rsidRDefault="00E50127" w:rsidP="00E50127">
      <w:pPr>
        <w:rPr>
          <w:rFonts w:ascii="Arial" w:hAnsi="Arial"/>
          <w:b/>
          <w:bCs/>
          <w:sz w:val="10"/>
          <w:szCs w:val="10"/>
          <w:rtl/>
        </w:rPr>
      </w:pPr>
    </w:p>
    <w:p w14:paraId="7475B8D8" w14:textId="77777777" w:rsidR="00E50127" w:rsidRPr="00A1361D" w:rsidRDefault="00CD0F0B" w:rsidP="00CD0F0B">
      <w:pPr>
        <w:jc w:val="center"/>
      </w:pPr>
      <w:bookmarkStart w:id="8" w:name="Nitan"/>
      <w:r>
        <w:rPr>
          <w:rFonts w:ascii="Arial" w:hAnsi="Arial"/>
          <w:b/>
          <w:bCs/>
          <w:sz w:val="26"/>
          <w:szCs w:val="26"/>
          <w:rtl/>
        </w:rPr>
        <w:t xml:space="preserve">ניתן היום, כ"ז אלול תשפ"ד, 30 ספטמבר 2024, בנוכחות הצדדים. </w:t>
      </w:r>
      <w:bookmarkEnd w:id="8"/>
      <w:r w:rsidR="00E50127" w:rsidRPr="00A1361D">
        <w:rPr>
          <w:rFonts w:ascii="Arial" w:hAnsi="Arial"/>
          <w:b/>
          <w:bCs/>
          <w:sz w:val="26"/>
          <w:szCs w:val="26"/>
          <w:rtl/>
        </w:rPr>
        <w:t xml:space="preserve">   </w:t>
      </w:r>
      <w:r w:rsidR="00E50127" w:rsidRPr="00A1361D">
        <w:rPr>
          <w:rFonts w:ascii="Arial" w:hAnsi="Arial"/>
          <w:b/>
          <w:bCs/>
          <w:sz w:val="26"/>
          <w:szCs w:val="26"/>
          <w:rtl/>
        </w:rPr>
        <w:tab/>
      </w:r>
      <w:r w:rsidR="00E50127" w:rsidRPr="00A1361D">
        <w:rPr>
          <w:rFonts w:ascii="Arial" w:hAnsi="Arial"/>
          <w:b/>
          <w:bCs/>
          <w:sz w:val="26"/>
          <w:szCs w:val="26"/>
          <w:rtl/>
        </w:rPr>
        <w:tab/>
      </w:r>
      <w:r w:rsidR="00E50127" w:rsidRPr="00A1361D">
        <w:rPr>
          <w:rFonts w:ascii="Arial" w:hAnsi="Arial"/>
          <w:b/>
          <w:bCs/>
          <w:sz w:val="26"/>
          <w:szCs w:val="26"/>
          <w:rtl/>
        </w:rPr>
        <w:tab/>
      </w:r>
      <w:r w:rsidR="00E50127" w:rsidRPr="00A1361D">
        <w:rPr>
          <w:rFonts w:ascii="Arial" w:hAnsi="Arial"/>
          <w:b/>
          <w:bCs/>
          <w:sz w:val="26"/>
          <w:szCs w:val="26"/>
          <w:rtl/>
        </w:rPr>
        <w:tab/>
      </w:r>
      <w:r w:rsidR="00E50127" w:rsidRPr="00A1361D">
        <w:rPr>
          <w:rFonts w:ascii="Arial" w:hAnsi="Arial"/>
          <w:b/>
          <w:bCs/>
          <w:sz w:val="26"/>
          <w:szCs w:val="26"/>
          <w:rtl/>
        </w:rPr>
        <w:tab/>
      </w:r>
    </w:p>
    <w:p w14:paraId="63413BEA" w14:textId="77777777" w:rsidR="00E50127" w:rsidRPr="00D6089D" w:rsidRDefault="00D6089D" w:rsidP="00E50127">
      <w:pPr>
        <w:jc w:val="center"/>
        <w:rPr>
          <w:rFonts w:ascii="Arial" w:hAnsi="Arial"/>
          <w:b/>
          <w:bCs/>
          <w:color w:val="FFFFFF"/>
          <w:sz w:val="2"/>
          <w:szCs w:val="2"/>
          <w:rtl/>
        </w:rPr>
      </w:pPr>
      <w:r w:rsidRPr="00D6089D">
        <w:rPr>
          <w:rFonts w:ascii="Arial" w:hAnsi="Arial"/>
          <w:b/>
          <w:bCs/>
          <w:color w:val="FFFFFF"/>
          <w:sz w:val="2"/>
          <w:szCs w:val="2"/>
          <w:rtl/>
        </w:rPr>
        <w:t>5129371</w:t>
      </w:r>
    </w:p>
    <w:p w14:paraId="58A46D2D" w14:textId="77777777" w:rsidR="00B90994" w:rsidRPr="00D6089D" w:rsidRDefault="00D6089D" w:rsidP="00CD0F0B">
      <w:pPr>
        <w:keepNext/>
        <w:rPr>
          <w:rFonts w:ascii="David" w:hAnsi="David"/>
          <w:color w:val="FFFFFF"/>
          <w:sz w:val="2"/>
          <w:szCs w:val="2"/>
          <w:rtl/>
        </w:rPr>
      </w:pPr>
      <w:r w:rsidRPr="00D6089D">
        <w:rPr>
          <w:rFonts w:ascii="David" w:hAnsi="David"/>
          <w:color w:val="FFFFFF"/>
          <w:sz w:val="2"/>
          <w:szCs w:val="2"/>
          <w:rtl/>
        </w:rPr>
        <w:t>54678313</w:t>
      </w:r>
    </w:p>
    <w:p w14:paraId="36FD4A24" w14:textId="77777777" w:rsidR="00CD0F0B" w:rsidRDefault="00CD0F0B" w:rsidP="00CD0F0B">
      <w:pPr>
        <w:rPr>
          <w:rtl/>
        </w:rPr>
      </w:pPr>
    </w:p>
    <w:p w14:paraId="2E12050C" w14:textId="77777777" w:rsidR="00CD0F0B" w:rsidRDefault="00CD0F0B" w:rsidP="00CD0F0B">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04585928" w14:textId="77777777" w:rsidR="00D6089D" w:rsidRPr="00D6089D" w:rsidRDefault="00D6089D" w:rsidP="00D6089D">
      <w:pPr>
        <w:keepNext/>
        <w:rPr>
          <w:rFonts w:ascii="David" w:hAnsi="David"/>
          <w:color w:val="000000"/>
          <w:sz w:val="22"/>
          <w:szCs w:val="22"/>
          <w:rtl/>
        </w:rPr>
      </w:pPr>
    </w:p>
    <w:p w14:paraId="4C61050F" w14:textId="77777777" w:rsidR="00D6089D" w:rsidRPr="00D6089D" w:rsidRDefault="00D6089D" w:rsidP="00D6089D">
      <w:pPr>
        <w:keepNext/>
        <w:rPr>
          <w:rFonts w:ascii="David" w:hAnsi="David"/>
          <w:color w:val="000000"/>
          <w:sz w:val="22"/>
          <w:szCs w:val="22"/>
          <w:rtl/>
        </w:rPr>
      </w:pPr>
      <w:r w:rsidRPr="00D6089D">
        <w:rPr>
          <w:rFonts w:ascii="David" w:hAnsi="David"/>
          <w:color w:val="000000"/>
          <w:sz w:val="22"/>
          <w:szCs w:val="22"/>
          <w:rtl/>
        </w:rPr>
        <w:t>חנה מרים לומפ 54678313-/</w:t>
      </w:r>
    </w:p>
    <w:p w14:paraId="410BECC3" w14:textId="77777777" w:rsidR="00CD0F0B" w:rsidRPr="00CD0F0B" w:rsidRDefault="00D6089D" w:rsidP="00D6089D">
      <w:pPr>
        <w:rPr>
          <w:color w:val="0000FF"/>
          <w:u w:val="single"/>
        </w:rPr>
      </w:pPr>
      <w:r w:rsidRPr="00D6089D">
        <w:rPr>
          <w:color w:val="000000"/>
          <w:u w:val="single"/>
          <w:rtl/>
        </w:rPr>
        <w:t>נוסח מסמך זה כפוף לשינויי ניסוח ועריכה</w:t>
      </w:r>
    </w:p>
    <w:sectPr w:rsidR="00CD0F0B" w:rsidRPr="00CD0F0B" w:rsidSect="00D6089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EDCD9" w14:textId="77777777" w:rsidR="00413770" w:rsidRDefault="00413770" w:rsidP="00D702E2">
      <w:r>
        <w:separator/>
      </w:r>
    </w:p>
  </w:endnote>
  <w:endnote w:type="continuationSeparator" w:id="0">
    <w:p w14:paraId="29B62755" w14:textId="77777777" w:rsidR="00413770" w:rsidRDefault="00413770" w:rsidP="00D70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8D84C" w14:textId="77777777" w:rsidR="00D6089D" w:rsidRDefault="00D6089D" w:rsidP="00D608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DEA124" w14:textId="77777777" w:rsidR="00B90994" w:rsidRPr="00D6089D" w:rsidRDefault="00D6089D" w:rsidP="00D6089D">
    <w:pPr>
      <w:pStyle w:val="a5"/>
      <w:pBdr>
        <w:top w:val="single" w:sz="4" w:space="1" w:color="auto"/>
        <w:between w:val="single" w:sz="4" w:space="0" w:color="auto"/>
      </w:pBdr>
      <w:spacing w:after="60"/>
      <w:jc w:val="center"/>
      <w:rPr>
        <w:rFonts w:ascii="FrankRuehl" w:hAnsi="FrankRuehl" w:cs="FrankRuehl"/>
        <w:color w:val="000000"/>
      </w:rPr>
    </w:pPr>
    <w:r w:rsidRPr="00D608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D2E0" w14:textId="77777777" w:rsidR="00D6089D" w:rsidRDefault="00D6089D" w:rsidP="00D608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15A0">
      <w:rPr>
        <w:rFonts w:ascii="FrankRuehl" w:hAnsi="FrankRuehl" w:cs="FrankRuehl"/>
        <w:noProof/>
        <w:rtl/>
      </w:rPr>
      <w:t>1</w:t>
    </w:r>
    <w:r>
      <w:rPr>
        <w:rFonts w:ascii="FrankRuehl" w:hAnsi="FrankRuehl" w:cs="FrankRuehl"/>
        <w:rtl/>
      </w:rPr>
      <w:fldChar w:fldCharType="end"/>
    </w:r>
  </w:p>
  <w:p w14:paraId="5E4B97D7" w14:textId="77777777" w:rsidR="00B90994" w:rsidRPr="00D6089D" w:rsidRDefault="00D6089D" w:rsidP="00D6089D">
    <w:pPr>
      <w:pStyle w:val="a5"/>
      <w:pBdr>
        <w:top w:val="single" w:sz="4" w:space="1" w:color="auto"/>
        <w:between w:val="single" w:sz="4" w:space="0" w:color="auto"/>
      </w:pBdr>
      <w:spacing w:after="60"/>
      <w:jc w:val="center"/>
      <w:rPr>
        <w:rFonts w:ascii="FrankRuehl" w:hAnsi="FrankRuehl" w:cs="FrankRuehl"/>
        <w:color w:val="000000"/>
      </w:rPr>
    </w:pPr>
    <w:r w:rsidRPr="00D6089D">
      <w:rPr>
        <w:rFonts w:ascii="FrankRuehl" w:hAnsi="FrankRuehl" w:cs="FrankRuehl"/>
        <w:color w:val="000000"/>
      </w:rPr>
      <w:pict w14:anchorId="36B4E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1C95E" w14:textId="77777777" w:rsidR="00413770" w:rsidRDefault="00413770" w:rsidP="00D702E2">
      <w:r>
        <w:separator/>
      </w:r>
    </w:p>
  </w:footnote>
  <w:footnote w:type="continuationSeparator" w:id="0">
    <w:p w14:paraId="3F4E29CA" w14:textId="77777777" w:rsidR="00413770" w:rsidRDefault="00413770" w:rsidP="00D70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730A6" w14:textId="77777777" w:rsidR="00CD0F0B" w:rsidRPr="00D6089D" w:rsidRDefault="00D6089D" w:rsidP="00D608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7074-11-23</w:t>
    </w:r>
    <w:r>
      <w:rPr>
        <w:rFonts w:ascii="David" w:hAnsi="David"/>
        <w:color w:val="000000"/>
        <w:sz w:val="22"/>
        <w:szCs w:val="22"/>
        <w:rtl/>
      </w:rPr>
      <w:tab/>
      <w:t xml:space="preserve"> מדינת ישראל נ' דוד שלמה ברבי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B1C78" w14:textId="77777777" w:rsidR="00CD0F0B" w:rsidRPr="00D6089D" w:rsidRDefault="00D6089D" w:rsidP="00D608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7074-11-23</w:t>
    </w:r>
    <w:r>
      <w:rPr>
        <w:rFonts w:ascii="David" w:hAnsi="David"/>
        <w:color w:val="000000"/>
        <w:sz w:val="22"/>
        <w:szCs w:val="22"/>
        <w:rtl/>
      </w:rPr>
      <w:tab/>
      <w:t xml:space="preserve"> מדינת ישראל נ' דוד שלמה ברבי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C1499"/>
    <w:multiLevelType w:val="hybridMultilevel"/>
    <w:tmpl w:val="2F0C4390"/>
    <w:lvl w:ilvl="0" w:tplc="B5BA1C26">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FE239B9"/>
    <w:multiLevelType w:val="hybridMultilevel"/>
    <w:tmpl w:val="80E8D49A"/>
    <w:lvl w:ilvl="0" w:tplc="C06C601C">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5CA97ECD"/>
    <w:multiLevelType w:val="hybridMultilevel"/>
    <w:tmpl w:val="BE30B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961071">
    <w:abstractNumId w:val="2"/>
  </w:num>
  <w:num w:numId="2" w16cid:durableId="247623246">
    <w:abstractNumId w:val="1"/>
  </w:num>
  <w:num w:numId="3" w16cid:durableId="184316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0127"/>
    <w:rsid w:val="0018641C"/>
    <w:rsid w:val="002500F7"/>
    <w:rsid w:val="00413770"/>
    <w:rsid w:val="00676B76"/>
    <w:rsid w:val="00A415A0"/>
    <w:rsid w:val="00B90994"/>
    <w:rsid w:val="00CD0F0B"/>
    <w:rsid w:val="00D6089D"/>
    <w:rsid w:val="00D702E2"/>
    <w:rsid w:val="00E50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52A99A"/>
  <w15:chartTrackingRefBased/>
  <w15:docId w15:val="{A538ACF3-4C1C-4777-A3EB-C24FCDAD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01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0127"/>
    <w:pPr>
      <w:tabs>
        <w:tab w:val="center" w:pos="4153"/>
        <w:tab w:val="right" w:pos="8306"/>
      </w:tabs>
    </w:pPr>
  </w:style>
  <w:style w:type="character" w:customStyle="1" w:styleId="a4">
    <w:name w:val="כותרת עליונה תו"/>
    <w:link w:val="a3"/>
    <w:rsid w:val="00E50127"/>
    <w:rPr>
      <w:rFonts w:ascii="Times New Roman" w:eastAsia="Times New Roman" w:hAnsi="Times New Roman" w:cs="David"/>
      <w:sz w:val="24"/>
      <w:szCs w:val="24"/>
    </w:rPr>
  </w:style>
  <w:style w:type="paragraph" w:styleId="a5">
    <w:name w:val="footer"/>
    <w:basedOn w:val="a"/>
    <w:link w:val="a6"/>
    <w:rsid w:val="00E50127"/>
    <w:pPr>
      <w:tabs>
        <w:tab w:val="center" w:pos="4153"/>
        <w:tab w:val="right" w:pos="8306"/>
      </w:tabs>
    </w:pPr>
  </w:style>
  <w:style w:type="character" w:customStyle="1" w:styleId="a6">
    <w:name w:val="כותרת תחתונה תו"/>
    <w:link w:val="a5"/>
    <w:rsid w:val="00E50127"/>
    <w:rPr>
      <w:rFonts w:ascii="Times New Roman" w:eastAsia="Times New Roman" w:hAnsi="Times New Roman" w:cs="David"/>
      <w:sz w:val="24"/>
      <w:szCs w:val="24"/>
    </w:rPr>
  </w:style>
  <w:style w:type="table" w:styleId="a7">
    <w:name w:val="Table Grid"/>
    <w:basedOn w:val="a1"/>
    <w:rsid w:val="00E501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0127"/>
  </w:style>
  <w:style w:type="paragraph" w:styleId="a9">
    <w:name w:val="List Paragraph"/>
    <w:basedOn w:val="a"/>
    <w:qFormat/>
    <w:rsid w:val="00E50127"/>
    <w:pPr>
      <w:ind w:left="720"/>
      <w:contextualSpacing/>
    </w:pPr>
  </w:style>
  <w:style w:type="character" w:styleId="Hyperlink">
    <w:name w:val="Hyperlink"/>
    <w:rsid w:val="00CD0F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5651836" TargetMode="External"/><Relationship Id="rId39" Type="http://schemas.openxmlformats.org/officeDocument/2006/relationships/theme" Target="theme/theme1.xml"/><Relationship Id="rId21" Type="http://schemas.openxmlformats.org/officeDocument/2006/relationships/hyperlink" Target="http://www.nevo.co.il/case/17944047"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38.a.5" TargetMode="External"/><Relationship Id="rId17" Type="http://schemas.openxmlformats.org/officeDocument/2006/relationships/hyperlink" Target="http://www.nevo.co.il/case/30919377" TargetMode="External"/><Relationship Id="rId25" Type="http://schemas.openxmlformats.org/officeDocument/2006/relationships/hyperlink" Target="http://www.nevo.co.il/case/26082398"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38.a.5" TargetMode="External"/><Relationship Id="rId20" Type="http://schemas.openxmlformats.org/officeDocument/2006/relationships/hyperlink" Target="http://www.nevo.co.il/case/21474922" TargetMode="External"/><Relationship Id="rId29" Type="http://schemas.openxmlformats.org/officeDocument/2006/relationships/hyperlink" Target="http://www.nevo.co.il/case/293312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29445473" TargetMode="External"/><Relationship Id="rId32" Type="http://schemas.openxmlformats.org/officeDocument/2006/relationships/hyperlink" Target="http://www.nevo.co.il/case/2602503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92"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30185243"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29486731" TargetMode="External"/><Relationship Id="rId31" Type="http://schemas.openxmlformats.org/officeDocument/2006/relationships/hyperlink" Target="http://www.nevo.co.il/case/26815828" TargetMode="Externa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case/20817889" TargetMode="External"/><Relationship Id="rId30" Type="http://schemas.openxmlformats.org/officeDocument/2006/relationships/hyperlink" Target="http://www.nevo.co.il/case/28616914" TargetMode="External"/><Relationship Id="rId35"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4882</Words>
  <Characters>24410</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29234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3407984</vt:i4>
      </vt:variant>
      <vt:variant>
        <vt:i4>75</vt:i4>
      </vt:variant>
      <vt:variant>
        <vt:i4>0</vt:i4>
      </vt:variant>
      <vt:variant>
        <vt:i4>5</vt:i4>
      </vt:variant>
      <vt:variant>
        <vt:lpwstr>http://www.nevo.co.il/case/26025031</vt:lpwstr>
      </vt:variant>
      <vt:variant>
        <vt:lpwstr/>
      </vt:variant>
      <vt:variant>
        <vt:i4>3997819</vt:i4>
      </vt:variant>
      <vt:variant>
        <vt:i4>72</vt:i4>
      </vt:variant>
      <vt:variant>
        <vt:i4>0</vt:i4>
      </vt:variant>
      <vt:variant>
        <vt:i4>5</vt:i4>
      </vt:variant>
      <vt:variant>
        <vt:lpwstr>http://www.nevo.co.il/case/26815828</vt:lpwstr>
      </vt:variant>
      <vt:variant>
        <vt:lpwstr/>
      </vt:variant>
      <vt:variant>
        <vt:i4>3342452</vt:i4>
      </vt:variant>
      <vt:variant>
        <vt:i4>69</vt:i4>
      </vt:variant>
      <vt:variant>
        <vt:i4>0</vt:i4>
      </vt:variant>
      <vt:variant>
        <vt:i4>5</vt:i4>
      </vt:variant>
      <vt:variant>
        <vt:lpwstr>http://www.nevo.co.il/case/28616914</vt:lpwstr>
      </vt:variant>
      <vt:variant>
        <vt:lpwstr/>
      </vt:variant>
      <vt:variant>
        <vt:i4>3145852</vt:i4>
      </vt:variant>
      <vt:variant>
        <vt:i4>66</vt:i4>
      </vt:variant>
      <vt:variant>
        <vt:i4>0</vt:i4>
      </vt:variant>
      <vt:variant>
        <vt:i4>5</vt:i4>
      </vt:variant>
      <vt:variant>
        <vt:lpwstr>http://www.nevo.co.il/case/29331202</vt:lpwstr>
      </vt:variant>
      <vt:variant>
        <vt:lpwstr/>
      </vt:variant>
      <vt:variant>
        <vt:i4>3342462</vt:i4>
      </vt:variant>
      <vt:variant>
        <vt:i4>63</vt:i4>
      </vt:variant>
      <vt:variant>
        <vt:i4>0</vt:i4>
      </vt:variant>
      <vt:variant>
        <vt:i4>5</vt:i4>
      </vt:variant>
      <vt:variant>
        <vt:lpwstr>http://www.nevo.co.il/case/30185243</vt:lpwstr>
      </vt:variant>
      <vt:variant>
        <vt:lpwstr/>
      </vt:variant>
      <vt:variant>
        <vt:i4>3473533</vt:i4>
      </vt:variant>
      <vt:variant>
        <vt:i4>60</vt:i4>
      </vt:variant>
      <vt:variant>
        <vt:i4>0</vt:i4>
      </vt:variant>
      <vt:variant>
        <vt:i4>5</vt:i4>
      </vt:variant>
      <vt:variant>
        <vt:lpwstr>http://www.nevo.co.il/case/20817889</vt:lpwstr>
      </vt:variant>
      <vt:variant>
        <vt:lpwstr/>
      </vt:variant>
      <vt:variant>
        <vt:i4>3539068</vt:i4>
      </vt:variant>
      <vt:variant>
        <vt:i4>57</vt:i4>
      </vt:variant>
      <vt:variant>
        <vt:i4>0</vt:i4>
      </vt:variant>
      <vt:variant>
        <vt:i4>5</vt:i4>
      </vt:variant>
      <vt:variant>
        <vt:lpwstr>http://www.nevo.co.il/case/25651836</vt:lpwstr>
      </vt:variant>
      <vt:variant>
        <vt:lpwstr/>
      </vt:variant>
      <vt:variant>
        <vt:i4>3735673</vt:i4>
      </vt:variant>
      <vt:variant>
        <vt:i4>54</vt:i4>
      </vt:variant>
      <vt:variant>
        <vt:i4>0</vt:i4>
      </vt:variant>
      <vt:variant>
        <vt:i4>5</vt:i4>
      </vt:variant>
      <vt:variant>
        <vt:lpwstr>http://www.nevo.co.il/case/26082398</vt:lpwstr>
      </vt:variant>
      <vt:variant>
        <vt:lpwstr/>
      </vt:variant>
      <vt:variant>
        <vt:i4>3407997</vt:i4>
      </vt:variant>
      <vt:variant>
        <vt:i4>51</vt:i4>
      </vt:variant>
      <vt:variant>
        <vt:i4>0</vt:i4>
      </vt:variant>
      <vt:variant>
        <vt:i4>5</vt:i4>
      </vt:variant>
      <vt:variant>
        <vt:lpwstr>http://www.nevo.co.il/case/29445473</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4915211</vt:i4>
      </vt:variant>
      <vt:variant>
        <vt:i4>45</vt:i4>
      </vt:variant>
      <vt:variant>
        <vt:i4>0</vt:i4>
      </vt:variant>
      <vt:variant>
        <vt:i4>5</vt:i4>
      </vt:variant>
      <vt:variant>
        <vt:lpwstr>http://www.nevo.co.il/law/70301/40j.c</vt:lpwstr>
      </vt:variant>
      <vt:variant>
        <vt:lpwstr/>
      </vt:variant>
      <vt:variant>
        <vt:i4>3670135</vt:i4>
      </vt:variant>
      <vt:variant>
        <vt:i4>42</vt:i4>
      </vt:variant>
      <vt:variant>
        <vt:i4>0</vt:i4>
      </vt:variant>
      <vt:variant>
        <vt:i4>5</vt:i4>
      </vt:variant>
      <vt:variant>
        <vt:lpwstr>http://www.nevo.co.il/case/17944047</vt:lpwstr>
      </vt:variant>
      <vt:variant>
        <vt:lpwstr/>
      </vt:variant>
      <vt:variant>
        <vt:i4>3145851</vt:i4>
      </vt:variant>
      <vt:variant>
        <vt:i4>39</vt:i4>
      </vt:variant>
      <vt:variant>
        <vt:i4>0</vt:i4>
      </vt:variant>
      <vt:variant>
        <vt:i4>5</vt:i4>
      </vt:variant>
      <vt:variant>
        <vt:lpwstr>http://www.nevo.co.il/case/21474922</vt:lpwstr>
      </vt:variant>
      <vt:variant>
        <vt:lpwstr/>
      </vt:variant>
      <vt:variant>
        <vt:i4>3342450</vt:i4>
      </vt:variant>
      <vt:variant>
        <vt:i4>36</vt:i4>
      </vt:variant>
      <vt:variant>
        <vt:i4>0</vt:i4>
      </vt:variant>
      <vt:variant>
        <vt:i4>5</vt:i4>
      </vt:variant>
      <vt:variant>
        <vt:lpwstr>http://www.nevo.co.il/case/29486731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3407990</vt:i4>
      </vt:variant>
      <vt:variant>
        <vt:i4>30</vt:i4>
      </vt:variant>
      <vt:variant>
        <vt:i4>0</vt:i4>
      </vt:variant>
      <vt:variant>
        <vt:i4>5</vt:i4>
      </vt:variant>
      <vt:variant>
        <vt:lpwstr>http://www.nevo.co.il/case/30919377</vt:lpwstr>
      </vt:variant>
      <vt:variant>
        <vt:lpwstr/>
      </vt:variant>
      <vt:variant>
        <vt:i4>6684735</vt:i4>
      </vt:variant>
      <vt:variant>
        <vt:i4>27</vt:i4>
      </vt:variant>
      <vt:variant>
        <vt:i4>0</vt:i4>
      </vt:variant>
      <vt:variant>
        <vt:i4>5</vt:i4>
      </vt:variant>
      <vt:variant>
        <vt:lpwstr>http://www.nevo.co.il/law/70301/338.a.5</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6684735</vt:i4>
      </vt:variant>
      <vt:variant>
        <vt:i4>15</vt:i4>
      </vt:variant>
      <vt:variant>
        <vt:i4>0</vt:i4>
      </vt:variant>
      <vt:variant>
        <vt:i4>5</vt:i4>
      </vt:variant>
      <vt:variant>
        <vt:lpwstr>http://www.nevo.co.il/law/70301/338.a.5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4915211</vt:i4>
      </vt:variant>
      <vt:variant>
        <vt:i4>6</vt:i4>
      </vt:variant>
      <vt:variant>
        <vt:i4>0</vt:i4>
      </vt:variant>
      <vt:variant>
        <vt:i4>5</vt:i4>
      </vt:variant>
      <vt:variant>
        <vt:lpwstr>http://www.nevo.co.il/law/70301/40j.c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7074</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דוד שלמה ברבי</vt:lpwstr>
  </property>
  <property fmtid="{D5CDD505-2E9C-101B-9397-08002B2CF9AE}" pid="10" name="LAWYER">
    <vt:lpwstr>רינת בן יעקב;דוד ברהום</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20240930</vt:lpwstr>
  </property>
  <property fmtid="{D5CDD505-2E9C-101B-9397-08002B2CF9AE}" pid="14" name="TYPE_N_DATE">
    <vt:lpwstr>39020240930</vt:lpwstr>
  </property>
  <property fmtid="{D5CDD505-2E9C-101B-9397-08002B2CF9AE}" pid="15" name="CASESLISTTMP1">
    <vt:lpwstr>30919377;29486731;21474922;17944047;6473037;29445473;26082398;25651836;20817889;30185243;29331202;28616914;26815828;26025031</vt:lpwstr>
  </property>
  <property fmtid="{D5CDD505-2E9C-101B-9397-08002B2CF9AE}" pid="16" name="WORDNUMPAGES">
    <vt:lpwstr>13</vt:lpwstr>
  </property>
  <property fmtid="{D5CDD505-2E9C-101B-9397-08002B2CF9AE}" pid="17" name="TYPE_ABS_DATE">
    <vt:lpwstr>390020240930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70301/144.b;192;338.a.5;040b;040j.c</vt:lpwstr>
  </property>
</Properties>
</file>