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65C3B" w:rsidRPr="00E4571E" w14:paraId="16D2F246" w14:textId="77777777" w:rsidTr="003B1387">
        <w:trPr>
          <w:trHeight w:hRule="exact" w:val="418"/>
          <w:jc w:val="center"/>
        </w:trPr>
        <w:tc>
          <w:tcPr>
            <w:tcW w:w="8721" w:type="dxa"/>
            <w:gridSpan w:val="2"/>
          </w:tcPr>
          <w:p w14:paraId="76BB9F15" w14:textId="77777777" w:rsidR="00F65C3B" w:rsidRPr="00E4571E" w:rsidRDefault="00F65C3B" w:rsidP="007D3900">
            <w:pPr>
              <w:pStyle w:val="a3"/>
              <w:jc w:val="center"/>
              <w:rPr>
                <w:rFonts w:ascii="Tahoma" w:hAnsi="Tahoma" w:cs="Tahoma"/>
                <w:color w:val="000080"/>
                <w:rtl/>
              </w:rPr>
            </w:pPr>
            <w:bookmarkStart w:id="0" w:name="LastJudge"/>
            <w:r w:rsidRPr="00E4571E">
              <w:rPr>
                <w:rFonts w:ascii="Tahoma" w:hAnsi="Tahoma" w:cs="Tahoma"/>
                <w:b/>
                <w:bCs/>
                <w:color w:val="000080"/>
                <w:rtl/>
              </w:rPr>
              <w:t>בית המשפט המחוזי בבאר שבע</w:t>
            </w:r>
          </w:p>
        </w:tc>
      </w:tr>
      <w:tr w:rsidR="00F65C3B" w:rsidRPr="00F31901" w14:paraId="7F971332" w14:textId="77777777" w:rsidTr="003B1387">
        <w:trPr>
          <w:trHeight w:val="337"/>
          <w:jc w:val="center"/>
        </w:trPr>
        <w:tc>
          <w:tcPr>
            <w:tcW w:w="5054" w:type="dxa"/>
          </w:tcPr>
          <w:p w14:paraId="35A534D5" w14:textId="77777777" w:rsidR="00F65C3B" w:rsidRPr="00F31901" w:rsidRDefault="00F65C3B" w:rsidP="00F31901">
            <w:pPr>
              <w:pStyle w:val="a3"/>
              <w:spacing w:before="120" w:after="120" w:line="240" w:lineRule="exact"/>
              <w:rPr>
                <w:rFonts w:ascii="David" w:hAnsi="David"/>
                <w:b/>
                <w:bCs/>
                <w:sz w:val="26"/>
                <w:szCs w:val="26"/>
                <w:rtl/>
              </w:rPr>
            </w:pPr>
            <w:r w:rsidRPr="00F31901">
              <w:rPr>
                <w:rFonts w:ascii="David" w:hAnsi="David"/>
                <w:b/>
                <w:bCs/>
                <w:sz w:val="26"/>
                <w:szCs w:val="26"/>
                <w:rtl/>
              </w:rPr>
              <w:t>ת"פ 27179-12-23 מדינת ישראל נ' אבו גויעד</w:t>
            </w:r>
          </w:p>
        </w:tc>
        <w:tc>
          <w:tcPr>
            <w:tcW w:w="3667" w:type="dxa"/>
          </w:tcPr>
          <w:p w14:paraId="1DE89B35" w14:textId="77777777" w:rsidR="00F65C3B" w:rsidRPr="00F31901" w:rsidRDefault="00F65C3B" w:rsidP="00F31901">
            <w:pPr>
              <w:pStyle w:val="a3"/>
              <w:spacing w:before="120" w:after="120" w:line="240" w:lineRule="exact"/>
              <w:jc w:val="right"/>
              <w:rPr>
                <w:rFonts w:ascii="David" w:hAnsi="David"/>
                <w:b/>
                <w:bCs/>
                <w:sz w:val="26"/>
                <w:szCs w:val="26"/>
                <w:rtl/>
              </w:rPr>
            </w:pPr>
          </w:p>
        </w:tc>
      </w:tr>
    </w:tbl>
    <w:p w14:paraId="61C86849" w14:textId="77777777" w:rsidR="00F65C3B" w:rsidRPr="00F31901" w:rsidRDefault="00F65C3B" w:rsidP="00E86585">
      <w:pPr>
        <w:pStyle w:val="a3"/>
        <w:spacing w:before="120" w:after="120" w:line="240" w:lineRule="exact"/>
        <w:rPr>
          <w:rFonts w:ascii="David" w:hAnsi="David"/>
          <w:sz w:val="26"/>
          <w:szCs w:val="26"/>
        </w:rPr>
      </w:pPr>
      <w:r w:rsidRPr="00F31901">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620"/>
        <w:gridCol w:w="6277"/>
      </w:tblGrid>
      <w:tr w:rsidR="00F65C3B" w:rsidRPr="00F31901" w14:paraId="1FEFB221" w14:textId="77777777" w:rsidTr="00F65C3B">
        <w:trPr>
          <w:trHeight w:val="295"/>
          <w:jc w:val="center"/>
        </w:trPr>
        <w:tc>
          <w:tcPr>
            <w:tcW w:w="923" w:type="dxa"/>
            <w:tcBorders>
              <w:top w:val="nil"/>
              <w:left w:val="nil"/>
              <w:bottom w:val="nil"/>
              <w:right w:val="nil"/>
            </w:tcBorders>
            <w:shd w:val="clear" w:color="auto" w:fill="auto"/>
          </w:tcPr>
          <w:p w14:paraId="6055B3ED" w14:textId="77777777" w:rsidR="00F65C3B" w:rsidRPr="00F31901" w:rsidRDefault="00F65C3B" w:rsidP="00F31901">
            <w:pPr>
              <w:spacing w:before="120" w:after="120" w:line="240" w:lineRule="exact"/>
              <w:jc w:val="both"/>
              <w:rPr>
                <w:rFonts w:ascii="David" w:hAnsi="David"/>
                <w:b/>
                <w:bCs/>
                <w:sz w:val="26"/>
                <w:szCs w:val="26"/>
              </w:rPr>
            </w:pPr>
            <w:r w:rsidRPr="00F31901">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52E46B28" w14:textId="77777777" w:rsidR="00F65C3B" w:rsidRPr="00F31901" w:rsidRDefault="00F65C3B" w:rsidP="00F31901">
            <w:pPr>
              <w:spacing w:before="120" w:after="120" w:line="240" w:lineRule="exact"/>
              <w:jc w:val="both"/>
              <w:rPr>
                <w:rFonts w:ascii="David" w:hAnsi="David"/>
                <w:b/>
                <w:bCs/>
                <w:sz w:val="26"/>
                <w:szCs w:val="26"/>
              </w:rPr>
            </w:pPr>
            <w:r w:rsidRPr="00F31901">
              <w:rPr>
                <w:rFonts w:ascii="David" w:hAnsi="David"/>
                <w:b/>
                <w:bCs/>
                <w:sz w:val="26"/>
                <w:szCs w:val="26"/>
                <w:rtl/>
              </w:rPr>
              <w:t>כבוד השופט  אלון גביזון</w:t>
            </w:r>
          </w:p>
        </w:tc>
      </w:tr>
      <w:tr w:rsidR="00F31901" w:rsidRPr="00F31901" w14:paraId="5FEA7594" w14:textId="77777777" w:rsidTr="00F31901">
        <w:trPr>
          <w:trHeight w:val="355"/>
          <w:jc w:val="center"/>
        </w:trPr>
        <w:tc>
          <w:tcPr>
            <w:tcW w:w="2543" w:type="dxa"/>
            <w:gridSpan w:val="2"/>
            <w:tcBorders>
              <w:top w:val="nil"/>
              <w:left w:val="nil"/>
              <w:bottom w:val="nil"/>
              <w:right w:val="nil"/>
            </w:tcBorders>
            <w:shd w:val="clear" w:color="auto" w:fill="auto"/>
          </w:tcPr>
          <w:p w14:paraId="4991523C" w14:textId="77777777" w:rsidR="00F31901" w:rsidRPr="00F31901" w:rsidRDefault="00F31901" w:rsidP="00F31901">
            <w:pPr>
              <w:spacing w:before="120" w:after="120" w:line="240" w:lineRule="exact"/>
              <w:jc w:val="both"/>
              <w:rPr>
                <w:rFonts w:ascii="David" w:hAnsi="David"/>
                <w:b/>
                <w:bCs/>
                <w:sz w:val="26"/>
                <w:szCs w:val="26"/>
              </w:rPr>
            </w:pPr>
            <w:bookmarkStart w:id="1" w:name="FirstAppellant"/>
            <w:bookmarkStart w:id="2" w:name="FirstLawyer"/>
            <w:r w:rsidRPr="00F31901">
              <w:rPr>
                <w:rFonts w:ascii="David" w:hAnsi="David"/>
                <w:b/>
                <w:bCs/>
                <w:sz w:val="26"/>
                <w:szCs w:val="26"/>
                <w:rtl/>
              </w:rPr>
              <w:t>בעניין:</w:t>
            </w:r>
          </w:p>
          <w:p w14:paraId="670CB51D" w14:textId="77777777" w:rsidR="00F31901" w:rsidRPr="00F31901" w:rsidRDefault="00F31901" w:rsidP="00F31901">
            <w:pPr>
              <w:suppressLineNumbers/>
              <w:spacing w:before="120" w:after="120" w:line="240" w:lineRule="exact"/>
              <w:rPr>
                <w:rFonts w:ascii="David" w:hAnsi="David"/>
                <w:b/>
                <w:bCs/>
                <w:sz w:val="26"/>
                <w:szCs w:val="26"/>
              </w:rPr>
            </w:pPr>
            <w:r w:rsidRPr="00F31901">
              <w:rPr>
                <w:rFonts w:ascii="David" w:hAnsi="David"/>
                <w:b/>
                <w:bCs/>
                <w:sz w:val="26"/>
                <w:szCs w:val="26"/>
                <w:rtl/>
              </w:rPr>
              <w:t>המאשימה</w:t>
            </w:r>
          </w:p>
          <w:p w14:paraId="6D8D1A42" w14:textId="77777777" w:rsidR="00F31901" w:rsidRPr="00F31901" w:rsidRDefault="00F31901" w:rsidP="00F31901">
            <w:pPr>
              <w:spacing w:before="120" w:after="120" w:line="240" w:lineRule="exact"/>
              <w:rPr>
                <w:rFonts w:ascii="David" w:hAnsi="David"/>
                <w:b/>
                <w:bCs/>
                <w:sz w:val="26"/>
                <w:szCs w:val="26"/>
              </w:rPr>
            </w:pPr>
          </w:p>
        </w:tc>
        <w:tc>
          <w:tcPr>
            <w:tcW w:w="6277" w:type="dxa"/>
            <w:tcBorders>
              <w:top w:val="nil"/>
              <w:left w:val="nil"/>
              <w:bottom w:val="nil"/>
              <w:right w:val="nil"/>
            </w:tcBorders>
            <w:shd w:val="clear" w:color="auto" w:fill="auto"/>
            <w:vAlign w:val="center"/>
          </w:tcPr>
          <w:p w14:paraId="5935586D" w14:textId="77777777" w:rsidR="00F31901" w:rsidRPr="00F31901" w:rsidRDefault="00F31901" w:rsidP="00F31901">
            <w:pPr>
              <w:suppressLineNumbers/>
              <w:spacing w:before="120" w:after="120" w:line="240" w:lineRule="exact"/>
              <w:rPr>
                <w:rFonts w:ascii="David" w:hAnsi="David"/>
                <w:b/>
                <w:bCs/>
                <w:sz w:val="26"/>
                <w:szCs w:val="26"/>
                <w:rtl/>
              </w:rPr>
            </w:pPr>
            <w:r w:rsidRPr="00F31901">
              <w:rPr>
                <w:rFonts w:ascii="David" w:hAnsi="David"/>
                <w:b/>
                <w:bCs/>
                <w:sz w:val="26"/>
                <w:szCs w:val="26"/>
                <w:rtl/>
              </w:rPr>
              <w:t>מדינת ישראל</w:t>
            </w:r>
          </w:p>
          <w:p w14:paraId="6E8E3093" w14:textId="77777777" w:rsidR="00F31901" w:rsidRPr="00F31901" w:rsidRDefault="00F31901" w:rsidP="00F31901">
            <w:pPr>
              <w:spacing w:before="120" w:after="120" w:line="240" w:lineRule="exact"/>
              <w:rPr>
                <w:rFonts w:ascii="David" w:hAnsi="David"/>
                <w:b/>
                <w:bCs/>
                <w:sz w:val="26"/>
                <w:szCs w:val="26"/>
              </w:rPr>
            </w:pPr>
            <w:r w:rsidRPr="00F31901">
              <w:rPr>
                <w:rFonts w:ascii="David" w:hAnsi="David"/>
                <w:b/>
                <w:bCs/>
                <w:sz w:val="26"/>
                <w:szCs w:val="26"/>
                <w:rtl/>
              </w:rPr>
              <w:t>ע"י ב"כ עוה"ד גיורא חזן</w:t>
            </w:r>
          </w:p>
        </w:tc>
      </w:tr>
      <w:bookmarkEnd w:id="1"/>
      <w:bookmarkEnd w:id="2"/>
      <w:tr w:rsidR="00F31901" w:rsidRPr="00F31901" w14:paraId="6171B986" w14:textId="77777777" w:rsidTr="00037BF3">
        <w:trPr>
          <w:trHeight w:val="355"/>
          <w:jc w:val="center"/>
        </w:trPr>
        <w:tc>
          <w:tcPr>
            <w:tcW w:w="8820" w:type="dxa"/>
            <w:gridSpan w:val="3"/>
            <w:tcBorders>
              <w:top w:val="nil"/>
              <w:left w:val="nil"/>
              <w:bottom w:val="nil"/>
              <w:right w:val="nil"/>
            </w:tcBorders>
            <w:shd w:val="clear" w:color="auto" w:fill="auto"/>
          </w:tcPr>
          <w:p w14:paraId="40ADAA79" w14:textId="77777777" w:rsidR="00F31901" w:rsidRPr="00F31901" w:rsidRDefault="00F31901" w:rsidP="00F31901">
            <w:pPr>
              <w:spacing w:before="240" w:after="240" w:line="240" w:lineRule="exact"/>
              <w:jc w:val="center"/>
              <w:rPr>
                <w:rFonts w:ascii="David" w:hAnsi="David" w:hint="cs"/>
                <w:b/>
                <w:bCs/>
                <w:sz w:val="26"/>
                <w:szCs w:val="26"/>
              </w:rPr>
            </w:pPr>
            <w:r w:rsidRPr="00F31901">
              <w:rPr>
                <w:rFonts w:ascii="David" w:hAnsi="David"/>
                <w:b/>
                <w:bCs/>
                <w:sz w:val="26"/>
                <w:szCs w:val="26"/>
                <w:rtl/>
              </w:rPr>
              <w:t>נגד</w:t>
            </w:r>
          </w:p>
        </w:tc>
      </w:tr>
      <w:tr w:rsidR="00F31901" w:rsidRPr="00F31901" w14:paraId="5CD37507" w14:textId="77777777" w:rsidTr="00F31901">
        <w:trPr>
          <w:trHeight w:val="355"/>
          <w:jc w:val="center"/>
        </w:trPr>
        <w:tc>
          <w:tcPr>
            <w:tcW w:w="2543" w:type="dxa"/>
            <w:gridSpan w:val="2"/>
            <w:tcBorders>
              <w:top w:val="nil"/>
              <w:left w:val="nil"/>
              <w:bottom w:val="nil"/>
              <w:right w:val="nil"/>
            </w:tcBorders>
            <w:shd w:val="clear" w:color="auto" w:fill="auto"/>
          </w:tcPr>
          <w:p w14:paraId="62E73427" w14:textId="77777777" w:rsidR="00F31901" w:rsidRPr="00F31901" w:rsidRDefault="00F31901" w:rsidP="00F31901">
            <w:pPr>
              <w:spacing w:before="120" w:after="120" w:line="240" w:lineRule="exact"/>
              <w:rPr>
                <w:rFonts w:ascii="David" w:hAnsi="David"/>
                <w:b/>
                <w:bCs/>
                <w:sz w:val="26"/>
                <w:szCs w:val="26"/>
                <w:rtl/>
              </w:rPr>
            </w:pPr>
            <w:r w:rsidRPr="00F31901">
              <w:rPr>
                <w:rFonts w:ascii="David" w:hAnsi="David"/>
                <w:b/>
                <w:bCs/>
                <w:sz w:val="26"/>
                <w:szCs w:val="26"/>
                <w:rtl/>
              </w:rPr>
              <w:t>הנאשם</w:t>
            </w:r>
          </w:p>
        </w:tc>
        <w:tc>
          <w:tcPr>
            <w:tcW w:w="6277" w:type="dxa"/>
            <w:tcBorders>
              <w:top w:val="nil"/>
              <w:left w:val="nil"/>
              <w:bottom w:val="nil"/>
              <w:right w:val="nil"/>
            </w:tcBorders>
            <w:shd w:val="clear" w:color="auto" w:fill="auto"/>
            <w:vAlign w:val="center"/>
          </w:tcPr>
          <w:p w14:paraId="5AC89A47" w14:textId="77777777" w:rsidR="00F31901" w:rsidRPr="00F31901" w:rsidRDefault="00F31901" w:rsidP="00F31901">
            <w:pPr>
              <w:suppressLineNumbers/>
              <w:spacing w:before="120" w:after="120" w:line="240" w:lineRule="exact"/>
              <w:rPr>
                <w:rFonts w:ascii="David" w:hAnsi="David" w:hint="cs"/>
                <w:b/>
                <w:bCs/>
                <w:sz w:val="26"/>
                <w:szCs w:val="26"/>
              </w:rPr>
            </w:pPr>
            <w:r w:rsidRPr="00F31901">
              <w:rPr>
                <w:rFonts w:ascii="David" w:hAnsi="David"/>
                <w:b/>
                <w:bCs/>
                <w:sz w:val="26"/>
                <w:szCs w:val="26"/>
                <w:rtl/>
              </w:rPr>
              <w:t>מואיד אבו גויעד - בעצמו</w:t>
            </w:r>
            <w:r w:rsidRPr="00F31901">
              <w:rPr>
                <w:rFonts w:ascii="David" w:hAnsi="David"/>
                <w:b/>
                <w:bCs/>
                <w:sz w:val="26"/>
                <w:szCs w:val="26"/>
                <w:rtl/>
              </w:rPr>
              <w:br/>
              <w:t xml:space="preserve">ע"י ב"כ עוה"ד נועם אליגון </w:t>
            </w:r>
          </w:p>
        </w:tc>
      </w:tr>
    </w:tbl>
    <w:p w14:paraId="373D6236" w14:textId="77777777" w:rsidR="00E4571E" w:rsidRPr="00E4571E" w:rsidRDefault="00E4571E" w:rsidP="00E4571E">
      <w:pPr>
        <w:spacing w:before="120" w:after="120" w:line="240" w:lineRule="exact"/>
        <w:ind w:left="283" w:hanging="283"/>
        <w:jc w:val="both"/>
        <w:rPr>
          <w:rFonts w:ascii="FrankRuehl" w:hAnsi="FrankRuehl" w:cs="FrankRuehl"/>
          <w:rtl/>
        </w:rPr>
      </w:pPr>
    </w:p>
    <w:p w14:paraId="48ED9532" w14:textId="77777777" w:rsidR="00F31901" w:rsidRPr="00F31901" w:rsidRDefault="00F31901" w:rsidP="00F31901">
      <w:pPr>
        <w:spacing w:before="120" w:after="120" w:line="240" w:lineRule="exact"/>
        <w:ind w:left="283" w:hanging="283"/>
        <w:jc w:val="both"/>
        <w:rPr>
          <w:rFonts w:ascii="FrankRuehl" w:hAnsi="FrankRuehl" w:cs="FrankRuehl"/>
          <w:rtl/>
        </w:rPr>
      </w:pPr>
      <w:bookmarkStart w:id="3" w:name="LawTable"/>
      <w:bookmarkEnd w:id="3"/>
      <w:r w:rsidRPr="00F31901">
        <w:rPr>
          <w:rFonts w:ascii="FrankRuehl" w:hAnsi="FrankRuehl" w:cs="FrankRuehl"/>
          <w:rtl/>
        </w:rPr>
        <w:t xml:space="preserve">חקיקה שאוזכרה: </w:t>
      </w:r>
    </w:p>
    <w:p w14:paraId="5D81885D" w14:textId="77777777" w:rsidR="00F31901" w:rsidRPr="00F31901" w:rsidRDefault="00F31901" w:rsidP="00F31901">
      <w:pPr>
        <w:spacing w:before="120" w:after="120" w:line="240" w:lineRule="exact"/>
        <w:ind w:left="283" w:hanging="283"/>
        <w:jc w:val="both"/>
        <w:rPr>
          <w:rFonts w:ascii="FrankRuehl" w:hAnsi="FrankRuehl" w:cs="FrankRuehl"/>
          <w:color w:val="0000FF"/>
          <w:rtl/>
        </w:rPr>
      </w:pPr>
      <w:hyperlink r:id="rId7" w:history="1">
        <w:r w:rsidRPr="00F31901">
          <w:rPr>
            <w:rStyle w:val="Hyperlink"/>
            <w:rFonts w:ascii="FrankRuehl" w:hAnsi="FrankRuehl" w:cs="FrankRuehl"/>
            <w:u w:val="none"/>
            <w:rtl/>
          </w:rPr>
          <w:t>חוק העונשין, תשל"ז-1977</w:t>
        </w:r>
      </w:hyperlink>
      <w:r w:rsidRPr="00F31901">
        <w:rPr>
          <w:rFonts w:ascii="FrankRuehl" w:hAnsi="FrankRuehl" w:cs="FrankRuehl"/>
          <w:color w:val="0000FF"/>
          <w:rtl/>
        </w:rPr>
        <w:t xml:space="preserve">: סע'  </w:t>
      </w:r>
      <w:hyperlink r:id="rId8" w:history="1">
        <w:r w:rsidRPr="00F31901">
          <w:rPr>
            <w:rStyle w:val="Hyperlink"/>
            <w:rFonts w:ascii="FrankRuehl" w:hAnsi="FrankRuehl" w:cs="FrankRuehl"/>
            <w:u w:val="none"/>
          </w:rPr>
          <w:t>144</w:t>
        </w:r>
      </w:hyperlink>
      <w:r w:rsidRPr="00F31901">
        <w:rPr>
          <w:rFonts w:ascii="FrankRuehl" w:hAnsi="FrankRuehl" w:cs="FrankRuehl"/>
          <w:color w:val="0000FF"/>
          <w:rtl/>
        </w:rPr>
        <w:t xml:space="preserve">, </w:t>
      </w:r>
      <w:hyperlink r:id="rId9" w:history="1">
        <w:r w:rsidRPr="00F31901">
          <w:rPr>
            <w:rStyle w:val="Hyperlink"/>
            <w:rFonts w:ascii="FrankRuehl" w:hAnsi="FrankRuehl" w:cs="FrankRuehl"/>
            <w:u w:val="none"/>
          </w:rPr>
          <w:t>340</w:t>
        </w:r>
        <w:r w:rsidRPr="00F31901">
          <w:rPr>
            <w:rStyle w:val="Hyperlink"/>
            <w:rFonts w:ascii="FrankRuehl" w:hAnsi="FrankRuehl" w:cs="FrankRuehl"/>
            <w:u w:val="none"/>
            <w:rtl/>
          </w:rPr>
          <w:t>א</w:t>
        </w:r>
      </w:hyperlink>
      <w:r w:rsidRPr="00F31901">
        <w:rPr>
          <w:rFonts w:ascii="FrankRuehl" w:hAnsi="FrankRuehl" w:cs="FrankRuehl"/>
          <w:color w:val="0000FF"/>
          <w:rtl/>
        </w:rPr>
        <w:t xml:space="preserve">, </w:t>
      </w:r>
      <w:hyperlink r:id="rId10" w:history="1">
        <w:r w:rsidRPr="00F31901">
          <w:rPr>
            <w:rStyle w:val="Hyperlink"/>
            <w:rFonts w:ascii="FrankRuehl" w:hAnsi="FrankRuehl" w:cs="FrankRuehl"/>
            <w:u w:val="none"/>
          </w:rPr>
          <w:t>340</w:t>
        </w:r>
        <w:r w:rsidRPr="00F31901">
          <w:rPr>
            <w:rStyle w:val="Hyperlink"/>
            <w:rFonts w:ascii="FrankRuehl" w:hAnsi="FrankRuehl" w:cs="FrankRuehl"/>
            <w:u w:val="none"/>
            <w:rtl/>
          </w:rPr>
          <w:t>א</w:t>
        </w:r>
      </w:hyperlink>
      <w:r w:rsidRPr="00F31901">
        <w:rPr>
          <w:rFonts w:ascii="FrankRuehl" w:hAnsi="FrankRuehl" w:cs="FrankRuehl"/>
          <w:color w:val="0000FF"/>
          <w:rtl/>
        </w:rPr>
        <w:t>(א)</w:t>
      </w:r>
    </w:p>
    <w:p w14:paraId="4D593286" w14:textId="77777777" w:rsidR="00F65C3B" w:rsidRDefault="00F65C3B" w:rsidP="00F31901">
      <w:pPr>
        <w:rPr>
          <w:rFonts w:hint="cs"/>
          <w:sz w:val="26"/>
          <w:szCs w:val="26"/>
          <w:rtl/>
        </w:rPr>
      </w:pPr>
      <w:bookmarkStart w:id="4" w:name="LawTable_End"/>
      <w:bookmarkEnd w:id="4"/>
    </w:p>
    <w:p w14:paraId="71F4173E" w14:textId="77777777" w:rsidR="00E86585" w:rsidRDefault="00E86585" w:rsidP="00E8658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3C2C9A30" w14:textId="77777777" w:rsidR="00E86585" w:rsidRPr="00BA5203" w:rsidRDefault="00E86585" w:rsidP="00E8658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A5203">
        <w:rPr>
          <w:rFonts w:cs="FrankRuehl" w:hint="cs"/>
          <w:szCs w:val="26"/>
          <w:rtl/>
        </w:rPr>
        <w:t xml:space="preserve">בית המשפט אישר הסדר טיעון בעניינו של נאשם שהורשע </w:t>
      </w:r>
      <w:r w:rsidRPr="00BA5203">
        <w:rPr>
          <w:rFonts w:cs="FrankRuehl"/>
          <w:szCs w:val="26"/>
          <w:rtl/>
        </w:rPr>
        <w:t>בירי מנשק חם</w:t>
      </w:r>
      <w:r w:rsidRPr="00BA5203">
        <w:rPr>
          <w:rFonts w:cs="FrankRuehl" w:hint="cs"/>
          <w:szCs w:val="26"/>
          <w:rtl/>
        </w:rPr>
        <w:t xml:space="preserve"> ובהתאם, הטיל עליו </w:t>
      </w:r>
      <w:r w:rsidRPr="00BA5203">
        <w:rPr>
          <w:rFonts w:cs="FrankRuehl"/>
          <w:szCs w:val="26"/>
          <w:rtl/>
        </w:rPr>
        <w:t xml:space="preserve">7.5 חודשי מאסר </w:t>
      </w:r>
      <w:r w:rsidRPr="00BA5203">
        <w:rPr>
          <w:rFonts w:cs="FrankRuehl" w:hint="cs"/>
          <w:szCs w:val="26"/>
          <w:rtl/>
        </w:rPr>
        <w:t>ב</w:t>
      </w:r>
      <w:r w:rsidRPr="00BA5203">
        <w:rPr>
          <w:rFonts w:cs="FrankRuehl"/>
          <w:szCs w:val="26"/>
          <w:rtl/>
        </w:rPr>
        <w:t>עבודות שירות</w:t>
      </w:r>
      <w:r w:rsidRPr="00BA5203">
        <w:rPr>
          <w:rFonts w:cs="FrankRuehl" w:hint="cs"/>
          <w:szCs w:val="26"/>
          <w:rtl/>
        </w:rPr>
        <w:t>, שלושה</w:t>
      </w:r>
      <w:r w:rsidRPr="00BA5203">
        <w:rPr>
          <w:rFonts w:cs="FrankRuehl"/>
          <w:szCs w:val="26"/>
          <w:rtl/>
        </w:rPr>
        <w:t xml:space="preserve"> מאסר</w:t>
      </w:r>
      <w:r w:rsidRPr="00BA5203">
        <w:rPr>
          <w:rFonts w:cs="FrankRuehl" w:hint="cs"/>
          <w:szCs w:val="26"/>
          <w:rtl/>
        </w:rPr>
        <w:t>ים</w:t>
      </w:r>
      <w:r w:rsidRPr="00BA5203">
        <w:rPr>
          <w:rFonts w:cs="FrankRuehl"/>
          <w:szCs w:val="26"/>
          <w:rtl/>
        </w:rPr>
        <w:t xml:space="preserve"> על תנאי</w:t>
      </w:r>
      <w:r w:rsidRPr="00BA5203">
        <w:rPr>
          <w:rFonts w:cs="FrankRuehl" w:hint="cs"/>
          <w:szCs w:val="26"/>
          <w:rtl/>
        </w:rPr>
        <w:t xml:space="preserve"> ו</w:t>
      </w:r>
      <w:r w:rsidRPr="00BA5203">
        <w:rPr>
          <w:rFonts w:cs="FrankRuehl"/>
          <w:szCs w:val="26"/>
          <w:rtl/>
        </w:rPr>
        <w:t>קנס בסך 5,000 ₪ או מאסר תמורתו.</w:t>
      </w:r>
    </w:p>
    <w:p w14:paraId="1623F63C" w14:textId="77777777" w:rsidR="00E86585" w:rsidRDefault="00E86585" w:rsidP="00E86585">
      <w:pPr>
        <w:pBdr>
          <w:top w:val="single" w:sz="4" w:space="1" w:color="auto"/>
          <w:bottom w:val="single" w:sz="4" w:space="1" w:color="auto"/>
        </w:pBdr>
        <w:spacing w:after="120" w:line="320" w:lineRule="exact"/>
        <w:jc w:val="both"/>
        <w:rPr>
          <w:rFonts w:cs="FrankRuehl"/>
          <w:szCs w:val="26"/>
          <w:rtl/>
        </w:rPr>
      </w:pPr>
      <w:r>
        <w:rPr>
          <w:rFonts w:cs="FrankRuehl"/>
          <w:szCs w:val="26"/>
          <w:rtl/>
        </w:rPr>
        <w:t>* דיון פלילי – הסדר טיעון – אישורו</w:t>
      </w:r>
    </w:p>
    <w:p w14:paraId="7CAA2A9E" w14:textId="77777777" w:rsidR="00E86585" w:rsidRDefault="00E86585" w:rsidP="00E8658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ירי מנשק חם</w:t>
      </w:r>
    </w:p>
    <w:p w14:paraId="2731F2E6" w14:textId="77777777" w:rsidR="00E86585" w:rsidRDefault="00E86585" w:rsidP="00E8658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2403300" w14:textId="77777777" w:rsidR="00E86585" w:rsidRPr="00BA5203" w:rsidRDefault="00E86585" w:rsidP="00E86585">
      <w:pPr>
        <w:pBdr>
          <w:top w:val="single" w:sz="4" w:space="1" w:color="auto"/>
          <w:bottom w:val="single" w:sz="4" w:space="1" w:color="auto"/>
        </w:pBdr>
        <w:spacing w:after="120" w:line="320" w:lineRule="exact"/>
        <w:jc w:val="both"/>
        <w:rPr>
          <w:rFonts w:cs="FrankRuehl"/>
          <w:szCs w:val="26"/>
          <w:rtl/>
        </w:rPr>
      </w:pPr>
      <w:r w:rsidRPr="00BA5203">
        <w:rPr>
          <w:rFonts w:cs="FrankRuehl"/>
          <w:szCs w:val="26"/>
          <w:rtl/>
        </w:rPr>
        <w:t xml:space="preserve">הנאשם הורשע </w:t>
      </w:r>
      <w:r w:rsidRPr="00BA5203">
        <w:rPr>
          <w:rFonts w:cs="FrankRuehl" w:hint="cs"/>
          <w:szCs w:val="26"/>
          <w:rtl/>
        </w:rPr>
        <w:t>במסגרת הסדר טיעון,</w:t>
      </w:r>
      <w:r w:rsidRPr="00BA5203">
        <w:rPr>
          <w:rFonts w:cs="FrankRuehl"/>
          <w:szCs w:val="26"/>
          <w:rtl/>
        </w:rPr>
        <w:t xml:space="preserve"> בירי מנשק חם </w:t>
      </w:r>
      <w:r w:rsidRPr="00BA5203">
        <w:rPr>
          <w:rFonts w:cs="FrankRuehl" w:hint="cs"/>
          <w:szCs w:val="26"/>
          <w:rtl/>
        </w:rPr>
        <w:t>ו</w:t>
      </w:r>
      <w:r w:rsidRPr="00BA5203">
        <w:rPr>
          <w:rFonts w:cs="FrankRuehl"/>
          <w:szCs w:val="26"/>
          <w:rtl/>
        </w:rPr>
        <w:t>הצדדים עתרו להשית עליו 7.5 חודשי מאסר בפועל שיכול וירוצו בדרך של עבודות שירות</w:t>
      </w:r>
      <w:r w:rsidRPr="00BA5203">
        <w:rPr>
          <w:rFonts w:cs="FrankRuehl" w:hint="cs"/>
          <w:szCs w:val="26"/>
          <w:rtl/>
        </w:rPr>
        <w:t xml:space="preserve">, </w:t>
      </w:r>
      <w:r w:rsidRPr="00BA5203">
        <w:rPr>
          <w:rFonts w:cs="FrankRuehl"/>
          <w:szCs w:val="26"/>
          <w:rtl/>
        </w:rPr>
        <w:t xml:space="preserve">מאסר על תנאי </w:t>
      </w:r>
      <w:r w:rsidRPr="00BA5203">
        <w:rPr>
          <w:rFonts w:cs="FrankRuehl" w:hint="cs"/>
          <w:szCs w:val="26"/>
          <w:rtl/>
        </w:rPr>
        <w:t>ו</w:t>
      </w:r>
      <w:r w:rsidRPr="00BA5203">
        <w:rPr>
          <w:rFonts w:cs="FrankRuehl"/>
          <w:szCs w:val="26"/>
          <w:rtl/>
        </w:rPr>
        <w:t>קנס לשיקול דעת בית המשפט</w:t>
      </w:r>
      <w:r w:rsidRPr="00BA5203">
        <w:rPr>
          <w:rFonts w:cs="FrankRuehl" w:hint="cs"/>
          <w:szCs w:val="26"/>
          <w:rtl/>
        </w:rPr>
        <w:t>.</w:t>
      </w:r>
    </w:p>
    <w:p w14:paraId="33F171D9" w14:textId="77777777" w:rsidR="00E86585" w:rsidRDefault="00E86585" w:rsidP="00E8658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0A96C6B" w14:textId="77777777" w:rsidR="00E86585" w:rsidRPr="00BA5203" w:rsidRDefault="00E86585" w:rsidP="00E86585">
      <w:pPr>
        <w:pBdr>
          <w:top w:val="single" w:sz="4" w:space="1" w:color="auto"/>
          <w:bottom w:val="single" w:sz="4" w:space="1" w:color="auto"/>
        </w:pBdr>
        <w:spacing w:after="120" w:line="320" w:lineRule="exact"/>
        <w:jc w:val="both"/>
        <w:rPr>
          <w:rFonts w:cs="FrankRuehl"/>
          <w:szCs w:val="26"/>
          <w:rtl/>
        </w:rPr>
      </w:pPr>
      <w:r w:rsidRPr="00BA5203">
        <w:rPr>
          <w:rFonts w:cs="FrankRuehl"/>
          <w:szCs w:val="26"/>
          <w:rtl/>
        </w:rPr>
        <w:t>בית המשפט המחוזי</w:t>
      </w:r>
      <w:r w:rsidRPr="00BA5203">
        <w:rPr>
          <w:rFonts w:cs="FrankRuehl" w:hint="cs"/>
          <w:szCs w:val="26"/>
          <w:rtl/>
        </w:rPr>
        <w:t xml:space="preserve"> אישר את ההסדר ופסק:</w:t>
      </w:r>
    </w:p>
    <w:p w14:paraId="0EB135DE" w14:textId="77777777" w:rsidR="00E86585" w:rsidRPr="00BA5203" w:rsidRDefault="00E86585" w:rsidP="00E86585">
      <w:pPr>
        <w:pBdr>
          <w:top w:val="single" w:sz="4" w:space="1" w:color="auto"/>
          <w:bottom w:val="single" w:sz="4" w:space="1" w:color="auto"/>
        </w:pBdr>
        <w:spacing w:after="120" w:line="320" w:lineRule="exact"/>
        <w:jc w:val="both"/>
        <w:rPr>
          <w:rFonts w:cs="FrankRuehl"/>
          <w:szCs w:val="26"/>
          <w:rtl/>
        </w:rPr>
      </w:pPr>
      <w:r w:rsidRPr="00BA5203">
        <w:rPr>
          <w:rFonts w:cs="FrankRuehl"/>
          <w:szCs w:val="26"/>
          <w:rtl/>
        </w:rPr>
        <w:t xml:space="preserve">הסדר הטיעון מקל מאוד עם הנאשם, ואלמלא ההסדר היה מקום לגזור עליו עונש של מאסר מאחורי סורג ובריח למען יראו ויראו וכדי שיעמוד בהלימה לחומרת העבירה. עם זאת, </w:t>
      </w:r>
      <w:r w:rsidRPr="00BA5203">
        <w:rPr>
          <w:rFonts w:cs="FrankRuehl" w:hint="cs"/>
          <w:szCs w:val="26"/>
          <w:rtl/>
        </w:rPr>
        <w:t>ה</w:t>
      </w:r>
      <w:r w:rsidRPr="00BA5203">
        <w:rPr>
          <w:rFonts w:cs="FrankRuehl"/>
          <w:szCs w:val="26"/>
          <w:rtl/>
        </w:rPr>
        <w:t>הסדר משקף קשיים ראייתיים משמעותיים בדגש על סוגיית הזיהוי</w:t>
      </w:r>
      <w:r w:rsidRPr="00BA5203">
        <w:rPr>
          <w:rFonts w:cs="FrankRuehl" w:hint="cs"/>
          <w:szCs w:val="26"/>
          <w:rtl/>
        </w:rPr>
        <w:t xml:space="preserve">. </w:t>
      </w:r>
      <w:r w:rsidRPr="00BA5203">
        <w:rPr>
          <w:rFonts w:cs="FrankRuehl"/>
          <w:szCs w:val="26"/>
          <w:rtl/>
        </w:rPr>
        <w:t xml:space="preserve">חזקה כי המדינה בחנה את חומר הראיות ואיזנה כראוי בין האינטרסים השונים ובכלל זה האינטרס הציבורי וסיכויי ההרשעה. בנסיבות העניין </w:t>
      </w:r>
      <w:r w:rsidRPr="00BA5203">
        <w:rPr>
          <w:rFonts w:cs="FrankRuehl" w:hint="cs"/>
          <w:szCs w:val="26"/>
          <w:rtl/>
        </w:rPr>
        <w:t>יש לאשר את ההסדר ובהתאם, להטיל על הנאשם</w:t>
      </w:r>
      <w:r>
        <w:rPr>
          <w:rFonts w:cs="FrankRuehl" w:hint="cs"/>
          <w:szCs w:val="26"/>
          <w:rtl/>
        </w:rPr>
        <w:t xml:space="preserve"> </w:t>
      </w:r>
      <w:r w:rsidRPr="00BA5203">
        <w:rPr>
          <w:rFonts w:cs="FrankRuehl"/>
          <w:szCs w:val="26"/>
          <w:rtl/>
        </w:rPr>
        <w:t xml:space="preserve">7.5 חודשי מאסר </w:t>
      </w:r>
      <w:r w:rsidRPr="00BA5203">
        <w:rPr>
          <w:rFonts w:cs="FrankRuehl" w:hint="cs"/>
          <w:szCs w:val="26"/>
          <w:rtl/>
        </w:rPr>
        <w:t>ב</w:t>
      </w:r>
      <w:r w:rsidRPr="00BA5203">
        <w:rPr>
          <w:rFonts w:cs="FrankRuehl"/>
          <w:szCs w:val="26"/>
          <w:rtl/>
        </w:rPr>
        <w:t>עבודות שירות</w:t>
      </w:r>
      <w:r w:rsidRPr="00BA5203">
        <w:rPr>
          <w:rFonts w:cs="FrankRuehl" w:hint="cs"/>
          <w:szCs w:val="26"/>
          <w:rtl/>
        </w:rPr>
        <w:t>, שלושה</w:t>
      </w:r>
      <w:r w:rsidRPr="00BA5203">
        <w:rPr>
          <w:rFonts w:cs="FrankRuehl"/>
          <w:szCs w:val="26"/>
          <w:rtl/>
        </w:rPr>
        <w:t xml:space="preserve"> מאסר</w:t>
      </w:r>
      <w:r w:rsidRPr="00BA5203">
        <w:rPr>
          <w:rFonts w:cs="FrankRuehl" w:hint="cs"/>
          <w:szCs w:val="26"/>
          <w:rtl/>
        </w:rPr>
        <w:t>ים</w:t>
      </w:r>
      <w:r w:rsidRPr="00BA5203">
        <w:rPr>
          <w:rFonts w:cs="FrankRuehl"/>
          <w:szCs w:val="26"/>
          <w:rtl/>
        </w:rPr>
        <w:t xml:space="preserve"> על תנאי</w:t>
      </w:r>
      <w:r w:rsidRPr="00BA5203">
        <w:rPr>
          <w:rFonts w:cs="FrankRuehl" w:hint="cs"/>
          <w:szCs w:val="26"/>
          <w:rtl/>
        </w:rPr>
        <w:t xml:space="preserve"> ו</w:t>
      </w:r>
      <w:r w:rsidRPr="00BA5203">
        <w:rPr>
          <w:rFonts w:cs="FrankRuehl"/>
          <w:szCs w:val="26"/>
          <w:rtl/>
        </w:rPr>
        <w:t>קנס בסך 5,000 ₪ או 45 ימי מאסר תמורתו.</w:t>
      </w:r>
    </w:p>
    <w:p w14:paraId="3F6C35D4" w14:textId="77777777" w:rsidR="00E86585" w:rsidRPr="00F31901" w:rsidRDefault="00E86585" w:rsidP="00F31901">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5C3B" w14:paraId="242D904E" w14:textId="77777777" w:rsidTr="00F65C3B">
        <w:trPr>
          <w:trHeight w:val="355"/>
          <w:jc w:val="center"/>
        </w:trPr>
        <w:tc>
          <w:tcPr>
            <w:tcW w:w="8820" w:type="dxa"/>
            <w:tcBorders>
              <w:top w:val="nil"/>
              <w:left w:val="nil"/>
              <w:bottom w:val="nil"/>
              <w:right w:val="nil"/>
            </w:tcBorders>
            <w:shd w:val="clear" w:color="auto" w:fill="auto"/>
          </w:tcPr>
          <w:p w14:paraId="3559D7FD" w14:textId="77777777" w:rsidR="00E4571E" w:rsidRPr="00E4571E" w:rsidRDefault="00E4571E" w:rsidP="00E4571E">
            <w:pPr>
              <w:jc w:val="center"/>
              <w:rPr>
                <w:rFonts w:ascii="David" w:hAnsi="David"/>
                <w:b/>
                <w:bCs/>
                <w:sz w:val="32"/>
                <w:szCs w:val="32"/>
                <w:u w:val="single"/>
                <w:rtl/>
              </w:rPr>
            </w:pPr>
            <w:bookmarkStart w:id="7" w:name="PsakDin" w:colFirst="0" w:colLast="0"/>
            <w:bookmarkEnd w:id="0"/>
            <w:r w:rsidRPr="00E4571E">
              <w:rPr>
                <w:rFonts w:ascii="David" w:hAnsi="David"/>
                <w:b/>
                <w:bCs/>
                <w:sz w:val="32"/>
                <w:szCs w:val="32"/>
                <w:u w:val="single"/>
                <w:rtl/>
              </w:rPr>
              <w:lastRenderedPageBreak/>
              <w:t>גזר דין</w:t>
            </w:r>
          </w:p>
          <w:p w14:paraId="52BFD3CF" w14:textId="77777777" w:rsidR="00F65C3B" w:rsidRPr="00E4571E" w:rsidRDefault="00F65C3B" w:rsidP="00E4571E">
            <w:pPr>
              <w:jc w:val="center"/>
              <w:rPr>
                <w:rFonts w:ascii="David" w:hAnsi="David"/>
                <w:bCs/>
                <w:sz w:val="32"/>
                <w:szCs w:val="32"/>
                <w:u w:val="single"/>
                <w:rtl/>
              </w:rPr>
            </w:pPr>
          </w:p>
        </w:tc>
      </w:tr>
      <w:bookmarkEnd w:id="7"/>
    </w:tbl>
    <w:p w14:paraId="0305CD97" w14:textId="77777777" w:rsidR="00F65C3B" w:rsidRPr="000F2247" w:rsidRDefault="00F65C3B" w:rsidP="00F65C3B">
      <w:pPr>
        <w:rPr>
          <w:rFonts w:ascii="Arial" w:hAnsi="Arial"/>
          <w:b/>
          <w:bCs/>
          <w:sz w:val="26"/>
          <w:szCs w:val="26"/>
          <w:rtl/>
        </w:rPr>
      </w:pPr>
    </w:p>
    <w:p w14:paraId="10ACD7C0" w14:textId="77777777" w:rsidR="00F65C3B" w:rsidRDefault="00F65C3B" w:rsidP="00F65C3B">
      <w:pPr>
        <w:jc w:val="both"/>
        <w:rPr>
          <w:rFonts w:ascii="David" w:hAnsi="David"/>
          <w:rtl/>
        </w:rPr>
      </w:pPr>
    </w:p>
    <w:p w14:paraId="51DD9593" w14:textId="77777777" w:rsidR="00F65C3B" w:rsidRDefault="00F65C3B" w:rsidP="00F65C3B">
      <w:pPr>
        <w:spacing w:line="360" w:lineRule="auto"/>
        <w:jc w:val="both"/>
        <w:rPr>
          <w:rFonts w:ascii="David" w:hAnsi="David"/>
          <w:b/>
          <w:bCs/>
          <w:rtl/>
        </w:rPr>
      </w:pPr>
      <w:r>
        <w:rPr>
          <w:rFonts w:ascii="David" w:hAnsi="David"/>
          <w:b/>
          <w:bCs/>
          <w:rtl/>
        </w:rPr>
        <w:t>כתב אישום והסדר הטיעון:</w:t>
      </w:r>
    </w:p>
    <w:p w14:paraId="3CC01B6B" w14:textId="77777777" w:rsidR="00F65C3B" w:rsidRDefault="00F65C3B" w:rsidP="00F65C3B">
      <w:pPr>
        <w:spacing w:line="360" w:lineRule="auto"/>
        <w:ind w:left="720" w:hanging="720"/>
        <w:jc w:val="both"/>
        <w:rPr>
          <w:rFonts w:ascii="David" w:hAnsi="David"/>
          <w:rtl/>
        </w:rPr>
      </w:pPr>
      <w:r>
        <w:rPr>
          <w:rFonts w:ascii="David" w:hAnsi="David"/>
          <w:rtl/>
        </w:rPr>
        <w:t>1.</w:t>
      </w:r>
      <w:r>
        <w:rPr>
          <w:rFonts w:ascii="David" w:hAnsi="David"/>
          <w:rtl/>
        </w:rPr>
        <w:tab/>
        <w:t xml:space="preserve">הנאשם הורשע, על פי הודאתו בעובדות כתב האישום המתוקן, בירי מנשק חם – עבירה לפי </w:t>
      </w:r>
      <w:hyperlink r:id="rId11" w:history="1">
        <w:r w:rsidR="003B1387" w:rsidRPr="003B1387">
          <w:rPr>
            <w:rStyle w:val="Hyperlink"/>
            <w:rFonts w:ascii="David" w:hAnsi="David"/>
            <w:rtl/>
          </w:rPr>
          <w:t>סעיף 340א(א)</w:t>
        </w:r>
      </w:hyperlink>
      <w:r>
        <w:rPr>
          <w:rFonts w:ascii="David" w:hAnsi="David"/>
          <w:rtl/>
        </w:rPr>
        <w:t xml:space="preserve"> ל</w:t>
      </w:r>
      <w:hyperlink r:id="rId12" w:history="1">
        <w:r w:rsidR="00E4571E" w:rsidRPr="00E4571E">
          <w:rPr>
            <w:rFonts w:ascii="David" w:hAnsi="David"/>
            <w:color w:val="0000FF"/>
            <w:u w:val="single"/>
            <w:rtl/>
          </w:rPr>
          <w:t>חוק העונשין</w:t>
        </w:r>
      </w:hyperlink>
      <w:r>
        <w:rPr>
          <w:rFonts w:ascii="David" w:hAnsi="David"/>
          <w:rtl/>
        </w:rPr>
        <w:t>, התשל"ז – 1977.</w:t>
      </w:r>
    </w:p>
    <w:p w14:paraId="30E8AABE" w14:textId="77777777" w:rsidR="00F65C3B" w:rsidRDefault="00F65C3B" w:rsidP="00F65C3B">
      <w:pPr>
        <w:spacing w:line="360" w:lineRule="auto"/>
        <w:ind w:left="720" w:hanging="720"/>
        <w:jc w:val="both"/>
        <w:rPr>
          <w:rFonts w:ascii="David" w:hAnsi="David"/>
          <w:rtl/>
        </w:rPr>
      </w:pPr>
    </w:p>
    <w:p w14:paraId="68EB10D0" w14:textId="77777777" w:rsidR="00F65C3B" w:rsidRDefault="00F65C3B" w:rsidP="00F65C3B">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בתאריך 12.10.23 הגיע הנאשם יחד עם אדם נוסף אשר זהותו אינה ידועה למאשימה, לשטח הררי פתוח באזור דימונה.</w:t>
      </w:r>
    </w:p>
    <w:p w14:paraId="1CF0FAF1" w14:textId="77777777" w:rsidR="00F65C3B" w:rsidRDefault="00F65C3B" w:rsidP="00F65C3B">
      <w:pPr>
        <w:spacing w:line="360" w:lineRule="auto"/>
        <w:ind w:left="720"/>
        <w:jc w:val="both"/>
        <w:rPr>
          <w:rFonts w:ascii="David" w:hAnsi="David"/>
          <w:rtl/>
        </w:rPr>
      </w:pPr>
      <w:r>
        <w:rPr>
          <w:rFonts w:ascii="David" w:hAnsi="David"/>
          <w:rtl/>
        </w:rPr>
        <w:t xml:space="preserve">הנאשם והאחר טיפסו על הר במקום ובסמוך להגעתם לנקודה מסוימת בהר, ירה הנאשם מנשק חם שלא כדין. </w:t>
      </w:r>
    </w:p>
    <w:p w14:paraId="63D7C14C" w14:textId="77777777" w:rsidR="00F65C3B" w:rsidRDefault="00F65C3B" w:rsidP="00F65C3B">
      <w:pPr>
        <w:spacing w:line="360" w:lineRule="auto"/>
        <w:jc w:val="both"/>
        <w:rPr>
          <w:rFonts w:ascii="David" w:hAnsi="David"/>
          <w:rtl/>
        </w:rPr>
      </w:pPr>
    </w:p>
    <w:p w14:paraId="671F60F7" w14:textId="77777777" w:rsidR="00F65C3B" w:rsidRDefault="00F65C3B" w:rsidP="00F65C3B">
      <w:pPr>
        <w:spacing w:line="360" w:lineRule="auto"/>
        <w:ind w:left="720" w:hanging="720"/>
        <w:jc w:val="both"/>
        <w:rPr>
          <w:rFonts w:ascii="David" w:hAnsi="David"/>
          <w:rtl/>
        </w:rPr>
      </w:pPr>
      <w:r>
        <w:rPr>
          <w:rFonts w:ascii="David" w:hAnsi="David"/>
          <w:rtl/>
        </w:rPr>
        <w:t>3.</w:t>
      </w:r>
      <w:r>
        <w:rPr>
          <w:rFonts w:ascii="David" w:hAnsi="David"/>
          <w:rtl/>
        </w:rPr>
        <w:tab/>
        <w:t>הנאשם הורשע במסגרת הסדר טיעון, במסגרתו עתרו הצדדים להשית עליו את העונשים הבאים:</w:t>
      </w:r>
    </w:p>
    <w:p w14:paraId="39D7D433" w14:textId="77777777" w:rsidR="00F65C3B" w:rsidRDefault="00F65C3B" w:rsidP="00F65C3B">
      <w:pPr>
        <w:spacing w:line="360" w:lineRule="auto"/>
        <w:ind w:left="720" w:hanging="720"/>
        <w:jc w:val="both"/>
        <w:rPr>
          <w:rFonts w:ascii="David" w:hAnsi="David"/>
          <w:sz w:val="2"/>
          <w:szCs w:val="2"/>
          <w:rtl/>
        </w:rPr>
      </w:pPr>
    </w:p>
    <w:p w14:paraId="27F474A8" w14:textId="77777777" w:rsidR="00F65C3B" w:rsidRDefault="00F65C3B" w:rsidP="00F65C3B">
      <w:pPr>
        <w:spacing w:line="360" w:lineRule="auto"/>
        <w:ind w:left="1440" w:hanging="720"/>
        <w:jc w:val="both"/>
        <w:rPr>
          <w:rFonts w:ascii="David" w:hAnsi="David"/>
          <w:rtl/>
        </w:rPr>
      </w:pPr>
      <w:r>
        <w:rPr>
          <w:rFonts w:ascii="David" w:hAnsi="David"/>
          <w:rtl/>
        </w:rPr>
        <w:t>א.</w:t>
      </w:r>
      <w:r>
        <w:rPr>
          <w:rFonts w:ascii="David" w:hAnsi="David"/>
          <w:rtl/>
        </w:rPr>
        <w:tab/>
        <w:t>7.5 חודשי מאסר בפועל שיכול וירוצו בדרך של עבודות שירות ככל שהנאשם ימצא מתאים לכך על ידי הממונה על עבודות השירות.</w:t>
      </w:r>
    </w:p>
    <w:p w14:paraId="682C197C" w14:textId="77777777" w:rsidR="00F65C3B" w:rsidRDefault="00F65C3B" w:rsidP="00F65C3B">
      <w:pPr>
        <w:spacing w:line="360" w:lineRule="auto"/>
        <w:ind w:left="1440" w:hanging="720"/>
        <w:jc w:val="both"/>
        <w:rPr>
          <w:rFonts w:ascii="David" w:hAnsi="David"/>
          <w:rtl/>
        </w:rPr>
      </w:pPr>
    </w:p>
    <w:p w14:paraId="7EDA9CAF" w14:textId="77777777" w:rsidR="00F65C3B" w:rsidRDefault="00F65C3B" w:rsidP="00F65C3B">
      <w:pPr>
        <w:spacing w:line="360" w:lineRule="auto"/>
        <w:ind w:left="1440" w:hanging="720"/>
        <w:jc w:val="both"/>
        <w:rPr>
          <w:rFonts w:ascii="David" w:hAnsi="David"/>
          <w:rtl/>
        </w:rPr>
      </w:pPr>
      <w:r>
        <w:rPr>
          <w:rFonts w:ascii="David" w:hAnsi="David"/>
          <w:rtl/>
        </w:rPr>
        <w:t>ב.</w:t>
      </w:r>
      <w:r>
        <w:rPr>
          <w:rFonts w:ascii="David" w:hAnsi="David"/>
          <w:rtl/>
        </w:rPr>
        <w:tab/>
        <w:t xml:space="preserve">מאסר על תנאי בגין עבירות נשק ואלימות מסוג פשע ועוון. משכו של המאסר ויתר תנאיו ייקבעו על ידי בית המשפט על פי שיקול דעתו. </w:t>
      </w:r>
    </w:p>
    <w:p w14:paraId="23B9E255" w14:textId="77777777" w:rsidR="00F65C3B" w:rsidRDefault="00F65C3B" w:rsidP="00F65C3B">
      <w:pPr>
        <w:spacing w:line="360" w:lineRule="auto"/>
        <w:ind w:left="1440" w:hanging="720"/>
        <w:jc w:val="both"/>
        <w:rPr>
          <w:rFonts w:ascii="David" w:hAnsi="David"/>
          <w:rtl/>
        </w:rPr>
      </w:pPr>
    </w:p>
    <w:p w14:paraId="2D2C9AFD" w14:textId="77777777" w:rsidR="00F65C3B" w:rsidRDefault="00F65C3B" w:rsidP="00F65C3B">
      <w:pPr>
        <w:spacing w:line="360" w:lineRule="auto"/>
        <w:ind w:left="1440" w:hanging="720"/>
        <w:jc w:val="both"/>
        <w:rPr>
          <w:rFonts w:ascii="David" w:hAnsi="David"/>
          <w:rtl/>
        </w:rPr>
      </w:pPr>
      <w:r>
        <w:rPr>
          <w:rFonts w:ascii="David" w:hAnsi="David"/>
          <w:rtl/>
        </w:rPr>
        <w:t>ג.</w:t>
      </w:r>
      <w:r>
        <w:rPr>
          <w:rFonts w:ascii="David" w:hAnsi="David"/>
          <w:rtl/>
        </w:rPr>
        <w:tab/>
        <w:t xml:space="preserve">קנס שגובהו לשיקול דעת בית המשפט. </w:t>
      </w:r>
    </w:p>
    <w:p w14:paraId="2342BA06" w14:textId="77777777" w:rsidR="00F65C3B" w:rsidRDefault="00F65C3B" w:rsidP="00F65C3B">
      <w:pPr>
        <w:spacing w:line="360" w:lineRule="auto"/>
        <w:jc w:val="both"/>
        <w:rPr>
          <w:rFonts w:ascii="David" w:hAnsi="David"/>
          <w:rtl/>
        </w:rPr>
      </w:pPr>
    </w:p>
    <w:p w14:paraId="51E7310D" w14:textId="77777777" w:rsidR="00F65C3B" w:rsidRDefault="00F65C3B" w:rsidP="00F65C3B">
      <w:pPr>
        <w:spacing w:line="360" w:lineRule="auto"/>
        <w:jc w:val="both"/>
        <w:rPr>
          <w:rFonts w:ascii="David" w:hAnsi="David"/>
          <w:rtl/>
        </w:rPr>
      </w:pPr>
    </w:p>
    <w:p w14:paraId="2D519465" w14:textId="77777777" w:rsidR="00F65C3B" w:rsidRDefault="00F65C3B" w:rsidP="00F65C3B">
      <w:pPr>
        <w:spacing w:line="360" w:lineRule="auto"/>
        <w:jc w:val="both"/>
        <w:rPr>
          <w:rFonts w:ascii="David" w:hAnsi="David"/>
          <w:rtl/>
        </w:rPr>
      </w:pPr>
    </w:p>
    <w:p w14:paraId="2DB6A3E9" w14:textId="77777777" w:rsidR="00F65C3B" w:rsidRDefault="00F65C3B" w:rsidP="00F65C3B">
      <w:pPr>
        <w:spacing w:line="360" w:lineRule="auto"/>
        <w:jc w:val="both"/>
        <w:rPr>
          <w:rFonts w:ascii="David" w:hAnsi="David"/>
          <w:rtl/>
        </w:rPr>
      </w:pPr>
    </w:p>
    <w:p w14:paraId="52BAE47B" w14:textId="77777777" w:rsidR="00F65C3B" w:rsidRDefault="00F65C3B" w:rsidP="00F65C3B">
      <w:pPr>
        <w:spacing w:line="360" w:lineRule="auto"/>
        <w:ind w:left="720" w:hanging="720"/>
        <w:jc w:val="both"/>
        <w:rPr>
          <w:rFonts w:ascii="David" w:hAnsi="David"/>
          <w:rtl/>
        </w:rPr>
      </w:pPr>
      <w:r>
        <w:rPr>
          <w:rFonts w:ascii="David" w:hAnsi="David"/>
          <w:rtl/>
        </w:rPr>
        <w:t>4.</w:t>
      </w:r>
      <w:r>
        <w:rPr>
          <w:rFonts w:ascii="David" w:hAnsi="David"/>
          <w:rtl/>
        </w:rPr>
        <w:tab/>
        <w:t>טרם שמיעת הטיעונים לעונש התבקש הממונה על עבודות השירות להגיש חוות דעת בעניינו של הנאשם.</w:t>
      </w:r>
    </w:p>
    <w:p w14:paraId="66DC1D6B" w14:textId="77777777" w:rsidR="00F65C3B" w:rsidRDefault="00F65C3B" w:rsidP="00F65C3B">
      <w:pPr>
        <w:spacing w:line="360" w:lineRule="auto"/>
        <w:ind w:left="720" w:hanging="720"/>
        <w:jc w:val="both"/>
        <w:rPr>
          <w:rFonts w:ascii="David" w:hAnsi="David"/>
          <w:rtl/>
        </w:rPr>
      </w:pPr>
      <w:r>
        <w:rPr>
          <w:rFonts w:ascii="David" w:hAnsi="David"/>
          <w:rtl/>
        </w:rPr>
        <w:tab/>
        <w:t xml:space="preserve">בהתאם לחוות דעת הממונה מיום 09.10.24 נמצא הנאשם מתאים לביצוע עונש המאסר בדרך של עבודות שירות במרכז הגריאטרי אורפז בבאר שבע. </w:t>
      </w:r>
    </w:p>
    <w:p w14:paraId="256190CD" w14:textId="77777777" w:rsidR="00F65C3B" w:rsidRDefault="00F65C3B" w:rsidP="00F65C3B">
      <w:pPr>
        <w:spacing w:line="360" w:lineRule="auto"/>
        <w:jc w:val="both"/>
        <w:rPr>
          <w:rFonts w:ascii="David" w:hAnsi="David"/>
          <w:rtl/>
        </w:rPr>
      </w:pPr>
    </w:p>
    <w:p w14:paraId="2AFCD6C6" w14:textId="77777777" w:rsidR="00F65C3B" w:rsidRDefault="00F65C3B" w:rsidP="00F65C3B">
      <w:pPr>
        <w:spacing w:line="360" w:lineRule="auto"/>
        <w:jc w:val="both"/>
        <w:rPr>
          <w:rFonts w:ascii="David" w:hAnsi="David"/>
          <w:b/>
          <w:bCs/>
          <w:u w:val="single"/>
          <w:rtl/>
        </w:rPr>
      </w:pPr>
      <w:r>
        <w:rPr>
          <w:rFonts w:ascii="David" w:hAnsi="David"/>
          <w:b/>
          <w:bCs/>
          <w:u w:val="single"/>
          <w:rtl/>
        </w:rPr>
        <w:t>טענות הצדדים:</w:t>
      </w:r>
    </w:p>
    <w:p w14:paraId="40C83CA7" w14:textId="77777777" w:rsidR="00F65C3B" w:rsidRDefault="00F65C3B" w:rsidP="00F65C3B">
      <w:pPr>
        <w:spacing w:line="360" w:lineRule="auto"/>
        <w:jc w:val="both"/>
        <w:rPr>
          <w:rFonts w:ascii="David" w:hAnsi="David"/>
          <w:rtl/>
        </w:rPr>
      </w:pPr>
      <w:r>
        <w:rPr>
          <w:rFonts w:ascii="David" w:hAnsi="David"/>
          <w:rtl/>
        </w:rPr>
        <w:t>5.</w:t>
      </w:r>
      <w:r>
        <w:rPr>
          <w:rFonts w:ascii="David" w:hAnsi="David"/>
          <w:rtl/>
        </w:rPr>
        <w:tab/>
        <w:t>הצדדים לא הגישו ראיות לעונש.</w:t>
      </w:r>
    </w:p>
    <w:p w14:paraId="5CCB9A86" w14:textId="77777777" w:rsidR="00F65C3B" w:rsidRDefault="00F65C3B" w:rsidP="00F65C3B">
      <w:pPr>
        <w:spacing w:line="360" w:lineRule="auto"/>
        <w:jc w:val="both"/>
        <w:rPr>
          <w:rFonts w:ascii="David" w:hAnsi="David"/>
          <w:b/>
          <w:bCs/>
          <w:u w:val="single"/>
          <w:rtl/>
        </w:rPr>
      </w:pPr>
    </w:p>
    <w:p w14:paraId="09F3E7F1" w14:textId="77777777" w:rsidR="00F65C3B" w:rsidRDefault="00F65C3B" w:rsidP="00F65C3B">
      <w:pPr>
        <w:spacing w:line="360" w:lineRule="auto"/>
        <w:ind w:left="720" w:hanging="720"/>
        <w:jc w:val="both"/>
        <w:rPr>
          <w:rFonts w:ascii="David" w:hAnsi="David"/>
          <w:rtl/>
        </w:rPr>
      </w:pPr>
      <w:r>
        <w:rPr>
          <w:rFonts w:ascii="David" w:hAnsi="David"/>
          <w:rtl/>
        </w:rPr>
        <w:lastRenderedPageBreak/>
        <w:t>6.</w:t>
      </w:r>
      <w:r>
        <w:rPr>
          <w:rFonts w:ascii="David" w:hAnsi="David"/>
          <w:rtl/>
        </w:rPr>
        <w:tab/>
      </w:r>
      <w:r>
        <w:rPr>
          <w:rFonts w:ascii="David" w:hAnsi="David"/>
          <w:b/>
          <w:bCs/>
          <w:rtl/>
        </w:rPr>
        <w:t>ב"כ המאשימה</w:t>
      </w:r>
      <w:r>
        <w:rPr>
          <w:rFonts w:ascii="David" w:hAnsi="David"/>
          <w:rtl/>
        </w:rPr>
        <w:t xml:space="preserve"> עתרה לכיבוד הסדר הטיעון אשר הושג לאחר מספר פגישות, והפנתה לתיקון המשמעותי שבוצע בכתב האישום המתוקן, לעובדה כי הנאשם צעיר ללא עבר פלילי וזוהי לו ההסתבכות הראשונה עם החוק. </w:t>
      </w:r>
    </w:p>
    <w:p w14:paraId="6D15B32F" w14:textId="77777777" w:rsidR="00F65C3B" w:rsidRDefault="00F65C3B" w:rsidP="00F65C3B">
      <w:pPr>
        <w:spacing w:line="360" w:lineRule="auto"/>
        <w:ind w:left="720" w:hanging="720"/>
        <w:jc w:val="both"/>
        <w:rPr>
          <w:rFonts w:ascii="David" w:hAnsi="David"/>
          <w:rtl/>
        </w:rPr>
      </w:pPr>
      <w:r>
        <w:rPr>
          <w:rFonts w:ascii="David" w:hAnsi="David"/>
          <w:rtl/>
        </w:rPr>
        <w:tab/>
        <w:t xml:space="preserve">ב"כ המאשימה הדגישה כי רכיב המאסר המקל שבהסדר הטיעון מקורו בקושי ראייתי משמעותי, וכי במכלול השיקולים הסדר הטיעון סביר. </w:t>
      </w:r>
    </w:p>
    <w:p w14:paraId="7487F979" w14:textId="77777777" w:rsidR="00F65C3B" w:rsidRDefault="00F65C3B" w:rsidP="00F65C3B">
      <w:pPr>
        <w:spacing w:line="360" w:lineRule="auto"/>
        <w:ind w:left="720"/>
        <w:jc w:val="both"/>
        <w:rPr>
          <w:rFonts w:ascii="David" w:hAnsi="David"/>
          <w:rtl/>
        </w:rPr>
      </w:pPr>
      <w:r>
        <w:rPr>
          <w:rFonts w:ascii="David" w:hAnsi="David"/>
          <w:rtl/>
        </w:rPr>
        <w:t xml:space="preserve">ביחס לרכיב הקנס טענה המאשימה כי גובה הקנס שיוטל על הנאשם צריך לאזן את יתר רכיבי הענישה שבהסדר. </w:t>
      </w:r>
    </w:p>
    <w:p w14:paraId="1F7A8A46" w14:textId="77777777" w:rsidR="00F65C3B" w:rsidRDefault="00F65C3B" w:rsidP="00F65C3B">
      <w:pPr>
        <w:spacing w:line="360" w:lineRule="auto"/>
        <w:ind w:left="720"/>
        <w:jc w:val="both"/>
        <w:rPr>
          <w:rFonts w:ascii="David" w:hAnsi="David"/>
          <w:rtl/>
        </w:rPr>
      </w:pPr>
    </w:p>
    <w:p w14:paraId="3B1767E3" w14:textId="77777777" w:rsidR="00F65C3B" w:rsidRDefault="00F65C3B" w:rsidP="00F65C3B">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 xml:space="preserve">ב"כ הנאשם </w:t>
      </w:r>
      <w:r>
        <w:rPr>
          <w:rFonts w:ascii="David" w:hAnsi="David"/>
          <w:rtl/>
        </w:rPr>
        <w:t>ביקש לכבד את הסדר הטיעון והדגיש כי הסדר הטיעון התקבל לאחר פגישות ודיון גישור בפני כבוד הנשיאה דאז, והוא נשען על כשלים ראייתיים משמעותיים ובכלל זה קושי בזיהויו של הנאשם.</w:t>
      </w:r>
    </w:p>
    <w:p w14:paraId="0BF93BBF" w14:textId="77777777" w:rsidR="00F65C3B" w:rsidRDefault="00F65C3B" w:rsidP="00F65C3B">
      <w:pPr>
        <w:spacing w:line="360" w:lineRule="auto"/>
        <w:ind w:left="720" w:hanging="720"/>
        <w:jc w:val="both"/>
        <w:rPr>
          <w:rFonts w:ascii="David" w:hAnsi="David"/>
          <w:rtl/>
        </w:rPr>
      </w:pPr>
      <w:r>
        <w:rPr>
          <w:rFonts w:ascii="David" w:hAnsi="David"/>
          <w:rtl/>
        </w:rPr>
        <w:tab/>
        <w:t xml:space="preserve">הסניגור הוסיף כי הנאשם בחור צעיר, ללא עבר פלילי קודם וביקש כי גובה הקנס יעמוד בהלימה לקושי הראייתי ולמצבו הכלכלי של הנאשם.  כמו כן ביקש ב"כ הנאשם להתחשב בתקופה בה שהה הנאשם מאחורי סורג ובריח (מיום 16.11.23 ועד ליום 22.12.23) ולתקופה הממושכת בה שהה במעצר בית. </w:t>
      </w:r>
    </w:p>
    <w:p w14:paraId="7375BE6A" w14:textId="77777777" w:rsidR="00F65C3B" w:rsidRDefault="00F65C3B" w:rsidP="00F65C3B">
      <w:pPr>
        <w:spacing w:line="360" w:lineRule="auto"/>
        <w:jc w:val="both"/>
        <w:rPr>
          <w:rFonts w:ascii="David" w:hAnsi="David"/>
          <w:rtl/>
        </w:rPr>
      </w:pPr>
    </w:p>
    <w:p w14:paraId="0716D2E9" w14:textId="77777777" w:rsidR="00F65C3B" w:rsidRDefault="00F65C3B" w:rsidP="00F65C3B">
      <w:pPr>
        <w:spacing w:line="360" w:lineRule="auto"/>
        <w:jc w:val="both"/>
        <w:rPr>
          <w:rFonts w:ascii="David" w:hAnsi="David"/>
          <w:rtl/>
        </w:rPr>
      </w:pPr>
      <w:r>
        <w:rPr>
          <w:rFonts w:ascii="David" w:hAnsi="David"/>
          <w:rtl/>
        </w:rPr>
        <w:t>8.</w:t>
      </w:r>
      <w:r>
        <w:rPr>
          <w:rFonts w:ascii="David" w:hAnsi="David"/>
          <w:rtl/>
        </w:rPr>
        <w:tab/>
        <w:t xml:space="preserve">הנאשם אמר שהוא מצטער, ולשאלת ביהמ"ש הוסיף כי נשוי ואב לילד. </w:t>
      </w:r>
    </w:p>
    <w:p w14:paraId="11A5E56D" w14:textId="77777777" w:rsidR="00F65C3B" w:rsidRDefault="00F65C3B" w:rsidP="00F65C3B">
      <w:pPr>
        <w:spacing w:line="360" w:lineRule="auto"/>
        <w:jc w:val="both"/>
        <w:rPr>
          <w:rFonts w:ascii="David" w:hAnsi="David"/>
          <w:rtl/>
        </w:rPr>
      </w:pPr>
    </w:p>
    <w:p w14:paraId="245F4397" w14:textId="77777777" w:rsidR="00F65C3B" w:rsidRDefault="00F65C3B" w:rsidP="00F65C3B">
      <w:pPr>
        <w:spacing w:line="360" w:lineRule="auto"/>
        <w:jc w:val="both"/>
        <w:rPr>
          <w:rFonts w:ascii="David" w:hAnsi="David"/>
          <w:b/>
          <w:bCs/>
          <w:rtl/>
        </w:rPr>
      </w:pPr>
    </w:p>
    <w:p w14:paraId="75B0CC26" w14:textId="77777777" w:rsidR="00F65C3B" w:rsidRDefault="00F65C3B" w:rsidP="00F65C3B">
      <w:pPr>
        <w:spacing w:line="360" w:lineRule="auto"/>
        <w:jc w:val="both"/>
        <w:rPr>
          <w:rFonts w:ascii="David" w:hAnsi="David"/>
          <w:b/>
          <w:bCs/>
          <w:rtl/>
        </w:rPr>
      </w:pPr>
    </w:p>
    <w:p w14:paraId="1A94B4E9" w14:textId="77777777" w:rsidR="00F65C3B" w:rsidRDefault="00F65C3B" w:rsidP="00F65C3B">
      <w:pPr>
        <w:spacing w:line="360" w:lineRule="auto"/>
        <w:jc w:val="both"/>
        <w:rPr>
          <w:rFonts w:ascii="David" w:hAnsi="David"/>
          <w:rtl/>
        </w:rPr>
      </w:pPr>
      <w:r>
        <w:rPr>
          <w:rFonts w:ascii="David" w:hAnsi="David"/>
          <w:b/>
          <w:bCs/>
          <w:rtl/>
        </w:rPr>
        <w:t>דיון והכרעה:</w:t>
      </w:r>
    </w:p>
    <w:p w14:paraId="55ECFFB9" w14:textId="77777777" w:rsidR="00F65C3B" w:rsidRDefault="00F65C3B" w:rsidP="00F65C3B">
      <w:pPr>
        <w:spacing w:line="360" w:lineRule="auto"/>
        <w:jc w:val="both"/>
        <w:rPr>
          <w:rFonts w:ascii="David" w:hAnsi="David"/>
          <w:rtl/>
        </w:rPr>
      </w:pPr>
    </w:p>
    <w:p w14:paraId="001B3514" w14:textId="77777777" w:rsidR="00F65C3B" w:rsidRDefault="00F65C3B" w:rsidP="00F65C3B">
      <w:pPr>
        <w:spacing w:line="360" w:lineRule="auto"/>
        <w:jc w:val="both"/>
        <w:rPr>
          <w:rFonts w:ascii="David" w:hAnsi="David"/>
          <w:rtl/>
        </w:rPr>
      </w:pPr>
      <w:r>
        <w:rPr>
          <w:rFonts w:ascii="David" w:hAnsi="David"/>
          <w:rtl/>
        </w:rPr>
        <w:t>9.</w:t>
      </w:r>
      <w:r>
        <w:rPr>
          <w:rFonts w:ascii="David" w:hAnsi="David"/>
          <w:rtl/>
        </w:rPr>
        <w:tab/>
        <w:t>הנאשם יליד 2000, הורשע על פי הודאתו בעבירה של ירי מנשק חם.</w:t>
      </w:r>
    </w:p>
    <w:p w14:paraId="2ECFDDB7" w14:textId="77777777" w:rsidR="00F65C3B" w:rsidRDefault="00F65C3B" w:rsidP="00F65C3B">
      <w:pPr>
        <w:spacing w:line="360" w:lineRule="auto"/>
        <w:jc w:val="both"/>
        <w:rPr>
          <w:rFonts w:ascii="David" w:hAnsi="David"/>
          <w:rtl/>
        </w:rPr>
      </w:pPr>
    </w:p>
    <w:p w14:paraId="777977B7" w14:textId="77777777" w:rsidR="00F65C3B" w:rsidRDefault="00F65C3B" w:rsidP="00F65C3B">
      <w:pPr>
        <w:spacing w:line="360" w:lineRule="auto"/>
        <w:ind w:left="720" w:hanging="720"/>
        <w:jc w:val="both"/>
        <w:rPr>
          <w:rFonts w:ascii="David" w:hAnsi="David"/>
          <w:rtl/>
        </w:rPr>
      </w:pPr>
      <w:r>
        <w:rPr>
          <w:rFonts w:ascii="David" w:hAnsi="David"/>
          <w:rtl/>
        </w:rPr>
        <w:t>10.</w:t>
      </w:r>
      <w:r>
        <w:rPr>
          <w:rFonts w:ascii="David" w:hAnsi="David"/>
          <w:rtl/>
        </w:rPr>
        <w:tab/>
        <w:t xml:space="preserve">בביצוע העבירה בה הורשע פגע הנאשם בערכים המוגנים של קדושת החיים, שלום הציבור ושלוותו. הגם שהירי בוצע בשטח הררי, הרי שטמן בתוכו פוטנציאל לפגיעה בעוברי אורח כדוגמת מטיילים בנגב והרי הדרום. </w:t>
      </w:r>
    </w:p>
    <w:p w14:paraId="09F2A597" w14:textId="77777777" w:rsidR="00F65C3B" w:rsidRDefault="00F65C3B" w:rsidP="00F65C3B">
      <w:pPr>
        <w:spacing w:line="360" w:lineRule="auto"/>
        <w:ind w:left="720" w:hanging="720"/>
        <w:jc w:val="both"/>
        <w:rPr>
          <w:rFonts w:ascii="David" w:hAnsi="David"/>
          <w:rtl/>
        </w:rPr>
      </w:pPr>
      <w:r>
        <w:rPr>
          <w:rFonts w:ascii="David" w:hAnsi="David"/>
          <w:rtl/>
        </w:rPr>
        <w:tab/>
        <w:t xml:space="preserve">יתרה מזו, ירי גם אם אינו מסתיים בנפגעים וגם אם נעשה בשטח פתוח, גורם מן הסתם לתחושת בהלה ופחד לעוברי אורח תמימים למשמע קולות הירי. </w:t>
      </w:r>
    </w:p>
    <w:p w14:paraId="3CC739F1" w14:textId="77777777" w:rsidR="00F65C3B" w:rsidRDefault="00F65C3B" w:rsidP="00F65C3B">
      <w:pPr>
        <w:spacing w:line="360" w:lineRule="auto"/>
        <w:ind w:left="720" w:hanging="720"/>
        <w:jc w:val="both"/>
        <w:rPr>
          <w:rFonts w:ascii="David" w:hAnsi="David"/>
          <w:rtl/>
        </w:rPr>
      </w:pPr>
      <w:r>
        <w:rPr>
          <w:rFonts w:ascii="David" w:hAnsi="David"/>
          <w:rtl/>
        </w:rPr>
        <w:tab/>
        <w:t xml:space="preserve">נסיבות ביצוע העבירה ממחישות את הקלות הבלתי נסבלת בניצול לרעה של מרחבי הנגב לטובת ירי פרעי כאילו אין דין ואין דיין. </w:t>
      </w:r>
    </w:p>
    <w:p w14:paraId="4206B335" w14:textId="77777777" w:rsidR="00F65C3B" w:rsidRDefault="00F65C3B" w:rsidP="00F65C3B">
      <w:pPr>
        <w:spacing w:line="360" w:lineRule="auto"/>
        <w:ind w:left="720" w:hanging="720"/>
        <w:jc w:val="both"/>
        <w:rPr>
          <w:rFonts w:ascii="David" w:hAnsi="David"/>
          <w:rtl/>
        </w:rPr>
      </w:pPr>
    </w:p>
    <w:p w14:paraId="1615DE3C" w14:textId="77777777" w:rsidR="00F65C3B" w:rsidRDefault="00F65C3B" w:rsidP="00F65C3B">
      <w:pPr>
        <w:spacing w:line="360" w:lineRule="auto"/>
        <w:ind w:left="720" w:hanging="720"/>
        <w:jc w:val="both"/>
        <w:rPr>
          <w:rFonts w:ascii="David" w:hAnsi="David"/>
          <w:rtl/>
        </w:rPr>
      </w:pPr>
      <w:r>
        <w:rPr>
          <w:rFonts w:ascii="David" w:hAnsi="David"/>
          <w:rtl/>
        </w:rPr>
        <w:t>11.</w:t>
      </w:r>
      <w:r>
        <w:rPr>
          <w:rFonts w:ascii="David" w:hAnsi="David"/>
          <w:rtl/>
        </w:rPr>
        <w:tab/>
        <w:t xml:space="preserve">לצד האמור, נתתי דעתי לעובדה כי כתב האישום המתוקן לקוני ואינו כולל בתוכו פרטים רלוונטיים לנסיבות האירוע, ובכללם סוג הנשק (ארוך/קצר) ומיקום מדויק של הירי תוך התייחסות לקרבה לישובים או מסלולי מטיילים. </w:t>
      </w:r>
    </w:p>
    <w:p w14:paraId="5FFB5F70" w14:textId="77777777" w:rsidR="00F65C3B" w:rsidRDefault="00F65C3B" w:rsidP="00F65C3B">
      <w:pPr>
        <w:spacing w:line="360" w:lineRule="auto"/>
        <w:ind w:left="720" w:hanging="720"/>
        <w:jc w:val="both"/>
        <w:rPr>
          <w:rFonts w:ascii="David" w:hAnsi="David"/>
          <w:rtl/>
        </w:rPr>
      </w:pPr>
    </w:p>
    <w:p w14:paraId="49893C01" w14:textId="77777777" w:rsidR="00F65C3B" w:rsidRDefault="00F65C3B" w:rsidP="00F65C3B">
      <w:pPr>
        <w:spacing w:line="360" w:lineRule="auto"/>
        <w:ind w:left="720" w:hanging="720"/>
        <w:jc w:val="both"/>
        <w:rPr>
          <w:rFonts w:ascii="David" w:hAnsi="David"/>
          <w:rtl/>
        </w:rPr>
      </w:pPr>
      <w:r>
        <w:rPr>
          <w:rFonts w:ascii="David" w:hAnsi="David"/>
          <w:rtl/>
        </w:rPr>
        <w:t>12.</w:t>
      </w:r>
      <w:r>
        <w:rPr>
          <w:rFonts w:ascii="David" w:hAnsi="David"/>
          <w:rtl/>
        </w:rPr>
        <w:tab/>
        <w:t xml:space="preserve">לקולת עונשו של הנאשם התחשבתי בהודאתו, בדברי החרטה שהשמיע, בגילו הצעיר ובהעדר עבר פלילי קודם. </w:t>
      </w:r>
    </w:p>
    <w:p w14:paraId="30CFD6EB" w14:textId="77777777" w:rsidR="00F65C3B" w:rsidRDefault="00F65C3B" w:rsidP="00F65C3B">
      <w:pPr>
        <w:spacing w:line="360" w:lineRule="auto"/>
        <w:ind w:left="720" w:hanging="720"/>
        <w:jc w:val="both"/>
        <w:rPr>
          <w:rFonts w:ascii="David" w:hAnsi="David"/>
          <w:rtl/>
        </w:rPr>
      </w:pPr>
    </w:p>
    <w:p w14:paraId="3074C612" w14:textId="77777777" w:rsidR="00F65C3B" w:rsidRDefault="00F65C3B" w:rsidP="00F65C3B">
      <w:pPr>
        <w:spacing w:line="360" w:lineRule="auto"/>
        <w:ind w:left="720" w:hanging="720"/>
        <w:jc w:val="both"/>
        <w:rPr>
          <w:rFonts w:ascii="David" w:hAnsi="David"/>
          <w:rtl/>
        </w:rPr>
      </w:pPr>
      <w:r>
        <w:rPr>
          <w:rFonts w:ascii="David" w:hAnsi="David"/>
          <w:rtl/>
        </w:rPr>
        <w:t>13.</w:t>
      </w:r>
      <w:r>
        <w:rPr>
          <w:rFonts w:ascii="David" w:hAnsi="David"/>
          <w:rtl/>
        </w:rPr>
        <w:tab/>
        <w:t xml:space="preserve">אין ספק כי הסדר הטיעון מקל מאוד עם הנאשם, ואלמלא ההסדר היה מקום לגזור עליו עונש של מאסר מאחורי סורג ובריח למען יראו ויראו וכדי שיעמוד בהלימה לחומרת העבירה. </w:t>
      </w:r>
    </w:p>
    <w:p w14:paraId="0ADF6C12" w14:textId="77777777" w:rsidR="00F65C3B" w:rsidRDefault="00F65C3B" w:rsidP="00F65C3B">
      <w:pPr>
        <w:spacing w:line="360" w:lineRule="auto"/>
        <w:ind w:left="720" w:hanging="720"/>
        <w:jc w:val="both"/>
        <w:rPr>
          <w:rFonts w:ascii="David" w:hAnsi="David"/>
          <w:rtl/>
        </w:rPr>
      </w:pPr>
    </w:p>
    <w:p w14:paraId="3841A59D" w14:textId="77777777" w:rsidR="00F65C3B" w:rsidRDefault="00F65C3B" w:rsidP="00F65C3B">
      <w:pPr>
        <w:spacing w:line="360" w:lineRule="auto"/>
        <w:ind w:left="720"/>
        <w:jc w:val="both"/>
        <w:rPr>
          <w:rFonts w:ascii="David" w:hAnsi="David"/>
          <w:rtl/>
        </w:rPr>
      </w:pPr>
      <w:r>
        <w:rPr>
          <w:rFonts w:ascii="David" w:hAnsi="David"/>
          <w:rtl/>
        </w:rPr>
        <w:t xml:space="preserve">יחד עם זאת, אין להתעלם מדברי באי כוח הצדדים כי הסדר הטיעון משקף קשיים ראייתיים משמעותיים בדגש על סוגיית הזיהוי. ולעניין זה יפים דברי בית המשפט </w:t>
      </w:r>
      <w:hyperlink r:id="rId13" w:history="1">
        <w:r w:rsidR="00F31901" w:rsidRPr="00F31901">
          <w:rPr>
            <w:rStyle w:val="Hyperlink"/>
            <w:rFonts w:ascii="David" w:hAnsi="David"/>
            <w:b/>
            <w:bCs/>
            <w:rtl/>
          </w:rPr>
          <w:t xml:space="preserve">בפ"ח (מחוזי תל-אביב) 1151/03 </w:t>
        </w:r>
      </w:hyperlink>
      <w:r>
        <w:rPr>
          <w:rFonts w:ascii="David" w:hAnsi="David"/>
          <w:b/>
          <w:bCs/>
          <w:rtl/>
        </w:rPr>
        <w:t xml:space="preserve"> מדינת ישראל נ' דוד בן יהודה</w:t>
      </w:r>
      <w:r w:rsidR="00F31901">
        <w:rPr>
          <w:rFonts w:ascii="David" w:hAnsi="David" w:hint="cs"/>
          <w:b/>
          <w:bCs/>
          <w:rtl/>
        </w:rPr>
        <w:t xml:space="preserve">, </w:t>
      </w:r>
      <w:r w:rsidR="00F31901">
        <w:rPr>
          <w:rFonts w:ascii="David" w:hAnsi="David"/>
          <w:b/>
          <w:bCs/>
          <w:rtl/>
        </w:rPr>
        <w:t>[נבו]</w:t>
      </w:r>
      <w:r>
        <w:rPr>
          <w:rFonts w:ascii="David" w:hAnsi="David"/>
          <w:b/>
          <w:bCs/>
          <w:rtl/>
        </w:rPr>
        <w:t>, 20.1.05]</w:t>
      </w:r>
      <w:r>
        <w:rPr>
          <w:rFonts w:ascii="David" w:hAnsi="David"/>
          <w:rtl/>
        </w:rPr>
        <w:t>:</w:t>
      </w:r>
    </w:p>
    <w:p w14:paraId="497B3EEB" w14:textId="77777777" w:rsidR="00F65C3B" w:rsidRDefault="00F65C3B" w:rsidP="00F65C3B">
      <w:pPr>
        <w:spacing w:line="360" w:lineRule="auto"/>
        <w:ind w:left="720"/>
        <w:jc w:val="both"/>
        <w:rPr>
          <w:rFonts w:ascii="David" w:hAnsi="David"/>
          <w:b/>
          <w:bCs/>
          <w:rtl/>
        </w:rPr>
      </w:pPr>
    </w:p>
    <w:p w14:paraId="182990C5" w14:textId="77777777" w:rsidR="00F65C3B" w:rsidRDefault="00F65C3B" w:rsidP="00F65C3B">
      <w:pPr>
        <w:spacing w:line="360" w:lineRule="auto"/>
        <w:ind w:left="1643" w:right="1418"/>
        <w:jc w:val="both"/>
        <w:rPr>
          <w:rFonts w:ascii="David" w:hAnsi="David"/>
          <w:b/>
          <w:bCs/>
          <w:rtl/>
        </w:rPr>
      </w:pPr>
      <w:r>
        <w:rPr>
          <w:rFonts w:ascii="David" w:hAnsi="David"/>
          <w:b/>
          <w:bCs/>
          <w:rtl/>
        </w:rPr>
        <w:t xml:space="preserve">"בבואנו לאשר הסדר טיעון מסוג זה, שבו העונש שהצדדים מבקשים שנטיל קל לאין שיעור מהעונש הראוי לעבירות שביצעו הנאשמים... עומדת לפנינו ההלכה של בית המשפט העליון, לפיה בהסדר מסוג זה, שנסמך על קשיים ראייתיים כבדים, שניצבו בפני התביעה... יש מקום לאשרו, גם אם מדובר ברף ענישה נמוך". </w:t>
      </w:r>
    </w:p>
    <w:p w14:paraId="0DA38F6A" w14:textId="77777777" w:rsidR="00F65C3B" w:rsidRDefault="00F65C3B" w:rsidP="00F65C3B">
      <w:pPr>
        <w:spacing w:line="360" w:lineRule="auto"/>
        <w:ind w:left="720"/>
        <w:jc w:val="both"/>
        <w:rPr>
          <w:rFonts w:ascii="David" w:hAnsi="David"/>
          <w:rtl/>
        </w:rPr>
      </w:pPr>
    </w:p>
    <w:p w14:paraId="56C191AD" w14:textId="77777777" w:rsidR="00F65C3B" w:rsidRDefault="00F65C3B" w:rsidP="00F65C3B">
      <w:pPr>
        <w:spacing w:line="360" w:lineRule="auto"/>
        <w:ind w:left="720"/>
        <w:jc w:val="both"/>
        <w:rPr>
          <w:rFonts w:ascii="David" w:hAnsi="David"/>
          <w:rtl/>
        </w:rPr>
      </w:pPr>
      <w:r>
        <w:rPr>
          <w:rFonts w:ascii="David" w:hAnsi="David"/>
          <w:rtl/>
        </w:rPr>
        <w:t xml:space="preserve">משבית המשפט לא נחשף לחומר הראיות בתיק, חזקה כי המדינה בחנה את חומר הראיות ואיזנה כראוי בין האינטרסים השונים ובכלל זה האינטרס הציבורי וסיכויי ההרשעה. ברי כי בנסיבות העניין ובבחינת הסדר הטיעון, הגם קולתו, יש ליתן משקל משמעותי לעקרון ההסתמכות של הנאשם. </w:t>
      </w:r>
    </w:p>
    <w:p w14:paraId="5AFE6E37" w14:textId="77777777" w:rsidR="00F65C3B" w:rsidRPr="00533560" w:rsidRDefault="00F65C3B" w:rsidP="00F65C3B">
      <w:pPr>
        <w:spacing w:line="360" w:lineRule="auto"/>
        <w:ind w:left="720" w:hanging="720"/>
        <w:jc w:val="both"/>
        <w:rPr>
          <w:rFonts w:ascii="David" w:hAnsi="David"/>
          <w:sz w:val="16"/>
          <w:szCs w:val="16"/>
          <w:rtl/>
        </w:rPr>
      </w:pPr>
    </w:p>
    <w:p w14:paraId="6DD7220C" w14:textId="77777777" w:rsidR="00F65C3B" w:rsidRDefault="00F65C3B" w:rsidP="00F65C3B">
      <w:pPr>
        <w:spacing w:line="360" w:lineRule="auto"/>
        <w:ind w:left="720" w:hanging="720"/>
        <w:jc w:val="both"/>
        <w:rPr>
          <w:rFonts w:ascii="David" w:hAnsi="David"/>
          <w:rtl/>
        </w:rPr>
      </w:pPr>
      <w:r>
        <w:rPr>
          <w:rFonts w:ascii="David" w:hAnsi="David"/>
          <w:rtl/>
        </w:rPr>
        <w:t>14.</w:t>
      </w:r>
      <w:r>
        <w:rPr>
          <w:rFonts w:ascii="David" w:hAnsi="David"/>
          <w:rtl/>
        </w:rPr>
        <w:tab/>
        <w:t>לאחר ששמעתי טיעוני ב"כ הצדדים מצאתי, לא בלי היסוס, שלא לחרוג מהסדר הטיעון בהינתן מדיניות בתי המשפט הנוגעת לכיבוד הסדרי טיעון, הודאת הנאשם, עברו הנקי  ובעיקר משהובהר כאמור כי מקורו בקשיים ראייתיים.</w:t>
      </w:r>
    </w:p>
    <w:p w14:paraId="7142200A" w14:textId="77777777" w:rsidR="00F65C3B" w:rsidRPr="00533560" w:rsidRDefault="00F65C3B" w:rsidP="00F65C3B">
      <w:pPr>
        <w:spacing w:line="360" w:lineRule="auto"/>
        <w:ind w:left="720" w:hanging="720"/>
        <w:jc w:val="both"/>
        <w:rPr>
          <w:rFonts w:ascii="David" w:hAnsi="David"/>
          <w:sz w:val="14"/>
          <w:szCs w:val="14"/>
          <w:rtl/>
        </w:rPr>
      </w:pPr>
    </w:p>
    <w:p w14:paraId="10D41F3D" w14:textId="77777777" w:rsidR="00F65C3B" w:rsidRDefault="00F65C3B" w:rsidP="00F65C3B">
      <w:pPr>
        <w:spacing w:line="360" w:lineRule="auto"/>
        <w:ind w:left="720" w:hanging="720"/>
        <w:jc w:val="both"/>
        <w:rPr>
          <w:rFonts w:ascii="David" w:hAnsi="David"/>
          <w:rtl/>
        </w:rPr>
      </w:pPr>
      <w:r>
        <w:rPr>
          <w:rFonts w:ascii="David" w:hAnsi="David"/>
          <w:rtl/>
        </w:rPr>
        <w:t>15.</w:t>
      </w:r>
      <w:r>
        <w:rPr>
          <w:rFonts w:ascii="David" w:hAnsi="David"/>
          <w:rtl/>
        </w:rPr>
        <w:tab/>
        <w:t>לצד האמור מצאתי להחמיר ברכיב המאסר המותנה וזאת כדי להרתיע הנאשם מביצוע עבירות דומות.</w:t>
      </w:r>
    </w:p>
    <w:p w14:paraId="34BF2786" w14:textId="77777777" w:rsidR="00F65C3B" w:rsidRDefault="00F65C3B" w:rsidP="00F65C3B">
      <w:pPr>
        <w:spacing w:line="360" w:lineRule="auto"/>
        <w:ind w:left="720" w:hanging="720"/>
        <w:jc w:val="both"/>
        <w:rPr>
          <w:rFonts w:ascii="David" w:hAnsi="David"/>
          <w:rtl/>
        </w:rPr>
      </w:pPr>
      <w:r>
        <w:rPr>
          <w:rFonts w:ascii="David" w:hAnsi="David"/>
          <w:rtl/>
        </w:rPr>
        <w:tab/>
        <w:t>כמו כן, מצאתי להטיל על הנאשם קנס כספי בסך 5,000 ₪.</w:t>
      </w:r>
    </w:p>
    <w:p w14:paraId="245C1AA5" w14:textId="77777777" w:rsidR="00F65C3B" w:rsidRPr="00533560" w:rsidRDefault="00F65C3B" w:rsidP="00F65C3B">
      <w:pPr>
        <w:spacing w:line="360" w:lineRule="auto"/>
        <w:ind w:left="720" w:hanging="720"/>
        <w:jc w:val="both"/>
        <w:rPr>
          <w:rFonts w:ascii="David" w:hAnsi="David"/>
          <w:sz w:val="16"/>
          <w:szCs w:val="16"/>
          <w:rtl/>
        </w:rPr>
      </w:pPr>
    </w:p>
    <w:p w14:paraId="7C76F30C" w14:textId="77777777" w:rsidR="00F65C3B" w:rsidRDefault="00F65C3B" w:rsidP="00F65C3B">
      <w:pPr>
        <w:spacing w:line="360" w:lineRule="auto"/>
        <w:ind w:left="720" w:hanging="720"/>
        <w:jc w:val="both"/>
        <w:rPr>
          <w:rFonts w:ascii="David" w:hAnsi="David"/>
          <w:rtl/>
        </w:rPr>
      </w:pPr>
      <w:r>
        <w:rPr>
          <w:rFonts w:ascii="David" w:hAnsi="David"/>
          <w:rtl/>
        </w:rPr>
        <w:t>16.</w:t>
      </w:r>
      <w:r>
        <w:rPr>
          <w:rFonts w:ascii="David" w:hAnsi="David"/>
          <w:rtl/>
        </w:rPr>
        <w:tab/>
        <w:t>אשר על כן, אני גוזר על הנאשם את העונשים הבאים:</w:t>
      </w:r>
    </w:p>
    <w:p w14:paraId="7A56FBA8" w14:textId="77777777" w:rsidR="00F65C3B" w:rsidRPr="00533560" w:rsidRDefault="00F65C3B" w:rsidP="00F65C3B">
      <w:pPr>
        <w:spacing w:line="360" w:lineRule="auto"/>
        <w:ind w:left="720" w:hanging="720"/>
        <w:jc w:val="both"/>
        <w:rPr>
          <w:rFonts w:ascii="David" w:hAnsi="David"/>
          <w:sz w:val="16"/>
          <w:szCs w:val="16"/>
          <w:rtl/>
        </w:rPr>
      </w:pPr>
    </w:p>
    <w:p w14:paraId="7601563C" w14:textId="77777777" w:rsidR="00F65C3B" w:rsidRDefault="00F65C3B" w:rsidP="00F65C3B">
      <w:pPr>
        <w:spacing w:line="360" w:lineRule="auto"/>
        <w:ind w:left="1440" w:hanging="720"/>
        <w:jc w:val="both"/>
        <w:rPr>
          <w:rFonts w:ascii="David" w:hAnsi="David"/>
          <w:rtl/>
        </w:rPr>
      </w:pPr>
      <w:r>
        <w:rPr>
          <w:rFonts w:ascii="David" w:hAnsi="David"/>
          <w:rtl/>
        </w:rPr>
        <w:t>א.</w:t>
      </w:r>
      <w:r>
        <w:rPr>
          <w:rFonts w:ascii="David" w:hAnsi="David"/>
          <w:rtl/>
        </w:rPr>
        <w:tab/>
        <w:t>7.5 חודשי מאסר שירוצו בדרך של עבודות שירות במרכז הגריאטרי אורפז, רחוב רד"ק 46 בבאר שבע.</w:t>
      </w:r>
    </w:p>
    <w:p w14:paraId="2C5645E4" w14:textId="77777777" w:rsidR="00F65C3B" w:rsidRDefault="00F65C3B" w:rsidP="00F65C3B">
      <w:pPr>
        <w:spacing w:line="360" w:lineRule="auto"/>
        <w:ind w:left="1440" w:hanging="720"/>
        <w:jc w:val="both"/>
        <w:rPr>
          <w:rFonts w:ascii="David" w:hAnsi="David"/>
          <w:rtl/>
        </w:rPr>
      </w:pPr>
      <w:r>
        <w:rPr>
          <w:rFonts w:ascii="David" w:hAnsi="David"/>
          <w:rtl/>
        </w:rPr>
        <w:tab/>
        <w:t>הנאשם יתייצב ביום 21.11.24 בשעה 08:00 במשרדי הממונה על עבודות השירות: יחידת ברקאי – עבודות שירות, שלוחה דרום – סמוך לכלא באר שבע לצורך קליטה והצבה.</w:t>
      </w:r>
    </w:p>
    <w:p w14:paraId="04C40CAE" w14:textId="77777777" w:rsidR="00F65C3B" w:rsidRDefault="00F65C3B" w:rsidP="00F65C3B">
      <w:pPr>
        <w:spacing w:line="360" w:lineRule="auto"/>
        <w:ind w:left="1440" w:hanging="720"/>
        <w:jc w:val="both"/>
        <w:rPr>
          <w:rFonts w:ascii="David" w:hAnsi="David"/>
          <w:rtl/>
        </w:rPr>
      </w:pPr>
      <w:r>
        <w:rPr>
          <w:rFonts w:ascii="David" w:hAnsi="David"/>
          <w:rtl/>
        </w:rPr>
        <w:tab/>
        <w:t>הובהר לנאשם  כי במסגרת עבודות השירות ובהתאם לחוות דעת הממונה, יועסק חמישה ימים בשבוע, על פי טווח השעות המתאפשר ב</w:t>
      </w:r>
      <w:hyperlink r:id="rId14" w:history="1">
        <w:r w:rsidR="00E4571E" w:rsidRPr="00E4571E">
          <w:rPr>
            <w:rFonts w:ascii="David" w:hAnsi="David"/>
            <w:color w:val="0000FF"/>
            <w:u w:val="single"/>
            <w:rtl/>
          </w:rPr>
          <w:t>חוק העונשין</w:t>
        </w:r>
      </w:hyperlink>
      <w:r>
        <w:rPr>
          <w:rFonts w:ascii="David" w:hAnsi="David"/>
          <w:rtl/>
        </w:rPr>
        <w:t>, וכי יתכנו שינויים במקום העבודה ושעות העבודה והכל בהתאם להנחיות הממונה על עבודות השירות.</w:t>
      </w:r>
    </w:p>
    <w:p w14:paraId="7027224F" w14:textId="77777777" w:rsidR="00F65C3B" w:rsidRDefault="00F65C3B" w:rsidP="00F65C3B">
      <w:pPr>
        <w:spacing w:line="360" w:lineRule="auto"/>
        <w:ind w:left="1440" w:hanging="720"/>
        <w:jc w:val="both"/>
        <w:rPr>
          <w:rFonts w:ascii="David" w:hAnsi="David"/>
          <w:rtl/>
        </w:rPr>
      </w:pPr>
      <w:r>
        <w:rPr>
          <w:rFonts w:ascii="David" w:hAnsi="David"/>
          <w:rtl/>
        </w:rPr>
        <w:tab/>
        <w:t xml:space="preserve">מובהרת לנאשם המשמעות של אי עמידה בעבודות השירות אשר יכול ותביא להפסקת ריצוי העונש בדרך של עבודות שירות ונשיאת יתרת העונש מאחורי סורג ובריח. </w:t>
      </w:r>
    </w:p>
    <w:p w14:paraId="285C2C42" w14:textId="77777777" w:rsidR="00F65C3B" w:rsidRDefault="00F65C3B" w:rsidP="00F65C3B">
      <w:pPr>
        <w:spacing w:line="360" w:lineRule="auto"/>
        <w:ind w:left="1440" w:hanging="720"/>
        <w:jc w:val="both"/>
        <w:rPr>
          <w:rFonts w:ascii="David" w:hAnsi="David"/>
          <w:rtl/>
        </w:rPr>
      </w:pPr>
    </w:p>
    <w:p w14:paraId="731AA7AE" w14:textId="77777777" w:rsidR="00F65C3B" w:rsidRDefault="00F65C3B" w:rsidP="00F65C3B">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שלוש שנים מהיום, שלא יעבור עבירה לפי </w:t>
      </w:r>
      <w:hyperlink r:id="rId15" w:history="1">
        <w:r w:rsidR="003B1387" w:rsidRPr="003B1387">
          <w:rPr>
            <w:rStyle w:val="Hyperlink"/>
            <w:rFonts w:ascii="David" w:hAnsi="David"/>
            <w:rtl/>
          </w:rPr>
          <w:t>סעיף 340א</w:t>
        </w:r>
      </w:hyperlink>
      <w:r>
        <w:rPr>
          <w:rFonts w:ascii="David" w:hAnsi="David"/>
          <w:rtl/>
        </w:rPr>
        <w:t xml:space="preserve"> ל</w:t>
      </w:r>
      <w:hyperlink r:id="rId16" w:history="1">
        <w:r w:rsidR="00E4571E" w:rsidRPr="00E4571E">
          <w:rPr>
            <w:rFonts w:ascii="David" w:hAnsi="David"/>
            <w:color w:val="0000FF"/>
            <w:u w:val="single"/>
            <w:rtl/>
          </w:rPr>
          <w:t>חוק העונשין</w:t>
        </w:r>
      </w:hyperlink>
      <w:r>
        <w:rPr>
          <w:rFonts w:ascii="David" w:hAnsi="David"/>
          <w:rtl/>
        </w:rPr>
        <w:t xml:space="preserve"> על חלופותיו השונות או עבירה בנשק לפי </w:t>
      </w:r>
      <w:hyperlink r:id="rId17" w:history="1">
        <w:r w:rsidR="003B1387" w:rsidRPr="003B1387">
          <w:rPr>
            <w:rStyle w:val="Hyperlink"/>
            <w:rFonts w:ascii="David" w:hAnsi="David"/>
            <w:rtl/>
          </w:rPr>
          <w:t>סעיף 144</w:t>
        </w:r>
      </w:hyperlink>
      <w:r>
        <w:rPr>
          <w:rFonts w:ascii="David" w:hAnsi="David"/>
          <w:rtl/>
        </w:rPr>
        <w:t xml:space="preserve"> לחוק העונשין על חלופותיו השונות. </w:t>
      </w:r>
    </w:p>
    <w:p w14:paraId="609FB7E5" w14:textId="77777777" w:rsidR="00F65C3B" w:rsidRDefault="00F65C3B" w:rsidP="00F65C3B">
      <w:pPr>
        <w:spacing w:line="360" w:lineRule="auto"/>
        <w:ind w:left="1440" w:hanging="720"/>
        <w:jc w:val="both"/>
        <w:rPr>
          <w:rFonts w:ascii="David" w:hAnsi="David"/>
          <w:rtl/>
        </w:rPr>
      </w:pPr>
    </w:p>
    <w:p w14:paraId="6A5EA56E" w14:textId="77777777" w:rsidR="00F65C3B" w:rsidRDefault="00F65C3B" w:rsidP="00F65C3B">
      <w:pPr>
        <w:spacing w:line="360" w:lineRule="auto"/>
        <w:ind w:left="1440" w:hanging="720"/>
        <w:jc w:val="both"/>
        <w:rPr>
          <w:rFonts w:ascii="David" w:hAnsi="David"/>
          <w:rtl/>
        </w:rPr>
      </w:pPr>
      <w:r>
        <w:rPr>
          <w:rFonts w:ascii="David" w:hAnsi="David"/>
          <w:rtl/>
        </w:rPr>
        <w:t>ג.</w:t>
      </w:r>
      <w:r>
        <w:rPr>
          <w:rFonts w:ascii="David" w:hAnsi="David"/>
          <w:rtl/>
        </w:rPr>
        <w:tab/>
        <w:t>8 חודשי מאסר על תנאי למשך שנתיים מהיום, שלא יעבור עבירת אלימות מסוג פשע.</w:t>
      </w:r>
    </w:p>
    <w:p w14:paraId="4BFD539D" w14:textId="77777777" w:rsidR="00F65C3B" w:rsidRDefault="00F65C3B" w:rsidP="00F65C3B">
      <w:pPr>
        <w:spacing w:line="360" w:lineRule="auto"/>
        <w:ind w:left="1440" w:hanging="720"/>
        <w:jc w:val="both"/>
        <w:rPr>
          <w:rFonts w:ascii="David" w:hAnsi="David"/>
          <w:rtl/>
        </w:rPr>
      </w:pPr>
    </w:p>
    <w:p w14:paraId="507D8207" w14:textId="77777777" w:rsidR="00F65C3B" w:rsidRDefault="00F65C3B" w:rsidP="00F65C3B">
      <w:pPr>
        <w:spacing w:line="360" w:lineRule="auto"/>
        <w:ind w:left="1440" w:hanging="720"/>
        <w:jc w:val="both"/>
        <w:rPr>
          <w:rFonts w:ascii="David" w:hAnsi="David"/>
          <w:rtl/>
        </w:rPr>
      </w:pPr>
      <w:r>
        <w:rPr>
          <w:rFonts w:ascii="David" w:hAnsi="David"/>
          <w:rtl/>
        </w:rPr>
        <w:t xml:space="preserve">ד. </w:t>
      </w:r>
      <w:r>
        <w:rPr>
          <w:rFonts w:ascii="David" w:hAnsi="David"/>
          <w:rtl/>
        </w:rPr>
        <w:tab/>
        <w:t xml:space="preserve">3 חודשי מאסר על תנאי למשך שנתיים מהיום, שלא יעבור עבירת אלימות מסוג עוון. </w:t>
      </w:r>
    </w:p>
    <w:p w14:paraId="79F23822" w14:textId="77777777" w:rsidR="00F65C3B" w:rsidRDefault="00F65C3B" w:rsidP="00F65C3B">
      <w:pPr>
        <w:spacing w:line="360" w:lineRule="auto"/>
        <w:ind w:left="1440" w:hanging="720"/>
        <w:jc w:val="both"/>
        <w:rPr>
          <w:rFonts w:ascii="David" w:hAnsi="David"/>
          <w:rtl/>
        </w:rPr>
      </w:pPr>
    </w:p>
    <w:p w14:paraId="5C605847" w14:textId="77777777" w:rsidR="00F65C3B" w:rsidRDefault="00F65C3B" w:rsidP="00F65C3B">
      <w:pPr>
        <w:spacing w:line="360" w:lineRule="auto"/>
        <w:ind w:left="1440" w:hanging="720"/>
        <w:jc w:val="both"/>
        <w:rPr>
          <w:rFonts w:ascii="David" w:hAnsi="David"/>
          <w:rtl/>
        </w:rPr>
      </w:pPr>
      <w:r>
        <w:rPr>
          <w:rFonts w:ascii="David" w:hAnsi="David"/>
          <w:rtl/>
        </w:rPr>
        <w:t>ה.</w:t>
      </w:r>
      <w:r>
        <w:rPr>
          <w:rFonts w:ascii="David" w:hAnsi="David"/>
          <w:rtl/>
        </w:rPr>
        <w:tab/>
        <w:t>קנס בסך 5,000 ₪ או 45 ימי מאסר תמורתו. הקנס ישולם לא יאוחר מיום 01.02.25.</w:t>
      </w:r>
    </w:p>
    <w:p w14:paraId="7727733B" w14:textId="77777777" w:rsidR="00F65C3B" w:rsidRDefault="00F65C3B" w:rsidP="00F65C3B">
      <w:pPr>
        <w:spacing w:line="360" w:lineRule="auto"/>
        <w:ind w:left="1440" w:hanging="720"/>
        <w:jc w:val="both"/>
        <w:rPr>
          <w:rFonts w:ascii="David" w:hAnsi="David"/>
          <w:rtl/>
        </w:rPr>
      </w:pPr>
    </w:p>
    <w:p w14:paraId="3F7C9DAA" w14:textId="77777777" w:rsidR="00F65C3B" w:rsidRDefault="00F65C3B" w:rsidP="00F65C3B">
      <w:pPr>
        <w:spacing w:line="360" w:lineRule="auto"/>
        <w:rPr>
          <w:rtl/>
        </w:rPr>
      </w:pPr>
    </w:p>
    <w:p w14:paraId="2AB946B8" w14:textId="77777777" w:rsidR="00F65C3B" w:rsidRDefault="00F65C3B" w:rsidP="00F65C3B">
      <w:pPr>
        <w:spacing w:line="360" w:lineRule="auto"/>
      </w:pPr>
      <w:r>
        <w:rPr>
          <w:rtl/>
        </w:rPr>
        <w:t>לידיעת הנאשם, ניתן יהיה לשלם את</w:t>
      </w:r>
      <w:r>
        <w:rPr>
          <w:rFonts w:hint="cs"/>
          <w:rtl/>
        </w:rPr>
        <w:t xml:space="preserve"> הקנס </w:t>
      </w:r>
      <w:r>
        <w:rPr>
          <w:rtl/>
        </w:rPr>
        <w:t>לחשבון המרכז לגביית קנסות, אגרות והוצאות ברשות האכיפה והגבייה באחת מהדרכים הבאות:</w:t>
      </w:r>
    </w:p>
    <w:p w14:paraId="20DAD105" w14:textId="77777777" w:rsidR="00F65C3B" w:rsidRDefault="00F65C3B" w:rsidP="00F65C3B"/>
    <w:p w14:paraId="05916DEF" w14:textId="77777777" w:rsidR="00F65C3B" w:rsidRDefault="00F65C3B" w:rsidP="00F65C3B">
      <w:pPr>
        <w:pStyle w:val="ListParagraph"/>
        <w:numPr>
          <w:ilvl w:val="0"/>
          <w:numId w:val="1"/>
        </w:numPr>
        <w:rPr>
          <w:rFonts w:ascii="David" w:hAnsi="David"/>
          <w:b/>
          <w:bCs/>
          <w:rtl/>
        </w:rPr>
      </w:pPr>
      <w:r>
        <w:rPr>
          <w:rFonts w:ascii="David" w:hAnsi="David" w:cs="Times New Roman"/>
          <w:b/>
          <w:bCs/>
          <w:rtl/>
        </w:rPr>
        <w:t>בכרטיס אשראי</w:t>
      </w:r>
      <w:r>
        <w:rPr>
          <w:rFonts w:ascii="David" w:hAnsi="David"/>
          <w:rtl/>
        </w:rPr>
        <w:t xml:space="preserve"> – </w:t>
      </w:r>
      <w:r>
        <w:rPr>
          <w:rFonts w:ascii="David" w:hAnsi="David" w:cs="Times New Roman"/>
          <w:rtl/>
        </w:rPr>
        <w:t>באתר המקוון של רשות האכיפה והגבייה</w:t>
      </w:r>
      <w:r>
        <w:rPr>
          <w:rFonts w:ascii="David" w:hAnsi="David"/>
          <w:rtl/>
        </w:rPr>
        <w:t xml:space="preserve">, </w:t>
      </w:r>
      <w:hyperlink r:id="rId18" w:history="1">
        <w:r>
          <w:rPr>
            <w:rStyle w:val="Hyperlink"/>
            <w:rFonts w:ascii="David" w:hAnsi="David"/>
          </w:rPr>
          <w:t>www.eca.gov.il</w:t>
        </w:r>
      </w:hyperlink>
      <w:r>
        <w:rPr>
          <w:rFonts w:ascii="David" w:hAnsi="David"/>
        </w:rPr>
        <w:t xml:space="preserve"> </w:t>
      </w:r>
      <w:r w:rsidR="00E4571E">
        <w:rPr>
          <w:rFonts w:ascii="David" w:hAnsi="David" w:cs="Times New Roman"/>
          <w:rtl/>
        </w:rPr>
        <w:t xml:space="preserve"> </w:t>
      </w:r>
    </w:p>
    <w:p w14:paraId="37331762" w14:textId="77777777" w:rsidR="00F65C3B" w:rsidRDefault="00F65C3B" w:rsidP="00F65C3B">
      <w:pPr>
        <w:pStyle w:val="ListParagraph"/>
        <w:numPr>
          <w:ilvl w:val="0"/>
          <w:numId w:val="1"/>
        </w:numPr>
        <w:rPr>
          <w:rFonts w:ascii="David" w:hAnsi="David"/>
          <w:b/>
          <w:bCs/>
        </w:rPr>
      </w:pPr>
      <w:r>
        <w:rPr>
          <w:rFonts w:ascii="David" w:hAnsi="David" w:cs="Times New Roman"/>
          <w:b/>
          <w:bCs/>
          <w:rtl/>
        </w:rPr>
        <w:t xml:space="preserve">מוקד שירות טלפוני בשרות עצמי </w:t>
      </w:r>
      <w:r>
        <w:rPr>
          <w:rFonts w:ascii="David" w:hAnsi="David"/>
          <w:b/>
          <w:bCs/>
          <w:rtl/>
        </w:rPr>
        <w:t>(</w:t>
      </w:r>
      <w:r>
        <w:rPr>
          <w:rFonts w:ascii="David" w:hAnsi="David" w:cs="Times New Roman"/>
          <w:b/>
          <w:bCs/>
          <w:rtl/>
        </w:rPr>
        <w:t>מרכז גבייה</w:t>
      </w:r>
      <w:r>
        <w:rPr>
          <w:rFonts w:ascii="David" w:hAnsi="David"/>
          <w:b/>
          <w:bCs/>
          <w:rtl/>
        </w:rPr>
        <w:t>)</w:t>
      </w:r>
      <w:r w:rsidR="00E4571E">
        <w:rPr>
          <w:rFonts w:ascii="David" w:hAnsi="David" w:cs="Times New Roman"/>
          <w:b/>
          <w:bCs/>
          <w:rtl/>
        </w:rPr>
        <w:t xml:space="preserve"> </w:t>
      </w:r>
      <w:r>
        <w:rPr>
          <w:rFonts w:ascii="David" w:hAnsi="David"/>
          <w:b/>
          <w:bCs/>
          <w:rtl/>
        </w:rPr>
        <w:t xml:space="preserve"> – </w:t>
      </w:r>
      <w:r>
        <w:rPr>
          <w:rFonts w:ascii="David" w:hAnsi="David" w:cs="Times New Roman"/>
          <w:b/>
          <w:bCs/>
          <w:rtl/>
        </w:rPr>
        <w:t xml:space="preserve">בטלפון </w:t>
      </w:r>
      <w:r>
        <w:rPr>
          <w:rFonts w:ascii="David" w:hAnsi="David"/>
          <w:b/>
          <w:bCs/>
          <w:rtl/>
        </w:rPr>
        <w:t xml:space="preserve">35592* </w:t>
      </w:r>
      <w:r>
        <w:rPr>
          <w:rFonts w:ascii="David" w:hAnsi="David" w:cs="Times New Roman"/>
          <w:b/>
          <w:bCs/>
          <w:rtl/>
        </w:rPr>
        <w:t xml:space="preserve">או בטלפון </w:t>
      </w:r>
      <w:r>
        <w:rPr>
          <w:rFonts w:ascii="David" w:hAnsi="David"/>
          <w:b/>
          <w:bCs/>
          <w:rtl/>
        </w:rPr>
        <w:t>073-2055000</w:t>
      </w:r>
    </w:p>
    <w:p w14:paraId="3E14CEDD" w14:textId="77777777" w:rsidR="00F65C3B" w:rsidRDefault="00F65C3B" w:rsidP="00F65C3B">
      <w:pPr>
        <w:pStyle w:val="ListParagraph"/>
        <w:numPr>
          <w:ilvl w:val="0"/>
          <w:numId w:val="1"/>
        </w:numPr>
        <w:rPr>
          <w:rFonts w:ascii="David" w:hAnsi="David"/>
          <w:b/>
          <w:bCs/>
          <w:rtl/>
        </w:rPr>
      </w:pPr>
      <w:r>
        <w:rPr>
          <w:rFonts w:ascii="David" w:hAnsi="David" w:cs="Times New Roman"/>
          <w:b/>
          <w:bCs/>
          <w:rtl/>
        </w:rPr>
        <w:t>במזומן בכל סניף של בנק הדואר</w:t>
      </w:r>
      <w:r>
        <w:rPr>
          <w:rFonts w:ascii="David" w:hAnsi="David"/>
          <w:rtl/>
        </w:rPr>
        <w:t xml:space="preserve"> – </w:t>
      </w:r>
      <w:r>
        <w:rPr>
          <w:rFonts w:ascii="David" w:hAnsi="David" w:cs="Times New Roman"/>
          <w:rtl/>
        </w:rPr>
        <w:t xml:space="preserve">בהצגת תעודת זהות בלבד </w:t>
      </w:r>
      <w:r>
        <w:rPr>
          <w:rFonts w:ascii="David" w:hAnsi="David"/>
          <w:rtl/>
        </w:rPr>
        <w:t>(</w:t>
      </w:r>
      <w:r>
        <w:rPr>
          <w:rFonts w:ascii="David" w:hAnsi="David" w:cs="Times New Roman"/>
          <w:rtl/>
        </w:rPr>
        <w:t>אין צורך בשוברי תשלום</w:t>
      </w:r>
      <w:r>
        <w:rPr>
          <w:rFonts w:ascii="David" w:hAnsi="David"/>
          <w:rtl/>
        </w:rPr>
        <w:t>).</w:t>
      </w:r>
    </w:p>
    <w:p w14:paraId="3F50B9F8" w14:textId="77777777" w:rsidR="00F65C3B" w:rsidRPr="00E4571E" w:rsidRDefault="00E4571E" w:rsidP="00F65C3B">
      <w:pPr>
        <w:spacing w:line="360" w:lineRule="auto"/>
        <w:ind w:left="1440" w:hanging="720"/>
        <w:jc w:val="both"/>
        <w:rPr>
          <w:rFonts w:ascii="David" w:hAnsi="David"/>
          <w:b/>
          <w:bCs/>
          <w:color w:val="FFFFFF"/>
          <w:sz w:val="2"/>
          <w:szCs w:val="2"/>
          <w:rtl/>
        </w:rPr>
      </w:pPr>
      <w:r w:rsidRPr="00E4571E">
        <w:rPr>
          <w:rFonts w:ascii="David" w:hAnsi="David"/>
          <w:b/>
          <w:bCs/>
          <w:color w:val="FFFFFF"/>
          <w:sz w:val="2"/>
          <w:szCs w:val="2"/>
          <w:rtl/>
        </w:rPr>
        <w:t>5129371</w:t>
      </w:r>
    </w:p>
    <w:p w14:paraId="16FB3617" w14:textId="77777777" w:rsidR="00F65C3B" w:rsidRDefault="00E4571E" w:rsidP="00F65C3B">
      <w:pPr>
        <w:spacing w:line="360" w:lineRule="auto"/>
        <w:jc w:val="both"/>
        <w:rPr>
          <w:rFonts w:ascii="David" w:hAnsi="David"/>
          <w:b/>
          <w:bCs/>
          <w:rtl/>
        </w:rPr>
      </w:pPr>
      <w:r w:rsidRPr="00E4571E">
        <w:rPr>
          <w:rFonts w:ascii="David" w:hAnsi="David"/>
          <w:b/>
          <w:bCs/>
          <w:color w:val="FFFFFF"/>
          <w:sz w:val="2"/>
          <w:szCs w:val="2"/>
          <w:rtl/>
        </w:rPr>
        <w:t>54678313</w:t>
      </w:r>
      <w:r w:rsidR="00F65C3B">
        <w:rPr>
          <w:rFonts w:ascii="David" w:hAnsi="David"/>
          <w:b/>
          <w:bCs/>
          <w:rtl/>
        </w:rPr>
        <w:t xml:space="preserve">זכות ערעור תוך 45 ימים לבית המשפט העליון. </w:t>
      </w:r>
    </w:p>
    <w:p w14:paraId="3E56BF69" w14:textId="77777777" w:rsidR="00F65C3B" w:rsidRDefault="00F65C3B" w:rsidP="00F65C3B">
      <w:pPr>
        <w:spacing w:line="360" w:lineRule="auto"/>
        <w:jc w:val="both"/>
        <w:rPr>
          <w:rFonts w:ascii="David" w:hAnsi="David"/>
          <w:rtl/>
        </w:rPr>
      </w:pPr>
    </w:p>
    <w:p w14:paraId="20F9FBAF" w14:textId="77777777" w:rsidR="00F65C3B" w:rsidRPr="000F2247" w:rsidRDefault="00E4571E" w:rsidP="00F65C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תשרי תשפ"ה, 15 אוקטובר 2024, במעמד הצדדים. </w:t>
      </w:r>
      <w:bookmarkEnd w:id="8"/>
      <w:r w:rsidR="00F65C3B">
        <w:rPr>
          <w:rFonts w:ascii="Arial" w:hAnsi="Arial"/>
          <w:b/>
          <w:bCs/>
          <w:sz w:val="26"/>
          <w:szCs w:val="26"/>
          <w:rtl/>
        </w:rPr>
        <w:tab/>
      </w:r>
      <w:r w:rsidR="00F65C3B">
        <w:rPr>
          <w:rFonts w:ascii="Arial" w:hAnsi="Arial"/>
          <w:b/>
          <w:bCs/>
          <w:sz w:val="26"/>
          <w:szCs w:val="26"/>
          <w:rtl/>
        </w:rPr>
        <w:tab/>
      </w:r>
      <w:r w:rsidR="00F65C3B">
        <w:rPr>
          <w:rFonts w:ascii="Arial" w:hAnsi="Arial"/>
          <w:b/>
          <w:bCs/>
          <w:sz w:val="26"/>
          <w:szCs w:val="26"/>
          <w:rtl/>
        </w:rPr>
        <w:tab/>
      </w:r>
      <w:r w:rsidR="00F65C3B">
        <w:rPr>
          <w:rFonts w:ascii="Arial" w:hAnsi="Arial"/>
          <w:b/>
          <w:bCs/>
          <w:sz w:val="26"/>
          <w:szCs w:val="26"/>
          <w:rtl/>
        </w:rPr>
        <w:tab/>
      </w:r>
      <w:r w:rsidR="00F65C3B">
        <w:rPr>
          <w:rFonts w:ascii="Arial" w:hAnsi="Arial"/>
          <w:b/>
          <w:bCs/>
          <w:sz w:val="26"/>
          <w:szCs w:val="26"/>
          <w:rtl/>
        </w:rPr>
        <w:tab/>
      </w:r>
      <w:r w:rsidR="00F65C3B">
        <w:rPr>
          <w:rFonts w:ascii="Arial" w:hAnsi="Arial"/>
          <w:b/>
          <w:bCs/>
          <w:sz w:val="26"/>
          <w:szCs w:val="26"/>
          <w:rtl/>
        </w:rPr>
        <w:tab/>
      </w:r>
      <w:r w:rsidR="00F65C3B">
        <w:rPr>
          <w:rFonts w:ascii="Arial" w:hAnsi="Arial"/>
          <w:b/>
          <w:bCs/>
          <w:sz w:val="26"/>
          <w:szCs w:val="26"/>
          <w:rtl/>
        </w:rPr>
        <w:tab/>
      </w:r>
      <w:r w:rsidR="00F65C3B">
        <w:rPr>
          <w:rFonts w:ascii="Arial" w:hAnsi="Arial" w:hint="cs"/>
          <w:b/>
          <w:bCs/>
          <w:sz w:val="26"/>
          <w:szCs w:val="26"/>
          <w:rtl/>
        </w:rPr>
        <w:t xml:space="preserve">         </w:t>
      </w:r>
    </w:p>
    <w:p w14:paraId="31392890" w14:textId="77777777" w:rsidR="00F65C3B" w:rsidRPr="000F2247" w:rsidRDefault="00F65C3B" w:rsidP="00E4571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8D5FACB" w14:textId="77777777" w:rsidR="00F65C3B" w:rsidRPr="000F2247" w:rsidRDefault="00F65C3B" w:rsidP="00F65C3B">
      <w:pPr>
        <w:jc w:val="center"/>
        <w:rPr>
          <w:rFonts w:ascii="Arial" w:hAnsi="Arial"/>
          <w:b/>
          <w:bCs/>
          <w:sz w:val="26"/>
          <w:szCs w:val="26"/>
          <w:rtl/>
        </w:rPr>
      </w:pPr>
    </w:p>
    <w:p w14:paraId="44033FD2" w14:textId="77777777" w:rsidR="00E03E64" w:rsidRPr="00E4571E" w:rsidRDefault="00E03E64" w:rsidP="00E4571E">
      <w:pPr>
        <w:keepNext/>
        <w:rPr>
          <w:rFonts w:ascii="David" w:hAnsi="David"/>
          <w:color w:val="000000"/>
          <w:sz w:val="22"/>
          <w:szCs w:val="22"/>
          <w:rtl/>
        </w:rPr>
      </w:pPr>
    </w:p>
    <w:p w14:paraId="4BB441B7" w14:textId="77777777" w:rsidR="00E4571E" w:rsidRPr="00E4571E" w:rsidRDefault="00E4571E" w:rsidP="00E4571E">
      <w:pPr>
        <w:keepNext/>
        <w:rPr>
          <w:rFonts w:ascii="David" w:hAnsi="David"/>
          <w:color w:val="000000"/>
          <w:sz w:val="22"/>
          <w:szCs w:val="22"/>
          <w:rtl/>
        </w:rPr>
      </w:pPr>
      <w:r w:rsidRPr="00E4571E">
        <w:rPr>
          <w:rFonts w:ascii="David" w:hAnsi="David"/>
          <w:color w:val="000000"/>
          <w:sz w:val="22"/>
          <w:szCs w:val="22"/>
          <w:rtl/>
        </w:rPr>
        <w:t>אלון גביזון 54678313</w:t>
      </w:r>
    </w:p>
    <w:p w14:paraId="5D49EEEF" w14:textId="77777777" w:rsidR="00E4571E" w:rsidRDefault="00E4571E" w:rsidP="00E4571E">
      <w:r w:rsidRPr="00E4571E">
        <w:rPr>
          <w:color w:val="000000"/>
          <w:rtl/>
        </w:rPr>
        <w:t>נוסח מסמך זה כפוף לשינויי ניסוח ועריכה</w:t>
      </w:r>
    </w:p>
    <w:p w14:paraId="78601E6A" w14:textId="77777777" w:rsidR="00E4571E" w:rsidRDefault="00E4571E" w:rsidP="00E4571E">
      <w:pPr>
        <w:rPr>
          <w:rtl/>
        </w:rPr>
      </w:pPr>
    </w:p>
    <w:p w14:paraId="1A7BAF50" w14:textId="77777777" w:rsidR="00E4571E" w:rsidRDefault="00E4571E" w:rsidP="00E4571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6014BA2" w14:textId="77777777" w:rsidR="00E4571E" w:rsidRPr="00E4571E" w:rsidRDefault="00E4571E" w:rsidP="00E4571E">
      <w:pPr>
        <w:jc w:val="center"/>
        <w:rPr>
          <w:color w:val="0000FF"/>
          <w:u w:val="single"/>
        </w:rPr>
      </w:pPr>
    </w:p>
    <w:sectPr w:rsidR="00E4571E" w:rsidRPr="00E4571E" w:rsidSect="00E4571E">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5D167" w14:textId="77777777" w:rsidR="00740F3E" w:rsidRDefault="00740F3E" w:rsidP="00FF5C91">
      <w:r>
        <w:separator/>
      </w:r>
    </w:p>
  </w:endnote>
  <w:endnote w:type="continuationSeparator" w:id="0">
    <w:p w14:paraId="4DFDA061" w14:textId="77777777" w:rsidR="00740F3E" w:rsidRDefault="00740F3E" w:rsidP="00FF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DA483" w14:textId="77777777" w:rsidR="00E4571E" w:rsidRDefault="00E4571E" w:rsidP="00E457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DD138D" w14:textId="77777777" w:rsidR="007D3900" w:rsidRPr="00E4571E" w:rsidRDefault="00E4571E" w:rsidP="00E457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CA03B" w14:textId="77777777" w:rsidR="00E4571E" w:rsidRDefault="00E4571E" w:rsidP="00E457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1F1A">
      <w:rPr>
        <w:rFonts w:ascii="FrankRuehl" w:hAnsi="FrankRuehl" w:cs="FrankRuehl"/>
        <w:noProof/>
        <w:rtl/>
      </w:rPr>
      <w:t>3</w:t>
    </w:r>
    <w:r>
      <w:rPr>
        <w:rFonts w:ascii="FrankRuehl" w:hAnsi="FrankRuehl" w:cs="FrankRuehl"/>
        <w:rtl/>
      </w:rPr>
      <w:fldChar w:fldCharType="end"/>
    </w:r>
  </w:p>
  <w:p w14:paraId="389BB3E7" w14:textId="77777777" w:rsidR="007D3900" w:rsidRPr="00E4571E" w:rsidRDefault="00E4571E" w:rsidP="00E457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8E3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A226B" w14:textId="77777777" w:rsidR="00740F3E" w:rsidRDefault="00740F3E" w:rsidP="00FF5C91">
      <w:r>
        <w:separator/>
      </w:r>
    </w:p>
  </w:footnote>
  <w:footnote w:type="continuationSeparator" w:id="0">
    <w:p w14:paraId="0BA3D438" w14:textId="77777777" w:rsidR="00740F3E" w:rsidRDefault="00740F3E" w:rsidP="00FF5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891A" w14:textId="77777777" w:rsidR="00E4571E" w:rsidRPr="00E4571E" w:rsidRDefault="00E4571E" w:rsidP="00E457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27179-12-23</w:t>
    </w:r>
    <w:r>
      <w:rPr>
        <w:rFonts w:ascii="David" w:hAnsi="David"/>
        <w:color w:val="000000"/>
        <w:sz w:val="22"/>
        <w:szCs w:val="22"/>
        <w:rtl/>
      </w:rPr>
      <w:tab/>
      <w:t xml:space="preserve"> מדינת ישראל נ' מואיד אבו גויעד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A992A" w14:textId="77777777" w:rsidR="00E4571E" w:rsidRPr="00E4571E" w:rsidRDefault="00E4571E" w:rsidP="00E457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27179-12-23</w:t>
    </w:r>
    <w:r>
      <w:rPr>
        <w:rFonts w:ascii="David" w:hAnsi="David"/>
        <w:color w:val="000000"/>
        <w:sz w:val="22"/>
        <w:szCs w:val="22"/>
        <w:rtl/>
      </w:rPr>
      <w:tab/>
      <w:t xml:space="preserve"> מדינת ישראל נ' מואיד אבו גויעד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16242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5C3B"/>
    <w:rsid w:val="00037BF3"/>
    <w:rsid w:val="002F1F1A"/>
    <w:rsid w:val="003B1387"/>
    <w:rsid w:val="00611203"/>
    <w:rsid w:val="00740F3E"/>
    <w:rsid w:val="007D3900"/>
    <w:rsid w:val="00A245DF"/>
    <w:rsid w:val="00C02AC3"/>
    <w:rsid w:val="00D17182"/>
    <w:rsid w:val="00E03E64"/>
    <w:rsid w:val="00E4571E"/>
    <w:rsid w:val="00E86585"/>
    <w:rsid w:val="00F31901"/>
    <w:rsid w:val="00F65C3B"/>
    <w:rsid w:val="00FB7017"/>
    <w:rsid w:val="00FF5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49A77C"/>
  <w15:chartTrackingRefBased/>
  <w15:docId w15:val="{22DE1478-0683-41B7-8BC9-49BE228E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5C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5C3B"/>
    <w:pPr>
      <w:tabs>
        <w:tab w:val="center" w:pos="4153"/>
        <w:tab w:val="right" w:pos="8306"/>
      </w:tabs>
    </w:pPr>
  </w:style>
  <w:style w:type="character" w:customStyle="1" w:styleId="a4">
    <w:name w:val="כותרת עליונה תו"/>
    <w:link w:val="a3"/>
    <w:rsid w:val="00F65C3B"/>
    <w:rPr>
      <w:rFonts w:ascii="Times New Roman" w:eastAsia="Times New Roman" w:hAnsi="Times New Roman" w:cs="David"/>
      <w:sz w:val="24"/>
      <w:szCs w:val="24"/>
    </w:rPr>
  </w:style>
  <w:style w:type="paragraph" w:styleId="a5">
    <w:name w:val="footer"/>
    <w:basedOn w:val="a"/>
    <w:link w:val="a6"/>
    <w:rsid w:val="00F65C3B"/>
    <w:pPr>
      <w:tabs>
        <w:tab w:val="center" w:pos="4153"/>
        <w:tab w:val="right" w:pos="8306"/>
      </w:tabs>
    </w:pPr>
  </w:style>
  <w:style w:type="character" w:customStyle="1" w:styleId="a6">
    <w:name w:val="כותרת תחתונה תו"/>
    <w:link w:val="a5"/>
    <w:rsid w:val="00F65C3B"/>
    <w:rPr>
      <w:rFonts w:ascii="Times New Roman" w:eastAsia="Times New Roman" w:hAnsi="Times New Roman" w:cs="David"/>
      <w:sz w:val="24"/>
      <w:szCs w:val="24"/>
    </w:rPr>
  </w:style>
  <w:style w:type="table" w:styleId="a7">
    <w:name w:val="Table Grid"/>
    <w:basedOn w:val="a1"/>
    <w:rsid w:val="00F65C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5C3B"/>
  </w:style>
  <w:style w:type="character" w:styleId="Hyperlink">
    <w:name w:val="Hyperlink"/>
    <w:rsid w:val="00F65C3B"/>
    <w:rPr>
      <w:color w:val="0000FF"/>
      <w:u w:val="single"/>
    </w:rPr>
  </w:style>
  <w:style w:type="character" w:customStyle="1" w:styleId="ListParagraphChar">
    <w:name w:val="List Paragraph Char"/>
    <w:link w:val="ListParagraph"/>
    <w:locked/>
    <w:rsid w:val="00F65C3B"/>
    <w:rPr>
      <w:rFonts w:ascii="Calibri" w:hAnsi="Calibri" w:cs="Calibri"/>
    </w:rPr>
  </w:style>
  <w:style w:type="paragraph" w:customStyle="1" w:styleId="ListParagraph">
    <w:name w:val="List Paragraph"/>
    <w:basedOn w:val="a"/>
    <w:link w:val="ListParagraphChar"/>
    <w:qFormat/>
    <w:rsid w:val="00F65C3B"/>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023213441"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4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footer" Target="footer2.xml"/><Relationship Id="rId10" Type="http://schemas.openxmlformats.org/officeDocument/2006/relationships/hyperlink" Target="http://www.nevo.co.il/law/70301/340a.a"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40a"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1264</Words>
  <Characters>6325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7574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86</vt:i4>
      </vt:variant>
      <vt:variant>
        <vt:i4>24</vt:i4>
      </vt:variant>
      <vt:variant>
        <vt:i4>0</vt:i4>
      </vt:variant>
      <vt:variant>
        <vt:i4>5</vt:i4>
      </vt:variant>
      <vt:variant>
        <vt:lpwstr>http://www.nevo.co.il/law/70301/340a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1507395</vt:i4>
      </vt:variant>
      <vt:variant>
        <vt:i4>18</vt:i4>
      </vt:variant>
      <vt:variant>
        <vt:i4>0</vt:i4>
      </vt:variant>
      <vt:variant>
        <vt:i4>5</vt:i4>
      </vt:variant>
      <vt:variant>
        <vt:lpwstr>http://www.nevo.co.il/case/ 23213441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86</vt:i4>
      </vt:variant>
      <vt:variant>
        <vt:i4>6</vt:i4>
      </vt:variant>
      <vt:variant>
        <vt:i4>0</vt:i4>
      </vt:variant>
      <vt:variant>
        <vt:i4>5</vt:i4>
      </vt:variant>
      <vt:variant>
        <vt:lpwstr>http://www.nevo.co.il/law/70301/340a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27179</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מואיד אבו גויעד</vt:lpwstr>
  </property>
  <property fmtid="{D5CDD505-2E9C-101B-9397-08002B2CF9AE}" pid="10" name="LAWYER">
    <vt:lpwstr>גיורא חזן;נועם אליגון</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20241015</vt:lpwstr>
  </property>
  <property fmtid="{D5CDD505-2E9C-101B-9397-08002B2CF9AE}" pid="14" name="TYPE_N_DATE">
    <vt:lpwstr>39020241015</vt:lpwstr>
  </property>
  <property fmtid="{D5CDD505-2E9C-101B-9397-08002B2CF9AE}" pid="15" name="WORDNUMPAGES">
    <vt:lpwstr>6</vt:lpwstr>
  </property>
  <property fmtid="{D5CDD505-2E9C-101B-9397-08002B2CF9AE}" pid="16" name="TYPE_ABS_DATE">
    <vt:lpwstr>390120241015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23213441</vt:lpwstr>
  </property>
  <property fmtid="{D5CDD505-2E9C-101B-9397-08002B2CF9AE}" pid="36" name="LAWLISTTMP1">
    <vt:lpwstr>70301/340a.a;340a;144</vt:lpwstr>
  </property>
  <property fmtid="{D5CDD505-2E9C-101B-9397-08002B2CF9AE}" pid="37" name="NOSE1ID">
    <vt:lpwstr>18;77</vt:lpwstr>
  </property>
  <property fmtid="{D5CDD505-2E9C-101B-9397-08002B2CF9AE}" pid="38" name="NOSE2ID">
    <vt:lpwstr>461;1446</vt:lpwstr>
  </property>
  <property fmtid="{D5CDD505-2E9C-101B-9397-08002B2CF9AE}" pid="39" name="NOSE3ID">
    <vt:lpwstr>3608;</vt:lpwstr>
  </property>
  <property fmtid="{D5CDD505-2E9C-101B-9397-08002B2CF9AE}" pid="40" name="NOSE11">
    <vt:lpwstr>דיון פלילי</vt:lpwstr>
  </property>
  <property fmtid="{D5CDD505-2E9C-101B-9397-08002B2CF9AE}" pid="41" name="NOSE21">
    <vt:lpwstr>הסדר טיעון</vt:lpwstr>
  </property>
  <property fmtid="{D5CDD505-2E9C-101B-9397-08002B2CF9AE}" pid="42" name="NOSE31">
    <vt:lpwstr>אישורו</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ירי מנשק חם</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20241028</vt:lpwstr>
  </property>
  <property fmtid="{D5CDD505-2E9C-101B-9397-08002B2CF9AE}" pid="71" name="METAKZER">
    <vt:lpwstr>מיכל</vt:lpwstr>
  </property>
</Properties>
</file>