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161CD5" w:rsidRPr="000A302F" w14:paraId="683E1FC4" w14:textId="77777777" w:rsidTr="00423152">
        <w:trPr>
          <w:trHeight w:hRule="exact" w:val="418"/>
          <w:jc w:val="center"/>
        </w:trPr>
        <w:tc>
          <w:tcPr>
            <w:tcW w:w="8721" w:type="dxa"/>
            <w:gridSpan w:val="2"/>
          </w:tcPr>
          <w:p w14:paraId="646094EC" w14:textId="77777777" w:rsidR="00161CD5" w:rsidRPr="000A302F" w:rsidRDefault="00161CD5" w:rsidP="0082011E">
            <w:pPr>
              <w:pStyle w:val="a3"/>
              <w:jc w:val="center"/>
              <w:rPr>
                <w:rFonts w:ascii="Tahoma" w:hAnsi="Tahoma" w:cs="Tahoma"/>
                <w:color w:val="000080"/>
                <w:rtl/>
              </w:rPr>
            </w:pPr>
            <w:bookmarkStart w:id="0" w:name="LastJudge"/>
            <w:r w:rsidRPr="000A302F">
              <w:rPr>
                <w:rFonts w:ascii="Tahoma" w:hAnsi="Tahoma" w:cs="Tahoma"/>
                <w:b/>
                <w:bCs/>
                <w:color w:val="000080"/>
                <w:rtl/>
              </w:rPr>
              <w:t>בית המשפט המחוזי בבאר שבע</w:t>
            </w:r>
          </w:p>
        </w:tc>
      </w:tr>
      <w:tr w:rsidR="00161CD5" w:rsidRPr="000A302F" w14:paraId="25015C30" w14:textId="77777777" w:rsidTr="00423152">
        <w:trPr>
          <w:trHeight w:val="337"/>
          <w:jc w:val="center"/>
        </w:trPr>
        <w:tc>
          <w:tcPr>
            <w:tcW w:w="5047" w:type="dxa"/>
          </w:tcPr>
          <w:p w14:paraId="3255809D" w14:textId="77777777" w:rsidR="00161CD5" w:rsidRPr="000A302F" w:rsidRDefault="00161CD5" w:rsidP="0082011E">
            <w:pPr>
              <w:rPr>
                <w:rFonts w:cs="FrankRuehl"/>
                <w:sz w:val="28"/>
                <w:szCs w:val="28"/>
                <w:rtl/>
              </w:rPr>
            </w:pPr>
            <w:r w:rsidRPr="000A302F">
              <w:rPr>
                <w:rtl/>
              </w:rPr>
              <w:t xml:space="preserve">     </w:t>
            </w:r>
          </w:p>
          <w:p w14:paraId="1533DBC8" w14:textId="77777777" w:rsidR="00161CD5" w:rsidRPr="000A302F" w:rsidRDefault="00161CD5" w:rsidP="0082011E">
            <w:pPr>
              <w:pStyle w:val="a3"/>
              <w:rPr>
                <w:rFonts w:cs="FrankRuehl"/>
                <w:sz w:val="28"/>
                <w:szCs w:val="28"/>
                <w:rtl/>
              </w:rPr>
            </w:pPr>
          </w:p>
        </w:tc>
        <w:tc>
          <w:tcPr>
            <w:tcW w:w="3674" w:type="dxa"/>
          </w:tcPr>
          <w:p w14:paraId="01834BD8" w14:textId="77777777" w:rsidR="00161CD5" w:rsidRPr="000A302F" w:rsidRDefault="00161CD5" w:rsidP="0082011E">
            <w:pPr>
              <w:pStyle w:val="a3"/>
              <w:jc w:val="right"/>
              <w:rPr>
                <w:rFonts w:cs="FrankRuehl"/>
                <w:sz w:val="28"/>
                <w:szCs w:val="28"/>
                <w:rtl/>
              </w:rPr>
            </w:pPr>
          </w:p>
        </w:tc>
      </w:tr>
      <w:tr w:rsidR="00161CD5" w:rsidRPr="000A302F" w14:paraId="26B0E1C5" w14:textId="77777777" w:rsidTr="00423152">
        <w:trPr>
          <w:trHeight w:val="337"/>
          <w:jc w:val="center"/>
        </w:trPr>
        <w:tc>
          <w:tcPr>
            <w:tcW w:w="5047" w:type="dxa"/>
          </w:tcPr>
          <w:p w14:paraId="403A5230" w14:textId="77777777" w:rsidR="00161CD5" w:rsidRPr="000A302F" w:rsidRDefault="00161CD5" w:rsidP="0082011E">
            <w:pPr>
              <w:rPr>
                <w:rFonts w:ascii="David" w:hAnsi="David"/>
                <w:b/>
                <w:bCs/>
                <w:rtl/>
              </w:rPr>
            </w:pPr>
            <w:r w:rsidRPr="000A302F">
              <w:rPr>
                <w:rFonts w:ascii="David" w:hAnsi="David"/>
                <w:b/>
                <w:bCs/>
                <w:rtl/>
              </w:rPr>
              <w:t>לפני כב' השופט יובל ליבדרו</w:t>
            </w:r>
          </w:p>
          <w:p w14:paraId="186FDBFC" w14:textId="77777777" w:rsidR="00161CD5" w:rsidRPr="000A302F" w:rsidRDefault="00161CD5" w:rsidP="0082011E">
            <w:pPr>
              <w:rPr>
                <w:rFonts w:ascii="David" w:hAnsi="David"/>
                <w:b/>
                <w:bCs/>
                <w:rtl/>
              </w:rPr>
            </w:pPr>
          </w:p>
        </w:tc>
        <w:tc>
          <w:tcPr>
            <w:tcW w:w="3674" w:type="dxa"/>
          </w:tcPr>
          <w:p w14:paraId="16571AEE" w14:textId="77777777" w:rsidR="00161CD5" w:rsidRPr="000A302F" w:rsidRDefault="00161CD5" w:rsidP="0082011E">
            <w:pPr>
              <w:pStyle w:val="a3"/>
              <w:jc w:val="right"/>
              <w:rPr>
                <w:rFonts w:ascii="David" w:hAnsi="David"/>
                <w:b/>
                <w:bCs/>
                <w:rtl/>
              </w:rPr>
            </w:pPr>
            <w:r w:rsidRPr="000A302F">
              <w:rPr>
                <w:rFonts w:ascii="David" w:hAnsi="David"/>
                <w:b/>
                <w:bCs/>
                <w:rtl/>
              </w:rPr>
              <w:t>ת"פ 33791-12-23</w:t>
            </w:r>
          </w:p>
        </w:tc>
      </w:tr>
    </w:tbl>
    <w:p w14:paraId="6AD21D14" w14:textId="77777777" w:rsidR="00161CD5" w:rsidRPr="000A302F" w:rsidRDefault="00161CD5" w:rsidP="00423152">
      <w:pPr>
        <w:pStyle w:val="a3"/>
        <w:rPr>
          <w:rFonts w:ascii="Arial" w:hAnsi="Arial"/>
          <w:sz w:val="26"/>
          <w:szCs w:val="26"/>
          <w:rtl/>
        </w:rPr>
      </w:pPr>
      <w:r w:rsidRPr="000A302F">
        <w:rPr>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161CD5" w:rsidRPr="000A302F" w14:paraId="30C2FB73" w14:textId="77777777" w:rsidTr="00161CD5">
        <w:trPr>
          <w:trHeight w:val="355"/>
          <w:jc w:val="center"/>
        </w:trPr>
        <w:tc>
          <w:tcPr>
            <w:tcW w:w="923" w:type="dxa"/>
            <w:tcBorders>
              <w:top w:val="nil"/>
              <w:left w:val="nil"/>
              <w:bottom w:val="nil"/>
              <w:right w:val="nil"/>
            </w:tcBorders>
            <w:shd w:val="clear" w:color="auto" w:fill="auto"/>
          </w:tcPr>
          <w:p w14:paraId="19B2724B" w14:textId="77777777" w:rsidR="00161CD5" w:rsidRPr="000A302F" w:rsidRDefault="00161CD5" w:rsidP="00161CD5">
            <w:pPr>
              <w:bidi w:val="0"/>
              <w:rPr>
                <w:rFonts w:ascii="David" w:hAnsi="David"/>
                <w:sz w:val="26"/>
                <w:szCs w:val="26"/>
                <w:rtl/>
              </w:rPr>
            </w:pPr>
            <w:bookmarkStart w:id="1" w:name="FirstAppellant"/>
            <w:bookmarkStart w:id="2" w:name="FirstLawyer"/>
          </w:p>
        </w:tc>
        <w:tc>
          <w:tcPr>
            <w:tcW w:w="3219" w:type="dxa"/>
            <w:tcBorders>
              <w:top w:val="nil"/>
              <w:left w:val="nil"/>
              <w:bottom w:val="nil"/>
              <w:right w:val="nil"/>
            </w:tcBorders>
            <w:shd w:val="clear" w:color="auto" w:fill="auto"/>
          </w:tcPr>
          <w:p w14:paraId="6DD75B9E" w14:textId="77777777" w:rsidR="00161CD5" w:rsidRPr="000A302F" w:rsidRDefault="00161CD5" w:rsidP="00161CD5">
            <w:pPr>
              <w:suppressLineNumbers/>
            </w:pPr>
            <w:r w:rsidRPr="000A302F">
              <w:rPr>
                <w:rFonts w:ascii="Arial" w:hAnsi="Arial" w:hint="cs"/>
                <w:b/>
                <w:bCs/>
                <w:sz w:val="26"/>
                <w:szCs w:val="26"/>
                <w:rtl/>
              </w:rPr>
              <w:t>ה</w:t>
            </w:r>
            <w:r w:rsidRPr="000A302F">
              <w:rPr>
                <w:rFonts w:ascii="Arial" w:hAnsi="Arial"/>
                <w:b/>
                <w:bCs/>
                <w:sz w:val="26"/>
                <w:szCs w:val="26"/>
                <w:rtl/>
              </w:rPr>
              <w:t>מאשימה</w:t>
            </w:r>
          </w:p>
          <w:p w14:paraId="79E2BB53" w14:textId="77777777" w:rsidR="00161CD5" w:rsidRPr="000A302F" w:rsidRDefault="00161CD5" w:rsidP="0082011E">
            <w:pPr>
              <w:rPr>
                <w:rFonts w:ascii="David" w:hAnsi="David"/>
                <w:sz w:val="26"/>
                <w:szCs w:val="26"/>
              </w:rPr>
            </w:pPr>
          </w:p>
        </w:tc>
        <w:tc>
          <w:tcPr>
            <w:tcW w:w="4678" w:type="dxa"/>
            <w:tcBorders>
              <w:top w:val="nil"/>
              <w:left w:val="nil"/>
              <w:bottom w:val="nil"/>
              <w:right w:val="nil"/>
            </w:tcBorders>
            <w:shd w:val="clear" w:color="auto" w:fill="auto"/>
            <w:vAlign w:val="center"/>
          </w:tcPr>
          <w:p w14:paraId="0A3953F8" w14:textId="77777777" w:rsidR="00161CD5" w:rsidRPr="000A302F" w:rsidRDefault="00161CD5" w:rsidP="00161CD5">
            <w:pPr>
              <w:suppressLineNumbers/>
              <w:rPr>
                <w:rFonts w:ascii="Arial" w:hAnsi="Arial"/>
                <w:b/>
                <w:bCs/>
                <w:sz w:val="26"/>
                <w:szCs w:val="26"/>
                <w:rtl/>
              </w:rPr>
            </w:pPr>
            <w:r w:rsidRPr="000A302F">
              <w:rPr>
                <w:rFonts w:ascii="Arial" w:hAnsi="Arial"/>
                <w:b/>
                <w:bCs/>
                <w:sz w:val="26"/>
                <w:szCs w:val="26"/>
                <w:rtl/>
              </w:rPr>
              <w:t>מדינת ישראל</w:t>
            </w:r>
            <w:r w:rsidRPr="000A302F">
              <w:rPr>
                <w:rFonts w:ascii="Arial" w:hAnsi="Arial" w:hint="cs"/>
                <w:b/>
                <w:bCs/>
                <w:sz w:val="26"/>
                <w:szCs w:val="26"/>
                <w:rtl/>
              </w:rPr>
              <w:t xml:space="preserve"> </w:t>
            </w:r>
          </w:p>
          <w:p w14:paraId="54570B76" w14:textId="77777777" w:rsidR="00161CD5" w:rsidRPr="000A302F" w:rsidRDefault="00161CD5" w:rsidP="00161CD5">
            <w:pPr>
              <w:suppressLineNumbers/>
            </w:pPr>
            <w:r w:rsidRPr="000A302F">
              <w:rPr>
                <w:rFonts w:ascii="Arial" w:hAnsi="Arial"/>
                <w:b/>
                <w:bCs/>
                <w:sz w:val="26"/>
                <w:szCs w:val="26"/>
                <w:rtl/>
              </w:rPr>
              <w:t>ע"י ב"כ עו"ד</w:t>
            </w:r>
            <w:r w:rsidRPr="000A302F">
              <w:rPr>
                <w:rFonts w:hint="cs"/>
                <w:rtl/>
              </w:rPr>
              <w:t xml:space="preserve"> </w:t>
            </w:r>
            <w:r w:rsidRPr="000A302F">
              <w:rPr>
                <w:rFonts w:hint="cs"/>
                <w:b/>
                <w:bCs/>
                <w:sz w:val="26"/>
                <w:szCs w:val="26"/>
                <w:rtl/>
              </w:rPr>
              <w:t>חנה מוצ'ה</w:t>
            </w:r>
          </w:p>
          <w:p w14:paraId="2A5F9AD1" w14:textId="77777777" w:rsidR="00161CD5" w:rsidRPr="000A302F" w:rsidRDefault="00161CD5" w:rsidP="0082011E">
            <w:pPr>
              <w:rPr>
                <w:rFonts w:ascii="David" w:hAnsi="David"/>
                <w:sz w:val="26"/>
                <w:szCs w:val="26"/>
              </w:rPr>
            </w:pPr>
          </w:p>
        </w:tc>
      </w:tr>
      <w:bookmarkEnd w:id="1"/>
      <w:bookmarkEnd w:id="2"/>
      <w:tr w:rsidR="00161CD5" w:rsidRPr="000A302F" w14:paraId="4424800D" w14:textId="77777777" w:rsidTr="00161CD5">
        <w:trPr>
          <w:trHeight w:val="355"/>
          <w:jc w:val="center"/>
        </w:trPr>
        <w:tc>
          <w:tcPr>
            <w:tcW w:w="923" w:type="dxa"/>
            <w:tcBorders>
              <w:top w:val="nil"/>
              <w:left w:val="nil"/>
              <w:bottom w:val="nil"/>
              <w:right w:val="nil"/>
            </w:tcBorders>
            <w:shd w:val="clear" w:color="auto" w:fill="auto"/>
          </w:tcPr>
          <w:p w14:paraId="4335351B" w14:textId="77777777" w:rsidR="00161CD5" w:rsidRPr="000A302F" w:rsidRDefault="00161CD5" w:rsidP="00161CD5">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6B432DD7" w14:textId="77777777" w:rsidR="00161CD5" w:rsidRPr="000A302F" w:rsidRDefault="00161CD5" w:rsidP="00161CD5">
            <w:pPr>
              <w:jc w:val="center"/>
              <w:rPr>
                <w:rFonts w:ascii="David" w:hAnsi="David"/>
                <w:b/>
                <w:bCs/>
                <w:sz w:val="26"/>
                <w:szCs w:val="26"/>
                <w:rtl/>
              </w:rPr>
            </w:pPr>
          </w:p>
          <w:p w14:paraId="0B427391" w14:textId="77777777" w:rsidR="00161CD5" w:rsidRPr="000A302F" w:rsidRDefault="00161CD5" w:rsidP="00161CD5">
            <w:pPr>
              <w:jc w:val="center"/>
              <w:rPr>
                <w:rFonts w:ascii="David" w:hAnsi="David"/>
                <w:b/>
                <w:bCs/>
                <w:sz w:val="26"/>
                <w:szCs w:val="26"/>
                <w:rtl/>
              </w:rPr>
            </w:pPr>
            <w:r w:rsidRPr="000A302F">
              <w:rPr>
                <w:rFonts w:ascii="David" w:hAnsi="David"/>
                <w:b/>
                <w:bCs/>
                <w:sz w:val="26"/>
                <w:szCs w:val="26"/>
                <w:rtl/>
              </w:rPr>
              <w:t>נגד</w:t>
            </w:r>
          </w:p>
          <w:p w14:paraId="0F5828DE" w14:textId="77777777" w:rsidR="00161CD5" w:rsidRPr="000A302F" w:rsidRDefault="00161CD5" w:rsidP="00161CD5">
            <w:pPr>
              <w:jc w:val="both"/>
              <w:rPr>
                <w:rFonts w:ascii="David" w:hAnsi="David"/>
                <w:sz w:val="26"/>
                <w:szCs w:val="26"/>
              </w:rPr>
            </w:pPr>
          </w:p>
        </w:tc>
      </w:tr>
      <w:tr w:rsidR="00161CD5" w:rsidRPr="000A302F" w14:paraId="2E97CFB9" w14:textId="77777777" w:rsidTr="00161CD5">
        <w:trPr>
          <w:trHeight w:val="355"/>
          <w:jc w:val="center"/>
        </w:trPr>
        <w:tc>
          <w:tcPr>
            <w:tcW w:w="923" w:type="dxa"/>
            <w:tcBorders>
              <w:top w:val="nil"/>
              <w:left w:val="nil"/>
              <w:bottom w:val="nil"/>
              <w:right w:val="nil"/>
            </w:tcBorders>
            <w:shd w:val="clear" w:color="auto" w:fill="auto"/>
          </w:tcPr>
          <w:p w14:paraId="47513D6D" w14:textId="77777777" w:rsidR="00161CD5" w:rsidRPr="000A302F" w:rsidRDefault="00161CD5" w:rsidP="0082011E">
            <w:pPr>
              <w:rPr>
                <w:rFonts w:ascii="David" w:hAnsi="David"/>
                <w:sz w:val="26"/>
                <w:szCs w:val="26"/>
                <w:rtl/>
              </w:rPr>
            </w:pPr>
          </w:p>
        </w:tc>
        <w:tc>
          <w:tcPr>
            <w:tcW w:w="3219" w:type="dxa"/>
            <w:tcBorders>
              <w:top w:val="nil"/>
              <w:left w:val="nil"/>
              <w:bottom w:val="nil"/>
              <w:right w:val="nil"/>
            </w:tcBorders>
            <w:shd w:val="clear" w:color="auto" w:fill="auto"/>
          </w:tcPr>
          <w:p w14:paraId="12AE5C1C" w14:textId="77777777" w:rsidR="00161CD5" w:rsidRPr="000A302F" w:rsidRDefault="00161CD5" w:rsidP="0082011E">
            <w:pPr>
              <w:rPr>
                <w:rFonts w:ascii="Arial" w:hAnsi="Arial"/>
                <w:b/>
                <w:bCs/>
                <w:sz w:val="26"/>
                <w:szCs w:val="26"/>
                <w:rtl/>
              </w:rPr>
            </w:pPr>
            <w:r w:rsidRPr="000A302F">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46106C06" w14:textId="77777777" w:rsidR="00161CD5" w:rsidRPr="000A302F" w:rsidRDefault="00161CD5" w:rsidP="00161CD5">
            <w:pPr>
              <w:suppressLineNumbers/>
            </w:pPr>
            <w:r w:rsidRPr="000A302F">
              <w:rPr>
                <w:rFonts w:ascii="Arial" w:hAnsi="Arial"/>
                <w:b/>
                <w:bCs/>
                <w:sz w:val="26"/>
                <w:szCs w:val="26"/>
                <w:rtl/>
              </w:rPr>
              <w:t xml:space="preserve">איברהים אבו סולב – בליווי </w:t>
            </w:r>
            <w:r w:rsidRPr="000A302F">
              <w:rPr>
                <w:rFonts w:ascii="Arial" w:hAnsi="Arial" w:hint="cs"/>
                <w:b/>
                <w:bCs/>
                <w:sz w:val="26"/>
                <w:szCs w:val="26"/>
                <w:rtl/>
              </w:rPr>
              <w:t xml:space="preserve">שב"ס </w:t>
            </w:r>
            <w:r w:rsidRPr="000A302F">
              <w:rPr>
                <w:rFonts w:ascii="Arial" w:hAnsi="Arial"/>
                <w:b/>
                <w:bCs/>
                <w:sz w:val="26"/>
                <w:szCs w:val="26"/>
                <w:rtl/>
              </w:rPr>
              <w:br/>
              <w:t>ע"י ב"כ עו"ד</w:t>
            </w:r>
            <w:r w:rsidRPr="000A302F">
              <w:rPr>
                <w:rFonts w:hint="cs"/>
                <w:b/>
                <w:bCs/>
                <w:sz w:val="26"/>
                <w:szCs w:val="26"/>
                <w:rtl/>
              </w:rPr>
              <w:t xml:space="preserve"> תאמר אסדי</w:t>
            </w:r>
          </w:p>
          <w:p w14:paraId="7F0CF173" w14:textId="77777777" w:rsidR="00161CD5" w:rsidRPr="000A302F" w:rsidRDefault="00161CD5" w:rsidP="0082011E">
            <w:pPr>
              <w:rPr>
                <w:rFonts w:ascii="David" w:hAnsi="David"/>
                <w:sz w:val="26"/>
                <w:szCs w:val="26"/>
              </w:rPr>
            </w:pPr>
          </w:p>
        </w:tc>
      </w:tr>
    </w:tbl>
    <w:p w14:paraId="1108CB4B" w14:textId="77777777" w:rsidR="00423152" w:rsidRPr="00423152" w:rsidRDefault="00423152" w:rsidP="00423152">
      <w:pPr>
        <w:spacing w:before="120" w:after="120" w:line="240" w:lineRule="exact"/>
        <w:ind w:left="283" w:hanging="283"/>
        <w:jc w:val="both"/>
        <w:rPr>
          <w:rFonts w:ascii="FrankRuehl" w:hAnsi="FrankRuehl" w:cs="FrankRuehl"/>
          <w:color w:val="0000FF"/>
          <w:rtl/>
        </w:rPr>
      </w:pPr>
    </w:p>
    <w:p w14:paraId="196BC2FB" w14:textId="77777777" w:rsidR="006C5313" w:rsidRPr="006C5313" w:rsidRDefault="006C5313" w:rsidP="006C5313">
      <w:pPr>
        <w:spacing w:before="120" w:after="120" w:line="240" w:lineRule="exact"/>
        <w:ind w:left="283" w:hanging="283"/>
        <w:jc w:val="both"/>
        <w:rPr>
          <w:rFonts w:ascii="FrankRuehl" w:hAnsi="FrankRuehl" w:cs="FrankRuehl"/>
          <w:rtl/>
        </w:rPr>
      </w:pPr>
      <w:bookmarkStart w:id="3" w:name="LawTable"/>
      <w:bookmarkEnd w:id="3"/>
    </w:p>
    <w:p w14:paraId="5623DCA4" w14:textId="77777777" w:rsidR="006C5313" w:rsidRPr="006C5313" w:rsidRDefault="006C5313" w:rsidP="006C5313">
      <w:pPr>
        <w:spacing w:before="120" w:after="120" w:line="240" w:lineRule="exact"/>
        <w:ind w:left="283" w:hanging="283"/>
        <w:jc w:val="both"/>
        <w:rPr>
          <w:rFonts w:ascii="FrankRuehl" w:hAnsi="FrankRuehl" w:cs="FrankRuehl"/>
          <w:rtl/>
        </w:rPr>
      </w:pPr>
      <w:r w:rsidRPr="006C5313">
        <w:rPr>
          <w:rFonts w:ascii="FrankRuehl" w:hAnsi="FrankRuehl" w:cs="FrankRuehl"/>
          <w:rtl/>
        </w:rPr>
        <w:t xml:space="preserve">חקיקה שאוזכרה: </w:t>
      </w:r>
    </w:p>
    <w:p w14:paraId="38D46807" w14:textId="77777777" w:rsidR="006C5313" w:rsidRPr="006C5313" w:rsidRDefault="006C5313" w:rsidP="006C5313">
      <w:pPr>
        <w:spacing w:before="120" w:after="120" w:line="240" w:lineRule="exact"/>
        <w:ind w:left="283" w:hanging="283"/>
        <w:jc w:val="both"/>
        <w:rPr>
          <w:rFonts w:ascii="FrankRuehl" w:hAnsi="FrankRuehl" w:cs="FrankRuehl"/>
          <w:color w:val="0000FF"/>
          <w:rtl/>
        </w:rPr>
      </w:pPr>
      <w:hyperlink r:id="rId6" w:history="1">
        <w:r w:rsidRPr="006C5313">
          <w:rPr>
            <w:rStyle w:val="Hyperlink"/>
            <w:rFonts w:ascii="FrankRuehl" w:hAnsi="FrankRuehl" w:cs="FrankRuehl"/>
            <w:u w:val="none"/>
            <w:rtl/>
          </w:rPr>
          <w:t>חוק העונשין, תשל"ז-1977</w:t>
        </w:r>
      </w:hyperlink>
      <w:r w:rsidRPr="006C5313">
        <w:rPr>
          <w:rFonts w:ascii="FrankRuehl" w:hAnsi="FrankRuehl" w:cs="FrankRuehl"/>
          <w:color w:val="0000FF"/>
          <w:rtl/>
        </w:rPr>
        <w:t xml:space="preserve">: סע'  </w:t>
      </w:r>
      <w:hyperlink r:id="rId7" w:history="1">
        <w:r w:rsidRPr="006C5313">
          <w:rPr>
            <w:rStyle w:val="Hyperlink"/>
            <w:rFonts w:ascii="FrankRuehl" w:hAnsi="FrankRuehl" w:cs="FrankRuehl"/>
            <w:u w:val="none"/>
          </w:rPr>
          <w:t>144</w:t>
        </w:r>
      </w:hyperlink>
      <w:r w:rsidRPr="006C5313">
        <w:rPr>
          <w:rFonts w:ascii="FrankRuehl" w:hAnsi="FrankRuehl" w:cs="FrankRuehl"/>
          <w:color w:val="0000FF"/>
          <w:rtl/>
        </w:rPr>
        <w:t xml:space="preserve">(ב), </w:t>
      </w:r>
      <w:hyperlink r:id="rId8" w:history="1">
        <w:r w:rsidRPr="006C5313">
          <w:rPr>
            <w:rStyle w:val="Hyperlink"/>
            <w:rFonts w:ascii="FrankRuehl" w:hAnsi="FrankRuehl" w:cs="FrankRuehl"/>
            <w:u w:val="none"/>
          </w:rPr>
          <w:t>340</w:t>
        </w:r>
        <w:r w:rsidRPr="006C5313">
          <w:rPr>
            <w:rStyle w:val="Hyperlink"/>
            <w:rFonts w:ascii="FrankRuehl" w:hAnsi="FrankRuehl" w:cs="FrankRuehl"/>
            <w:u w:val="none"/>
            <w:rtl/>
          </w:rPr>
          <w:t>א</w:t>
        </w:r>
      </w:hyperlink>
      <w:r w:rsidRPr="006C5313">
        <w:rPr>
          <w:rFonts w:ascii="FrankRuehl" w:hAnsi="FrankRuehl" w:cs="FrankRuehl"/>
          <w:color w:val="0000FF"/>
          <w:rtl/>
        </w:rPr>
        <w:t xml:space="preserve">(ב)(1), </w:t>
      </w:r>
      <w:hyperlink r:id="rId9" w:history="1">
        <w:r w:rsidRPr="006C5313">
          <w:rPr>
            <w:rStyle w:val="Hyperlink"/>
            <w:rFonts w:ascii="FrankRuehl" w:hAnsi="FrankRuehl" w:cs="FrankRuehl"/>
            <w:u w:val="none"/>
          </w:rPr>
          <w:t>2</w:t>
        </w:r>
      </w:hyperlink>
      <w:r w:rsidRPr="006C5313">
        <w:rPr>
          <w:rFonts w:ascii="FrankRuehl" w:hAnsi="FrankRuehl" w:cs="FrankRuehl"/>
          <w:color w:val="0000FF"/>
          <w:rtl/>
        </w:rPr>
        <w:t xml:space="preserve">, </w:t>
      </w:r>
      <w:hyperlink r:id="rId10" w:history="1">
        <w:r w:rsidRPr="006C5313">
          <w:rPr>
            <w:rStyle w:val="Hyperlink"/>
            <w:rFonts w:ascii="FrankRuehl" w:hAnsi="FrankRuehl" w:cs="FrankRuehl"/>
            <w:u w:val="none"/>
          </w:rPr>
          <w:t>402</w:t>
        </w:r>
      </w:hyperlink>
      <w:r w:rsidRPr="006C5313">
        <w:rPr>
          <w:rFonts w:ascii="FrankRuehl" w:hAnsi="FrankRuehl" w:cs="FrankRuehl"/>
          <w:color w:val="0000FF"/>
          <w:rtl/>
        </w:rPr>
        <w:t xml:space="preserve">, </w:t>
      </w:r>
      <w:hyperlink r:id="rId11" w:history="1">
        <w:r w:rsidRPr="006C5313">
          <w:rPr>
            <w:rStyle w:val="Hyperlink"/>
            <w:rFonts w:ascii="FrankRuehl" w:hAnsi="FrankRuehl" w:cs="FrankRuehl"/>
            <w:u w:val="none"/>
          </w:rPr>
          <w:t>402</w:t>
        </w:r>
      </w:hyperlink>
      <w:r w:rsidRPr="006C5313">
        <w:rPr>
          <w:rFonts w:ascii="FrankRuehl" w:hAnsi="FrankRuehl" w:cs="FrankRuehl"/>
          <w:color w:val="0000FF"/>
          <w:rtl/>
        </w:rPr>
        <w:t>(ב)</w:t>
      </w:r>
    </w:p>
    <w:p w14:paraId="47A7B653" w14:textId="77777777" w:rsidR="000A302F" w:rsidRPr="006C5313" w:rsidRDefault="000A302F" w:rsidP="006C5313">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61CD5" w:rsidRPr="003D634B" w14:paraId="6D0F6901" w14:textId="77777777" w:rsidTr="00161CD5">
        <w:trPr>
          <w:trHeight w:val="355"/>
          <w:jc w:val="center"/>
        </w:trPr>
        <w:tc>
          <w:tcPr>
            <w:tcW w:w="8820" w:type="dxa"/>
            <w:tcBorders>
              <w:top w:val="nil"/>
              <w:left w:val="nil"/>
              <w:bottom w:val="nil"/>
              <w:right w:val="nil"/>
            </w:tcBorders>
            <w:shd w:val="clear" w:color="auto" w:fill="auto"/>
          </w:tcPr>
          <w:p w14:paraId="080A6992" w14:textId="77777777" w:rsidR="000A302F" w:rsidRPr="000A302F" w:rsidRDefault="000A302F" w:rsidP="000A302F">
            <w:pPr>
              <w:jc w:val="center"/>
              <w:rPr>
                <w:rFonts w:ascii="David" w:hAnsi="David"/>
                <w:b/>
                <w:bCs/>
                <w:sz w:val="32"/>
                <w:szCs w:val="32"/>
                <w:rtl/>
              </w:rPr>
            </w:pPr>
            <w:bookmarkStart w:id="5" w:name="PsakDin" w:colFirst="0" w:colLast="0"/>
            <w:bookmarkEnd w:id="0"/>
            <w:r w:rsidRPr="000A302F">
              <w:rPr>
                <w:rFonts w:ascii="David" w:hAnsi="David"/>
                <w:b/>
                <w:bCs/>
                <w:sz w:val="32"/>
                <w:szCs w:val="32"/>
                <w:rtl/>
              </w:rPr>
              <w:t>גזר דין</w:t>
            </w:r>
          </w:p>
          <w:p w14:paraId="1280AA3C" w14:textId="77777777" w:rsidR="00161CD5" w:rsidRPr="000A302F" w:rsidRDefault="00161CD5" w:rsidP="000A302F">
            <w:pPr>
              <w:jc w:val="center"/>
              <w:rPr>
                <w:rFonts w:ascii="David" w:hAnsi="David"/>
                <w:bCs/>
                <w:sz w:val="32"/>
                <w:szCs w:val="32"/>
                <w:rtl/>
              </w:rPr>
            </w:pPr>
          </w:p>
        </w:tc>
      </w:tr>
      <w:bookmarkEnd w:id="5"/>
    </w:tbl>
    <w:p w14:paraId="033C47D3" w14:textId="77777777" w:rsidR="00161CD5" w:rsidRPr="000F2247" w:rsidRDefault="00161CD5" w:rsidP="00161CD5">
      <w:pPr>
        <w:spacing w:line="360" w:lineRule="auto"/>
        <w:rPr>
          <w:rFonts w:ascii="Arial" w:hAnsi="Arial"/>
          <w:b/>
          <w:bCs/>
          <w:sz w:val="26"/>
          <w:szCs w:val="26"/>
          <w:rtl/>
        </w:rPr>
      </w:pPr>
    </w:p>
    <w:p w14:paraId="3A9C11E4" w14:textId="77777777" w:rsidR="00161CD5" w:rsidRPr="00AD4E3E" w:rsidRDefault="00161CD5" w:rsidP="00161CD5">
      <w:pPr>
        <w:spacing w:line="360" w:lineRule="auto"/>
        <w:ind w:hanging="567"/>
        <w:rPr>
          <w:rFonts w:ascii="Arial" w:hAnsi="Arial"/>
          <w:b/>
          <w:bCs/>
          <w:sz w:val="26"/>
          <w:szCs w:val="26"/>
          <w:u w:val="single"/>
          <w:rtl/>
        </w:rPr>
      </w:pPr>
      <w:r>
        <w:rPr>
          <w:rFonts w:ascii="Arial" w:hAnsi="Arial"/>
          <w:sz w:val="26"/>
          <w:szCs w:val="26"/>
          <w:rtl/>
        </w:rPr>
        <w:tab/>
      </w:r>
      <w:r w:rsidRPr="00AD4E3E">
        <w:rPr>
          <w:rFonts w:ascii="Arial" w:hAnsi="Arial" w:hint="cs"/>
          <w:b/>
          <w:bCs/>
          <w:sz w:val="26"/>
          <w:szCs w:val="26"/>
          <w:u w:val="single"/>
          <w:rtl/>
        </w:rPr>
        <w:t>מבוא</w:t>
      </w:r>
      <w:r w:rsidRPr="00AD4E3E">
        <w:rPr>
          <w:rFonts w:ascii="Arial" w:hAnsi="Arial" w:hint="cs"/>
          <w:b/>
          <w:bCs/>
          <w:sz w:val="26"/>
          <w:szCs w:val="26"/>
          <w:rtl/>
        </w:rPr>
        <w:tab/>
      </w:r>
    </w:p>
    <w:p w14:paraId="10672011" w14:textId="77777777" w:rsidR="00161CD5" w:rsidRDefault="00161CD5" w:rsidP="00161CD5">
      <w:pPr>
        <w:spacing w:line="360" w:lineRule="auto"/>
        <w:ind w:hanging="567"/>
        <w:jc w:val="both"/>
        <w:rPr>
          <w:rtl/>
        </w:rPr>
      </w:pPr>
      <w:r w:rsidRPr="00AD4E3E">
        <w:rPr>
          <w:rFonts w:ascii="Arial" w:hAnsi="Arial" w:hint="cs"/>
          <w:rtl/>
        </w:rPr>
        <w:t>1.</w:t>
      </w:r>
      <w:r>
        <w:rPr>
          <w:rFonts w:ascii="Arial" w:hAnsi="Arial"/>
          <w:rtl/>
        </w:rPr>
        <w:tab/>
      </w:r>
      <w:bookmarkStart w:id="6" w:name="ABSTRACT_START"/>
      <w:bookmarkEnd w:id="6"/>
      <w:r>
        <w:rPr>
          <w:rFonts w:hint="cs"/>
          <w:rtl/>
        </w:rPr>
        <w:t xml:space="preserve">הנאשם הורשע על-פי הודאתו במסגרת הסדר טיעון בכתב אישום מתוקן בשנית (להלן: "כתב האישום") בביצוע עבירות של שוד בנסיבות מחמירות, עבירות נשק (הובלה ונשיאת נשק) וירי מנשק חם, עבירות לפי </w:t>
      </w:r>
      <w:hyperlink r:id="rId12" w:history="1">
        <w:r w:rsidR="00423152" w:rsidRPr="00423152">
          <w:rPr>
            <w:rStyle w:val="Hyperlink"/>
            <w:rFonts w:hint="eastAsia"/>
            <w:color w:val="0000FF"/>
            <w:rtl/>
          </w:rPr>
          <w:t>סעיפים</w:t>
        </w:r>
        <w:r w:rsidR="00423152" w:rsidRPr="00423152">
          <w:rPr>
            <w:rStyle w:val="Hyperlink"/>
            <w:color w:val="0000FF"/>
            <w:rtl/>
          </w:rPr>
          <w:t xml:space="preserve"> 402(ב)</w:t>
        </w:r>
      </w:hyperlink>
      <w:r>
        <w:rPr>
          <w:rFonts w:hint="cs"/>
          <w:rtl/>
        </w:rPr>
        <w:t xml:space="preserve">, </w:t>
      </w:r>
      <w:hyperlink r:id="rId13" w:history="1">
        <w:r w:rsidR="00423152" w:rsidRPr="00423152">
          <w:rPr>
            <w:rStyle w:val="Hyperlink"/>
            <w:color w:val="0000FF"/>
            <w:rtl/>
          </w:rPr>
          <w:t>144(ב)</w:t>
        </w:r>
      </w:hyperlink>
      <w:r>
        <w:rPr>
          <w:rFonts w:hint="cs"/>
          <w:rtl/>
        </w:rPr>
        <w:t xml:space="preserve"> ו-</w:t>
      </w:r>
      <w:hyperlink r:id="rId14" w:history="1">
        <w:r w:rsidR="00423152" w:rsidRPr="00423152">
          <w:rPr>
            <w:rStyle w:val="Hyperlink"/>
            <w:color w:val="0000FF"/>
            <w:rtl/>
          </w:rPr>
          <w:t>340א(ב)(1)</w:t>
        </w:r>
      </w:hyperlink>
      <w:r>
        <w:rPr>
          <w:rFonts w:hint="cs"/>
          <w:rtl/>
        </w:rPr>
        <w:t>+(</w:t>
      </w:r>
      <w:hyperlink r:id="rId15" w:history="1">
        <w:r w:rsidR="00423152" w:rsidRPr="00423152">
          <w:rPr>
            <w:rStyle w:val="Hyperlink"/>
            <w:color w:val="0000FF"/>
            <w:rtl/>
          </w:rPr>
          <w:t>2</w:t>
        </w:r>
      </w:hyperlink>
      <w:r>
        <w:rPr>
          <w:rFonts w:hint="cs"/>
          <w:rtl/>
        </w:rPr>
        <w:t>)  ל</w:t>
      </w:r>
      <w:hyperlink r:id="rId16" w:history="1">
        <w:r w:rsidR="000A302F" w:rsidRPr="000A302F">
          <w:rPr>
            <w:color w:val="0000FF"/>
            <w:u w:val="single"/>
            <w:rtl/>
          </w:rPr>
          <w:t>חוק העונשין</w:t>
        </w:r>
      </w:hyperlink>
      <w:r>
        <w:rPr>
          <w:rFonts w:hint="cs"/>
          <w:rtl/>
        </w:rPr>
        <w:t>, התשל"ז – 1977 (להלן: "חוק העונשין").</w:t>
      </w:r>
    </w:p>
    <w:p w14:paraId="5F45D430" w14:textId="77777777" w:rsidR="00161CD5" w:rsidRDefault="00161CD5" w:rsidP="00161CD5">
      <w:pPr>
        <w:spacing w:line="360" w:lineRule="auto"/>
        <w:ind w:hanging="567"/>
        <w:jc w:val="both"/>
        <w:rPr>
          <w:rtl/>
        </w:rPr>
      </w:pPr>
      <w:bookmarkStart w:id="7" w:name="ABSTRACT_END"/>
      <w:bookmarkEnd w:id="7"/>
    </w:p>
    <w:p w14:paraId="14EA0F21" w14:textId="77777777" w:rsidR="00161CD5" w:rsidRDefault="00161CD5" w:rsidP="00161CD5">
      <w:pPr>
        <w:spacing w:line="360" w:lineRule="auto"/>
        <w:ind w:hanging="567"/>
        <w:jc w:val="both"/>
        <w:rPr>
          <w:rtl/>
        </w:rPr>
      </w:pPr>
      <w:r>
        <w:rPr>
          <w:rFonts w:hint="cs"/>
          <w:rtl/>
        </w:rPr>
        <w:t>2.</w:t>
      </w:r>
      <w:r>
        <w:rPr>
          <w:rFonts w:hint="cs"/>
          <w:rtl/>
        </w:rPr>
        <w:tab/>
        <w:t>במסגרת ההסדר הצדדים הגיעו להסכמה חלקית לעניין העונש, ובהתאם לה המאשימה הגבילה עצמה בטיעוניה, וטענה לעונש ראוי של 53 חודשי מאסר בפועל, מאסר על תנאי ופיצוי, בעוד שהנאשם טען לעונש באופן חופשי.</w:t>
      </w:r>
    </w:p>
    <w:p w14:paraId="725328B9" w14:textId="77777777" w:rsidR="00161CD5" w:rsidRDefault="00161CD5" w:rsidP="00161CD5">
      <w:pPr>
        <w:spacing w:line="360" w:lineRule="auto"/>
        <w:ind w:hanging="567"/>
        <w:jc w:val="both"/>
        <w:rPr>
          <w:rtl/>
        </w:rPr>
      </w:pPr>
    </w:p>
    <w:p w14:paraId="7B4E22D6" w14:textId="77777777" w:rsidR="00161CD5" w:rsidRDefault="00161CD5" w:rsidP="00161CD5">
      <w:pPr>
        <w:spacing w:line="360" w:lineRule="auto"/>
        <w:ind w:hanging="567"/>
        <w:jc w:val="both"/>
        <w:rPr>
          <w:rtl/>
        </w:rPr>
      </w:pPr>
      <w:r>
        <w:rPr>
          <w:rtl/>
        </w:rPr>
        <w:tab/>
      </w:r>
      <w:r w:rsidRPr="00D4561F">
        <w:rPr>
          <w:rFonts w:hint="cs"/>
          <w:b/>
          <w:bCs/>
          <w:u w:val="single"/>
          <w:rtl/>
        </w:rPr>
        <w:t>כתב האישום</w:t>
      </w:r>
    </w:p>
    <w:p w14:paraId="7F9B5FA7" w14:textId="77777777" w:rsidR="00161CD5" w:rsidRDefault="00161CD5" w:rsidP="00161CD5">
      <w:pPr>
        <w:spacing w:line="360" w:lineRule="auto"/>
        <w:ind w:hanging="567"/>
        <w:jc w:val="both"/>
        <w:rPr>
          <w:rtl/>
        </w:rPr>
      </w:pPr>
      <w:r>
        <w:rPr>
          <w:rFonts w:hint="cs"/>
          <w:rtl/>
        </w:rPr>
        <w:t>3.</w:t>
      </w:r>
      <w:r>
        <w:rPr>
          <w:rFonts w:hint="cs"/>
          <w:rtl/>
        </w:rPr>
        <w:tab/>
      </w:r>
      <w:r w:rsidRPr="00B72E79">
        <w:rPr>
          <w:rtl/>
        </w:rPr>
        <w:t xml:space="preserve">מעובדות כתב האישום עולה כי </w:t>
      </w:r>
      <w:r>
        <w:rPr>
          <w:rFonts w:hint="cs"/>
          <w:rtl/>
        </w:rPr>
        <w:t>ל-נ' א' ס' (להלן: "</w:t>
      </w:r>
      <w:r w:rsidRPr="00B72E79">
        <w:rPr>
          <w:rtl/>
        </w:rPr>
        <w:t>המתלונן</w:t>
      </w:r>
      <w:r>
        <w:rPr>
          <w:rFonts w:hint="cs"/>
          <w:rtl/>
        </w:rPr>
        <w:t xml:space="preserve">" או "נפגע העבירה") שהוא </w:t>
      </w:r>
      <w:r>
        <w:rPr>
          <w:rtl/>
        </w:rPr>
        <w:t>גיסו של הנאשם</w:t>
      </w:r>
      <w:r>
        <w:rPr>
          <w:rFonts w:hint="cs"/>
          <w:rtl/>
        </w:rPr>
        <w:t xml:space="preserve"> היה חוב כספי כלפי הנאשם, ואלה הגיעו להסדר תשלום של 7,000 ₪ מדי חודש</w:t>
      </w:r>
      <w:r w:rsidRPr="00B72E79">
        <w:rPr>
          <w:rtl/>
        </w:rPr>
        <w:t xml:space="preserve"> (להלן: "החוב"). </w:t>
      </w:r>
    </w:p>
    <w:p w14:paraId="06B189E0" w14:textId="77777777" w:rsidR="00161CD5" w:rsidRDefault="00161CD5" w:rsidP="00161CD5">
      <w:pPr>
        <w:spacing w:line="360" w:lineRule="auto"/>
        <w:jc w:val="both"/>
        <w:rPr>
          <w:rtl/>
        </w:rPr>
      </w:pPr>
      <w:r w:rsidRPr="00B72E79">
        <w:rPr>
          <w:rtl/>
        </w:rPr>
        <w:t>ביום 18.11.2023 בשעה 14:51 התקשר המתלונן אל הנאשם על מנת לבקש דחייה של יום נוסף בתשלום החוב, אולם הנאשם לא ענה לו. במועד לעיל, בשעה 17:21</w:t>
      </w:r>
      <w:r>
        <w:rPr>
          <w:rtl/>
        </w:rPr>
        <w:t xml:space="preserve">, התקשר </w:t>
      </w:r>
      <w:r w:rsidRPr="00B72E79">
        <w:rPr>
          <w:rtl/>
        </w:rPr>
        <w:t xml:space="preserve">הנאשם </w:t>
      </w:r>
      <w:r>
        <w:rPr>
          <w:rFonts w:hint="cs"/>
          <w:rtl/>
        </w:rPr>
        <w:t xml:space="preserve">חזרה </w:t>
      </w:r>
      <w:r w:rsidRPr="00B72E79">
        <w:rPr>
          <w:rtl/>
        </w:rPr>
        <w:t xml:space="preserve">אל </w:t>
      </w:r>
      <w:r w:rsidRPr="00B72E79">
        <w:rPr>
          <w:rtl/>
        </w:rPr>
        <w:lastRenderedPageBreak/>
        <w:t>המתלונן. ב</w:t>
      </w:r>
      <w:r>
        <w:rPr>
          <w:rtl/>
        </w:rPr>
        <w:t xml:space="preserve">מהלך השיחה המתלונן ביקש מהנאשם </w:t>
      </w:r>
      <w:r w:rsidRPr="00B72E79">
        <w:rPr>
          <w:rtl/>
        </w:rPr>
        <w:t>ארכה במועד תשלום החוב והנאשם בתגובה הורה לו להגיע מיד לצומ</w:t>
      </w:r>
      <w:r>
        <w:rPr>
          <w:rtl/>
        </w:rPr>
        <w:t>ת אבו סולב, תוך שהוא אמר ל</w:t>
      </w:r>
      <w:r>
        <w:rPr>
          <w:rFonts w:hint="cs"/>
          <w:rtl/>
        </w:rPr>
        <w:t>ו</w:t>
      </w:r>
      <w:r>
        <w:rPr>
          <w:rtl/>
        </w:rPr>
        <w:t xml:space="preserve"> כי אם לא יגיע לשם הוא יגיע</w:t>
      </w:r>
      <w:r w:rsidRPr="00B72E79">
        <w:rPr>
          <w:rtl/>
        </w:rPr>
        <w:t xml:space="preserve"> לביתו.</w:t>
      </w:r>
      <w:r>
        <w:rPr>
          <w:rFonts w:hint="cs"/>
          <w:rtl/>
        </w:rPr>
        <w:t xml:space="preserve"> </w:t>
      </w:r>
    </w:p>
    <w:p w14:paraId="640301C2" w14:textId="77777777" w:rsidR="00161CD5" w:rsidRPr="00B72E79" w:rsidRDefault="00161CD5" w:rsidP="00161CD5">
      <w:pPr>
        <w:spacing w:line="360" w:lineRule="auto"/>
        <w:jc w:val="both"/>
        <w:rPr>
          <w:rtl/>
        </w:rPr>
      </w:pPr>
      <w:r>
        <w:rPr>
          <w:rtl/>
        </w:rPr>
        <w:t xml:space="preserve">באותו </w:t>
      </w:r>
      <w:r w:rsidRPr="00B72E79">
        <w:rPr>
          <w:rtl/>
        </w:rPr>
        <w:t>רגע נסע המתלונן אל צומת</w:t>
      </w:r>
      <w:r>
        <w:rPr>
          <w:rtl/>
        </w:rPr>
        <w:t xml:space="preserve"> אבו סולב באמצעות רכב אשר בבעלות בנו</w:t>
      </w:r>
      <w:r w:rsidRPr="00B72E79">
        <w:rPr>
          <w:rtl/>
        </w:rPr>
        <w:t xml:space="preserve"> והמתין לנאשם. לאחר מספר דקות, הגי</w:t>
      </w:r>
      <w:r>
        <w:rPr>
          <w:rtl/>
        </w:rPr>
        <w:t>ע הנאשם כשהוא נוהג ברכב כשלידו במושב הנוסע י</w:t>
      </w:r>
      <w:r w:rsidRPr="00B72E79">
        <w:rPr>
          <w:rtl/>
        </w:rPr>
        <w:t xml:space="preserve">שב אדם רעול פנים המכונה "סאלם" (להלן: "סאלם"). במקביל הגיע </w:t>
      </w:r>
      <w:r>
        <w:rPr>
          <w:rFonts w:hint="cs"/>
          <w:rtl/>
        </w:rPr>
        <w:t xml:space="preserve">ברכב אחר </w:t>
      </w:r>
      <w:r w:rsidRPr="00B72E79">
        <w:rPr>
          <w:rtl/>
        </w:rPr>
        <w:t>אדם נוסף רעול פנ</w:t>
      </w:r>
      <w:r>
        <w:rPr>
          <w:rtl/>
        </w:rPr>
        <w:t>ים (להלן: "האחר")</w:t>
      </w:r>
      <w:r>
        <w:rPr>
          <w:rFonts w:hint="cs"/>
          <w:rtl/>
        </w:rPr>
        <w:t>.</w:t>
      </w:r>
    </w:p>
    <w:p w14:paraId="62674FD5" w14:textId="77777777" w:rsidR="00161CD5" w:rsidRPr="00B72E79" w:rsidRDefault="00161CD5" w:rsidP="00161CD5">
      <w:pPr>
        <w:spacing w:line="360" w:lineRule="auto"/>
        <w:ind w:hanging="567"/>
        <w:jc w:val="both"/>
        <w:rPr>
          <w:rtl/>
        </w:rPr>
      </w:pPr>
      <w:r>
        <w:rPr>
          <w:rFonts w:hint="cs"/>
          <w:rtl/>
        </w:rPr>
        <w:t xml:space="preserve"> </w:t>
      </w:r>
      <w:r>
        <w:rPr>
          <w:rFonts w:hint="cs"/>
          <w:rtl/>
        </w:rPr>
        <w:tab/>
        <w:t xml:space="preserve">בעודו יושב ברכב שאיתו הגיע, ביקש </w:t>
      </w:r>
      <w:r>
        <w:rPr>
          <w:rtl/>
        </w:rPr>
        <w:t xml:space="preserve">המתלונן </w:t>
      </w:r>
      <w:r w:rsidRPr="00B72E79">
        <w:rPr>
          <w:rtl/>
        </w:rPr>
        <w:t>מהנאשם</w:t>
      </w:r>
      <w:r>
        <w:rPr>
          <w:rFonts w:hint="cs"/>
          <w:rtl/>
        </w:rPr>
        <w:t>,</w:t>
      </w:r>
      <w:r w:rsidRPr="00B72E79">
        <w:rPr>
          <w:rtl/>
        </w:rPr>
        <w:t xml:space="preserve"> ש</w:t>
      </w:r>
      <w:r>
        <w:rPr>
          <w:rFonts w:hint="cs"/>
          <w:rtl/>
        </w:rPr>
        <w:t>אף הוא ישב ברכב שאיתו הגיע, ל</w:t>
      </w:r>
      <w:r w:rsidRPr="00B72E79">
        <w:rPr>
          <w:rtl/>
        </w:rPr>
        <w:t xml:space="preserve">אפשר לו לשלם את החוב למחרת. בשלב </w:t>
      </w:r>
      <w:r>
        <w:rPr>
          <w:rtl/>
        </w:rPr>
        <w:t xml:space="preserve">זה, הנאשם פתח את דלת </w:t>
      </w:r>
      <w:r>
        <w:rPr>
          <w:rFonts w:hint="cs"/>
          <w:rtl/>
        </w:rPr>
        <w:t>ה</w:t>
      </w:r>
      <w:r>
        <w:rPr>
          <w:rtl/>
        </w:rPr>
        <w:t>רכב</w:t>
      </w:r>
      <w:r>
        <w:rPr>
          <w:rFonts w:hint="cs"/>
          <w:rtl/>
        </w:rPr>
        <w:t xml:space="preserve"> בו ישב</w:t>
      </w:r>
      <w:r w:rsidRPr="00B72E79">
        <w:rPr>
          <w:rtl/>
        </w:rPr>
        <w:t>, יצא מהרכב, נשא והוביל נשק ארוך עם מחסני</w:t>
      </w:r>
      <w:r>
        <w:rPr>
          <w:rtl/>
        </w:rPr>
        <w:t xml:space="preserve">ת וירה 3 כדורים באוויר באופן </w:t>
      </w:r>
      <w:r>
        <w:rPr>
          <w:rFonts w:hint="cs"/>
          <w:rtl/>
        </w:rPr>
        <w:t>שהיה</w:t>
      </w:r>
      <w:r w:rsidRPr="00B72E79">
        <w:rPr>
          <w:rtl/>
        </w:rPr>
        <w:t xml:space="preserve"> בו כדי לסכן את המתלונן. </w:t>
      </w:r>
    </w:p>
    <w:p w14:paraId="306E8ED9" w14:textId="77777777" w:rsidR="00161CD5" w:rsidRPr="00B72E79" w:rsidRDefault="00161CD5" w:rsidP="00161CD5">
      <w:pPr>
        <w:spacing w:line="360" w:lineRule="auto"/>
        <w:ind w:hanging="567"/>
        <w:jc w:val="both"/>
        <w:rPr>
          <w:rtl/>
        </w:rPr>
      </w:pPr>
      <w:r>
        <w:rPr>
          <w:rtl/>
        </w:rPr>
        <w:tab/>
      </w:r>
      <w:r w:rsidRPr="00B72E79">
        <w:rPr>
          <w:rtl/>
        </w:rPr>
        <w:t>מיד לאחר מכן הנאשם אמר לסאלם שייקח את הרכב מהמתלונן, והמתלונן המפוחד ירד מהרכב</w:t>
      </w:r>
      <w:r>
        <w:rPr>
          <w:rFonts w:hint="cs"/>
          <w:rtl/>
        </w:rPr>
        <w:t xml:space="preserve"> שבו היה</w:t>
      </w:r>
      <w:r>
        <w:rPr>
          <w:rtl/>
        </w:rPr>
        <w:t xml:space="preserve"> ומסר את המפתחות לסאלם</w:t>
      </w:r>
      <w:r>
        <w:rPr>
          <w:rFonts w:hint="cs"/>
          <w:rtl/>
        </w:rPr>
        <w:t>.</w:t>
      </w:r>
      <w:r w:rsidRPr="00B72E79">
        <w:rPr>
          <w:rtl/>
        </w:rPr>
        <w:t xml:space="preserve"> אז אמר הנאשם למתלונן "תביא את הכסף שאתה חייב לי קח את הרכב".</w:t>
      </w:r>
    </w:p>
    <w:p w14:paraId="1C6AE6F6" w14:textId="77777777" w:rsidR="00161CD5" w:rsidRPr="00B72E79" w:rsidRDefault="00161CD5" w:rsidP="00161CD5">
      <w:pPr>
        <w:spacing w:line="360" w:lineRule="auto"/>
        <w:ind w:hanging="567"/>
        <w:jc w:val="both"/>
        <w:rPr>
          <w:rtl/>
        </w:rPr>
      </w:pPr>
      <w:r>
        <w:rPr>
          <w:rtl/>
        </w:rPr>
        <w:tab/>
      </w:r>
      <w:r w:rsidRPr="00B72E79">
        <w:rPr>
          <w:rtl/>
        </w:rPr>
        <w:t>הנאשם, סאלם והאחר נסעו מהמקום</w:t>
      </w:r>
      <w:r>
        <w:rPr>
          <w:rtl/>
        </w:rPr>
        <w:t xml:space="preserve">, כאשר סאלם נטל את </w:t>
      </w:r>
      <w:r>
        <w:rPr>
          <w:rFonts w:hint="cs"/>
          <w:rtl/>
        </w:rPr>
        <w:t>הרכב</w:t>
      </w:r>
      <w:r w:rsidRPr="00B72E79">
        <w:rPr>
          <w:rtl/>
        </w:rPr>
        <w:t xml:space="preserve"> מהמתלונן. </w:t>
      </w:r>
    </w:p>
    <w:p w14:paraId="4C2B33D3" w14:textId="77777777" w:rsidR="00161CD5" w:rsidRDefault="00161CD5" w:rsidP="00161CD5">
      <w:pPr>
        <w:spacing w:line="360" w:lineRule="auto"/>
        <w:ind w:hanging="567"/>
        <w:jc w:val="both"/>
        <w:rPr>
          <w:rtl/>
        </w:rPr>
      </w:pPr>
      <w:r>
        <w:rPr>
          <w:rtl/>
        </w:rPr>
        <w:tab/>
        <w:t xml:space="preserve">המתלונן המפוחד התחבא בתעלה </w:t>
      </w:r>
      <w:r w:rsidRPr="00B72E79">
        <w:rPr>
          <w:rtl/>
        </w:rPr>
        <w:t xml:space="preserve">סמוכה למקום והתקשר למשטרה. </w:t>
      </w:r>
    </w:p>
    <w:p w14:paraId="306FF1EE" w14:textId="77777777" w:rsidR="00161CD5" w:rsidRDefault="00161CD5" w:rsidP="00161CD5">
      <w:pPr>
        <w:spacing w:line="360" w:lineRule="auto"/>
        <w:ind w:hanging="567"/>
        <w:jc w:val="both"/>
        <w:rPr>
          <w:b/>
          <w:bCs/>
          <w:u w:val="single"/>
          <w:rtl/>
        </w:rPr>
      </w:pPr>
      <w:r>
        <w:rPr>
          <w:rtl/>
        </w:rPr>
        <w:tab/>
      </w:r>
    </w:p>
    <w:p w14:paraId="51A10DDA" w14:textId="77777777" w:rsidR="00161CD5" w:rsidRDefault="00161CD5" w:rsidP="00161CD5">
      <w:pPr>
        <w:spacing w:line="360" w:lineRule="auto"/>
        <w:ind w:hanging="567"/>
        <w:jc w:val="both"/>
        <w:rPr>
          <w:rtl/>
        </w:rPr>
      </w:pPr>
      <w:r>
        <w:rPr>
          <w:rFonts w:hint="cs"/>
          <w:rtl/>
        </w:rPr>
        <w:t>4.</w:t>
      </w:r>
      <w:r>
        <w:rPr>
          <w:rFonts w:hint="cs"/>
          <w:rtl/>
        </w:rPr>
        <w:tab/>
      </w:r>
      <w:r w:rsidRPr="00947F48">
        <w:rPr>
          <w:rFonts w:hint="cs"/>
          <w:b/>
          <w:bCs/>
          <w:rtl/>
        </w:rPr>
        <w:t>מתסקיר נפגע עבירה</w:t>
      </w:r>
      <w:r>
        <w:rPr>
          <w:rFonts w:hint="cs"/>
          <w:rtl/>
        </w:rPr>
        <w:t xml:space="preserve"> שהוגש מיום 30.9.2024 עולה כי נפגע העבירה הוא גיסו של הנאשם, כי הוא בן 51, אב ל-12 ילדים, כי לו חובות כלכליים כתוצאה מעסק שהיה ברשותו וכשל, כי כיום אינו עובד ומתקיים מקצבת הבטחת הכנסה. התסקיר עמד גם על נסיבות חייו המשפחתיות המורכבות של נפגע העבירה ועל החוב והרקע לו.</w:t>
      </w:r>
    </w:p>
    <w:p w14:paraId="2A9D4E98" w14:textId="77777777" w:rsidR="00161CD5" w:rsidRDefault="00161CD5" w:rsidP="00161CD5">
      <w:pPr>
        <w:spacing w:line="360" w:lineRule="auto"/>
        <w:ind w:hanging="567"/>
        <w:jc w:val="both"/>
        <w:rPr>
          <w:rtl/>
        </w:rPr>
      </w:pPr>
      <w:r>
        <w:rPr>
          <w:rtl/>
        </w:rPr>
        <w:tab/>
      </w:r>
      <w:r>
        <w:rPr>
          <w:rFonts w:hint="cs"/>
          <w:rtl/>
        </w:rPr>
        <w:t>מטעמים שפורטו בהחלטה בבקשה שהגישה עורכת התסקיר לפני הגשת התסקיר, לא מצאתי להרחיב הרבה מעבר לכך. אציין רק כי עורכת התסקיר התרשמה שהאירוע מושא כתב האישום טלטל את חייו של נפגע העבירה ופגע בו במישורים שונים. להערכת עורכת התסקיר יהיה נכון לתת ביטוי להכרה בפגיעה של נפגע העבירה בין היתר באמצעות קבלת פיצוי.</w:t>
      </w:r>
    </w:p>
    <w:p w14:paraId="6FDCF45C" w14:textId="77777777" w:rsidR="00161CD5" w:rsidRPr="0070448B" w:rsidRDefault="00161CD5" w:rsidP="00161CD5">
      <w:pPr>
        <w:spacing w:line="360" w:lineRule="auto"/>
        <w:ind w:hanging="567"/>
        <w:jc w:val="both"/>
        <w:rPr>
          <w:rtl/>
        </w:rPr>
      </w:pPr>
    </w:p>
    <w:p w14:paraId="0A9750C8" w14:textId="77777777" w:rsidR="00161CD5" w:rsidRDefault="00161CD5" w:rsidP="00161CD5">
      <w:pPr>
        <w:spacing w:line="360" w:lineRule="auto"/>
        <w:ind w:hanging="567"/>
        <w:jc w:val="both"/>
        <w:rPr>
          <w:b/>
          <w:bCs/>
          <w:u w:val="single"/>
          <w:rtl/>
        </w:rPr>
      </w:pPr>
      <w:r>
        <w:rPr>
          <w:rtl/>
        </w:rPr>
        <w:tab/>
      </w:r>
      <w:r w:rsidRPr="00D4561F">
        <w:rPr>
          <w:rFonts w:hint="cs"/>
          <w:b/>
          <w:bCs/>
          <w:u w:val="single"/>
          <w:rtl/>
        </w:rPr>
        <w:t>טיעוני הצדדים</w:t>
      </w:r>
    </w:p>
    <w:p w14:paraId="6A02B6BC" w14:textId="77777777" w:rsidR="00161CD5" w:rsidRDefault="00161CD5" w:rsidP="00161CD5">
      <w:pPr>
        <w:spacing w:line="360" w:lineRule="auto"/>
        <w:ind w:hanging="567"/>
        <w:jc w:val="both"/>
        <w:rPr>
          <w:rtl/>
        </w:rPr>
      </w:pPr>
      <w:r>
        <w:rPr>
          <w:rFonts w:hint="cs"/>
          <w:rtl/>
        </w:rPr>
        <w:t>5.</w:t>
      </w:r>
      <w:r>
        <w:rPr>
          <w:rFonts w:hint="cs"/>
          <w:rtl/>
        </w:rPr>
        <w:tab/>
      </w:r>
      <w:r w:rsidRPr="00947F48">
        <w:rPr>
          <w:rFonts w:hint="cs"/>
          <w:b/>
          <w:bCs/>
          <w:rtl/>
        </w:rPr>
        <w:t>המאשימה</w:t>
      </w:r>
      <w:r>
        <w:rPr>
          <w:rFonts w:hint="cs"/>
          <w:rtl/>
        </w:rPr>
        <w:t xml:space="preserve"> טענה לעונש בכתב והשלימה טיעוניה על-פה. המאשימה טענה כי מתחם העונש ההולם נע בין 4 ל-8 שנות מאסר ועתרה בהתאם להסדר לעונש של 53 חודשי מאסר בפועל, למאסר על תנאי ולפיצוי משמעותי.</w:t>
      </w:r>
    </w:p>
    <w:p w14:paraId="05293F57" w14:textId="77777777" w:rsidR="00161CD5" w:rsidRDefault="00161CD5" w:rsidP="00161CD5">
      <w:pPr>
        <w:spacing w:line="360" w:lineRule="auto"/>
        <w:ind w:hanging="567"/>
        <w:jc w:val="both"/>
        <w:rPr>
          <w:rtl/>
        </w:rPr>
      </w:pPr>
      <w:r>
        <w:rPr>
          <w:rtl/>
        </w:rPr>
        <w:tab/>
      </w:r>
      <w:r>
        <w:rPr>
          <w:rFonts w:hint="cs"/>
          <w:rtl/>
        </w:rPr>
        <w:t xml:space="preserve">המאשימה הפנתה בטיעוניה לערכים המוגנים שנפגעו, למידת הפגיעה הגבוהה בערכים אלו, לענישה הנוהגת ולנסיבות הקשורות בביצוע העבירות. ביחס לנסיבות הקשורות בביצוע העבירות הפנתה המאשימה לתכנון שקדם לביצוע העבירות, לנזק שנגרם מביצוע העבירות, לפוטנציאל הנזק שעלול היה להיגרם ולסיבות שהביאו את הנאשם לבצע העבירות. </w:t>
      </w:r>
    </w:p>
    <w:p w14:paraId="1A6F9572" w14:textId="77777777" w:rsidR="00161CD5" w:rsidRDefault="00161CD5" w:rsidP="00161CD5">
      <w:pPr>
        <w:spacing w:line="360" w:lineRule="auto"/>
        <w:ind w:hanging="567"/>
        <w:jc w:val="both"/>
        <w:rPr>
          <w:rtl/>
        </w:rPr>
      </w:pPr>
      <w:r>
        <w:rPr>
          <w:rtl/>
        </w:rPr>
        <w:tab/>
      </w:r>
      <w:r>
        <w:rPr>
          <w:rFonts w:hint="cs"/>
          <w:rtl/>
        </w:rPr>
        <w:t xml:space="preserve">המאשימה הוסיפה שאין מדובר באירוע שוד "רגיל", אלא במי שלקח את החוק לידיו על רקע חוב כספי וירה 3 פעמים בנשק ארוך באופן שיש בו לסכן. </w:t>
      </w:r>
    </w:p>
    <w:p w14:paraId="45C4E9AA" w14:textId="77777777" w:rsidR="00161CD5" w:rsidRDefault="00161CD5" w:rsidP="00161CD5">
      <w:pPr>
        <w:spacing w:line="360" w:lineRule="auto"/>
        <w:ind w:hanging="567"/>
        <w:jc w:val="both"/>
        <w:rPr>
          <w:rtl/>
        </w:rPr>
      </w:pPr>
      <w:r>
        <w:rPr>
          <w:rtl/>
        </w:rPr>
        <w:tab/>
      </w:r>
      <w:r>
        <w:rPr>
          <w:rFonts w:hint="cs"/>
          <w:rtl/>
        </w:rPr>
        <w:t>המאשימה הפנתה גם לעברו הפלילי של הנאשם, לרבות לעונשי המאסר שריצה בעבר ולמשקל שיש לתת לשיקולי הרתעת היחיד והרבים. המאשימה הפנתה לפסיקה לתמיכה בעמדתה העונשית.</w:t>
      </w:r>
    </w:p>
    <w:p w14:paraId="2E4501E4" w14:textId="77777777" w:rsidR="00161CD5" w:rsidRDefault="00161CD5" w:rsidP="00161CD5">
      <w:pPr>
        <w:spacing w:line="360" w:lineRule="auto"/>
        <w:ind w:hanging="567"/>
        <w:jc w:val="both"/>
        <w:rPr>
          <w:rtl/>
        </w:rPr>
      </w:pPr>
    </w:p>
    <w:p w14:paraId="28664738" w14:textId="77777777" w:rsidR="00161CD5" w:rsidRDefault="00161CD5" w:rsidP="00161CD5">
      <w:pPr>
        <w:spacing w:line="360" w:lineRule="auto"/>
        <w:ind w:hanging="567"/>
        <w:jc w:val="both"/>
        <w:rPr>
          <w:rtl/>
        </w:rPr>
      </w:pPr>
      <w:r>
        <w:rPr>
          <w:rFonts w:hint="cs"/>
          <w:rtl/>
        </w:rPr>
        <w:t>6.</w:t>
      </w:r>
      <w:r>
        <w:rPr>
          <w:rFonts w:hint="cs"/>
          <w:rtl/>
        </w:rPr>
        <w:tab/>
      </w:r>
      <w:r w:rsidRPr="00947F48">
        <w:rPr>
          <w:rFonts w:hint="cs"/>
          <w:b/>
          <w:bCs/>
          <w:rtl/>
        </w:rPr>
        <w:t>ב"כ הנאשם</w:t>
      </w:r>
      <w:r>
        <w:rPr>
          <w:rFonts w:hint="cs"/>
          <w:rtl/>
        </w:rPr>
        <w:t xml:space="preserve"> טען כי מתחם העונש ההולם נע בין 20 ל-50 חודשי מאסר ועתר להטיל על הנאשם עונש של 30 חודשי מאסר, מאסר על תנאי, קנס ופיצוי. </w:t>
      </w:r>
    </w:p>
    <w:p w14:paraId="76C6FC71" w14:textId="77777777" w:rsidR="00161CD5" w:rsidRDefault="00161CD5" w:rsidP="00161CD5">
      <w:pPr>
        <w:spacing w:line="360" w:lineRule="auto"/>
        <w:ind w:hanging="567"/>
        <w:jc w:val="both"/>
        <w:rPr>
          <w:rtl/>
        </w:rPr>
      </w:pPr>
      <w:r>
        <w:rPr>
          <w:rtl/>
        </w:rPr>
        <w:tab/>
      </w:r>
      <w:r>
        <w:rPr>
          <w:rFonts w:hint="cs"/>
          <w:rtl/>
        </w:rPr>
        <w:t>ביחס לנסיבות הקשורות בביצוע העבירות, ב"כ הנאשם טען כי השוד במקרה זה לא היה מתוכנן אלא תוצאה של אירוע מתגלגל שהלך והסלים, כי המעשים בוצעו על רקע חוב שהמתלונן היה חייב, כי הנאשם לא לקח את הרכב של המתלונן כדי לשלול אותו שלילת קבע אלא רק כערובה להחזרת החוב וכי הירי לא כוון אל עבר המתלונן כי אם לאוויר ובשטח פתוח כך שהפוטנציאל לפגוע באחרים היה נמוך. ב"כ הנאשם טען כי בסופו של יום לא נגרם כל נזק שחרג מנזק כלכלי. בהמשך הוסיף כי מעיון בכתב האישום ובתסקיר נפגע העבירה עולה שזה מפריז ביחס לנזק שנגרם לו.</w:t>
      </w:r>
    </w:p>
    <w:p w14:paraId="4ACF77BB" w14:textId="77777777" w:rsidR="00161CD5" w:rsidRDefault="00161CD5" w:rsidP="00161CD5">
      <w:pPr>
        <w:spacing w:line="360" w:lineRule="auto"/>
        <w:ind w:hanging="567"/>
        <w:jc w:val="both"/>
        <w:rPr>
          <w:rtl/>
        </w:rPr>
      </w:pPr>
      <w:r>
        <w:rPr>
          <w:rtl/>
        </w:rPr>
        <w:tab/>
      </w:r>
      <w:r>
        <w:rPr>
          <w:rFonts w:hint="cs"/>
          <w:rtl/>
        </w:rPr>
        <w:t>ב"כ הנאשם התייחס למתחם העונש ההולם לו טענה המאשימה ולפסיקה שצרפה וטען כי אלה אינם מותאמים לנסיבות ענייננו.</w:t>
      </w:r>
    </w:p>
    <w:p w14:paraId="1431245E" w14:textId="77777777" w:rsidR="00161CD5" w:rsidRDefault="00161CD5" w:rsidP="00161CD5">
      <w:pPr>
        <w:spacing w:line="360" w:lineRule="auto"/>
        <w:ind w:hanging="567"/>
        <w:jc w:val="both"/>
        <w:rPr>
          <w:rtl/>
        </w:rPr>
      </w:pPr>
      <w:r>
        <w:rPr>
          <w:rtl/>
        </w:rPr>
        <w:tab/>
      </w:r>
      <w:r>
        <w:rPr>
          <w:rFonts w:hint="cs"/>
          <w:rtl/>
        </w:rPr>
        <w:t xml:space="preserve">ב"כ הנאשם הפנה להודאת הנאשם, לאחריות שלקח על מעשיו, לחיסכון בזמן השיפוטי שנבע מלקיחת האחריות, לפגיעה של עונש מאסר במשפחתו ולנסיבות חייו האישיות והמשפחתיות. ביחס לאלו ציין כי הנאשם בן 31, בן למשפחה מרובת ילדים, נשוי, אב לתינוק בן מספר חודשים וסועד את אביו בשל מצבו הרפואי. </w:t>
      </w:r>
    </w:p>
    <w:p w14:paraId="3C4CDF0C" w14:textId="77777777" w:rsidR="00161CD5" w:rsidRDefault="00161CD5" w:rsidP="00161CD5">
      <w:pPr>
        <w:spacing w:line="360" w:lineRule="auto"/>
        <w:ind w:hanging="567"/>
        <w:jc w:val="both"/>
        <w:rPr>
          <w:rtl/>
        </w:rPr>
      </w:pPr>
      <w:r>
        <w:rPr>
          <w:rtl/>
        </w:rPr>
        <w:tab/>
      </w:r>
      <w:r>
        <w:rPr>
          <w:rFonts w:hint="cs"/>
          <w:rtl/>
        </w:rPr>
        <w:t>ב"כ הנאשם צרף פסיקה לתמיכה בעמדתו העונשית.</w:t>
      </w:r>
    </w:p>
    <w:p w14:paraId="6C15B256" w14:textId="77777777" w:rsidR="00161CD5" w:rsidRDefault="00161CD5" w:rsidP="00161CD5">
      <w:pPr>
        <w:spacing w:line="360" w:lineRule="auto"/>
        <w:ind w:hanging="567"/>
        <w:jc w:val="both"/>
        <w:rPr>
          <w:rtl/>
        </w:rPr>
      </w:pPr>
    </w:p>
    <w:p w14:paraId="17678B6D" w14:textId="77777777" w:rsidR="00161CD5" w:rsidRDefault="00161CD5" w:rsidP="00161CD5">
      <w:pPr>
        <w:spacing w:line="360" w:lineRule="auto"/>
        <w:ind w:hanging="567"/>
        <w:jc w:val="both"/>
        <w:rPr>
          <w:rtl/>
        </w:rPr>
      </w:pPr>
      <w:r>
        <w:rPr>
          <w:rFonts w:hint="cs"/>
          <w:rtl/>
        </w:rPr>
        <w:t>7.</w:t>
      </w:r>
      <w:r>
        <w:rPr>
          <w:rFonts w:hint="cs"/>
          <w:rtl/>
        </w:rPr>
        <w:tab/>
      </w:r>
      <w:r w:rsidRPr="00947F48">
        <w:rPr>
          <w:rFonts w:hint="cs"/>
          <w:b/>
          <w:bCs/>
          <w:rtl/>
        </w:rPr>
        <w:t>הנאשם</w:t>
      </w:r>
      <w:r>
        <w:rPr>
          <w:rFonts w:hint="cs"/>
          <w:rtl/>
        </w:rPr>
        <w:t xml:space="preserve"> אמר את דברו. הנאשם מסר שהוא בן 31 ואב לילד, כי הוא סועד את אביו שמצבו הרפואי אינו טוב וכי הוא מפרנס את משפחתו ואת שתי אחיותיו הגרושות. הנאשם הוסיף כי הוא מצטער על מעשיו, כי עשה טעות, כי ביצע את המעשים בשל כעס על רקע מצבו המשפחתי והבטיח שלא יחזור על מעשיו. </w:t>
      </w:r>
    </w:p>
    <w:p w14:paraId="7A5C8393" w14:textId="77777777" w:rsidR="00161CD5" w:rsidRDefault="00161CD5" w:rsidP="00161CD5">
      <w:pPr>
        <w:spacing w:line="360" w:lineRule="auto"/>
        <w:ind w:hanging="567"/>
        <w:jc w:val="both"/>
        <w:rPr>
          <w:rtl/>
        </w:rPr>
      </w:pPr>
    </w:p>
    <w:p w14:paraId="4A309A55" w14:textId="77777777" w:rsidR="00161CD5" w:rsidRPr="0070448B" w:rsidRDefault="00161CD5" w:rsidP="00161CD5">
      <w:pPr>
        <w:spacing w:line="360" w:lineRule="auto"/>
        <w:ind w:hanging="567"/>
        <w:jc w:val="both"/>
        <w:rPr>
          <w:b/>
          <w:bCs/>
          <w:u w:val="single"/>
        </w:rPr>
      </w:pPr>
      <w:r>
        <w:rPr>
          <w:rtl/>
        </w:rPr>
        <w:tab/>
      </w:r>
      <w:r w:rsidRPr="0070448B">
        <w:rPr>
          <w:rFonts w:hint="cs"/>
          <w:b/>
          <w:bCs/>
          <w:u w:val="single"/>
          <w:rtl/>
        </w:rPr>
        <w:t>דיון והכרעה</w:t>
      </w:r>
    </w:p>
    <w:p w14:paraId="459D9980" w14:textId="77777777" w:rsidR="00161CD5" w:rsidRDefault="00161CD5" w:rsidP="00161CD5">
      <w:pPr>
        <w:spacing w:line="360" w:lineRule="auto"/>
        <w:ind w:hanging="567"/>
        <w:jc w:val="both"/>
        <w:rPr>
          <w:rFonts w:ascii="David" w:hAnsi="David"/>
        </w:rPr>
      </w:pPr>
      <w:r>
        <w:rPr>
          <w:rFonts w:hint="cs"/>
          <w:rtl/>
        </w:rPr>
        <w:t>8.</w:t>
      </w:r>
      <w:r>
        <w:rPr>
          <w:rFonts w:hint="cs"/>
          <w:rtl/>
        </w:rPr>
        <w:tab/>
      </w:r>
      <w:r>
        <w:rPr>
          <w:rFonts w:ascii="David" w:hAnsi="David"/>
          <w:rtl/>
        </w:rPr>
        <w:t xml:space="preserve">בעניינו של </w:t>
      </w:r>
      <w:r>
        <w:rPr>
          <w:rFonts w:ascii="David" w:hAnsi="David" w:hint="cs"/>
          <w:rtl/>
        </w:rPr>
        <w:t>ה</w:t>
      </w:r>
      <w:r>
        <w:rPr>
          <w:rFonts w:ascii="David" w:hAnsi="David"/>
          <w:rtl/>
        </w:rPr>
        <w:t xml:space="preserve">נאשם הציגו הצדדים הסדר מסוג "הסדר טווח" במסגרתו המאשימה הגבילה את טיעוניה לעונש של  </w:t>
      </w:r>
      <w:r>
        <w:rPr>
          <w:rFonts w:ascii="David" w:hAnsi="David" w:hint="cs"/>
          <w:rtl/>
        </w:rPr>
        <w:t>53</w:t>
      </w:r>
      <w:r>
        <w:rPr>
          <w:rFonts w:ascii="David" w:hAnsi="David"/>
          <w:rtl/>
        </w:rPr>
        <w:t xml:space="preserve"> </w:t>
      </w:r>
      <w:r>
        <w:rPr>
          <w:rFonts w:ascii="David" w:hAnsi="David" w:hint="cs"/>
          <w:rtl/>
        </w:rPr>
        <w:t>חודשי</w:t>
      </w:r>
      <w:r>
        <w:rPr>
          <w:rFonts w:ascii="David" w:hAnsi="David"/>
          <w:rtl/>
        </w:rPr>
        <w:t xml:space="preserve"> מאסר ואילו ב"כ הנאשם טען באופן חופשי, ועתר לעונש של </w:t>
      </w:r>
      <w:r>
        <w:rPr>
          <w:rFonts w:ascii="David" w:hAnsi="David" w:hint="cs"/>
          <w:rtl/>
        </w:rPr>
        <w:t>30</w:t>
      </w:r>
      <w:r>
        <w:rPr>
          <w:rFonts w:ascii="David" w:hAnsi="David"/>
          <w:rtl/>
        </w:rPr>
        <w:t xml:space="preserve"> </w:t>
      </w:r>
      <w:r>
        <w:rPr>
          <w:rFonts w:ascii="David" w:hAnsi="David" w:hint="cs"/>
          <w:rtl/>
        </w:rPr>
        <w:t xml:space="preserve">חודשי </w:t>
      </w:r>
      <w:r>
        <w:rPr>
          <w:rFonts w:ascii="David" w:hAnsi="David"/>
          <w:rtl/>
        </w:rPr>
        <w:t>מאסר.</w:t>
      </w:r>
    </w:p>
    <w:p w14:paraId="4A16AF8C" w14:textId="77777777" w:rsidR="00161CD5" w:rsidRDefault="00161CD5" w:rsidP="00161CD5">
      <w:pPr>
        <w:spacing w:line="360" w:lineRule="auto"/>
        <w:ind w:hanging="567"/>
        <w:jc w:val="both"/>
        <w:rPr>
          <w:rFonts w:ascii="David" w:hAnsi="David"/>
        </w:rPr>
      </w:pPr>
      <w:r>
        <w:rPr>
          <w:rFonts w:ascii="David" w:hAnsi="David"/>
          <w:rtl/>
        </w:rPr>
        <w:tab/>
        <w:t>בפסיקת בית המשפט העליון קיימות גישות שונות ביחס לשאלה האם במסגרת הסדר "טווח" פטור בית המשפט מחובתו לקבוע מתחם עונש הולם. מחד, קיימת גישה לפיה קביעת מתחם עונש הולם על-ידי בית המשפט היא אמירה נורמטיבית של בית המשפט אשר צריכה להיאמר ללא קשר להסדר שבין הצדדים. מאידך, קיימת גישה לפיה בנסיבות דומות, של הסדר "טווח", אין מקום לקביעת מתחם עונש הולם. לעניין הגישות השונות ראו למשל</w:t>
      </w:r>
      <w:r>
        <w:rPr>
          <w:rFonts w:ascii="David" w:hAnsi="David" w:hint="cs"/>
          <w:rtl/>
        </w:rPr>
        <w:t xml:space="preserve"> </w:t>
      </w:r>
      <w:hyperlink r:id="rId17" w:history="1">
        <w:r w:rsidR="000A302F" w:rsidRPr="000A302F">
          <w:rPr>
            <w:rFonts w:ascii="David" w:hAnsi="David"/>
            <w:color w:val="0000FF"/>
            <w:u w:val="single"/>
            <w:rtl/>
          </w:rPr>
          <w:t>ע"פ 8109/15</w:t>
        </w:r>
      </w:hyperlink>
      <w:r>
        <w:rPr>
          <w:rFonts w:ascii="David" w:hAnsi="David"/>
          <w:rtl/>
        </w:rPr>
        <w:t xml:space="preserve"> </w:t>
      </w:r>
      <w:r>
        <w:rPr>
          <w:rFonts w:ascii="David" w:hAnsi="David"/>
          <w:b/>
          <w:bCs/>
          <w:rtl/>
        </w:rPr>
        <w:t>אביטן נ' מדינת ישראל</w:t>
      </w:r>
      <w:r>
        <w:rPr>
          <w:rFonts w:ascii="David" w:hAnsi="David"/>
          <w:rtl/>
        </w:rPr>
        <w:t xml:space="preserve"> (פורסם בנבו, 09.06.2016), פסקה 8.</w:t>
      </w:r>
    </w:p>
    <w:p w14:paraId="635964D9" w14:textId="77777777" w:rsidR="00161CD5" w:rsidRDefault="00161CD5" w:rsidP="00161CD5">
      <w:pPr>
        <w:spacing w:line="360" w:lineRule="auto"/>
        <w:ind w:hanging="567"/>
        <w:jc w:val="both"/>
        <w:rPr>
          <w:rFonts w:ascii="David" w:hAnsi="David"/>
        </w:rPr>
      </w:pPr>
      <w:r>
        <w:rPr>
          <w:rFonts w:ascii="David" w:hAnsi="David"/>
          <w:rtl/>
        </w:rPr>
        <w:tab/>
        <w:t>לצד אלו, קיימת גם גישת ביניים לפיה במקרים דומים אין צורך בהרחבה ובפירוט של מתחם העונש ההולם. צורך שכזה יכול לקום בעיקר עת מוצא בית המשפט להטיל עונש שסוטה מהעונש המוסכם או שנמצא הוא מחוץ לטווח המוסכם. בעניין זה ראו למשל</w:t>
      </w:r>
      <w:r>
        <w:rPr>
          <w:rFonts w:ascii="David" w:hAnsi="David" w:hint="cs"/>
          <w:rtl/>
        </w:rPr>
        <w:t xml:space="preserve"> </w:t>
      </w:r>
      <w:hyperlink r:id="rId18" w:history="1">
        <w:r w:rsidR="000A302F" w:rsidRPr="000A302F">
          <w:rPr>
            <w:rFonts w:ascii="David" w:hAnsi="David"/>
            <w:color w:val="0000FF"/>
            <w:u w:val="single"/>
            <w:rtl/>
          </w:rPr>
          <w:t>ע"פ 6943/16</w:t>
        </w:r>
      </w:hyperlink>
      <w:r>
        <w:rPr>
          <w:rFonts w:ascii="David" w:hAnsi="David"/>
          <w:rtl/>
        </w:rPr>
        <w:t xml:space="preserve"> </w:t>
      </w:r>
      <w:r>
        <w:rPr>
          <w:rFonts w:ascii="David" w:hAnsi="David"/>
          <w:b/>
          <w:bCs/>
          <w:rtl/>
        </w:rPr>
        <w:t>גלקין נ' מדינת ישראל</w:t>
      </w:r>
      <w:r>
        <w:rPr>
          <w:rFonts w:ascii="David" w:hAnsi="David"/>
          <w:rtl/>
        </w:rPr>
        <w:t xml:space="preserve"> (פורסם בנבו, 28.01.2018), פסקה 3.</w:t>
      </w:r>
    </w:p>
    <w:p w14:paraId="777ED49C" w14:textId="77777777" w:rsidR="00161CD5" w:rsidRDefault="00161CD5" w:rsidP="00161CD5">
      <w:pPr>
        <w:spacing w:line="360" w:lineRule="auto"/>
        <w:ind w:hanging="567"/>
        <w:jc w:val="both"/>
        <w:rPr>
          <w:rtl/>
        </w:rPr>
      </w:pPr>
      <w:r>
        <w:rPr>
          <w:rFonts w:ascii="David" w:hAnsi="David"/>
          <w:rtl/>
        </w:rPr>
        <w:tab/>
      </w:r>
      <w:r>
        <w:rPr>
          <w:rtl/>
        </w:rPr>
        <w:t xml:space="preserve">בשים לב לכך שהעונש שהחלטתי להטיל על </w:t>
      </w:r>
      <w:r>
        <w:rPr>
          <w:rFonts w:hint="cs"/>
          <w:rtl/>
        </w:rPr>
        <w:t>ה</w:t>
      </w:r>
      <w:r>
        <w:rPr>
          <w:rtl/>
        </w:rPr>
        <w:t>נאשם לא סוטה מטווח הטיעון המוסכם של הצדדים לא מצאתי לשרטט במדויק את גבולות מתחם העונש ההולם בעניינו</w:t>
      </w:r>
      <w:r>
        <w:rPr>
          <w:rFonts w:hint="cs"/>
          <w:rtl/>
        </w:rPr>
        <w:t xml:space="preserve"> אף שאעמוד על</w:t>
      </w:r>
      <w:r>
        <w:rPr>
          <w:rtl/>
        </w:rPr>
        <w:t xml:space="preserve"> הרכיבים הנדרשים לצורך גיבוש מתחם </w:t>
      </w:r>
      <w:r>
        <w:rPr>
          <w:rFonts w:hint="cs"/>
          <w:rtl/>
        </w:rPr>
        <w:t>זה</w:t>
      </w:r>
      <w:r>
        <w:rPr>
          <w:rtl/>
        </w:rPr>
        <w:t>.</w:t>
      </w:r>
      <w:r>
        <w:rPr>
          <w:rFonts w:hint="cs"/>
          <w:rtl/>
        </w:rPr>
        <w:t xml:space="preserve"> </w:t>
      </w:r>
    </w:p>
    <w:p w14:paraId="57AF6792" w14:textId="77777777" w:rsidR="00161CD5" w:rsidRDefault="00161CD5" w:rsidP="00161CD5">
      <w:pPr>
        <w:spacing w:line="360" w:lineRule="auto"/>
        <w:jc w:val="both"/>
        <w:rPr>
          <w:rtl/>
        </w:rPr>
      </w:pPr>
      <w:r>
        <w:rPr>
          <w:rFonts w:hint="cs"/>
          <w:rtl/>
        </w:rPr>
        <w:t>ואולם פטור בלא כלום אי אפשר, ומוצא אני לציין כי הרף התחתון של מתחם העונש ההולם שלו טען ב"כ הנאשם (20 חודשי מאסר) ואף העונש לו עתר ב"כ הנאשם (30 חודשי מאסר) לא יכולים להוות את הרף התחתון של מתחם העונש ההולם את מקרה זה. גם הרף העליון של מתחם העונש ההולם אותו הציע ב"כ הנאשם (50 חודשי מאסר) לא משקף נכונה את הרף העליון של מתחם העונש ההולם את מקרה זה.</w:t>
      </w:r>
    </w:p>
    <w:p w14:paraId="7F253276" w14:textId="77777777" w:rsidR="00161CD5" w:rsidRDefault="00161CD5" w:rsidP="00161CD5">
      <w:pPr>
        <w:spacing w:line="360" w:lineRule="auto"/>
        <w:ind w:hanging="567"/>
        <w:jc w:val="both"/>
        <w:rPr>
          <w:rtl/>
        </w:rPr>
      </w:pPr>
    </w:p>
    <w:p w14:paraId="510DE4AF" w14:textId="77777777" w:rsidR="00161CD5" w:rsidRDefault="00161CD5" w:rsidP="00161CD5">
      <w:pPr>
        <w:spacing w:line="360" w:lineRule="auto"/>
        <w:ind w:hanging="567"/>
        <w:jc w:val="both"/>
        <w:rPr>
          <w:rFonts w:ascii="Arial" w:hAnsi="Arial"/>
          <w:rtl/>
        </w:rPr>
      </w:pPr>
      <w:r>
        <w:rPr>
          <w:rFonts w:hint="cs"/>
          <w:rtl/>
        </w:rPr>
        <w:t>9.</w:t>
      </w:r>
      <w:r>
        <w:rPr>
          <w:rFonts w:hint="cs"/>
          <w:rtl/>
        </w:rPr>
        <w:tab/>
      </w:r>
      <w:r>
        <w:rPr>
          <w:rFonts w:ascii="Arial" w:hAnsi="Arial"/>
          <w:rtl/>
        </w:rPr>
        <w:t>הנאשם פגע בערכים המוגנים של הגנה על קניינו, בטחונו, שלוות נפשו, של</w:t>
      </w:r>
      <w:r>
        <w:rPr>
          <w:rFonts w:ascii="Arial" w:hAnsi="Arial" w:hint="cs"/>
          <w:rtl/>
        </w:rPr>
        <w:t xml:space="preserve">ומו של אדם </w:t>
      </w:r>
      <w:r>
        <w:rPr>
          <w:rFonts w:ascii="Arial" w:hAnsi="Arial"/>
          <w:rtl/>
        </w:rPr>
        <w:t>כמו גם בהגנה על תחושת הביטחון של הציבור</w:t>
      </w:r>
      <w:r>
        <w:rPr>
          <w:rFonts w:ascii="Arial" w:hAnsi="Arial" w:hint="cs"/>
          <w:rtl/>
        </w:rPr>
        <w:t>.</w:t>
      </w:r>
    </w:p>
    <w:p w14:paraId="1D0AE551" w14:textId="77777777" w:rsidR="00161CD5" w:rsidRPr="00CC5A0A" w:rsidRDefault="00161CD5" w:rsidP="00161CD5">
      <w:pPr>
        <w:spacing w:line="360" w:lineRule="auto"/>
        <w:ind w:hanging="567"/>
        <w:jc w:val="both"/>
        <w:rPr>
          <w:rFonts w:ascii="David" w:hAnsi="David"/>
          <w:rtl/>
        </w:rPr>
      </w:pPr>
    </w:p>
    <w:p w14:paraId="460C22CD" w14:textId="77777777" w:rsidR="00161CD5" w:rsidRDefault="00161CD5" w:rsidP="00161CD5">
      <w:pPr>
        <w:spacing w:line="360" w:lineRule="auto"/>
        <w:ind w:hanging="567"/>
        <w:jc w:val="both"/>
        <w:rPr>
          <w:rFonts w:ascii="David" w:hAnsi="David"/>
          <w:rtl/>
        </w:rPr>
      </w:pPr>
      <w:r>
        <w:rPr>
          <w:rFonts w:ascii="David" w:hAnsi="David" w:hint="cs"/>
          <w:rtl/>
        </w:rPr>
        <w:t>10</w:t>
      </w:r>
      <w:r>
        <w:rPr>
          <w:rFonts w:ascii="David" w:hAnsi="David"/>
          <w:rtl/>
        </w:rPr>
        <w:t>.</w:t>
      </w:r>
      <w:r>
        <w:rPr>
          <w:rFonts w:ascii="David" w:hAnsi="David"/>
          <w:rtl/>
        </w:rPr>
        <w:tab/>
      </w:r>
      <w:r>
        <w:rPr>
          <w:rFonts w:ascii="Arial" w:hAnsi="Arial"/>
          <w:rtl/>
        </w:rPr>
        <w:t xml:space="preserve">מידת הפגיעה בערכים המוגנים </w:t>
      </w:r>
      <w:r>
        <w:rPr>
          <w:rFonts w:ascii="Arial" w:hAnsi="Arial" w:hint="cs"/>
          <w:rtl/>
        </w:rPr>
        <w:t xml:space="preserve">בענייננו </w:t>
      </w:r>
      <w:r>
        <w:rPr>
          <w:rFonts w:ascii="Arial" w:hAnsi="Arial"/>
          <w:rtl/>
        </w:rPr>
        <w:t xml:space="preserve">היא גבוהה בשים לב </w:t>
      </w:r>
      <w:r>
        <w:rPr>
          <w:rFonts w:ascii="Arial" w:hAnsi="Arial" w:hint="cs"/>
          <w:rtl/>
        </w:rPr>
        <w:t xml:space="preserve">לשילוב שבין עבירות הנשק לבין עבירת השוד שעבר הנאשם, ובשים לב לטיבו של הנכס שנגזל. </w:t>
      </w:r>
    </w:p>
    <w:p w14:paraId="5A9FEC29" w14:textId="77777777" w:rsidR="00161CD5" w:rsidRPr="000C01A5" w:rsidRDefault="00161CD5" w:rsidP="00161CD5">
      <w:pPr>
        <w:spacing w:line="360" w:lineRule="auto"/>
        <w:ind w:hanging="567"/>
        <w:jc w:val="both"/>
        <w:rPr>
          <w:rFonts w:ascii="David" w:hAnsi="David"/>
          <w:rtl/>
        </w:rPr>
      </w:pPr>
      <w:r>
        <w:rPr>
          <w:rFonts w:ascii="David" w:hAnsi="David"/>
          <w:rtl/>
        </w:rPr>
        <w:tab/>
      </w:r>
    </w:p>
    <w:p w14:paraId="4433CAFE" w14:textId="77777777" w:rsidR="00161CD5" w:rsidRDefault="00161CD5" w:rsidP="00161CD5">
      <w:pPr>
        <w:spacing w:line="360" w:lineRule="auto"/>
        <w:ind w:hanging="567"/>
        <w:jc w:val="both"/>
        <w:rPr>
          <w:rFonts w:ascii="David" w:hAnsi="David"/>
          <w:rtl/>
        </w:rPr>
      </w:pPr>
      <w:r>
        <w:rPr>
          <w:rFonts w:ascii="David" w:hAnsi="David" w:hint="cs"/>
          <w:rtl/>
        </w:rPr>
        <w:t>11</w:t>
      </w:r>
      <w:r>
        <w:rPr>
          <w:rFonts w:ascii="David" w:hAnsi="David"/>
          <w:rtl/>
        </w:rPr>
        <w:t>.</w:t>
      </w:r>
      <w:r>
        <w:rPr>
          <w:rFonts w:ascii="David" w:hAnsi="David"/>
          <w:rtl/>
        </w:rPr>
        <w:tab/>
      </w:r>
      <w:r>
        <w:rPr>
          <w:rFonts w:ascii="Arial" w:hAnsi="Arial"/>
          <w:rtl/>
        </w:rPr>
        <w:t xml:space="preserve">עבירת השוד פנים רבות לה והיא לובשת צורה ודרגת חומרה בהתאם לנסיבות ביצועה. עם זאת, </w:t>
      </w:r>
      <w:r>
        <w:rPr>
          <w:rFonts w:ascii="David" w:hAnsi="David"/>
          <w:rtl/>
        </w:rPr>
        <w:t>בבסיסה של כל עבירת שוד עומד הרצון ל</w:t>
      </w:r>
      <w:r>
        <w:rPr>
          <w:rFonts w:ascii="David" w:hAnsi="David" w:hint="cs"/>
          <w:rtl/>
        </w:rPr>
        <w:t xml:space="preserve">גזול </w:t>
      </w:r>
      <w:r>
        <w:rPr>
          <w:rFonts w:ascii="David" w:hAnsi="David"/>
          <w:rtl/>
        </w:rPr>
        <w:t xml:space="preserve">מקניינו של האחר וזאת תוך שימוש באלימות פיזית או מילולית. לא אחת הדגיש בית המשפט העליון את הצורך לעקור עבירה זו המטילה אימה על הציבור, ואשר פוטנציאל ההסלמה לפגיעה פיזית ונפשית בנפגעי העבירה הוא ממשי, </w:t>
      </w:r>
      <w:r>
        <w:rPr>
          <w:rFonts w:ascii="David" w:hAnsi="David" w:hint="cs"/>
          <w:rtl/>
        </w:rPr>
        <w:t xml:space="preserve">וזאת </w:t>
      </w:r>
      <w:r>
        <w:rPr>
          <w:rFonts w:ascii="David" w:hAnsi="David"/>
          <w:rtl/>
        </w:rPr>
        <w:t xml:space="preserve">אמצעות ענישה מרתיעה. ראו למשל </w:t>
      </w:r>
      <w:hyperlink r:id="rId19" w:history="1">
        <w:r w:rsidR="000A302F" w:rsidRPr="000A302F">
          <w:rPr>
            <w:rFonts w:ascii="David" w:hAnsi="David"/>
            <w:color w:val="0000FF"/>
            <w:u w:val="single"/>
            <w:rtl/>
          </w:rPr>
          <w:t>ע"פ 1167/21</w:t>
        </w:r>
      </w:hyperlink>
      <w:r>
        <w:rPr>
          <w:rFonts w:ascii="David" w:hAnsi="David"/>
          <w:rtl/>
        </w:rPr>
        <w:t xml:space="preserve"> </w:t>
      </w:r>
      <w:r>
        <w:rPr>
          <w:rFonts w:ascii="David" w:hAnsi="David"/>
          <w:b/>
          <w:bCs/>
          <w:rtl/>
        </w:rPr>
        <w:t>חוגי'ראת נ' מדינת ישראל</w:t>
      </w:r>
      <w:r>
        <w:rPr>
          <w:rFonts w:ascii="David" w:hAnsi="David"/>
          <w:rtl/>
        </w:rPr>
        <w:t xml:space="preserve"> (פורסם בנבו, 31.05.2021), פסקה 11: </w:t>
      </w:r>
    </w:p>
    <w:p w14:paraId="11FF53E8" w14:textId="77777777" w:rsidR="00161CD5" w:rsidRDefault="00161CD5" w:rsidP="00161CD5">
      <w:pPr>
        <w:spacing w:line="360" w:lineRule="auto"/>
        <w:ind w:left="850" w:right="851"/>
        <w:jc w:val="both"/>
        <w:rPr>
          <w:rFonts w:ascii="David" w:hAnsi="David"/>
          <w:rtl/>
        </w:rPr>
      </w:pPr>
      <w:r>
        <w:rPr>
          <w:rFonts w:ascii="David" w:hAnsi="David"/>
          <w:b/>
          <w:bCs/>
          <w:rtl/>
        </w:rPr>
        <w:t>"חומרתה הרבה של עבירת השוד הודגשה זה מכבר על ידי בית משפט זה, לאור השפעותיה ארוכות הטווח על קורבן העבירה – אשר פעמים רבות סובל מטראומה וחרדה לזמן ממושך – וכן על תחושת הביטחון של הציבור כולו. חומרה זו מובילה לכך שמדיניות הענישה הנהוגה ביחס לעבירה זו כוללת עונשי מאסר בפועל, וזאת אף במקרים בהם שירות המבחן ממליץ להימנע מכך לאור שיקולי שיקום</w:t>
      </w:r>
      <w:r>
        <w:rPr>
          <w:rFonts w:ascii="David" w:hAnsi="David" w:hint="cs"/>
          <w:b/>
          <w:bCs/>
          <w:rtl/>
        </w:rPr>
        <w:t xml:space="preserve"> [...]</w:t>
      </w:r>
      <w:r>
        <w:rPr>
          <w:rFonts w:ascii="David" w:hAnsi="David"/>
          <w:rtl/>
        </w:rPr>
        <w:t xml:space="preserve">". </w:t>
      </w:r>
    </w:p>
    <w:p w14:paraId="0B42B8C3" w14:textId="77777777" w:rsidR="00161CD5" w:rsidRDefault="00161CD5" w:rsidP="00161CD5">
      <w:pPr>
        <w:spacing w:line="360" w:lineRule="auto"/>
        <w:jc w:val="both"/>
        <w:rPr>
          <w:rFonts w:ascii="David" w:hAnsi="David"/>
          <w:rtl/>
        </w:rPr>
      </w:pPr>
    </w:p>
    <w:p w14:paraId="19B6BD46" w14:textId="77777777" w:rsidR="00161CD5" w:rsidRDefault="00161CD5" w:rsidP="00161CD5">
      <w:pPr>
        <w:spacing w:line="360" w:lineRule="auto"/>
        <w:jc w:val="both"/>
        <w:rPr>
          <w:rFonts w:ascii="David" w:hAnsi="David"/>
          <w:rtl/>
        </w:rPr>
      </w:pPr>
      <w:r>
        <w:rPr>
          <w:rFonts w:ascii="David" w:hAnsi="David" w:hint="cs"/>
          <w:rtl/>
        </w:rPr>
        <w:t>גישה מחמירה זו נדרשת ביתר שאת עת נעשה שימוש בנשק חם לצורך ביצוע השוד. זאת, כפועל יוצא מפוטנציאל הנזק הטמון בשימוש בנשק חם במהלך שוד, אך גם כפועל יוצא מהגישה המחמירה הקיימת ביחס לעבירות הנשק כשלעצמן.</w:t>
      </w:r>
    </w:p>
    <w:p w14:paraId="1287F542" w14:textId="77777777" w:rsidR="00161CD5" w:rsidRDefault="00161CD5" w:rsidP="00161CD5">
      <w:pPr>
        <w:spacing w:line="360" w:lineRule="auto"/>
        <w:jc w:val="both"/>
        <w:rPr>
          <w:rFonts w:ascii="David" w:hAnsi="David"/>
          <w:rtl/>
        </w:rPr>
      </w:pPr>
    </w:p>
    <w:p w14:paraId="04D89BC1" w14:textId="77777777" w:rsidR="00161CD5" w:rsidRPr="00BD71B5" w:rsidRDefault="00161CD5" w:rsidP="00161CD5">
      <w:pPr>
        <w:spacing w:line="360" w:lineRule="auto"/>
        <w:ind w:hanging="567"/>
        <w:jc w:val="both"/>
        <w:rPr>
          <w:rFonts w:ascii="David" w:hAnsi="David"/>
        </w:rPr>
      </w:pPr>
      <w:r>
        <w:rPr>
          <w:rFonts w:ascii="David" w:eastAsia="David" w:hAnsi="David"/>
          <w:rtl/>
        </w:rPr>
        <w:tab/>
      </w:r>
      <w:r>
        <w:rPr>
          <w:rFonts w:ascii="David" w:eastAsia="David" w:hAnsi="David" w:hint="cs"/>
          <w:rtl/>
        </w:rPr>
        <w:t xml:space="preserve">על </w:t>
      </w:r>
      <w:r w:rsidRPr="00BD71B5">
        <w:rPr>
          <w:rFonts w:ascii="David" w:hAnsi="David"/>
          <w:rtl/>
        </w:rPr>
        <w:t xml:space="preserve">"הכרזת </w:t>
      </w:r>
      <w:r>
        <w:rPr>
          <w:rFonts w:ascii="David" w:hAnsi="David" w:hint="cs"/>
          <w:rtl/>
        </w:rPr>
        <w:t>ה</w:t>
      </w:r>
      <w:r w:rsidRPr="00BD71B5">
        <w:rPr>
          <w:rFonts w:ascii="David" w:hAnsi="David"/>
          <w:rtl/>
        </w:rPr>
        <w:t xml:space="preserve">מלחמה" של המחוקק ויתר גורמי האכיפה </w:t>
      </w:r>
      <w:r>
        <w:rPr>
          <w:rFonts w:ascii="David" w:hAnsi="David" w:hint="cs"/>
          <w:rtl/>
        </w:rPr>
        <w:t>כנגד עבירות הנשק</w:t>
      </w:r>
      <w:r>
        <w:rPr>
          <w:rFonts w:ascii="David" w:hAnsi="David"/>
          <w:rtl/>
        </w:rPr>
        <w:t xml:space="preserve"> </w:t>
      </w:r>
      <w:r>
        <w:rPr>
          <w:rFonts w:ascii="David" w:hAnsi="David" w:hint="cs"/>
          <w:rtl/>
        </w:rPr>
        <w:t xml:space="preserve">בשנים האחרונות </w:t>
      </w:r>
      <w:r w:rsidRPr="00BD71B5">
        <w:rPr>
          <w:rFonts w:ascii="David" w:hAnsi="David"/>
          <w:rtl/>
        </w:rPr>
        <w:t>ראו למשל</w:t>
      </w:r>
      <w:r>
        <w:rPr>
          <w:rFonts w:ascii="David" w:hAnsi="David" w:hint="cs"/>
          <w:rtl/>
        </w:rPr>
        <w:t xml:space="preserve"> </w:t>
      </w:r>
      <w:hyperlink r:id="rId20" w:history="1">
        <w:r w:rsidR="000A302F" w:rsidRPr="000A302F">
          <w:rPr>
            <w:rFonts w:ascii="David" w:hAnsi="David"/>
            <w:color w:val="0000FF"/>
            <w:u w:val="single"/>
            <w:rtl/>
          </w:rPr>
          <w:t>ע"פ 5813/21</w:t>
        </w:r>
      </w:hyperlink>
      <w:r w:rsidRPr="00BD71B5">
        <w:rPr>
          <w:rFonts w:ascii="David" w:hAnsi="David"/>
          <w:rtl/>
        </w:rPr>
        <w:t xml:space="preserve"> </w:t>
      </w:r>
      <w:r w:rsidRPr="00BD71B5">
        <w:rPr>
          <w:rFonts w:ascii="David" w:hAnsi="David"/>
          <w:bCs/>
          <w:rtl/>
        </w:rPr>
        <w:t>ג'בארין נ' מדינת ישראל</w:t>
      </w:r>
      <w:r w:rsidRPr="00BD71B5">
        <w:rPr>
          <w:rFonts w:ascii="David" w:hAnsi="David"/>
          <w:rtl/>
        </w:rPr>
        <w:t xml:space="preserve"> (פורסם בנבו, 31.5.2022), פסקה 13</w:t>
      </w:r>
      <w:r>
        <w:rPr>
          <w:rFonts w:ascii="David" w:hAnsi="David" w:hint="cs"/>
          <w:rtl/>
        </w:rPr>
        <w:t>, על הפניותיה</w:t>
      </w:r>
      <w:r w:rsidRPr="00BD71B5">
        <w:rPr>
          <w:rFonts w:ascii="David" w:hAnsi="David"/>
          <w:rtl/>
        </w:rPr>
        <w:t>:</w:t>
      </w:r>
    </w:p>
    <w:p w14:paraId="04DBE620" w14:textId="77777777" w:rsidR="00161CD5" w:rsidRPr="00BD71B5" w:rsidRDefault="00161CD5" w:rsidP="00161CD5">
      <w:pPr>
        <w:spacing w:line="360" w:lineRule="auto"/>
        <w:ind w:left="850" w:right="851"/>
        <w:jc w:val="both"/>
        <w:rPr>
          <w:rFonts w:ascii="David" w:hAnsi="David"/>
        </w:rPr>
      </w:pPr>
      <w:r w:rsidRPr="00BD71B5">
        <w:rPr>
          <w:rFonts w:ascii="David" w:hAnsi="David"/>
          <w:rtl/>
        </w:rPr>
        <w:t>"</w:t>
      </w:r>
      <w:r w:rsidRPr="00BD71B5">
        <w:rPr>
          <w:rFonts w:ascii="David" w:hAnsi="David"/>
          <w:b/>
          <w:bCs/>
          <w:rtl/>
        </w:rPr>
        <w:t>אין צורך להכביר במילים על אודות החומרה הנלווית לעבירות נשק. אין היום חולקין כי עבירות מסוג זה הפכו ל'מכת מדינה' של ממש [...] מכה זו מצריכה מענה הולם בדמות ענישה מחמירה של הטלת עונשי מאסר משמעותיים. מצויים אנו לעת הזאת במצב חירום של ממש בעניין עבירות נשק, ולא בכדי נתקבל עתה תיקון ל</w:t>
      </w:r>
      <w:hyperlink r:id="rId21" w:history="1">
        <w:r w:rsidR="000A302F" w:rsidRPr="000A302F">
          <w:rPr>
            <w:rFonts w:ascii="David" w:hAnsi="David"/>
            <w:b/>
            <w:bCs/>
            <w:color w:val="0000FF"/>
            <w:u w:val="single"/>
            <w:rtl/>
          </w:rPr>
          <w:t>חוק העונשין</w:t>
        </w:r>
      </w:hyperlink>
      <w:r w:rsidRPr="00BD71B5">
        <w:rPr>
          <w:rFonts w:ascii="David" w:hAnsi="David"/>
          <w:b/>
          <w:bCs/>
          <w:rtl/>
        </w:rPr>
        <w:t xml:space="preserve"> </w:t>
      </w:r>
      <w:r w:rsidRPr="00BD71B5">
        <w:rPr>
          <w:rFonts w:ascii="David" w:hAnsi="David"/>
          <w:rtl/>
        </w:rPr>
        <w:t xml:space="preserve"> </w:t>
      </w:r>
      <w:r w:rsidRPr="00BD71B5">
        <w:rPr>
          <w:rFonts w:ascii="David" w:hAnsi="David"/>
          <w:b/>
          <w:bCs/>
          <w:rtl/>
        </w:rPr>
        <w:t>(חוק העונשין (תיקון מס' 140 – הוראת שעה), התשפ"ב-2021)</w:t>
      </w:r>
      <w:r>
        <w:rPr>
          <w:rFonts w:ascii="David" w:hAnsi="David" w:hint="cs"/>
          <w:b/>
          <w:bCs/>
          <w:rtl/>
        </w:rPr>
        <w:t xml:space="preserve"> [</w:t>
      </w:r>
      <w:r w:rsidRPr="00BD71B5">
        <w:rPr>
          <w:rFonts w:ascii="David" w:hAnsi="David"/>
          <w:b/>
          <w:bCs/>
          <w:rtl/>
        </w:rPr>
        <w:t>...</w:t>
      </w:r>
      <w:r>
        <w:rPr>
          <w:rFonts w:ascii="David" w:hAnsi="David" w:hint="cs"/>
          <w:b/>
          <w:bCs/>
          <w:rtl/>
        </w:rPr>
        <w:t xml:space="preserve">] </w:t>
      </w:r>
      <w:r w:rsidRPr="00BD71B5">
        <w:rPr>
          <w:rFonts w:ascii="David" w:hAnsi="David"/>
          <w:b/>
          <w:bCs/>
          <w:rtl/>
        </w:rPr>
        <w:t>הקובע עונשי מינימום לעבירות נשק"</w:t>
      </w:r>
      <w:r w:rsidRPr="00BD71B5">
        <w:rPr>
          <w:rFonts w:ascii="David" w:hAnsi="David"/>
          <w:rtl/>
        </w:rPr>
        <w:t xml:space="preserve">. </w:t>
      </w:r>
    </w:p>
    <w:p w14:paraId="03181725" w14:textId="77777777" w:rsidR="00161CD5" w:rsidRPr="00BD71B5" w:rsidRDefault="00161CD5" w:rsidP="00161CD5">
      <w:pPr>
        <w:spacing w:line="360" w:lineRule="auto"/>
        <w:ind w:left="850" w:right="851"/>
        <w:jc w:val="both"/>
        <w:rPr>
          <w:rFonts w:ascii="David" w:hAnsi="David"/>
          <w:b/>
          <w:bCs/>
          <w:rtl/>
        </w:rPr>
      </w:pPr>
    </w:p>
    <w:p w14:paraId="4E3C9EC9" w14:textId="77777777" w:rsidR="00161CD5" w:rsidRDefault="00161CD5" w:rsidP="00161CD5">
      <w:pPr>
        <w:spacing w:line="360" w:lineRule="auto"/>
        <w:ind w:hanging="567"/>
        <w:jc w:val="both"/>
        <w:rPr>
          <w:rFonts w:ascii="David" w:hAnsi="David"/>
          <w:rtl/>
        </w:rPr>
      </w:pPr>
      <w:r>
        <w:rPr>
          <w:rFonts w:ascii="David" w:hAnsi="David" w:hint="cs"/>
          <w:rtl/>
        </w:rPr>
        <w:t>12.</w:t>
      </w:r>
      <w:r>
        <w:rPr>
          <w:rFonts w:ascii="David" w:hAnsi="David" w:hint="cs"/>
          <w:rtl/>
        </w:rPr>
        <w:tab/>
      </w:r>
      <w:r>
        <w:rPr>
          <w:rFonts w:ascii="David" w:hAnsi="David"/>
          <w:rtl/>
        </w:rPr>
        <w:t>ביחס לנסיבות</w:t>
      </w:r>
      <w:r>
        <w:rPr>
          <w:rtl/>
        </w:rPr>
        <w:t xml:space="preserve"> </w:t>
      </w:r>
      <w:r>
        <w:rPr>
          <w:rFonts w:ascii="David" w:hAnsi="David"/>
          <w:rtl/>
        </w:rPr>
        <w:t>הקשורות בביצוע העביר</w:t>
      </w:r>
      <w:r>
        <w:rPr>
          <w:rFonts w:ascii="David" w:hAnsi="David" w:hint="cs"/>
          <w:rtl/>
        </w:rPr>
        <w:t>ות</w:t>
      </w:r>
      <w:r>
        <w:rPr>
          <w:rFonts w:ascii="David" w:hAnsi="David"/>
          <w:rtl/>
        </w:rPr>
        <w:t xml:space="preserve"> מצאתי לתת משק</w:t>
      </w:r>
      <w:r>
        <w:rPr>
          <w:rFonts w:ascii="David" w:hAnsi="David" w:hint="cs"/>
          <w:rtl/>
        </w:rPr>
        <w:t>ל לתכנון המוקדם של הנאשם (הצטיידות בנשק, חבירה לאחרים, שהגיעו רעולי פנים והגעה בשני כלי רכב אל הזירה); לאופי ולסוג הנשק איתו הגיע הנאשם (נשק ארוך);</w:t>
      </w:r>
      <w:r w:rsidRPr="007A2F7E">
        <w:rPr>
          <w:rFonts w:ascii="David" w:hAnsi="David" w:hint="cs"/>
          <w:rtl/>
        </w:rPr>
        <w:t xml:space="preserve"> </w:t>
      </w:r>
      <w:r>
        <w:rPr>
          <w:rFonts w:ascii="David" w:hAnsi="David" w:hint="cs"/>
          <w:rtl/>
        </w:rPr>
        <w:t>להובלת כלי הנשק; לשימוש המסוכן בנשק (ירי של 3 כדורים באופן שהיה בו כדי לסכן המתלונן) לתעוזה שגילה הנאשם (ירי במרחב ציבורי, בשעות אחר הצוהריים); לסיכון ולפוטנציאל הנזק שעלול היה להיגרם; לנזק הקנייני שנגרם (שוד של כלי רכב); לנזק הנפשי שנגרם למתלונן (כעולה מתסקיר נפגע העבירה) ולסיבה בעטיה בוצעו העבירות (סכסוך כספי בין קרובי משפחה).</w:t>
      </w:r>
    </w:p>
    <w:p w14:paraId="06A475A5" w14:textId="77777777" w:rsidR="00161CD5" w:rsidRDefault="00161CD5" w:rsidP="00161CD5">
      <w:pPr>
        <w:spacing w:line="360" w:lineRule="auto"/>
        <w:ind w:hanging="567"/>
        <w:jc w:val="both"/>
        <w:rPr>
          <w:rFonts w:ascii="David" w:hAnsi="David"/>
          <w:rtl/>
        </w:rPr>
      </w:pPr>
    </w:p>
    <w:p w14:paraId="6E41DF47" w14:textId="77777777" w:rsidR="00161CD5" w:rsidRDefault="00161CD5" w:rsidP="00161CD5">
      <w:pPr>
        <w:spacing w:line="360" w:lineRule="auto"/>
        <w:ind w:hanging="567"/>
        <w:jc w:val="both"/>
        <w:rPr>
          <w:rFonts w:ascii="David" w:hAnsi="David"/>
          <w:rtl/>
        </w:rPr>
      </w:pPr>
      <w:r>
        <w:rPr>
          <w:rFonts w:ascii="David" w:hAnsi="David"/>
          <w:rtl/>
        </w:rPr>
        <w:tab/>
      </w:r>
      <w:r>
        <w:rPr>
          <w:rFonts w:ascii="David" w:hAnsi="David" w:hint="cs"/>
          <w:rtl/>
        </w:rPr>
        <w:t xml:space="preserve">לצד האמור, נתתי משקל לכך שהירי בוצע לאוויר ולא לכיוונו של המתלונן ולכך שבסופו של יום לא נגרם כל נזק פיזי למתלונן או לציבור. </w:t>
      </w:r>
    </w:p>
    <w:p w14:paraId="701FAAAA" w14:textId="77777777" w:rsidR="00161CD5" w:rsidRDefault="00161CD5" w:rsidP="00161CD5">
      <w:pPr>
        <w:spacing w:line="360" w:lineRule="auto"/>
        <w:jc w:val="both"/>
        <w:rPr>
          <w:rFonts w:ascii="David" w:hAnsi="David"/>
          <w:rtl/>
        </w:rPr>
      </w:pPr>
      <w:r>
        <w:rPr>
          <w:rFonts w:ascii="David" w:hAnsi="David" w:hint="cs"/>
          <w:rtl/>
        </w:rPr>
        <w:t xml:space="preserve">אציין כי נתתי דעתי לאמירת הנאשם למתלונן לפיה אם יביא הכסף שהוא חייב הוא יוכל לקחת את הרכב. ספק בעיני אם ניתן לראות בכך נסיבה לקולה שכן אמירה זו כורכת עמה פן מסוים של חומרה, של לקיחת החוק לידיים ושימוש בכח לצורך פתרון סכסוכים. </w:t>
      </w:r>
    </w:p>
    <w:p w14:paraId="09E32FFA" w14:textId="77777777" w:rsidR="00161CD5" w:rsidRDefault="00161CD5" w:rsidP="00161CD5">
      <w:pPr>
        <w:spacing w:line="360" w:lineRule="auto"/>
        <w:jc w:val="both"/>
        <w:rPr>
          <w:rFonts w:ascii="David" w:hAnsi="David"/>
        </w:rPr>
      </w:pPr>
    </w:p>
    <w:p w14:paraId="6BB432CE" w14:textId="77777777" w:rsidR="00161CD5" w:rsidRPr="001505BC" w:rsidRDefault="00161CD5" w:rsidP="00161CD5">
      <w:pPr>
        <w:spacing w:line="360" w:lineRule="auto"/>
        <w:ind w:hanging="567"/>
        <w:jc w:val="both"/>
        <w:rPr>
          <w:rFonts w:ascii="Arial" w:hAnsi="Arial"/>
        </w:rPr>
      </w:pPr>
      <w:r>
        <w:rPr>
          <w:rFonts w:ascii="David" w:hAnsi="David" w:hint="cs"/>
          <w:rtl/>
        </w:rPr>
        <w:t>13.</w:t>
      </w:r>
      <w:r>
        <w:rPr>
          <w:rFonts w:ascii="David" w:hAnsi="David" w:hint="cs"/>
          <w:rtl/>
        </w:rPr>
        <w:tab/>
      </w:r>
      <w:r>
        <w:rPr>
          <w:rFonts w:ascii="David" w:hAnsi="David"/>
          <w:rtl/>
        </w:rPr>
        <w:t>באשר לענישה הנוהגת בעבירת השוד בנסיבות מחמירות, הרי שזו על-פי רוב כוללת רכיב משמעותי של מאסר בפועל.</w:t>
      </w:r>
      <w:r>
        <w:rPr>
          <w:rFonts w:ascii="David" w:hAnsi="David" w:hint="cs"/>
          <w:rtl/>
        </w:rPr>
        <w:t xml:space="preserve"> ב</w:t>
      </w:r>
      <w:hyperlink r:id="rId22" w:history="1">
        <w:r w:rsidR="000A302F" w:rsidRPr="000A302F">
          <w:rPr>
            <w:rFonts w:ascii="David" w:hAnsi="David"/>
            <w:color w:val="0000FF"/>
            <w:u w:val="single"/>
            <w:rtl/>
          </w:rPr>
          <w:t>ע"פ 4841/13</w:t>
        </w:r>
      </w:hyperlink>
      <w:r>
        <w:rPr>
          <w:rFonts w:ascii="David" w:hAnsi="David" w:hint="cs"/>
          <w:rtl/>
        </w:rPr>
        <w:t xml:space="preserve"> </w:t>
      </w:r>
      <w:r>
        <w:rPr>
          <w:rFonts w:ascii="David" w:hAnsi="David"/>
          <w:b/>
          <w:bCs/>
          <w:rtl/>
        </w:rPr>
        <w:t xml:space="preserve">ספי נ' מדינת ישראל </w:t>
      </w:r>
      <w:r>
        <w:rPr>
          <w:rFonts w:ascii="David" w:hAnsi="David"/>
          <w:rtl/>
        </w:rPr>
        <w:t>(פורסם בנבו, 06.02.2014), פסקה י' הבהיר בית המשפט העליון כי:</w:t>
      </w:r>
    </w:p>
    <w:p w14:paraId="7B0DF062" w14:textId="77777777" w:rsidR="00161CD5" w:rsidRDefault="00161CD5" w:rsidP="00161CD5">
      <w:pPr>
        <w:spacing w:line="360" w:lineRule="auto"/>
        <w:ind w:left="567" w:right="851"/>
        <w:jc w:val="both"/>
        <w:rPr>
          <w:b/>
          <w:bCs/>
          <w:rtl/>
        </w:rPr>
      </w:pPr>
      <w:r>
        <w:rPr>
          <w:rFonts w:ascii="David" w:hAnsi="David"/>
          <w:rtl/>
        </w:rPr>
        <w:t>"</w:t>
      </w:r>
      <w:r>
        <w:rPr>
          <w:b/>
          <w:bCs/>
          <w:rtl/>
        </w:rPr>
        <w:t xml:space="preserve">כבר נכתב פעם אחר פעם כי עבירת השוד צריך שתידון במאסר מאחורי סורג ובריח ועל פי רוב גם לא לתקופה קצרה. זאת, ראשית, בשל הוראת המחוקק </w:t>
      </w:r>
      <w:hyperlink r:id="rId23" w:history="1">
        <w:r w:rsidR="006C5313" w:rsidRPr="006C5313">
          <w:rPr>
            <w:rStyle w:val="Hyperlink"/>
            <w:b/>
            <w:bCs/>
            <w:color w:val="0000FF"/>
            <w:rtl/>
          </w:rPr>
          <w:t>בסעיף 402</w:t>
        </w:r>
      </w:hyperlink>
      <w:r>
        <w:rPr>
          <w:b/>
          <w:bCs/>
          <w:rtl/>
        </w:rPr>
        <w:t xml:space="preserve"> ל</w:t>
      </w:r>
      <w:hyperlink r:id="rId24" w:history="1">
        <w:r w:rsidR="000A302F" w:rsidRPr="000A302F">
          <w:rPr>
            <w:b/>
            <w:bCs/>
            <w:color w:val="0000FF"/>
            <w:u w:val="single"/>
            <w:rtl/>
          </w:rPr>
          <w:t>חוק העונשין</w:t>
        </w:r>
      </w:hyperlink>
      <w:r>
        <w:rPr>
          <w:rFonts w:hint="cs"/>
          <w:b/>
          <w:bCs/>
          <w:rtl/>
        </w:rPr>
        <w:t xml:space="preserve"> </w:t>
      </w:r>
      <w:r>
        <w:rPr>
          <w:b/>
          <w:bCs/>
          <w:rtl/>
        </w:rPr>
        <w:t xml:space="preserve">הקובעת עונש מירבי של 14 שנות מאסר, ובנידון דידן בשוד בנסיבות מחמירות (בחבורה) אף 20 שנות מאסר [...] </w:t>
      </w:r>
    </w:p>
    <w:p w14:paraId="60CBE100" w14:textId="77777777" w:rsidR="00161CD5" w:rsidRDefault="00161CD5" w:rsidP="00161CD5">
      <w:pPr>
        <w:spacing w:line="360" w:lineRule="auto"/>
        <w:ind w:left="567" w:right="851"/>
        <w:jc w:val="both"/>
        <w:rPr>
          <w:rFonts w:ascii="David" w:hAnsi="David"/>
          <w:rtl/>
        </w:rPr>
      </w:pPr>
      <w:r>
        <w:rPr>
          <w:b/>
          <w:bCs/>
          <w:rtl/>
        </w:rPr>
        <w:t>שנית, עבירה זו חמורה מטבעה, שכן משמיעה היא אלימות או פוטנציאל לאלימות, כי לא אחת יתנגד הקרבן לשוד, ולא אחת ישלוף השודד נשק חם או קר ויכלה זעמו בקרבן, או יפגע בו כדי להשתיקו</w:t>
      </w:r>
      <w:r>
        <w:rPr>
          <w:rFonts w:hint="cs"/>
          <w:b/>
          <w:bCs/>
          <w:rtl/>
        </w:rPr>
        <w:t xml:space="preserve"> [...] </w:t>
      </w:r>
      <w:r>
        <w:rPr>
          <w:b/>
          <w:bCs/>
          <w:rtl/>
        </w:rPr>
        <w:t>ניתן דעתנו גם לטראומה הנלוית לעבירה זו אצל הקרבן. המחוקק ביקש, למצער, להרתיע –את הנאשמים שלפנינו, ומכל מקום להרחיקם מן החברה לתקופה מתאימה</w:t>
      </w:r>
      <w:r>
        <w:rPr>
          <w:rtl/>
        </w:rPr>
        <w:t>".</w:t>
      </w:r>
      <w:r>
        <w:rPr>
          <w:rFonts w:ascii="David" w:hAnsi="David"/>
        </w:rPr>
        <w:t xml:space="preserve"> </w:t>
      </w:r>
    </w:p>
    <w:p w14:paraId="0883B184" w14:textId="77777777" w:rsidR="00161CD5" w:rsidRDefault="00161CD5" w:rsidP="00161CD5">
      <w:pPr>
        <w:spacing w:line="360" w:lineRule="auto"/>
        <w:ind w:left="567" w:right="851"/>
        <w:jc w:val="both"/>
        <w:rPr>
          <w:rFonts w:ascii="David" w:hAnsi="David"/>
          <w:rtl/>
        </w:rPr>
      </w:pPr>
    </w:p>
    <w:p w14:paraId="3F3DD9BD" w14:textId="77777777" w:rsidR="00161CD5" w:rsidRDefault="00161CD5" w:rsidP="00161CD5">
      <w:pPr>
        <w:spacing w:line="360" w:lineRule="auto"/>
        <w:ind w:hanging="567"/>
        <w:jc w:val="both"/>
        <w:rPr>
          <w:rFonts w:ascii="David" w:hAnsi="David"/>
        </w:rPr>
      </w:pPr>
      <w:r>
        <w:rPr>
          <w:rFonts w:ascii="David" w:hAnsi="David"/>
          <w:rtl/>
        </w:rPr>
        <w:tab/>
        <w:t xml:space="preserve">מטבע הדברים, הענישה בעבירת השוד מגוונת ותלויה בנסיבות ה"עושה" לרבות בגילו של הנאשם,  עברו הפלילי ובשאלת השתלבותו בהליך שיקומי אך בעיקר תלויה היא בנסיבות ה"מעשה" לרבות אופי האלימות, מידת הנזק הגופני והנפשי שנגרם, זהות הקורבנות (נותני שירות, קשישים, חסרי ישע, קטינים), מקום ביצוע השוד (בתוך בית, במקום שנותן שירות לציבור, במרחב הציבורי), שוויו וטיבו של הרכוש שנשדד, האם מדובר בשוד ספונטאני או בשוד מתוכנן, האם נעשה שימוש בנשק קר או חם, האם העבירה בוצעה בצוותא עם אחרים או על-ידי נאשם יחיד והאם נלוו לביצוע העבירה עבירות נלוות נוספות. </w:t>
      </w:r>
    </w:p>
    <w:p w14:paraId="42D6F7C2" w14:textId="77777777" w:rsidR="00161CD5" w:rsidRDefault="00161CD5" w:rsidP="00161CD5">
      <w:pPr>
        <w:spacing w:line="360" w:lineRule="auto"/>
        <w:ind w:hanging="567"/>
        <w:jc w:val="both"/>
        <w:rPr>
          <w:rFonts w:ascii="David" w:hAnsi="David"/>
          <w:rtl/>
        </w:rPr>
      </w:pPr>
      <w:r>
        <w:rPr>
          <w:rFonts w:ascii="David" w:hAnsi="David"/>
          <w:rtl/>
        </w:rPr>
        <w:tab/>
        <w:t>עם זאת, כפי שכבר צוין, המגמה המסתמנת בפסיקה היא של החמרה בענישה, תוך מתן משקל בכורה לשיקולי הגמול וההרתעה</w:t>
      </w:r>
      <w:r>
        <w:rPr>
          <w:rFonts w:ascii="David" w:hAnsi="David" w:hint="cs"/>
          <w:rtl/>
        </w:rPr>
        <w:t xml:space="preserve"> </w:t>
      </w:r>
      <w:r>
        <w:rPr>
          <w:rFonts w:ascii="David" w:hAnsi="David"/>
          <w:rtl/>
        </w:rPr>
        <w:t>כאשר לנסיבותיו של העבריין יינתן משקל מופחת באופן יחסי</w:t>
      </w:r>
      <w:r>
        <w:rPr>
          <w:rFonts w:ascii="David" w:hAnsi="David" w:hint="cs"/>
          <w:rtl/>
        </w:rPr>
        <w:t xml:space="preserve"> (</w:t>
      </w:r>
      <w:hyperlink r:id="rId25" w:history="1">
        <w:r w:rsidR="000A302F" w:rsidRPr="000A302F">
          <w:rPr>
            <w:rFonts w:ascii="David" w:hAnsi="David"/>
            <w:color w:val="0000FF"/>
            <w:u w:val="single"/>
            <w:rtl/>
          </w:rPr>
          <w:t>ע"פ 5881/14</w:t>
        </w:r>
      </w:hyperlink>
      <w:r>
        <w:rPr>
          <w:rFonts w:ascii="David" w:hAnsi="David"/>
          <w:rtl/>
        </w:rPr>
        <w:t xml:space="preserve"> </w:t>
      </w:r>
      <w:r>
        <w:rPr>
          <w:rFonts w:ascii="David" w:hAnsi="David"/>
          <w:b/>
          <w:bCs/>
          <w:rtl/>
        </w:rPr>
        <w:t>ביארי נ' מדינת ישראל</w:t>
      </w:r>
      <w:r>
        <w:rPr>
          <w:rFonts w:ascii="David" w:hAnsi="David"/>
          <w:rtl/>
        </w:rPr>
        <w:t xml:space="preserve"> [פורסם בנבו, 26.7.2015], פסקה 13).</w:t>
      </w:r>
    </w:p>
    <w:p w14:paraId="4BEBADFC" w14:textId="77777777" w:rsidR="00161CD5" w:rsidRDefault="00161CD5" w:rsidP="00161CD5">
      <w:pPr>
        <w:spacing w:line="360" w:lineRule="auto"/>
        <w:ind w:hanging="567"/>
        <w:jc w:val="both"/>
        <w:rPr>
          <w:rFonts w:ascii="David" w:hAnsi="David"/>
          <w:rtl/>
        </w:rPr>
      </w:pPr>
    </w:p>
    <w:p w14:paraId="2B7E7497" w14:textId="77777777" w:rsidR="00161CD5" w:rsidRDefault="00161CD5" w:rsidP="00161CD5">
      <w:pPr>
        <w:spacing w:line="360" w:lineRule="auto"/>
        <w:jc w:val="both"/>
        <w:rPr>
          <w:rFonts w:ascii="David" w:hAnsi="David"/>
          <w:rtl/>
        </w:rPr>
      </w:pPr>
      <w:r>
        <w:rPr>
          <w:rFonts w:ascii="David" w:hAnsi="David"/>
          <w:rtl/>
        </w:rPr>
        <w:t>ב</w:t>
      </w:r>
      <w:hyperlink r:id="rId26" w:history="1">
        <w:r w:rsidR="000A302F" w:rsidRPr="000A302F">
          <w:rPr>
            <w:rFonts w:ascii="David" w:hAnsi="David"/>
            <w:color w:val="0000FF"/>
            <w:u w:val="single"/>
            <w:rtl/>
          </w:rPr>
          <w:t>ע"פ 2454/17</w:t>
        </w:r>
      </w:hyperlink>
      <w:r>
        <w:rPr>
          <w:rFonts w:ascii="David" w:hAnsi="David"/>
          <w:rtl/>
        </w:rPr>
        <w:t xml:space="preserve"> </w:t>
      </w:r>
      <w:r>
        <w:rPr>
          <w:rFonts w:ascii="David" w:hAnsi="David"/>
          <w:b/>
          <w:bCs/>
          <w:rtl/>
        </w:rPr>
        <w:t>מדינת ישראל נ' ניירוך</w:t>
      </w:r>
      <w:r>
        <w:rPr>
          <w:rFonts w:ascii="David" w:hAnsi="David"/>
          <w:rtl/>
        </w:rPr>
        <w:t xml:space="preserve"> (פורסם בנבו,15.6.17) קיבל בית המשפט העליון את ערעור המאשימה על קולת העונש וגזר על נאשם שהורשע בעבירה של שוד בנסיבות מחמירות בחבורה 38 חודשי מאסר חלף 32 חודשי מאסר שגזר עליו בית המשפט המחוזי תוך ציון שאין דרכה של ערכאת הערעור למצות את העונש. במקרה זה  הנאשם ואחרים ביימו תאונה בכך שהתנגשו קלות ברכב ולאחר שנהגת הרכב עצרה ניגש אליה אחד מהאחרים משך אותה משערה הוציא אותה מהרכב והחל בנסיעה. המתלוננת אחזה במדרגת דלת הרכב ונגררה מספר מטרים, והנאשם בעט בידה ובראשה עד שנפלה ארצה. </w:t>
      </w:r>
    </w:p>
    <w:p w14:paraId="2D4B88BE" w14:textId="77777777" w:rsidR="00161CD5" w:rsidRDefault="00161CD5" w:rsidP="00161CD5">
      <w:pPr>
        <w:spacing w:line="360" w:lineRule="auto"/>
        <w:jc w:val="both"/>
        <w:rPr>
          <w:rFonts w:ascii="David" w:hAnsi="David"/>
          <w:rtl/>
        </w:rPr>
      </w:pPr>
    </w:p>
    <w:p w14:paraId="45C9AA3A" w14:textId="77777777" w:rsidR="00161CD5" w:rsidRDefault="00161CD5" w:rsidP="00161CD5">
      <w:pPr>
        <w:spacing w:line="360" w:lineRule="auto"/>
        <w:jc w:val="both"/>
        <w:rPr>
          <w:rFonts w:ascii="David" w:hAnsi="David"/>
        </w:rPr>
      </w:pPr>
      <w:r>
        <w:rPr>
          <w:rFonts w:ascii="David" w:hAnsi="David" w:hint="cs"/>
          <w:rtl/>
        </w:rPr>
        <w:t>ב</w:t>
      </w:r>
      <w:hyperlink r:id="rId27" w:history="1">
        <w:r w:rsidR="000A302F" w:rsidRPr="000A302F">
          <w:rPr>
            <w:rFonts w:ascii="David" w:hAnsi="David"/>
            <w:color w:val="0000FF"/>
            <w:u w:val="single"/>
            <w:rtl/>
          </w:rPr>
          <w:t>ע"פ 2385/18</w:t>
        </w:r>
      </w:hyperlink>
      <w:r>
        <w:rPr>
          <w:rFonts w:ascii="David" w:hAnsi="David"/>
          <w:rtl/>
        </w:rPr>
        <w:t xml:space="preserve"> </w:t>
      </w:r>
      <w:r>
        <w:rPr>
          <w:rFonts w:ascii="David" w:hAnsi="David"/>
          <w:b/>
          <w:bCs/>
          <w:rtl/>
        </w:rPr>
        <w:t>אבו ג'אבר נ' מדינת ישראל</w:t>
      </w:r>
      <w:r>
        <w:rPr>
          <w:rFonts w:ascii="David" w:hAnsi="David"/>
          <w:rtl/>
        </w:rPr>
        <w:t xml:space="preserve"> </w:t>
      </w:r>
      <w:r>
        <w:rPr>
          <w:rFonts w:ascii="David" w:hAnsi="David" w:hint="cs"/>
          <w:rtl/>
        </w:rPr>
        <w:t>(</w:t>
      </w:r>
      <w:r>
        <w:rPr>
          <w:rFonts w:ascii="David" w:hAnsi="David"/>
          <w:rtl/>
        </w:rPr>
        <w:t>פורסם בנבו, 6.9.2018</w:t>
      </w:r>
      <w:r>
        <w:rPr>
          <w:rFonts w:ascii="David" w:hAnsi="David" w:hint="cs"/>
          <w:rtl/>
        </w:rPr>
        <w:t xml:space="preserve">) חזר בו נאשם מערעור שהגיש על גזר דין של בית המשפט המחוזי במסגרתו נדון ל-36 חודשי מאסר וזאת לאחר שהורשע בעבירה של </w:t>
      </w:r>
      <w:r>
        <w:rPr>
          <w:rFonts w:ascii="David" w:hAnsi="David"/>
          <w:rtl/>
        </w:rPr>
        <w:t>שוד בחבורה בנסיבות מחמירות</w:t>
      </w:r>
      <w:r>
        <w:rPr>
          <w:rFonts w:ascii="David" w:hAnsi="David" w:hint="cs"/>
          <w:rtl/>
        </w:rPr>
        <w:t xml:space="preserve">. </w:t>
      </w:r>
      <w:r>
        <w:rPr>
          <w:rFonts w:ascii="David" w:hAnsi="David"/>
          <w:rtl/>
        </w:rPr>
        <w:t>במקרה זה הנאשם יחד עם אחרים שדדו מהמתלוננים את רכבם בכך שחסמו את הרכב בגופם, הנאשם משך את מפתחות הרכב, כיבה את הרכב, פתח את נעילת החלונות והדלתות והתיישב במושב הנהג. אחד האחרים איים על המתלונן שישב לצד הנהג שיצא מהרכב ונכנס במקומו. הנאשם החל בנסיעה ואז הבחינו במתלונן השלישי שישב מאחור איימו עליו שייצא ולאחר שזה יצא נסעו עם הרכב כשהם מותירים את המתלוננים במקום.</w:t>
      </w:r>
    </w:p>
    <w:p w14:paraId="64945EAA" w14:textId="77777777" w:rsidR="00161CD5" w:rsidRPr="00DA2F16" w:rsidRDefault="00161CD5" w:rsidP="00161CD5">
      <w:pPr>
        <w:spacing w:after="160" w:line="360" w:lineRule="auto"/>
        <w:ind w:left="652" w:hanging="709"/>
        <w:jc w:val="both"/>
        <w:rPr>
          <w:rFonts w:ascii="David" w:hAnsi="David"/>
          <w:rtl/>
        </w:rPr>
      </w:pPr>
    </w:p>
    <w:p w14:paraId="2B0099AB" w14:textId="77777777" w:rsidR="00161CD5" w:rsidRDefault="00161CD5" w:rsidP="00161CD5">
      <w:pPr>
        <w:spacing w:line="360" w:lineRule="auto"/>
        <w:jc w:val="both"/>
        <w:rPr>
          <w:rFonts w:ascii="David" w:hAnsi="David"/>
          <w:rtl/>
        </w:rPr>
      </w:pPr>
      <w:r>
        <w:rPr>
          <w:rFonts w:ascii="David" w:hAnsi="David"/>
          <w:rtl/>
        </w:rPr>
        <w:t>ב</w:t>
      </w:r>
      <w:hyperlink r:id="rId28" w:history="1">
        <w:r w:rsidR="000A302F" w:rsidRPr="000A302F">
          <w:rPr>
            <w:rFonts w:ascii="David" w:hAnsi="David"/>
            <w:color w:val="0000FF"/>
            <w:u w:val="single"/>
            <w:rtl/>
          </w:rPr>
          <w:t>ת"פ (מחוזי-מרכז) 10984-08-15</w:t>
        </w:r>
      </w:hyperlink>
      <w:r>
        <w:rPr>
          <w:rFonts w:ascii="David" w:hAnsi="David"/>
          <w:rtl/>
        </w:rPr>
        <w:t xml:space="preserve"> </w:t>
      </w:r>
      <w:r>
        <w:rPr>
          <w:rFonts w:ascii="David" w:hAnsi="David"/>
          <w:b/>
          <w:bCs/>
          <w:rtl/>
        </w:rPr>
        <w:t>מדינת ישראל נ' איסאקוב</w:t>
      </w:r>
      <w:r>
        <w:rPr>
          <w:rFonts w:ascii="David" w:hAnsi="David"/>
          <w:rtl/>
        </w:rPr>
        <w:t xml:space="preserve"> (פורסם בנבו,8.1.18) בית המשפט גזר</w:t>
      </w:r>
      <w:r>
        <w:rPr>
          <w:rFonts w:ascii="David" w:hAnsi="David" w:hint="cs"/>
          <w:rtl/>
        </w:rPr>
        <w:t xml:space="preserve"> </w:t>
      </w:r>
      <w:r>
        <w:rPr>
          <w:rFonts w:ascii="David" w:hAnsi="David"/>
          <w:rtl/>
        </w:rPr>
        <w:t xml:space="preserve">על נאשם שהורשע בביצוע עבירה של שוד מזוין בחבורה, קשירת קשר לביצוע פשע ונהיגה פזיזה ורשלנית לאחר ניהול הליך הוכחות עונש של 48 חודשי מאסר (לא כולל מאסר מותנה בן 18 חודשים שהופעל במצטבר). במקרה זה הנאשם קשר קֶשֶר עם קטין ובהמשך שדדו מהמתלונן את רכבו כשזה החנה אותו בחניית ביתו, תוך שהקטין מושך את המתלונן מרכבו והנאשם מאיים עליו עם אקדח. בהמשך נסעו הנאשמים במהירות וכמעט פגעו בעוברי אורח. </w:t>
      </w:r>
    </w:p>
    <w:p w14:paraId="5113FCE7" w14:textId="77777777" w:rsidR="00161CD5" w:rsidRPr="00E71CC4" w:rsidRDefault="00161CD5" w:rsidP="00161CD5">
      <w:pPr>
        <w:spacing w:line="360" w:lineRule="auto"/>
        <w:jc w:val="both"/>
        <w:rPr>
          <w:rFonts w:ascii="David" w:hAnsi="David"/>
          <w:rtl/>
        </w:rPr>
      </w:pPr>
    </w:p>
    <w:p w14:paraId="06DA0436" w14:textId="77777777" w:rsidR="00161CD5" w:rsidRDefault="00161CD5" w:rsidP="00161CD5">
      <w:pPr>
        <w:spacing w:line="360" w:lineRule="auto"/>
        <w:jc w:val="both"/>
        <w:rPr>
          <w:rtl/>
        </w:rPr>
      </w:pPr>
      <w:r>
        <w:rPr>
          <w:rFonts w:hint="cs"/>
          <w:rtl/>
        </w:rPr>
        <w:t>לא למותר לציין, כי די בעבירה של נשיאה והובלת נשק, בהתעלם מעבירת השוד שעבר הנאשם, כדי להצדיק עונש מחמיר מזה שלו עתר ב"כ הנאשם. כך ב</w:t>
      </w:r>
      <w:hyperlink r:id="rId29" w:history="1">
        <w:r w:rsidR="000A302F" w:rsidRPr="000A302F">
          <w:rPr>
            <w:color w:val="0000FF"/>
            <w:u w:val="single"/>
            <w:rtl/>
          </w:rPr>
          <w:t>ע"פ 5602/22</w:t>
        </w:r>
      </w:hyperlink>
      <w:r>
        <w:rPr>
          <w:rFonts w:hint="cs"/>
          <w:rtl/>
        </w:rPr>
        <w:t xml:space="preserve"> </w:t>
      </w:r>
      <w:r>
        <w:rPr>
          <w:rFonts w:hint="cs"/>
          <w:b/>
          <w:bCs/>
          <w:rtl/>
        </w:rPr>
        <w:t xml:space="preserve">מדינת ישראל נ' פלוני </w:t>
      </w:r>
      <w:r>
        <w:rPr>
          <w:rFonts w:hint="cs"/>
          <w:rtl/>
        </w:rPr>
        <w:t>(פורסם בנבו, 14.09.2022), פסקה 16, הבהיר בית המשפט העליון כי:</w:t>
      </w:r>
    </w:p>
    <w:p w14:paraId="74E03A5F" w14:textId="77777777" w:rsidR="00161CD5" w:rsidRPr="00E71CC4" w:rsidRDefault="00161CD5" w:rsidP="00161CD5">
      <w:pPr>
        <w:spacing w:line="360" w:lineRule="auto"/>
        <w:ind w:left="567" w:right="851"/>
        <w:jc w:val="both"/>
        <w:rPr>
          <w:b/>
          <w:bCs/>
          <w:rtl/>
        </w:rPr>
      </w:pPr>
      <w:r w:rsidRPr="00E71CC4">
        <w:rPr>
          <w:rFonts w:hint="cs"/>
          <w:rtl/>
        </w:rPr>
        <w:t>"</w:t>
      </w:r>
      <w:r>
        <w:rPr>
          <w:rFonts w:hint="cs"/>
          <w:b/>
          <w:bCs/>
          <w:rtl/>
        </w:rPr>
        <w:t>כעולה מפסיקתו של בית משפט זה, מתחם הענישה הרגיל שראוי לקבוע לנאשם בגיר בגין נשיאה בלתי חוקית של נשק חם במרחב הציבורי נע בין 30 ל- 42 חודשי מאסר בין סורג ובריח [...] באין נסיבות מיוחדות לחומרא או לקולא, יהא זה בהחלט סביר אם בית משפט יטיל על נאשם כאמור עונש של 36 חודשי מאסר לריצוי בפועל. תקוותי היא כי אמות מידה אלה תנחנה את הערכאות הדיוניות באופן שיטתי, כך שמדיניות הענישה אשר נקוטה בידינו ביחס לעבירות נשק תיושם כהלכתה ובמלוא עוצמתה</w:t>
      </w:r>
      <w:r w:rsidRPr="00E71CC4">
        <w:rPr>
          <w:rFonts w:hint="cs"/>
          <w:rtl/>
        </w:rPr>
        <w:t>".</w:t>
      </w:r>
    </w:p>
    <w:p w14:paraId="592C3589" w14:textId="77777777" w:rsidR="00161CD5" w:rsidRDefault="00161CD5" w:rsidP="00161CD5">
      <w:pPr>
        <w:spacing w:line="360" w:lineRule="auto"/>
        <w:jc w:val="both"/>
        <w:rPr>
          <w:rtl/>
        </w:rPr>
      </w:pPr>
      <w:r>
        <w:rPr>
          <w:rFonts w:hint="cs"/>
          <w:rtl/>
        </w:rPr>
        <w:t xml:space="preserve"> </w:t>
      </w:r>
    </w:p>
    <w:p w14:paraId="100EBFAF" w14:textId="77777777" w:rsidR="00161CD5" w:rsidRPr="009B686F" w:rsidRDefault="00161CD5" w:rsidP="00161CD5">
      <w:pPr>
        <w:spacing w:line="360" w:lineRule="auto"/>
        <w:jc w:val="both"/>
        <w:rPr>
          <w:rtl/>
        </w:rPr>
      </w:pPr>
      <w:r>
        <w:rPr>
          <w:rFonts w:hint="cs"/>
          <w:rtl/>
        </w:rPr>
        <w:t xml:space="preserve">כן ראו בעניין זה גם </w:t>
      </w:r>
      <w:hyperlink r:id="rId30" w:history="1">
        <w:r w:rsidR="000A302F" w:rsidRPr="000A302F">
          <w:rPr>
            <w:color w:val="0000FF"/>
            <w:u w:val="single"/>
            <w:rtl/>
          </w:rPr>
          <w:t>ע"פ 6559/23</w:t>
        </w:r>
      </w:hyperlink>
      <w:r>
        <w:rPr>
          <w:rFonts w:hint="cs"/>
          <w:rtl/>
        </w:rPr>
        <w:t xml:space="preserve"> </w:t>
      </w:r>
      <w:r>
        <w:rPr>
          <w:rFonts w:hint="cs"/>
          <w:b/>
          <w:bCs/>
          <w:rtl/>
        </w:rPr>
        <w:t xml:space="preserve">מדינת ישראל נ' חסארמה </w:t>
      </w:r>
      <w:r>
        <w:rPr>
          <w:rFonts w:hint="cs"/>
          <w:rtl/>
        </w:rPr>
        <w:t>(פורסם בנבו, 02.06.2024), פסקה 8.</w:t>
      </w:r>
    </w:p>
    <w:p w14:paraId="20DC5A2B" w14:textId="77777777" w:rsidR="00161CD5" w:rsidRDefault="00161CD5" w:rsidP="00161CD5">
      <w:pPr>
        <w:spacing w:line="360" w:lineRule="auto"/>
        <w:jc w:val="both"/>
        <w:rPr>
          <w:rFonts w:ascii="David" w:hAnsi="David"/>
          <w:rtl/>
        </w:rPr>
      </w:pPr>
    </w:p>
    <w:p w14:paraId="407BE2F0" w14:textId="77777777" w:rsidR="00161CD5" w:rsidRDefault="00161CD5" w:rsidP="00161CD5">
      <w:pPr>
        <w:spacing w:line="360" w:lineRule="auto"/>
        <w:jc w:val="both"/>
        <w:rPr>
          <w:rFonts w:ascii="David" w:hAnsi="David"/>
          <w:rtl/>
        </w:rPr>
      </w:pPr>
      <w:r>
        <w:rPr>
          <w:rFonts w:ascii="David" w:hAnsi="David" w:hint="cs"/>
          <w:rtl/>
        </w:rPr>
        <w:t xml:space="preserve">עיינתי בפסיקה אליה הפנו הצדדים. מטבע הדברים, כל צד הפנה לפסיקה שיש בה כדי לתמוך בטענותיו. כך למשל הפנתה </w:t>
      </w:r>
      <w:r w:rsidRPr="00DA7774">
        <w:rPr>
          <w:rFonts w:ascii="David" w:hAnsi="David" w:hint="cs"/>
          <w:b/>
          <w:bCs/>
          <w:rtl/>
        </w:rPr>
        <w:t>המאשימה</w:t>
      </w:r>
      <w:r>
        <w:rPr>
          <w:rFonts w:ascii="David" w:hAnsi="David" w:hint="cs"/>
          <w:rtl/>
        </w:rPr>
        <w:t xml:space="preserve"> ל</w:t>
      </w:r>
      <w:hyperlink r:id="rId31" w:history="1">
        <w:r w:rsidR="000A302F" w:rsidRPr="000A302F">
          <w:rPr>
            <w:rFonts w:ascii="David" w:hAnsi="David"/>
            <w:color w:val="0000FF"/>
            <w:u w:val="single"/>
            <w:rtl/>
          </w:rPr>
          <w:t>ע"פ 2996/16</w:t>
        </w:r>
      </w:hyperlink>
      <w:r>
        <w:rPr>
          <w:rFonts w:ascii="David" w:hAnsi="David" w:hint="cs"/>
          <w:rtl/>
        </w:rPr>
        <w:t xml:space="preserve"> </w:t>
      </w:r>
      <w:r>
        <w:rPr>
          <w:rFonts w:ascii="David" w:hAnsi="David" w:hint="cs"/>
          <w:b/>
          <w:bCs/>
          <w:rtl/>
        </w:rPr>
        <w:t xml:space="preserve">בלאל נ' מדינת ישראל </w:t>
      </w:r>
      <w:r>
        <w:rPr>
          <w:rFonts w:ascii="David" w:hAnsi="David" w:hint="cs"/>
          <w:rtl/>
        </w:rPr>
        <w:t xml:space="preserve">(פורסם בנבו, 01.03.2017) בו נדון נאשם שהורשע בביצוע עבירות של ניסיון שוד בנסיבות מחמירות ועבירות נשק לעונש של 4 שנות מאסר וחצי וערעורו על חומרת העונש נדחה. נסיבות ביצוע העבירות באותו מקרה חמורות מאשר אלו שבענייננו בשים לב לכך שבאותו מקרה הנאשם דרך אקדח ואיים באמצעותו על הנשדדים, ובהמשך כיוון את האקדח לראשו של אחד המתלוננים, ובמהלך מאבק נורה כדור מאקדח שפגע ברגלו של אחד מהקושרים האחרים. עם זאת, באותו מקרה הורשע הנאשם בעבירה של ניסיון שוד, שלא בדומה לענייננו בו הורשע הנאשם בביצוע עבירה של שוד בנסיבות מחמירות לצד עבירות הנשק; </w:t>
      </w:r>
    </w:p>
    <w:p w14:paraId="6BBDD751" w14:textId="77777777" w:rsidR="00161CD5" w:rsidRDefault="00161CD5" w:rsidP="00161CD5">
      <w:pPr>
        <w:spacing w:line="360" w:lineRule="auto"/>
        <w:jc w:val="both"/>
        <w:rPr>
          <w:rFonts w:ascii="David" w:hAnsi="David"/>
          <w:rtl/>
        </w:rPr>
      </w:pPr>
    </w:p>
    <w:p w14:paraId="6CFA3F3A" w14:textId="77777777" w:rsidR="00161CD5" w:rsidRDefault="00161CD5" w:rsidP="00161CD5">
      <w:pPr>
        <w:spacing w:line="360" w:lineRule="auto"/>
        <w:jc w:val="both"/>
        <w:rPr>
          <w:rFonts w:ascii="David" w:hAnsi="David"/>
          <w:rtl/>
        </w:rPr>
      </w:pPr>
      <w:r>
        <w:rPr>
          <w:rFonts w:ascii="David" w:hAnsi="David" w:hint="cs"/>
          <w:rtl/>
        </w:rPr>
        <w:t>ול</w:t>
      </w:r>
      <w:hyperlink r:id="rId32" w:history="1">
        <w:r w:rsidR="000A302F" w:rsidRPr="000A302F">
          <w:rPr>
            <w:rFonts w:ascii="David" w:hAnsi="David"/>
            <w:color w:val="0000FF"/>
            <w:u w:val="single"/>
            <w:rtl/>
          </w:rPr>
          <w:t>ע"פ 1223/21</w:t>
        </w:r>
      </w:hyperlink>
      <w:r>
        <w:rPr>
          <w:rFonts w:ascii="David" w:hAnsi="David" w:hint="cs"/>
          <w:rtl/>
        </w:rPr>
        <w:t xml:space="preserve"> </w:t>
      </w:r>
      <w:r>
        <w:rPr>
          <w:rFonts w:ascii="David" w:hAnsi="David" w:hint="cs"/>
          <w:b/>
          <w:bCs/>
          <w:rtl/>
        </w:rPr>
        <w:t xml:space="preserve">צ'חבירדזה נ' מדינת ישראל </w:t>
      </w:r>
      <w:r>
        <w:rPr>
          <w:rFonts w:ascii="David" w:hAnsi="David" w:hint="cs"/>
          <w:rtl/>
        </w:rPr>
        <w:t xml:space="preserve">(פורסם בנבו, 14.07.2021) בו חזר הנאשם מערעור שהגיש על חומרת העונש שהוטל עליו בבית המשפט המחוזי </w:t>
      </w:r>
      <w:r>
        <w:rPr>
          <w:rFonts w:ascii="David" w:hAnsi="David"/>
          <w:rtl/>
        </w:rPr>
        <w:t>–</w:t>
      </w:r>
      <w:r>
        <w:rPr>
          <w:rFonts w:ascii="David" w:hAnsi="David" w:hint="cs"/>
          <w:rtl/>
        </w:rPr>
        <w:t xml:space="preserve"> 45 חודשי מאסר לצד עונשים נלווים </w:t>
      </w:r>
      <w:r>
        <w:rPr>
          <w:rFonts w:ascii="David" w:hAnsi="David"/>
          <w:rtl/>
        </w:rPr>
        <w:t>–</w:t>
      </w:r>
      <w:r>
        <w:rPr>
          <w:rFonts w:ascii="David" w:hAnsi="David" w:hint="cs"/>
          <w:rtl/>
        </w:rPr>
        <w:t xml:space="preserve"> וזאת בגין ביצוע עבירה של שוד. במקרה זה הנאשם שדד עובדת בחנות באמצעות סכין וניהל עמה מאבק עד שזו נפלה ונחבלה וזה נמלט מהמקום כשברשותו 23,000 ₪. </w:t>
      </w:r>
    </w:p>
    <w:p w14:paraId="57587733" w14:textId="77777777" w:rsidR="00161CD5" w:rsidRDefault="00161CD5" w:rsidP="00161CD5">
      <w:pPr>
        <w:spacing w:line="360" w:lineRule="auto"/>
        <w:jc w:val="both"/>
        <w:rPr>
          <w:rFonts w:ascii="David" w:hAnsi="David"/>
          <w:rtl/>
        </w:rPr>
      </w:pPr>
      <w:r>
        <w:rPr>
          <w:rFonts w:ascii="David" w:hAnsi="David" w:hint="cs"/>
          <w:rtl/>
        </w:rPr>
        <w:t>נדמה כי הנסיבות במקרה זה קלות מנסיבות ענייננו בשים לב לשוני בהיקף הפגיעה בקניין ולשוני בכלי הנשק בו נעשה שימוש לצורך ביצוע השוד.</w:t>
      </w:r>
    </w:p>
    <w:p w14:paraId="77E1C55A" w14:textId="77777777" w:rsidR="00161CD5" w:rsidRDefault="00161CD5" w:rsidP="00161CD5">
      <w:pPr>
        <w:spacing w:line="360" w:lineRule="auto"/>
        <w:jc w:val="both"/>
        <w:rPr>
          <w:rFonts w:ascii="David" w:hAnsi="David"/>
          <w:rtl/>
        </w:rPr>
      </w:pPr>
    </w:p>
    <w:p w14:paraId="2B5D0821" w14:textId="77777777" w:rsidR="00161CD5" w:rsidRDefault="00161CD5" w:rsidP="00161CD5">
      <w:pPr>
        <w:spacing w:line="360" w:lineRule="auto"/>
        <w:jc w:val="both"/>
        <w:rPr>
          <w:rFonts w:ascii="David" w:hAnsi="David"/>
          <w:rtl/>
        </w:rPr>
      </w:pPr>
      <w:r w:rsidRPr="00E71CC4">
        <w:rPr>
          <w:rFonts w:ascii="David" w:hAnsi="David" w:hint="cs"/>
          <w:b/>
          <w:bCs/>
          <w:rtl/>
        </w:rPr>
        <w:t>ב"כ הנאשם</w:t>
      </w:r>
      <w:r>
        <w:rPr>
          <w:rFonts w:ascii="David" w:hAnsi="David" w:hint="cs"/>
          <w:rtl/>
        </w:rPr>
        <w:t xml:space="preserve"> הפנה למשל ל</w:t>
      </w:r>
      <w:hyperlink r:id="rId33" w:history="1">
        <w:r w:rsidR="000A302F" w:rsidRPr="000A302F">
          <w:rPr>
            <w:rFonts w:ascii="David" w:hAnsi="David"/>
            <w:color w:val="0000FF"/>
            <w:u w:val="single"/>
            <w:rtl/>
          </w:rPr>
          <w:t>ת"פ (מחוזי–ב"ש) 38769-09-22</w:t>
        </w:r>
      </w:hyperlink>
      <w:r>
        <w:rPr>
          <w:rFonts w:ascii="David" w:hAnsi="David" w:hint="cs"/>
          <w:rtl/>
        </w:rPr>
        <w:t xml:space="preserve"> </w:t>
      </w:r>
      <w:r>
        <w:rPr>
          <w:rFonts w:ascii="David" w:hAnsi="David" w:hint="cs"/>
          <w:b/>
          <w:bCs/>
          <w:rtl/>
        </w:rPr>
        <w:t xml:space="preserve">מדינת ישראל נ' אלכמלאת </w:t>
      </w:r>
      <w:r>
        <w:rPr>
          <w:rFonts w:ascii="David" w:hAnsi="David" w:hint="cs"/>
          <w:rtl/>
        </w:rPr>
        <w:t xml:space="preserve">בו נדון נאשם שהורשע בביצוע עבירות של דרישת נכס באיומים, ניסיון שוד ושוד לעונש של 44 חודשי מאסר ועונשים נלווים. במקרה זה הנאשם ומעורבים נוספים ביצעו רצף עבירות תוך שימוש באקדחים במכולת ובמרכול. </w:t>
      </w:r>
    </w:p>
    <w:p w14:paraId="2B0DAC56" w14:textId="77777777" w:rsidR="00161CD5" w:rsidRDefault="00161CD5" w:rsidP="00161CD5">
      <w:pPr>
        <w:spacing w:line="360" w:lineRule="auto"/>
        <w:jc w:val="both"/>
        <w:rPr>
          <w:rFonts w:ascii="David" w:hAnsi="David"/>
          <w:rtl/>
        </w:rPr>
      </w:pPr>
      <w:r>
        <w:rPr>
          <w:rFonts w:ascii="David" w:hAnsi="David" w:hint="cs"/>
          <w:rtl/>
        </w:rPr>
        <w:t xml:space="preserve">דא עקא, שבמקרה זה העונש היה עונש שהוצג במסגרת הסדר טיעון "סגור" שאומץ על-ידי בית המשפט, כשהבסיס להסדר זה היה קשור בעיקרו לקשיים ראייתיים שנתגלו בתיק. </w:t>
      </w:r>
    </w:p>
    <w:p w14:paraId="46992A9F" w14:textId="77777777" w:rsidR="00161CD5" w:rsidRDefault="00161CD5" w:rsidP="00161CD5">
      <w:pPr>
        <w:spacing w:line="360" w:lineRule="auto"/>
        <w:jc w:val="both"/>
        <w:rPr>
          <w:rFonts w:ascii="David" w:hAnsi="David"/>
          <w:rtl/>
        </w:rPr>
      </w:pPr>
      <w:r>
        <w:rPr>
          <w:rFonts w:ascii="David" w:hAnsi="David" w:hint="cs"/>
          <w:rtl/>
        </w:rPr>
        <w:t>מטבע הדברים שיקולים אלה של בית משפט הנדרש לאמץ הסדר טיעון על בסיס קשיים ראייתיים אינם חופפים לשיקולים במקרה של טיעון על-פי טווח כבענייננו;</w:t>
      </w:r>
    </w:p>
    <w:p w14:paraId="7D04E542" w14:textId="77777777" w:rsidR="00161CD5" w:rsidRPr="00E71CC4" w:rsidRDefault="00161CD5" w:rsidP="00161CD5">
      <w:pPr>
        <w:spacing w:line="360" w:lineRule="auto"/>
        <w:jc w:val="both"/>
        <w:rPr>
          <w:rFonts w:ascii="David" w:hAnsi="David"/>
          <w:rtl/>
        </w:rPr>
      </w:pPr>
    </w:p>
    <w:p w14:paraId="3FDC0A77" w14:textId="77777777" w:rsidR="00161CD5" w:rsidRDefault="00161CD5" w:rsidP="00161CD5">
      <w:pPr>
        <w:spacing w:line="360" w:lineRule="auto"/>
        <w:jc w:val="both"/>
        <w:rPr>
          <w:rFonts w:ascii="David" w:hAnsi="David"/>
          <w:rtl/>
        </w:rPr>
      </w:pPr>
      <w:r>
        <w:rPr>
          <w:rFonts w:ascii="David" w:hAnsi="David" w:hint="cs"/>
          <w:rtl/>
        </w:rPr>
        <w:t>ול</w:t>
      </w:r>
      <w:hyperlink r:id="rId34" w:history="1">
        <w:r w:rsidR="000A302F" w:rsidRPr="000A302F">
          <w:rPr>
            <w:rFonts w:ascii="David" w:hAnsi="David"/>
            <w:color w:val="0000FF"/>
            <w:u w:val="single"/>
            <w:rtl/>
          </w:rPr>
          <w:t>ת"פ (מחוזי-חי') 30706-05-21</w:t>
        </w:r>
      </w:hyperlink>
      <w:r>
        <w:rPr>
          <w:rFonts w:ascii="David" w:hAnsi="David" w:hint="cs"/>
          <w:rtl/>
        </w:rPr>
        <w:t xml:space="preserve"> </w:t>
      </w:r>
      <w:r>
        <w:rPr>
          <w:rFonts w:ascii="David" w:hAnsi="David" w:hint="cs"/>
          <w:b/>
          <w:bCs/>
          <w:rtl/>
        </w:rPr>
        <w:t xml:space="preserve">מדינת ישראל נ' סואעד </w:t>
      </w:r>
      <w:r>
        <w:rPr>
          <w:rFonts w:ascii="David" w:hAnsi="David" w:hint="cs"/>
          <w:rtl/>
        </w:rPr>
        <w:t xml:space="preserve">(פורסם בנבו, 01.03.2022) בו נדון נאשם שהורשע בעבירות של שוד בנסיבות מחמירות, נשיאת נשק, ירי מנשק חם והפרעה לשוטר ל </w:t>
      </w:r>
      <w:r>
        <w:rPr>
          <w:rFonts w:ascii="David" w:hAnsi="David"/>
          <w:rtl/>
        </w:rPr>
        <w:t>–</w:t>
      </w:r>
      <w:r>
        <w:rPr>
          <w:rFonts w:ascii="David" w:hAnsi="David" w:hint="cs"/>
          <w:rtl/>
        </w:rPr>
        <w:t xml:space="preserve">36 חודשי מאסר ועונשים נלווים. במקרה זה הנאשם ואחר שדדו תחנת טוטו תוך שימוש בנשק ("קרלו") תוך ירי של כדור בודד מהנשק כדי להרתיע את המתלוננים ולמנוע התנגדות. כתוצאה מכך לקחו 3,000 ₪ שהיו בקופה וכן 20,000 ₪ שהחזיק המתלוננת בתיק. בהמשך נמלט משוטרים שרדפו אחריו ואחרי חברו. </w:t>
      </w:r>
    </w:p>
    <w:p w14:paraId="778A49E0" w14:textId="77777777" w:rsidR="00161CD5" w:rsidRPr="00122C99" w:rsidRDefault="00161CD5" w:rsidP="00161CD5">
      <w:pPr>
        <w:spacing w:line="360" w:lineRule="auto"/>
        <w:jc w:val="both"/>
        <w:rPr>
          <w:rFonts w:ascii="David" w:hAnsi="David"/>
          <w:rtl/>
        </w:rPr>
      </w:pPr>
      <w:r>
        <w:rPr>
          <w:rFonts w:ascii="David" w:hAnsi="David" w:hint="cs"/>
          <w:rtl/>
        </w:rPr>
        <w:t>יצוין כי הנאשם באותו מקרה היה בגיר צעיר כבן 19 נעדר עבר פלילי (ובית המשפט מצא לציין בגזר הדין כי "משקל נכבד יש ליתן לגילו הצעיר של הנאשם אשר במועד ביצוע העבירות היה בן 19 שנים לערך, ולכך שלחובתו לא רשומות הרשעות קודמות בפלילים") וכי דינו של אותו נאשם נגזר גם לאור עקרון אחידות הענישה בהתייחס לנאשם הנוסף בתיק. נתונים אלו אינם מתקיימים בענייננו.</w:t>
      </w:r>
    </w:p>
    <w:p w14:paraId="0F40FDA1" w14:textId="77777777" w:rsidR="00161CD5" w:rsidRPr="009B686F" w:rsidRDefault="00161CD5" w:rsidP="00161CD5">
      <w:pPr>
        <w:spacing w:line="360" w:lineRule="auto"/>
        <w:jc w:val="both"/>
        <w:rPr>
          <w:rFonts w:ascii="David" w:hAnsi="David"/>
          <w:rtl/>
        </w:rPr>
      </w:pPr>
    </w:p>
    <w:p w14:paraId="4B4EC8A7" w14:textId="77777777" w:rsidR="00161CD5" w:rsidRDefault="00161CD5" w:rsidP="00161CD5">
      <w:pPr>
        <w:spacing w:line="360" w:lineRule="auto"/>
        <w:ind w:hanging="567"/>
        <w:jc w:val="both"/>
        <w:rPr>
          <w:rFonts w:ascii="Arial" w:hAnsi="Arial"/>
          <w:rtl/>
        </w:rPr>
      </w:pPr>
      <w:r>
        <w:rPr>
          <w:rFonts w:ascii="Arial" w:hAnsi="Arial" w:hint="cs"/>
          <w:rtl/>
        </w:rPr>
        <w:t>14.</w:t>
      </w:r>
      <w:r>
        <w:rPr>
          <w:rFonts w:ascii="Arial" w:hAnsi="Arial" w:hint="cs"/>
          <w:rtl/>
        </w:rPr>
        <w:tab/>
        <w:t xml:space="preserve">באשר לנסיבות שאינן קשורות בביצוע העבירה </w:t>
      </w:r>
      <w:r>
        <w:rPr>
          <w:rFonts w:ascii="David" w:hAnsi="David"/>
          <w:rtl/>
        </w:rPr>
        <w:t>נתתי משקל להודאת הנאש</w:t>
      </w:r>
      <w:r w:rsidRPr="00B6750E">
        <w:rPr>
          <w:rFonts w:ascii="David" w:hAnsi="David"/>
          <w:rtl/>
        </w:rPr>
        <w:t>ם, אשר</w:t>
      </w:r>
      <w:r>
        <w:rPr>
          <w:rFonts w:ascii="David" w:hAnsi="David" w:hint="cs"/>
          <w:rtl/>
        </w:rPr>
        <w:t xml:space="preserve"> בין </w:t>
      </w:r>
      <w:r>
        <w:rPr>
          <w:rFonts w:ascii="David" w:hAnsi="David"/>
          <w:rtl/>
        </w:rPr>
        <w:t>היתר חסכה את העדת המתלונ</w:t>
      </w:r>
      <w:r>
        <w:rPr>
          <w:rFonts w:ascii="David" w:hAnsi="David" w:hint="cs"/>
          <w:rtl/>
        </w:rPr>
        <w:t>ן</w:t>
      </w:r>
      <w:r w:rsidRPr="00B6750E">
        <w:rPr>
          <w:rFonts w:ascii="David" w:hAnsi="David"/>
          <w:rtl/>
        </w:rPr>
        <w:t xml:space="preserve"> </w:t>
      </w:r>
      <w:r>
        <w:rPr>
          <w:rFonts w:ascii="David" w:hAnsi="David" w:hint="cs"/>
          <w:rtl/>
        </w:rPr>
        <w:t>ו</w:t>
      </w:r>
      <w:r w:rsidRPr="00B6750E">
        <w:rPr>
          <w:rFonts w:ascii="David" w:hAnsi="David"/>
          <w:rtl/>
        </w:rPr>
        <w:t>חסכה בזמן שיפוטי; לנסיב</w:t>
      </w:r>
      <w:r>
        <w:rPr>
          <w:rFonts w:ascii="David" w:hAnsi="David"/>
          <w:rtl/>
        </w:rPr>
        <w:t>ותי</w:t>
      </w:r>
      <w:r>
        <w:rPr>
          <w:rFonts w:ascii="David" w:hAnsi="David" w:hint="cs"/>
          <w:rtl/>
        </w:rPr>
        <w:t>ו</w:t>
      </w:r>
      <w:r>
        <w:rPr>
          <w:rFonts w:ascii="David" w:hAnsi="David"/>
          <w:rtl/>
        </w:rPr>
        <w:t xml:space="preserve"> האישיות-משפחתיות של הנאשם</w:t>
      </w:r>
      <w:r>
        <w:rPr>
          <w:rFonts w:ascii="David" w:hAnsi="David" w:hint="cs"/>
          <w:rtl/>
        </w:rPr>
        <w:t xml:space="preserve"> ו</w:t>
      </w:r>
      <w:r w:rsidRPr="00B6750E">
        <w:rPr>
          <w:rFonts w:ascii="David" w:hAnsi="David"/>
          <w:rtl/>
        </w:rPr>
        <w:t xml:space="preserve">לפגיעה </w:t>
      </w:r>
      <w:r>
        <w:rPr>
          <w:rFonts w:ascii="David" w:hAnsi="David"/>
          <w:rtl/>
        </w:rPr>
        <w:t>של עונש מאסר בנאשם ובמשפח</w:t>
      </w:r>
      <w:r>
        <w:rPr>
          <w:rFonts w:ascii="David" w:hAnsi="David" w:hint="cs"/>
          <w:rtl/>
        </w:rPr>
        <w:t>תו</w:t>
      </w:r>
      <w:r w:rsidRPr="00B6750E">
        <w:rPr>
          <w:rFonts w:ascii="David" w:hAnsi="David"/>
          <w:rtl/>
        </w:rPr>
        <w:t>.</w:t>
      </w:r>
    </w:p>
    <w:p w14:paraId="28748D3B" w14:textId="77777777" w:rsidR="00161CD5" w:rsidRDefault="00161CD5" w:rsidP="00161CD5">
      <w:pPr>
        <w:spacing w:line="360" w:lineRule="auto"/>
        <w:ind w:hanging="567"/>
        <w:jc w:val="both"/>
        <w:rPr>
          <w:rFonts w:ascii="Arial" w:hAnsi="Arial"/>
          <w:rtl/>
        </w:rPr>
      </w:pPr>
      <w:r>
        <w:rPr>
          <w:rFonts w:ascii="Arial" w:hAnsi="Arial"/>
          <w:rtl/>
        </w:rPr>
        <w:tab/>
      </w:r>
    </w:p>
    <w:p w14:paraId="1A5ACCC1" w14:textId="77777777" w:rsidR="00161CD5" w:rsidRDefault="00161CD5" w:rsidP="00161CD5">
      <w:pPr>
        <w:spacing w:line="360" w:lineRule="auto"/>
        <w:jc w:val="both"/>
        <w:rPr>
          <w:rFonts w:ascii="Arial" w:hAnsi="Arial"/>
          <w:rtl/>
        </w:rPr>
      </w:pPr>
      <w:r>
        <w:rPr>
          <w:rFonts w:ascii="Arial" w:hAnsi="Arial" w:hint="cs"/>
          <w:rtl/>
        </w:rPr>
        <w:t xml:space="preserve">לשאלת בית המשפט, ב"כ הנאשם מסר שהנאשם לא מבקש להסתייע בשירותיו של שירות המבחן (פרוט' מיום 15.7.2024, עמ' 8 ש' 15). הווה אומר, הנאשם לא ביקש ולו לבחון אפשרות של תיקון וטיפול באמצעות גורמי שיקום. </w:t>
      </w:r>
    </w:p>
    <w:p w14:paraId="286DC40F" w14:textId="77777777" w:rsidR="00161CD5" w:rsidRDefault="00161CD5" w:rsidP="00161CD5">
      <w:pPr>
        <w:spacing w:line="360" w:lineRule="auto"/>
        <w:jc w:val="both"/>
        <w:rPr>
          <w:rFonts w:ascii="Arial" w:hAnsi="Arial"/>
          <w:rtl/>
        </w:rPr>
      </w:pPr>
      <w:r>
        <w:rPr>
          <w:rFonts w:ascii="Arial" w:hAnsi="Arial" w:hint="cs"/>
          <w:rtl/>
        </w:rPr>
        <w:t xml:space="preserve">עובדה זו לצד חומרת העבירות שעבר במקרה זה ולצד עברו הפלילי הלא מבוטל (שלוש הרשעות קודמות, אחת מהן מלפני כשש שנים בעבירות של סחיטה באיומים והצתה בגינה נדון ל-28 חודשי מאסר) מלמדים על הצורך לתת ביטוי של ממש לשיקול הרתעת היחיד בעניינו של הנאשם. </w:t>
      </w:r>
    </w:p>
    <w:p w14:paraId="160732EB" w14:textId="77777777" w:rsidR="00161CD5" w:rsidRDefault="00161CD5" w:rsidP="00161CD5">
      <w:pPr>
        <w:spacing w:line="360" w:lineRule="auto"/>
        <w:jc w:val="both"/>
        <w:rPr>
          <w:rFonts w:ascii="Arial" w:hAnsi="Arial"/>
          <w:rtl/>
        </w:rPr>
      </w:pPr>
      <w:r>
        <w:rPr>
          <w:rFonts w:ascii="Arial" w:hAnsi="Arial" w:hint="cs"/>
          <w:rtl/>
        </w:rPr>
        <w:t>זאת, לצד שיקול הרתעת הרבים היפה לגזרת עבירות אלה.</w:t>
      </w:r>
    </w:p>
    <w:p w14:paraId="2D390F14" w14:textId="77777777" w:rsidR="00161CD5" w:rsidRDefault="00161CD5" w:rsidP="00161CD5">
      <w:pPr>
        <w:spacing w:line="360" w:lineRule="auto"/>
        <w:ind w:hanging="567"/>
        <w:jc w:val="both"/>
        <w:rPr>
          <w:rFonts w:ascii="Arial" w:hAnsi="Arial"/>
          <w:rtl/>
        </w:rPr>
      </w:pPr>
    </w:p>
    <w:p w14:paraId="01044477" w14:textId="77777777" w:rsidR="00161CD5" w:rsidRDefault="00161CD5" w:rsidP="00161CD5">
      <w:pPr>
        <w:spacing w:line="360" w:lineRule="auto"/>
        <w:ind w:hanging="567"/>
        <w:jc w:val="both"/>
        <w:rPr>
          <w:rFonts w:ascii="Arial" w:hAnsi="Arial"/>
          <w:rtl/>
        </w:rPr>
      </w:pPr>
      <w:r>
        <w:rPr>
          <w:rFonts w:ascii="Arial" w:hAnsi="Arial"/>
          <w:rtl/>
        </w:rPr>
        <w:tab/>
      </w:r>
      <w:r>
        <w:rPr>
          <w:rFonts w:ascii="Arial" w:hAnsi="Arial" w:hint="cs"/>
          <w:rtl/>
        </w:rPr>
        <w:t>בשולי הדברים אציין, כי לא מצאתי להטיל על הנאשם רכיב עונשי של קנס, אף שראוי היה לעשות כן, לנוכח המניע לביצוע העבירות והפגיעה הקניינית במתלונן. זאת, משום שהמאשימה עצמה לא עתרה לרכיב עונשי זה, ולא מצאתי שנכון יהיה במקרה זה לסטות לחומרה מהעתירה העונשית של המאשימה.</w:t>
      </w:r>
    </w:p>
    <w:p w14:paraId="1BC346AD" w14:textId="77777777" w:rsidR="00161CD5" w:rsidRDefault="00161CD5" w:rsidP="00161CD5">
      <w:pPr>
        <w:spacing w:line="360" w:lineRule="auto"/>
        <w:jc w:val="both"/>
        <w:rPr>
          <w:rFonts w:ascii="Arial" w:hAnsi="Arial"/>
          <w:rtl/>
        </w:rPr>
      </w:pPr>
    </w:p>
    <w:p w14:paraId="2D7B0C3A" w14:textId="77777777" w:rsidR="00161CD5" w:rsidRDefault="00161CD5" w:rsidP="00161CD5">
      <w:pPr>
        <w:spacing w:line="360" w:lineRule="auto"/>
        <w:ind w:hanging="567"/>
        <w:jc w:val="both"/>
        <w:rPr>
          <w:rFonts w:ascii="Arial" w:hAnsi="Arial"/>
          <w:rtl/>
        </w:rPr>
      </w:pPr>
      <w:r>
        <w:rPr>
          <w:rFonts w:ascii="Arial" w:hAnsi="Arial" w:hint="cs"/>
          <w:rtl/>
        </w:rPr>
        <w:t>15.</w:t>
      </w:r>
      <w:r>
        <w:rPr>
          <w:rFonts w:ascii="Arial" w:hAnsi="Arial" w:hint="cs"/>
          <w:rtl/>
        </w:rPr>
        <w:tab/>
        <w:t>לאור כל האמור לעיל</w:t>
      </w:r>
      <w:r>
        <w:rPr>
          <w:rFonts w:ascii="David" w:eastAsia="Calibri" w:hAnsi="David"/>
          <w:rtl/>
        </w:rPr>
        <w:t>, אני גוזר על הנאשם את העונשים הבאים:</w:t>
      </w:r>
    </w:p>
    <w:p w14:paraId="6490E6F2" w14:textId="77777777" w:rsidR="00161CD5" w:rsidRDefault="00161CD5" w:rsidP="00161CD5">
      <w:pPr>
        <w:spacing w:line="360" w:lineRule="auto"/>
        <w:ind w:hanging="567"/>
        <w:jc w:val="both"/>
        <w:rPr>
          <w:rFonts w:ascii="David" w:eastAsia="Calibri" w:hAnsi="David"/>
          <w:rtl/>
        </w:rPr>
      </w:pPr>
      <w:r>
        <w:rPr>
          <w:rFonts w:ascii="Arial" w:hAnsi="Arial"/>
          <w:rtl/>
        </w:rPr>
        <w:tab/>
      </w:r>
      <w:r>
        <w:rPr>
          <w:rFonts w:ascii="David" w:eastAsia="Calibri" w:hAnsi="David"/>
          <w:rtl/>
        </w:rPr>
        <w:t xml:space="preserve">א. </w:t>
      </w:r>
      <w:r>
        <w:rPr>
          <w:rFonts w:ascii="David" w:eastAsia="Calibri" w:hAnsi="David"/>
          <w:rtl/>
        </w:rPr>
        <w:tab/>
      </w:r>
      <w:r>
        <w:rPr>
          <w:rFonts w:ascii="David" w:eastAsia="Calibri" w:hAnsi="David" w:hint="cs"/>
          <w:rtl/>
        </w:rPr>
        <w:t>45</w:t>
      </w:r>
      <w:r>
        <w:rPr>
          <w:rFonts w:ascii="David" w:eastAsia="Calibri" w:hAnsi="David"/>
          <w:rtl/>
        </w:rPr>
        <w:t xml:space="preserve"> חודשי מאסר לריצוי בפועל</w:t>
      </w:r>
      <w:r>
        <w:rPr>
          <w:rFonts w:ascii="David" w:eastAsia="Calibri" w:hAnsi="David" w:hint="cs"/>
          <w:rtl/>
        </w:rPr>
        <w:t>, בניכוי ימי המעצר הקשורים בתיק זה.</w:t>
      </w:r>
      <w:r>
        <w:rPr>
          <w:rFonts w:ascii="David" w:eastAsia="Calibri" w:hAnsi="David"/>
          <w:rtl/>
        </w:rPr>
        <w:t xml:space="preserve"> </w:t>
      </w:r>
    </w:p>
    <w:p w14:paraId="25F8BA41" w14:textId="77777777" w:rsidR="00161CD5" w:rsidRDefault="00161CD5" w:rsidP="00161CD5">
      <w:pPr>
        <w:spacing w:line="360" w:lineRule="auto"/>
        <w:ind w:hanging="567"/>
        <w:jc w:val="both"/>
        <w:rPr>
          <w:rFonts w:ascii="David" w:eastAsia="Calibri" w:hAnsi="David"/>
          <w:rtl/>
        </w:rPr>
      </w:pPr>
    </w:p>
    <w:p w14:paraId="520E13CC" w14:textId="77777777" w:rsidR="00161CD5" w:rsidRDefault="00161CD5" w:rsidP="00161CD5">
      <w:pPr>
        <w:spacing w:line="360" w:lineRule="auto"/>
        <w:ind w:left="720" w:hanging="720"/>
        <w:jc w:val="both"/>
        <w:rPr>
          <w:rFonts w:ascii="Arial" w:hAnsi="Arial"/>
          <w:rtl/>
        </w:rPr>
      </w:pPr>
      <w:r>
        <w:rPr>
          <w:rFonts w:ascii="David" w:eastAsia="Calibri" w:hAnsi="David"/>
          <w:rtl/>
        </w:rPr>
        <w:t>ב.</w:t>
      </w:r>
      <w:r>
        <w:rPr>
          <w:rFonts w:ascii="David" w:eastAsia="Calibri" w:hAnsi="David"/>
          <w:rtl/>
        </w:rPr>
        <w:tab/>
        <w:t>1</w:t>
      </w:r>
      <w:r>
        <w:rPr>
          <w:rFonts w:ascii="David" w:eastAsia="Calibri" w:hAnsi="David" w:hint="cs"/>
          <w:rtl/>
        </w:rPr>
        <w:t>2</w:t>
      </w:r>
      <w:r>
        <w:rPr>
          <w:rFonts w:ascii="David" w:eastAsia="Calibri" w:hAnsi="David"/>
          <w:rtl/>
        </w:rPr>
        <w:t xml:space="preserve"> חודשי מאסר על תנאי</w:t>
      </w:r>
      <w:r>
        <w:rPr>
          <w:rFonts w:ascii="David" w:eastAsia="Calibri" w:hAnsi="David" w:hint="cs"/>
          <w:rtl/>
        </w:rPr>
        <w:t>, למשך 3 שנים מיום השחרור מן המאסר, שהנאשם לא יעבור עבירת נשק.</w:t>
      </w:r>
    </w:p>
    <w:p w14:paraId="011A5E31" w14:textId="77777777" w:rsidR="00161CD5" w:rsidRDefault="00161CD5" w:rsidP="00161CD5">
      <w:pPr>
        <w:spacing w:line="360" w:lineRule="auto"/>
        <w:ind w:firstLine="720"/>
        <w:jc w:val="both"/>
        <w:rPr>
          <w:rFonts w:ascii="David" w:eastAsia="Calibri" w:hAnsi="David"/>
          <w:rtl/>
        </w:rPr>
      </w:pPr>
      <w:r>
        <w:rPr>
          <w:rFonts w:ascii="David" w:eastAsia="Calibri" w:hAnsi="David"/>
          <w:rtl/>
        </w:rPr>
        <w:t>12 חודשי מאסר על תנאי</w:t>
      </w:r>
      <w:r>
        <w:rPr>
          <w:rFonts w:ascii="David" w:eastAsia="Calibri" w:hAnsi="David" w:hint="cs"/>
          <w:rtl/>
        </w:rPr>
        <w:t xml:space="preserve">, למשך 3 שנים מיום השחרור מן המאסר, שהנאשם לא יעבור עבירת </w:t>
      </w:r>
    </w:p>
    <w:p w14:paraId="6B9C328C" w14:textId="77777777" w:rsidR="00161CD5" w:rsidRDefault="00161CD5" w:rsidP="00161CD5">
      <w:pPr>
        <w:spacing w:line="360" w:lineRule="auto"/>
        <w:ind w:firstLine="720"/>
        <w:jc w:val="both"/>
        <w:rPr>
          <w:rFonts w:ascii="Arial" w:hAnsi="Arial"/>
          <w:rtl/>
        </w:rPr>
      </w:pPr>
      <w:r>
        <w:rPr>
          <w:rFonts w:ascii="David" w:eastAsia="Calibri" w:hAnsi="David" w:hint="cs"/>
          <w:rtl/>
        </w:rPr>
        <w:t>אלימות או רכוש מסוג פשע.</w:t>
      </w:r>
      <w:r>
        <w:rPr>
          <w:rFonts w:ascii="David" w:eastAsia="Calibri" w:hAnsi="David"/>
          <w:rtl/>
        </w:rPr>
        <w:t xml:space="preserve"> </w:t>
      </w:r>
    </w:p>
    <w:p w14:paraId="624C2044" w14:textId="77777777" w:rsidR="00161CD5" w:rsidRDefault="00161CD5" w:rsidP="00161CD5">
      <w:pPr>
        <w:spacing w:line="360" w:lineRule="auto"/>
        <w:ind w:firstLine="720"/>
        <w:jc w:val="both"/>
        <w:rPr>
          <w:rFonts w:ascii="David" w:eastAsia="Calibri" w:hAnsi="David"/>
          <w:rtl/>
        </w:rPr>
      </w:pPr>
      <w:r>
        <w:rPr>
          <w:rFonts w:ascii="David" w:eastAsia="Calibri" w:hAnsi="David"/>
          <w:rtl/>
        </w:rPr>
        <w:t>6 חודשי מאסר על תנאי</w:t>
      </w:r>
      <w:r>
        <w:rPr>
          <w:rFonts w:ascii="David" w:eastAsia="Calibri" w:hAnsi="David" w:hint="cs"/>
          <w:rtl/>
        </w:rPr>
        <w:t>,</w:t>
      </w:r>
      <w:r>
        <w:rPr>
          <w:rFonts w:ascii="David" w:eastAsia="Calibri" w:hAnsi="David"/>
          <w:rtl/>
        </w:rPr>
        <w:t xml:space="preserve"> </w:t>
      </w:r>
      <w:r>
        <w:rPr>
          <w:rFonts w:ascii="David" w:eastAsia="Calibri" w:hAnsi="David" w:hint="cs"/>
          <w:rtl/>
        </w:rPr>
        <w:t xml:space="preserve">למשך 3 שנים מיום השחרור מן המאסר, שהנאשם לא יעבור עבירת </w:t>
      </w:r>
    </w:p>
    <w:p w14:paraId="1D7EBC61" w14:textId="77777777" w:rsidR="00161CD5" w:rsidRDefault="00161CD5" w:rsidP="00161CD5">
      <w:pPr>
        <w:spacing w:line="360" w:lineRule="auto"/>
        <w:ind w:firstLine="720"/>
        <w:jc w:val="both"/>
        <w:rPr>
          <w:rFonts w:ascii="Arial" w:hAnsi="Arial"/>
          <w:rtl/>
        </w:rPr>
      </w:pPr>
      <w:r>
        <w:rPr>
          <w:rFonts w:ascii="David" w:eastAsia="Calibri" w:hAnsi="David" w:hint="cs"/>
          <w:rtl/>
        </w:rPr>
        <w:t>אלימות או רכוש מסוג עוון, למעט עבירה של החזקת נכס החשוד כגנוב.</w:t>
      </w:r>
      <w:r>
        <w:rPr>
          <w:rFonts w:ascii="David" w:eastAsia="Calibri" w:hAnsi="David"/>
          <w:rtl/>
        </w:rPr>
        <w:t xml:space="preserve"> </w:t>
      </w:r>
    </w:p>
    <w:p w14:paraId="220D8964" w14:textId="77777777" w:rsidR="00161CD5" w:rsidRDefault="00161CD5" w:rsidP="00161CD5">
      <w:pPr>
        <w:spacing w:line="360" w:lineRule="auto"/>
        <w:ind w:firstLine="720"/>
        <w:jc w:val="both"/>
        <w:rPr>
          <w:rFonts w:ascii="Arial" w:hAnsi="Arial"/>
          <w:rtl/>
        </w:rPr>
      </w:pPr>
    </w:p>
    <w:p w14:paraId="7C5C84FC" w14:textId="77777777" w:rsidR="00161CD5" w:rsidRPr="00944786" w:rsidRDefault="00161CD5" w:rsidP="00161CD5">
      <w:pPr>
        <w:spacing w:line="360" w:lineRule="auto"/>
        <w:ind w:hanging="567"/>
        <w:jc w:val="both"/>
        <w:rPr>
          <w:rFonts w:ascii="Arial" w:hAnsi="Arial"/>
          <w:rtl/>
        </w:rPr>
      </w:pPr>
      <w:r>
        <w:rPr>
          <w:rFonts w:ascii="Arial" w:hAnsi="Arial"/>
          <w:rtl/>
        </w:rPr>
        <w:tab/>
      </w:r>
      <w:r>
        <w:rPr>
          <w:rFonts w:ascii="Arial" w:hAnsi="Arial" w:hint="cs"/>
          <w:rtl/>
        </w:rPr>
        <w:t>ג.</w:t>
      </w:r>
      <w:r>
        <w:rPr>
          <w:rFonts w:ascii="Arial" w:hAnsi="Arial" w:hint="cs"/>
          <w:rtl/>
        </w:rPr>
        <w:tab/>
        <w:t>פיצוי למתלונן בסך של 25,000 ₪. הפיצוי ישולם בתוך שנה מהיום.</w:t>
      </w:r>
    </w:p>
    <w:p w14:paraId="0466B894" w14:textId="77777777" w:rsidR="00161CD5" w:rsidRDefault="00161CD5" w:rsidP="00161CD5">
      <w:pPr>
        <w:tabs>
          <w:tab w:val="left" w:pos="567"/>
          <w:tab w:val="left" w:pos="1134"/>
          <w:tab w:val="left" w:pos="1701"/>
        </w:tabs>
        <w:spacing w:line="360" w:lineRule="auto"/>
        <w:ind w:left="1134" w:hanging="1134"/>
        <w:jc w:val="both"/>
        <w:rPr>
          <w:rFonts w:ascii="David" w:eastAsia="Calibri" w:hAnsi="David"/>
          <w:rtl/>
        </w:rPr>
      </w:pPr>
    </w:p>
    <w:p w14:paraId="73C3B125" w14:textId="77777777" w:rsidR="00161CD5" w:rsidRPr="007813AF" w:rsidRDefault="00161CD5" w:rsidP="00161CD5">
      <w:pPr>
        <w:spacing w:line="360" w:lineRule="auto"/>
        <w:ind w:hanging="567"/>
        <w:jc w:val="both"/>
        <w:rPr>
          <w:rFonts w:ascii="David" w:hAnsi="David"/>
          <w:rtl/>
        </w:rPr>
      </w:pPr>
      <w:r>
        <w:rPr>
          <w:rFonts w:ascii="David" w:eastAsia="Calibri" w:hAnsi="David"/>
          <w:rtl/>
        </w:rPr>
        <w:tab/>
        <w:t>זכות ערעור לבית המשפט העליון תוך 45 ימים.</w:t>
      </w:r>
    </w:p>
    <w:p w14:paraId="356FDF2A" w14:textId="77777777" w:rsidR="00161CD5" w:rsidRDefault="000A302F" w:rsidP="00161CD5">
      <w:pPr>
        <w:spacing w:line="360" w:lineRule="auto"/>
        <w:jc w:val="both"/>
        <w:rPr>
          <w:rFonts w:ascii="Arial" w:hAnsi="Arial"/>
          <w:b/>
          <w:bCs/>
          <w:sz w:val="26"/>
          <w:szCs w:val="26"/>
          <w:rtl/>
        </w:rPr>
      </w:pPr>
      <w:bookmarkStart w:id="8" w:name="Nitan"/>
      <w:r w:rsidRPr="000A302F">
        <w:rPr>
          <w:rFonts w:ascii="Arial" w:hAnsi="Arial"/>
          <w:b/>
          <w:bCs/>
          <w:color w:val="FFFFFF"/>
          <w:sz w:val="2"/>
          <w:szCs w:val="2"/>
          <w:rtl/>
        </w:rPr>
        <w:t>5129371</w:t>
      </w:r>
      <w:r>
        <w:rPr>
          <w:rFonts w:ascii="Arial" w:hAnsi="Arial"/>
          <w:b/>
          <w:bCs/>
          <w:sz w:val="26"/>
          <w:szCs w:val="26"/>
          <w:rtl/>
        </w:rPr>
        <w:t xml:space="preserve">ניתן היום, ט כסלו תשפ"ה, 10 דצמבר 2024, במעמד הצדדים. </w:t>
      </w:r>
      <w:bookmarkEnd w:id="8"/>
    </w:p>
    <w:tbl>
      <w:tblPr>
        <w:tblpPr w:leftFromText="180" w:rightFromText="180" w:vertAnchor="text" w:horzAnchor="margin" w:tblpY="263"/>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161CD5" w14:paraId="0A187440" w14:textId="77777777" w:rsidTr="00161CD5">
        <w:trPr>
          <w:trHeight w:val="316"/>
        </w:trPr>
        <w:tc>
          <w:tcPr>
            <w:tcW w:w="3936" w:type="dxa"/>
            <w:tcBorders>
              <w:top w:val="nil"/>
              <w:left w:val="nil"/>
              <w:bottom w:val="single" w:sz="4" w:space="0" w:color="auto"/>
              <w:right w:val="nil"/>
            </w:tcBorders>
            <w:shd w:val="clear" w:color="auto" w:fill="auto"/>
            <w:vAlign w:val="center"/>
          </w:tcPr>
          <w:p w14:paraId="1FD11884" w14:textId="77777777" w:rsidR="00161CD5" w:rsidRPr="000A302F" w:rsidRDefault="000A302F" w:rsidP="00161CD5">
            <w:pPr>
              <w:jc w:val="center"/>
              <w:rPr>
                <w:rFonts w:cs="Times New Roman"/>
                <w:color w:val="FFFFFF"/>
                <w:sz w:val="2"/>
                <w:szCs w:val="2"/>
              </w:rPr>
            </w:pPr>
            <w:r w:rsidRPr="000A302F">
              <w:rPr>
                <w:rFonts w:cs="Times New Roman"/>
                <w:color w:val="FFFFFF"/>
                <w:sz w:val="2"/>
                <w:szCs w:val="2"/>
                <w:rtl/>
              </w:rPr>
              <w:t>54678313</w:t>
            </w:r>
          </w:p>
          <w:p w14:paraId="33A633A8" w14:textId="77777777" w:rsidR="00161CD5" w:rsidRDefault="00161CD5" w:rsidP="00161CD5">
            <w:pPr>
              <w:jc w:val="center"/>
            </w:pPr>
          </w:p>
        </w:tc>
      </w:tr>
      <w:tr w:rsidR="00161CD5" w14:paraId="46291D5B" w14:textId="77777777" w:rsidTr="00161CD5">
        <w:trPr>
          <w:trHeight w:val="361"/>
        </w:trPr>
        <w:tc>
          <w:tcPr>
            <w:tcW w:w="3936" w:type="dxa"/>
            <w:tcBorders>
              <w:top w:val="single" w:sz="4" w:space="0" w:color="auto"/>
              <w:left w:val="nil"/>
              <w:bottom w:val="nil"/>
              <w:right w:val="nil"/>
            </w:tcBorders>
            <w:shd w:val="clear" w:color="auto" w:fill="auto"/>
            <w:vAlign w:val="center"/>
          </w:tcPr>
          <w:p w14:paraId="673061E9" w14:textId="77777777" w:rsidR="00161CD5" w:rsidRPr="00161CD5" w:rsidRDefault="00161CD5" w:rsidP="00161CD5">
            <w:pPr>
              <w:jc w:val="center"/>
              <w:rPr>
                <w:b/>
                <w:bCs/>
                <w:rtl/>
              </w:rPr>
            </w:pPr>
            <w:r w:rsidRPr="00161CD5">
              <w:rPr>
                <w:b/>
                <w:bCs/>
                <w:rtl/>
              </w:rPr>
              <w:t>יובל</w:t>
            </w:r>
            <w:r w:rsidRPr="00161CD5">
              <w:rPr>
                <w:rFonts w:hint="cs"/>
                <w:b/>
                <w:bCs/>
                <w:rtl/>
              </w:rPr>
              <w:t xml:space="preserve"> </w:t>
            </w:r>
            <w:r w:rsidRPr="00161CD5">
              <w:rPr>
                <w:b/>
                <w:bCs/>
                <w:rtl/>
              </w:rPr>
              <w:t>ליבדרו</w:t>
            </w:r>
            <w:r w:rsidRPr="00161CD5">
              <w:rPr>
                <w:rFonts w:hint="cs"/>
                <w:b/>
                <w:bCs/>
                <w:rtl/>
              </w:rPr>
              <w:t xml:space="preserve">, </w:t>
            </w:r>
            <w:r w:rsidRPr="00161CD5">
              <w:rPr>
                <w:b/>
                <w:bCs/>
                <w:rtl/>
              </w:rPr>
              <w:t>שופט</w:t>
            </w:r>
          </w:p>
        </w:tc>
      </w:tr>
    </w:tbl>
    <w:p w14:paraId="3258139C" w14:textId="77777777" w:rsidR="00161CD5" w:rsidRPr="000F2247" w:rsidRDefault="00161CD5" w:rsidP="00161CD5">
      <w:pPr>
        <w:spacing w:line="360" w:lineRule="auto"/>
        <w:jc w:val="both"/>
        <w:rPr>
          <w:rFonts w:ascii="Arial" w:hAnsi="Arial"/>
          <w:b/>
          <w:bCs/>
          <w:sz w:val="26"/>
          <w:szCs w:val="26"/>
          <w:rtl/>
        </w:rPr>
      </w:pP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b/>
          <w:bCs/>
          <w:sz w:val="26"/>
          <w:szCs w:val="26"/>
          <w:rtl/>
        </w:rPr>
        <w:tab/>
      </w:r>
      <w:r>
        <w:rPr>
          <w:rFonts w:ascii="Arial" w:hAnsi="Arial" w:hint="cs"/>
          <w:b/>
          <w:bCs/>
          <w:sz w:val="26"/>
          <w:szCs w:val="26"/>
          <w:rtl/>
        </w:rPr>
        <w:t xml:space="preserve">     </w:t>
      </w:r>
    </w:p>
    <w:p w14:paraId="77F5228F" w14:textId="77777777" w:rsidR="00161CD5" w:rsidRDefault="00161CD5" w:rsidP="00161CD5">
      <w:pPr>
        <w:rPr>
          <w:rFonts w:ascii="David" w:hAnsi="David"/>
          <w:rtl/>
        </w:rPr>
      </w:pPr>
    </w:p>
    <w:p w14:paraId="123BAE74" w14:textId="77777777" w:rsidR="000A302F" w:rsidRDefault="000A302F" w:rsidP="000A302F">
      <w:pPr>
        <w:rPr>
          <w:rtl/>
        </w:rPr>
      </w:pPr>
    </w:p>
    <w:p w14:paraId="16A05E34" w14:textId="77777777" w:rsidR="000A302F" w:rsidRDefault="000A302F" w:rsidP="000A302F">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214A9E00" w14:textId="77777777" w:rsidR="00423152" w:rsidRPr="00423152" w:rsidRDefault="00423152" w:rsidP="00423152">
      <w:pPr>
        <w:keepNext/>
        <w:rPr>
          <w:rFonts w:ascii="David" w:hAnsi="David"/>
          <w:color w:val="000000"/>
          <w:sz w:val="22"/>
          <w:szCs w:val="22"/>
          <w:rtl/>
        </w:rPr>
      </w:pPr>
    </w:p>
    <w:p w14:paraId="469C26D0" w14:textId="77777777" w:rsidR="00423152" w:rsidRPr="00423152" w:rsidRDefault="00423152" w:rsidP="00423152">
      <w:pPr>
        <w:keepNext/>
        <w:rPr>
          <w:rFonts w:ascii="David" w:hAnsi="David"/>
          <w:color w:val="000000"/>
          <w:sz w:val="22"/>
          <w:szCs w:val="22"/>
          <w:rtl/>
        </w:rPr>
      </w:pPr>
      <w:r w:rsidRPr="00423152">
        <w:rPr>
          <w:rFonts w:ascii="David" w:hAnsi="David"/>
          <w:color w:val="000000"/>
          <w:sz w:val="22"/>
          <w:szCs w:val="22"/>
          <w:rtl/>
        </w:rPr>
        <w:t>יובל ליבדרו 54678313-/</w:t>
      </w:r>
    </w:p>
    <w:p w14:paraId="6F89D7F8" w14:textId="77777777" w:rsidR="000A302F" w:rsidRPr="000A302F" w:rsidRDefault="00423152" w:rsidP="00423152">
      <w:pPr>
        <w:rPr>
          <w:color w:val="0000FF"/>
          <w:u w:val="single"/>
        </w:rPr>
      </w:pPr>
      <w:r w:rsidRPr="00423152">
        <w:rPr>
          <w:color w:val="000000"/>
          <w:u w:val="single"/>
          <w:rtl/>
        </w:rPr>
        <w:t>נוסח מסמך זה כפוף לשינויי ניסוח ועריכה</w:t>
      </w:r>
    </w:p>
    <w:sectPr w:rsidR="000A302F" w:rsidRPr="000A302F" w:rsidSect="00423152">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21FE18" w14:textId="77777777" w:rsidR="002439E4" w:rsidRDefault="002439E4" w:rsidP="00EB6DE5">
      <w:r>
        <w:separator/>
      </w:r>
    </w:p>
  </w:endnote>
  <w:endnote w:type="continuationSeparator" w:id="0">
    <w:p w14:paraId="1F2101E6" w14:textId="77777777" w:rsidR="002439E4" w:rsidRDefault="002439E4" w:rsidP="00EB6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DED4B" w14:textId="77777777" w:rsidR="00423152" w:rsidRDefault="00423152" w:rsidP="0042315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2252C44" w14:textId="77777777" w:rsidR="0082011E" w:rsidRPr="00423152" w:rsidRDefault="00423152" w:rsidP="00423152">
    <w:pPr>
      <w:pStyle w:val="a5"/>
      <w:pBdr>
        <w:top w:val="single" w:sz="4" w:space="1" w:color="auto"/>
        <w:between w:val="single" w:sz="4" w:space="0" w:color="auto"/>
      </w:pBdr>
      <w:spacing w:after="60"/>
      <w:jc w:val="center"/>
      <w:rPr>
        <w:rFonts w:ascii="FrankRuehl" w:hAnsi="FrankRuehl" w:cs="FrankRuehl"/>
        <w:color w:val="000000"/>
      </w:rPr>
    </w:pPr>
    <w:r w:rsidRPr="0042315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EA73B8" w14:textId="77777777" w:rsidR="00423152" w:rsidRDefault="00423152" w:rsidP="0042315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F7FD6">
      <w:rPr>
        <w:rFonts w:ascii="FrankRuehl" w:hAnsi="FrankRuehl" w:cs="FrankRuehl"/>
        <w:noProof/>
        <w:rtl/>
      </w:rPr>
      <w:t>1</w:t>
    </w:r>
    <w:r>
      <w:rPr>
        <w:rFonts w:ascii="FrankRuehl" w:hAnsi="FrankRuehl" w:cs="FrankRuehl"/>
        <w:rtl/>
      </w:rPr>
      <w:fldChar w:fldCharType="end"/>
    </w:r>
  </w:p>
  <w:p w14:paraId="606661B0" w14:textId="77777777" w:rsidR="0082011E" w:rsidRPr="00423152" w:rsidRDefault="00423152" w:rsidP="00423152">
    <w:pPr>
      <w:pStyle w:val="a5"/>
      <w:pBdr>
        <w:top w:val="single" w:sz="4" w:space="1" w:color="auto"/>
        <w:between w:val="single" w:sz="4" w:space="0" w:color="auto"/>
      </w:pBdr>
      <w:spacing w:after="60"/>
      <w:jc w:val="center"/>
      <w:rPr>
        <w:rFonts w:ascii="FrankRuehl" w:hAnsi="FrankRuehl" w:cs="FrankRuehl"/>
        <w:color w:val="000000"/>
      </w:rPr>
    </w:pPr>
    <w:r w:rsidRPr="00423152">
      <w:rPr>
        <w:rFonts w:ascii="FrankRuehl" w:hAnsi="FrankRuehl" w:cs="FrankRuehl"/>
        <w:color w:val="000000"/>
      </w:rPr>
      <w:pict w14:anchorId="3518BC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BECF27" w14:textId="77777777" w:rsidR="002439E4" w:rsidRDefault="002439E4" w:rsidP="00EB6DE5">
      <w:r>
        <w:separator/>
      </w:r>
    </w:p>
  </w:footnote>
  <w:footnote w:type="continuationSeparator" w:id="0">
    <w:p w14:paraId="6EE2122F" w14:textId="77777777" w:rsidR="002439E4" w:rsidRDefault="002439E4" w:rsidP="00EB6D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33076" w14:textId="77777777" w:rsidR="000A302F" w:rsidRPr="00423152" w:rsidRDefault="00423152" w:rsidP="0042315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33791-12-23</w:t>
    </w:r>
    <w:r>
      <w:rPr>
        <w:rFonts w:ascii="David" w:hAnsi="David"/>
        <w:color w:val="000000"/>
        <w:sz w:val="22"/>
        <w:szCs w:val="22"/>
        <w:rtl/>
      </w:rPr>
      <w:tab/>
      <w:t xml:space="preserve"> מדינת ישראל נ' איברהים אבו סולב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B6BDAC" w14:textId="77777777" w:rsidR="000A302F" w:rsidRPr="00423152" w:rsidRDefault="00423152" w:rsidP="0042315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33791-12-23</w:t>
    </w:r>
    <w:r>
      <w:rPr>
        <w:rFonts w:ascii="David" w:hAnsi="David"/>
        <w:color w:val="000000"/>
        <w:sz w:val="22"/>
        <w:szCs w:val="22"/>
        <w:rtl/>
      </w:rPr>
      <w:tab/>
      <w:t xml:space="preserve"> מדינת ישראל נ' איברהים אבו סולב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61CD5"/>
    <w:rsid w:val="000A302F"/>
    <w:rsid w:val="00161CD5"/>
    <w:rsid w:val="001B5A3B"/>
    <w:rsid w:val="001E6448"/>
    <w:rsid w:val="002439E4"/>
    <w:rsid w:val="00423152"/>
    <w:rsid w:val="006C5313"/>
    <w:rsid w:val="007A64EC"/>
    <w:rsid w:val="0082011E"/>
    <w:rsid w:val="00BF7FD6"/>
    <w:rsid w:val="00EB6DE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5C881CF"/>
  <w15:chartTrackingRefBased/>
  <w15:docId w15:val="{52D6F968-CAB7-47A9-946C-6A00D1A59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61CD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61CD5"/>
    <w:pPr>
      <w:tabs>
        <w:tab w:val="center" w:pos="4153"/>
        <w:tab w:val="right" w:pos="8306"/>
      </w:tabs>
    </w:pPr>
  </w:style>
  <w:style w:type="character" w:customStyle="1" w:styleId="a4">
    <w:name w:val="כותרת עליונה תו"/>
    <w:link w:val="a3"/>
    <w:rsid w:val="00161CD5"/>
    <w:rPr>
      <w:rFonts w:ascii="Times New Roman" w:eastAsia="Times New Roman" w:hAnsi="Times New Roman" w:cs="David"/>
      <w:sz w:val="24"/>
      <w:szCs w:val="24"/>
    </w:rPr>
  </w:style>
  <w:style w:type="paragraph" w:styleId="a5">
    <w:name w:val="footer"/>
    <w:basedOn w:val="a"/>
    <w:link w:val="a6"/>
    <w:rsid w:val="00161CD5"/>
    <w:pPr>
      <w:tabs>
        <w:tab w:val="center" w:pos="4153"/>
        <w:tab w:val="right" w:pos="8306"/>
      </w:tabs>
    </w:pPr>
  </w:style>
  <w:style w:type="character" w:customStyle="1" w:styleId="a6">
    <w:name w:val="כותרת תחתונה תו"/>
    <w:link w:val="a5"/>
    <w:rsid w:val="00161CD5"/>
    <w:rPr>
      <w:rFonts w:ascii="Times New Roman" w:eastAsia="Times New Roman" w:hAnsi="Times New Roman" w:cs="David"/>
      <w:sz w:val="24"/>
      <w:szCs w:val="24"/>
    </w:rPr>
  </w:style>
  <w:style w:type="table" w:styleId="a7">
    <w:name w:val="Table Grid"/>
    <w:basedOn w:val="a1"/>
    <w:rsid w:val="00161CD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61CD5"/>
  </w:style>
  <w:style w:type="character" w:styleId="Hyperlink">
    <w:name w:val="Hyperlink"/>
    <w:rsid w:val="000A302F"/>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21479019" TargetMode="External"/><Relationship Id="rId26" Type="http://schemas.openxmlformats.org/officeDocument/2006/relationships/hyperlink" Target="http://www.nevo.co.il/case/22505272" TargetMode="External"/><Relationship Id="rId39" Type="http://schemas.openxmlformats.org/officeDocument/2006/relationships/footer" Target="footer2.xml"/><Relationship Id="rId21" Type="http://schemas.openxmlformats.org/officeDocument/2006/relationships/hyperlink" Target="http://www.nevo.co.il/law/70301" TargetMode="External"/><Relationship Id="rId34" Type="http://schemas.openxmlformats.org/officeDocument/2006/relationships/hyperlink" Target="http://www.nevo.co.il/case/27623444" TargetMode="External"/><Relationship Id="rId7" Type="http://schemas.openxmlformats.org/officeDocument/2006/relationships/hyperlink" Target="http://www.nevo.co.il/law/70301/144.b" TargetMode="Externa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27894608" TargetMode="External"/><Relationship Id="rId29" Type="http://schemas.openxmlformats.org/officeDocument/2006/relationships/hyperlink" Target="http://www.nevo.co.il/case/28883087" TargetMode="External"/><Relationship Id="rId41"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402.b"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7418428"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www.nevo.co.il/law/70301/340a.b.2" TargetMode="External"/><Relationship Id="rId23" Type="http://schemas.openxmlformats.org/officeDocument/2006/relationships/hyperlink" Target="http://www.nevo.co.il/law/70301/402" TargetMode="External"/><Relationship Id="rId28" Type="http://schemas.openxmlformats.org/officeDocument/2006/relationships/hyperlink" Target="http://www.nevo.co.il/case/20488180" TargetMode="External"/><Relationship Id="rId36" Type="http://schemas.openxmlformats.org/officeDocument/2006/relationships/header" Target="header1.xml"/><Relationship Id="rId10" Type="http://schemas.openxmlformats.org/officeDocument/2006/relationships/hyperlink" Target="http://www.nevo.co.il/law/70301/402" TargetMode="External"/><Relationship Id="rId19" Type="http://schemas.openxmlformats.org/officeDocument/2006/relationships/hyperlink" Target="http://www.nevo.co.il/case/27414229" TargetMode="External"/><Relationship Id="rId31" Type="http://schemas.openxmlformats.org/officeDocument/2006/relationships/hyperlink" Target="http://www.nevo.co.il/case/21473039" TargetMode="External"/><Relationship Id="rId4" Type="http://schemas.openxmlformats.org/officeDocument/2006/relationships/footnotes" Target="footnotes.xml"/><Relationship Id="rId9" Type="http://schemas.openxmlformats.org/officeDocument/2006/relationships/hyperlink" Target="http://www.nevo.co.il/law/70301/340a.b.2" TargetMode="External"/><Relationship Id="rId14" Type="http://schemas.openxmlformats.org/officeDocument/2006/relationships/hyperlink" Target="http://www.nevo.co.il/law/70301/340a.b.1" TargetMode="External"/><Relationship Id="rId22" Type="http://schemas.openxmlformats.org/officeDocument/2006/relationships/hyperlink" Target="http://www.nevo.co.il/case/7773349" TargetMode="External"/><Relationship Id="rId27" Type="http://schemas.openxmlformats.org/officeDocument/2006/relationships/hyperlink" Target="http://www.nevo.co.il/case/23825390" TargetMode="External"/><Relationship Id="rId30" Type="http://schemas.openxmlformats.org/officeDocument/2006/relationships/hyperlink" Target="http://www.nevo.co.il/case/30003285"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340a.b.1" TargetMode="External"/><Relationship Id="rId3" Type="http://schemas.openxmlformats.org/officeDocument/2006/relationships/webSettings" Target="webSettings.xml"/><Relationship Id="rId12" Type="http://schemas.openxmlformats.org/officeDocument/2006/relationships/hyperlink" Target="http://www.nevo.co.il/law/70301/402.b" TargetMode="External"/><Relationship Id="rId17" Type="http://schemas.openxmlformats.org/officeDocument/2006/relationships/hyperlink" Target="http://www.nevo.co.il/case/20683368" TargetMode="External"/><Relationship Id="rId25" Type="http://schemas.openxmlformats.org/officeDocument/2006/relationships/hyperlink" Target="http://www.nevo.co.il/case/17948114" TargetMode="External"/><Relationship Id="rId33" Type="http://schemas.openxmlformats.org/officeDocument/2006/relationships/hyperlink" Target="http://www.nevo.co.il/case/28951447"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3100</Words>
  <Characters>15505</Characters>
  <Application>Microsoft Office Word</Application>
  <DocSecurity>0</DocSecurity>
  <Lines>129</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18568</CharactersWithSpaces>
  <SharedDoc>false</SharedDoc>
  <HLinks>
    <vt:vector size="180" baseType="variant">
      <vt:variant>
        <vt:i4>393283</vt:i4>
      </vt:variant>
      <vt:variant>
        <vt:i4>87</vt:i4>
      </vt:variant>
      <vt:variant>
        <vt:i4>0</vt:i4>
      </vt:variant>
      <vt:variant>
        <vt:i4>5</vt:i4>
      </vt:variant>
      <vt:variant>
        <vt:lpwstr>http://www.nevo.co.il/advertisements/nevo-100.doc</vt:lpwstr>
      </vt:variant>
      <vt:variant>
        <vt:lpwstr/>
      </vt:variant>
      <vt:variant>
        <vt:i4>3342453</vt:i4>
      </vt:variant>
      <vt:variant>
        <vt:i4>84</vt:i4>
      </vt:variant>
      <vt:variant>
        <vt:i4>0</vt:i4>
      </vt:variant>
      <vt:variant>
        <vt:i4>5</vt:i4>
      </vt:variant>
      <vt:variant>
        <vt:lpwstr>http://www.nevo.co.il/case/27623444</vt:lpwstr>
      </vt:variant>
      <vt:variant>
        <vt:lpwstr/>
      </vt:variant>
      <vt:variant>
        <vt:i4>4063357</vt:i4>
      </vt:variant>
      <vt:variant>
        <vt:i4>81</vt:i4>
      </vt:variant>
      <vt:variant>
        <vt:i4>0</vt:i4>
      </vt:variant>
      <vt:variant>
        <vt:i4>5</vt:i4>
      </vt:variant>
      <vt:variant>
        <vt:lpwstr>http://www.nevo.co.il/case/28951447</vt:lpwstr>
      </vt:variant>
      <vt:variant>
        <vt:lpwstr/>
      </vt:variant>
      <vt:variant>
        <vt:i4>3932278</vt:i4>
      </vt:variant>
      <vt:variant>
        <vt:i4>78</vt:i4>
      </vt:variant>
      <vt:variant>
        <vt:i4>0</vt:i4>
      </vt:variant>
      <vt:variant>
        <vt:i4>5</vt:i4>
      </vt:variant>
      <vt:variant>
        <vt:lpwstr>http://www.nevo.co.il/case/27418428</vt:lpwstr>
      </vt:variant>
      <vt:variant>
        <vt:lpwstr/>
      </vt:variant>
      <vt:variant>
        <vt:i4>3539058</vt:i4>
      </vt:variant>
      <vt:variant>
        <vt:i4>75</vt:i4>
      </vt:variant>
      <vt:variant>
        <vt:i4>0</vt:i4>
      </vt:variant>
      <vt:variant>
        <vt:i4>5</vt:i4>
      </vt:variant>
      <vt:variant>
        <vt:lpwstr>http://www.nevo.co.il/case/21473039</vt:lpwstr>
      </vt:variant>
      <vt:variant>
        <vt:lpwstr/>
      </vt:variant>
      <vt:variant>
        <vt:i4>3670134</vt:i4>
      </vt:variant>
      <vt:variant>
        <vt:i4>72</vt:i4>
      </vt:variant>
      <vt:variant>
        <vt:i4>0</vt:i4>
      </vt:variant>
      <vt:variant>
        <vt:i4>5</vt:i4>
      </vt:variant>
      <vt:variant>
        <vt:lpwstr>http://www.nevo.co.il/case/30003285</vt:lpwstr>
      </vt:variant>
      <vt:variant>
        <vt:lpwstr/>
      </vt:variant>
      <vt:variant>
        <vt:i4>3211380</vt:i4>
      </vt:variant>
      <vt:variant>
        <vt:i4>69</vt:i4>
      </vt:variant>
      <vt:variant>
        <vt:i4>0</vt:i4>
      </vt:variant>
      <vt:variant>
        <vt:i4>5</vt:i4>
      </vt:variant>
      <vt:variant>
        <vt:lpwstr>http://www.nevo.co.il/case/28883087</vt:lpwstr>
      </vt:variant>
      <vt:variant>
        <vt:lpwstr/>
      </vt:variant>
      <vt:variant>
        <vt:i4>3539069</vt:i4>
      </vt:variant>
      <vt:variant>
        <vt:i4>66</vt:i4>
      </vt:variant>
      <vt:variant>
        <vt:i4>0</vt:i4>
      </vt:variant>
      <vt:variant>
        <vt:i4>5</vt:i4>
      </vt:variant>
      <vt:variant>
        <vt:lpwstr>http://www.nevo.co.il/case/20488180</vt:lpwstr>
      </vt:variant>
      <vt:variant>
        <vt:lpwstr/>
      </vt:variant>
      <vt:variant>
        <vt:i4>3539062</vt:i4>
      </vt:variant>
      <vt:variant>
        <vt:i4>63</vt:i4>
      </vt:variant>
      <vt:variant>
        <vt:i4>0</vt:i4>
      </vt:variant>
      <vt:variant>
        <vt:i4>5</vt:i4>
      </vt:variant>
      <vt:variant>
        <vt:lpwstr>http://www.nevo.co.il/case/23825390</vt:lpwstr>
      </vt:variant>
      <vt:variant>
        <vt:lpwstr/>
      </vt:variant>
      <vt:variant>
        <vt:i4>3473524</vt:i4>
      </vt:variant>
      <vt:variant>
        <vt:i4>60</vt:i4>
      </vt:variant>
      <vt:variant>
        <vt:i4>0</vt:i4>
      </vt:variant>
      <vt:variant>
        <vt:i4>5</vt:i4>
      </vt:variant>
      <vt:variant>
        <vt:lpwstr>http://www.nevo.co.il/case/22505272</vt:lpwstr>
      </vt:variant>
      <vt:variant>
        <vt:lpwstr/>
      </vt:variant>
      <vt:variant>
        <vt:i4>3211382</vt:i4>
      </vt:variant>
      <vt:variant>
        <vt:i4>57</vt:i4>
      </vt:variant>
      <vt:variant>
        <vt:i4>0</vt:i4>
      </vt:variant>
      <vt:variant>
        <vt:i4>5</vt:i4>
      </vt:variant>
      <vt:variant>
        <vt:lpwstr>http://www.nevo.co.il/case/17948114</vt:lpwstr>
      </vt:variant>
      <vt:variant>
        <vt:lpwstr/>
      </vt:variant>
      <vt:variant>
        <vt:i4>7995492</vt:i4>
      </vt:variant>
      <vt:variant>
        <vt:i4>54</vt:i4>
      </vt:variant>
      <vt:variant>
        <vt:i4>0</vt:i4>
      </vt:variant>
      <vt:variant>
        <vt:i4>5</vt:i4>
      </vt:variant>
      <vt:variant>
        <vt:lpwstr>http://www.nevo.co.il/law/70301</vt:lpwstr>
      </vt:variant>
      <vt:variant>
        <vt:lpwstr/>
      </vt:variant>
      <vt:variant>
        <vt:i4>6619233</vt:i4>
      </vt:variant>
      <vt:variant>
        <vt:i4>51</vt:i4>
      </vt:variant>
      <vt:variant>
        <vt:i4>0</vt:i4>
      </vt:variant>
      <vt:variant>
        <vt:i4>5</vt:i4>
      </vt:variant>
      <vt:variant>
        <vt:lpwstr>http://www.nevo.co.il/law/70301/402</vt:lpwstr>
      </vt:variant>
      <vt:variant>
        <vt:lpwstr/>
      </vt:variant>
      <vt:variant>
        <vt:i4>3801204</vt:i4>
      </vt:variant>
      <vt:variant>
        <vt:i4>48</vt:i4>
      </vt:variant>
      <vt:variant>
        <vt:i4>0</vt:i4>
      </vt:variant>
      <vt:variant>
        <vt:i4>5</vt:i4>
      </vt:variant>
      <vt:variant>
        <vt:lpwstr>http://www.nevo.co.il/case/7773349</vt:lpwstr>
      </vt:variant>
      <vt:variant>
        <vt:lpwstr/>
      </vt:variant>
      <vt:variant>
        <vt:i4>7995492</vt:i4>
      </vt:variant>
      <vt:variant>
        <vt:i4>45</vt:i4>
      </vt:variant>
      <vt:variant>
        <vt:i4>0</vt:i4>
      </vt:variant>
      <vt:variant>
        <vt:i4>5</vt:i4>
      </vt:variant>
      <vt:variant>
        <vt:lpwstr>http://www.nevo.co.il/law/70301</vt:lpwstr>
      </vt:variant>
      <vt:variant>
        <vt:lpwstr/>
      </vt:variant>
      <vt:variant>
        <vt:i4>4063356</vt:i4>
      </vt:variant>
      <vt:variant>
        <vt:i4>42</vt:i4>
      </vt:variant>
      <vt:variant>
        <vt:i4>0</vt:i4>
      </vt:variant>
      <vt:variant>
        <vt:i4>5</vt:i4>
      </vt:variant>
      <vt:variant>
        <vt:lpwstr>http://www.nevo.co.il/case/27894608</vt:lpwstr>
      </vt:variant>
      <vt:variant>
        <vt:lpwstr/>
      </vt:variant>
      <vt:variant>
        <vt:i4>3145840</vt:i4>
      </vt:variant>
      <vt:variant>
        <vt:i4>39</vt:i4>
      </vt:variant>
      <vt:variant>
        <vt:i4>0</vt:i4>
      </vt:variant>
      <vt:variant>
        <vt:i4>5</vt:i4>
      </vt:variant>
      <vt:variant>
        <vt:lpwstr>http://www.nevo.co.il/case/27414229</vt:lpwstr>
      </vt:variant>
      <vt:variant>
        <vt:lpwstr/>
      </vt:variant>
      <vt:variant>
        <vt:i4>4063346</vt:i4>
      </vt:variant>
      <vt:variant>
        <vt:i4>36</vt:i4>
      </vt:variant>
      <vt:variant>
        <vt:i4>0</vt:i4>
      </vt:variant>
      <vt:variant>
        <vt:i4>5</vt:i4>
      </vt:variant>
      <vt:variant>
        <vt:lpwstr>http://www.nevo.co.il/case/21479019</vt:lpwstr>
      </vt:variant>
      <vt:variant>
        <vt:lpwstr/>
      </vt:variant>
      <vt:variant>
        <vt:i4>3211391</vt:i4>
      </vt:variant>
      <vt:variant>
        <vt:i4>33</vt:i4>
      </vt:variant>
      <vt:variant>
        <vt:i4>0</vt:i4>
      </vt:variant>
      <vt:variant>
        <vt:i4>5</vt:i4>
      </vt:variant>
      <vt:variant>
        <vt:lpwstr>http://www.nevo.co.il/case/20683368</vt:lpwstr>
      </vt:variant>
      <vt:variant>
        <vt:lpwstr/>
      </vt:variant>
      <vt:variant>
        <vt:i4>7995492</vt:i4>
      </vt:variant>
      <vt:variant>
        <vt:i4>30</vt:i4>
      </vt:variant>
      <vt:variant>
        <vt:i4>0</vt:i4>
      </vt:variant>
      <vt:variant>
        <vt:i4>5</vt:i4>
      </vt:variant>
      <vt:variant>
        <vt:lpwstr>http://www.nevo.co.il/law/70301</vt:lpwstr>
      </vt:variant>
      <vt:variant>
        <vt:lpwstr/>
      </vt:variant>
      <vt:variant>
        <vt:i4>5242966</vt:i4>
      </vt:variant>
      <vt:variant>
        <vt:i4>27</vt:i4>
      </vt:variant>
      <vt:variant>
        <vt:i4>0</vt:i4>
      </vt:variant>
      <vt:variant>
        <vt:i4>5</vt:i4>
      </vt:variant>
      <vt:variant>
        <vt:lpwstr>http://www.nevo.co.il/law/70301/340a.b.2</vt:lpwstr>
      </vt:variant>
      <vt:variant>
        <vt:lpwstr/>
      </vt:variant>
      <vt:variant>
        <vt:i4>5439574</vt:i4>
      </vt:variant>
      <vt:variant>
        <vt:i4>24</vt:i4>
      </vt:variant>
      <vt:variant>
        <vt:i4>0</vt:i4>
      </vt:variant>
      <vt:variant>
        <vt:i4>5</vt:i4>
      </vt:variant>
      <vt:variant>
        <vt:lpwstr>http://www.nevo.co.il/law/70301/340a.b.1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4915283</vt:i4>
      </vt:variant>
      <vt:variant>
        <vt:i4>18</vt:i4>
      </vt:variant>
      <vt:variant>
        <vt:i4>0</vt:i4>
      </vt:variant>
      <vt:variant>
        <vt:i4>5</vt:i4>
      </vt:variant>
      <vt:variant>
        <vt:lpwstr>http://www.nevo.co.il/law/70301/402.b</vt:lpwstr>
      </vt:variant>
      <vt:variant>
        <vt:lpwstr/>
      </vt:variant>
      <vt:variant>
        <vt:i4>4915283</vt:i4>
      </vt:variant>
      <vt:variant>
        <vt:i4>15</vt:i4>
      </vt:variant>
      <vt:variant>
        <vt:i4>0</vt:i4>
      </vt:variant>
      <vt:variant>
        <vt:i4>5</vt:i4>
      </vt:variant>
      <vt:variant>
        <vt:lpwstr>http://www.nevo.co.il/law/70301/402.b</vt:lpwstr>
      </vt:variant>
      <vt:variant>
        <vt:lpwstr/>
      </vt:variant>
      <vt:variant>
        <vt:i4>6619233</vt:i4>
      </vt:variant>
      <vt:variant>
        <vt:i4>12</vt:i4>
      </vt:variant>
      <vt:variant>
        <vt:i4>0</vt:i4>
      </vt:variant>
      <vt:variant>
        <vt:i4>5</vt:i4>
      </vt:variant>
      <vt:variant>
        <vt:lpwstr>http://www.nevo.co.il/law/70301/402</vt:lpwstr>
      </vt:variant>
      <vt:variant>
        <vt:lpwstr/>
      </vt:variant>
      <vt:variant>
        <vt:i4>5242966</vt:i4>
      </vt:variant>
      <vt:variant>
        <vt:i4>9</vt:i4>
      </vt:variant>
      <vt:variant>
        <vt:i4>0</vt:i4>
      </vt:variant>
      <vt:variant>
        <vt:i4>5</vt:i4>
      </vt:variant>
      <vt:variant>
        <vt:lpwstr>http://www.nevo.co.il/law/70301/340a.b.2</vt:lpwstr>
      </vt:variant>
      <vt:variant>
        <vt:lpwstr/>
      </vt:variant>
      <vt:variant>
        <vt:i4>5439574</vt:i4>
      </vt:variant>
      <vt:variant>
        <vt:i4>6</vt:i4>
      </vt:variant>
      <vt:variant>
        <vt:i4>0</vt:i4>
      </vt:variant>
      <vt:variant>
        <vt:i4>5</vt:i4>
      </vt:variant>
      <vt:variant>
        <vt:lpwstr>http://www.nevo.co.il/law/70301/340a.b.1</vt:lpwstr>
      </vt:variant>
      <vt:variant>
        <vt:lpwstr/>
      </vt:variant>
      <vt:variant>
        <vt:i4>5177424</vt:i4>
      </vt:variant>
      <vt:variant>
        <vt:i4>3</vt:i4>
      </vt:variant>
      <vt:variant>
        <vt:i4>0</vt:i4>
      </vt:variant>
      <vt:variant>
        <vt:i4>5</vt:i4>
      </vt:variant>
      <vt:variant>
        <vt:lpwstr>http://www.nevo.co.il/law/70301/144.b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2025-02-28T15:24:00Z</dcterms:created>
  <dcterms:modified xsi:type="dcterms:W3CDTF">2025-02-28T15:24:00Z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33791</vt:lpwstr>
  </property>
  <property fmtid="{D5CDD505-2E9C-101B-9397-08002B2CF9AE}" pid="6" name="NEWPARTB">
    <vt:lpwstr>12</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איברהים אבו סולב </vt:lpwstr>
  </property>
  <property fmtid="{D5CDD505-2E9C-101B-9397-08002B2CF9AE}" pid="10" name="LAWYER">
    <vt:lpwstr>חנה מוצ'ה;תאמר אסדי</vt:lpwstr>
  </property>
  <property fmtid="{D5CDD505-2E9C-101B-9397-08002B2CF9AE}" pid="11" name="JUDGE">
    <vt:lpwstr>יובל ליבדרו</vt:lpwstr>
  </property>
  <property fmtid="{D5CDD505-2E9C-101B-9397-08002B2CF9AE}" pid="12" name="CITY">
    <vt:lpwstr>ב"ש</vt:lpwstr>
  </property>
  <property fmtid="{D5CDD505-2E9C-101B-9397-08002B2CF9AE}" pid="13" name="DATE">
    <vt:lpwstr>20241210</vt:lpwstr>
  </property>
  <property fmtid="{D5CDD505-2E9C-101B-9397-08002B2CF9AE}" pid="14" name="TYPE_N_DATE">
    <vt:lpwstr>39020241210</vt:lpwstr>
  </property>
  <property fmtid="{D5CDD505-2E9C-101B-9397-08002B2CF9AE}" pid="15" name="CASESLISTTMP1">
    <vt:lpwstr>20683368;21479019;27414229;27894608;7773349;17948114;22505272;23825390;20488180;28883087;30003285;21473039;27418428;28951447;27623444</vt:lpwstr>
  </property>
  <property fmtid="{D5CDD505-2E9C-101B-9397-08002B2CF9AE}" pid="16" name="WORDNUMPAGES">
    <vt:lpwstr>9</vt:lpwstr>
  </property>
  <property fmtid="{D5CDD505-2E9C-101B-9397-08002B2CF9AE}" pid="17" name="TYPE_ABS_DATE">
    <vt:lpwstr>390020241210</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70301/402.b;144.b;340a.b.1;340a.b.2;402</vt:lpwstr>
  </property>
</Properties>
</file>