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A0851" w:rsidRPr="003A5867" w14:paraId="18D8BBAE" w14:textId="77777777" w:rsidTr="00270E91">
        <w:trPr>
          <w:trHeight w:hRule="exact" w:val="418"/>
          <w:jc w:val="center"/>
        </w:trPr>
        <w:tc>
          <w:tcPr>
            <w:tcW w:w="8721" w:type="dxa"/>
            <w:gridSpan w:val="2"/>
          </w:tcPr>
          <w:p w14:paraId="7FD49157" w14:textId="77777777" w:rsidR="004A0851" w:rsidRPr="003A5867" w:rsidRDefault="004A0851" w:rsidP="00BD1286">
            <w:pPr>
              <w:pStyle w:val="a3"/>
              <w:jc w:val="center"/>
              <w:rPr>
                <w:rFonts w:ascii="Tahoma" w:hAnsi="Tahoma" w:cs="Tahoma"/>
                <w:color w:val="000080"/>
                <w:rtl/>
              </w:rPr>
            </w:pPr>
            <w:bookmarkStart w:id="0" w:name="FirstLawyer"/>
            <w:bookmarkStart w:id="1" w:name="LastJudge"/>
            <w:r w:rsidRPr="003A5867">
              <w:rPr>
                <w:rFonts w:ascii="Tahoma" w:hAnsi="Tahoma" w:cs="Tahoma"/>
                <w:b/>
                <w:bCs/>
                <w:color w:val="000080"/>
                <w:rtl/>
              </w:rPr>
              <w:t>בית המשפט המחוזי בבאר שבע</w:t>
            </w:r>
          </w:p>
        </w:tc>
      </w:tr>
      <w:tr w:rsidR="004A0851" w:rsidRPr="003A5867" w14:paraId="730585AD" w14:textId="77777777" w:rsidTr="00270E91">
        <w:trPr>
          <w:trHeight w:val="337"/>
          <w:jc w:val="center"/>
        </w:trPr>
        <w:tc>
          <w:tcPr>
            <w:tcW w:w="5057" w:type="dxa"/>
          </w:tcPr>
          <w:p w14:paraId="4DA4CC77" w14:textId="77777777" w:rsidR="004A0851" w:rsidRPr="003A5867" w:rsidRDefault="004A0851" w:rsidP="00BD1286">
            <w:pPr>
              <w:rPr>
                <w:rFonts w:cs="FrankRuehl"/>
                <w:sz w:val="28"/>
                <w:szCs w:val="28"/>
                <w:rtl/>
              </w:rPr>
            </w:pPr>
            <w:r w:rsidRPr="003A5867">
              <w:rPr>
                <w:rFonts w:cs="FrankRuehl"/>
                <w:sz w:val="28"/>
                <w:szCs w:val="28"/>
                <w:rtl/>
              </w:rPr>
              <w:t>ת"פ</w:t>
            </w:r>
            <w:r w:rsidRPr="003A5867">
              <w:rPr>
                <w:rFonts w:cs="FrankRuehl" w:hint="cs"/>
                <w:sz w:val="28"/>
                <w:szCs w:val="28"/>
                <w:rtl/>
              </w:rPr>
              <w:t xml:space="preserve"> </w:t>
            </w:r>
            <w:r w:rsidRPr="003A5867">
              <w:rPr>
                <w:rFonts w:cs="FrankRuehl"/>
                <w:sz w:val="28"/>
                <w:szCs w:val="28"/>
                <w:rtl/>
              </w:rPr>
              <w:t>3384-12-23</w:t>
            </w:r>
            <w:r w:rsidRPr="003A5867">
              <w:rPr>
                <w:rFonts w:cs="FrankRuehl" w:hint="cs"/>
                <w:sz w:val="28"/>
                <w:szCs w:val="28"/>
                <w:rtl/>
              </w:rPr>
              <w:t xml:space="preserve"> </w:t>
            </w:r>
            <w:r w:rsidRPr="003A5867">
              <w:rPr>
                <w:rFonts w:cs="FrankRuehl"/>
                <w:sz w:val="28"/>
                <w:szCs w:val="28"/>
                <w:rtl/>
              </w:rPr>
              <w:t>מדינת ישראל נ' אבו סבית(עציר)</w:t>
            </w:r>
          </w:p>
          <w:p w14:paraId="4644CB4B" w14:textId="77777777" w:rsidR="004A0851" w:rsidRPr="003A5867" w:rsidRDefault="004A0851" w:rsidP="00BD1286">
            <w:pPr>
              <w:pStyle w:val="a3"/>
              <w:rPr>
                <w:rFonts w:cs="FrankRuehl"/>
                <w:sz w:val="28"/>
                <w:szCs w:val="28"/>
                <w:rtl/>
              </w:rPr>
            </w:pPr>
          </w:p>
        </w:tc>
        <w:tc>
          <w:tcPr>
            <w:tcW w:w="3664" w:type="dxa"/>
          </w:tcPr>
          <w:p w14:paraId="5837E2D2" w14:textId="77777777" w:rsidR="004A0851" w:rsidRPr="003A5867" w:rsidRDefault="004A0851" w:rsidP="00BD1286">
            <w:pPr>
              <w:pStyle w:val="a3"/>
              <w:jc w:val="right"/>
              <w:rPr>
                <w:rFonts w:cs="FrankRuehl"/>
                <w:sz w:val="28"/>
                <w:szCs w:val="28"/>
                <w:rtl/>
              </w:rPr>
            </w:pPr>
          </w:p>
        </w:tc>
      </w:tr>
    </w:tbl>
    <w:p w14:paraId="35E63390" w14:textId="77777777" w:rsidR="004A0851" w:rsidRPr="003A5867" w:rsidRDefault="004A0851" w:rsidP="00270E91">
      <w:pPr>
        <w:pStyle w:val="a3"/>
      </w:pPr>
      <w:r w:rsidRPr="003A586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A0851" w:rsidRPr="003A5867" w14:paraId="419F3382" w14:textId="77777777" w:rsidTr="004A0851">
        <w:trPr>
          <w:trHeight w:val="295"/>
          <w:jc w:val="center"/>
        </w:trPr>
        <w:tc>
          <w:tcPr>
            <w:tcW w:w="923" w:type="dxa"/>
            <w:tcBorders>
              <w:top w:val="nil"/>
              <w:left w:val="nil"/>
              <w:bottom w:val="nil"/>
              <w:right w:val="nil"/>
            </w:tcBorders>
            <w:shd w:val="clear" w:color="auto" w:fill="auto"/>
          </w:tcPr>
          <w:p w14:paraId="5B54DC93" w14:textId="77777777" w:rsidR="004A0851" w:rsidRPr="003A5867" w:rsidRDefault="004A0851" w:rsidP="004A0851">
            <w:pPr>
              <w:jc w:val="both"/>
              <w:rPr>
                <w:rFonts w:ascii="David" w:hAnsi="David"/>
                <w:sz w:val="26"/>
                <w:szCs w:val="26"/>
              </w:rPr>
            </w:pPr>
            <w:r w:rsidRPr="003A5867">
              <w:rPr>
                <w:rFonts w:ascii="David" w:hAnsi="David" w:hint="cs"/>
                <w:sz w:val="26"/>
                <w:szCs w:val="26"/>
                <w:rtl/>
              </w:rPr>
              <w:t>ל</w:t>
            </w:r>
            <w:r w:rsidRPr="003A586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19ED542" w14:textId="77777777" w:rsidR="004A0851" w:rsidRPr="003A5867" w:rsidRDefault="004A0851" w:rsidP="00BD1286">
            <w:pPr>
              <w:rPr>
                <w:rFonts w:ascii="David" w:hAnsi="David"/>
                <w:b/>
                <w:bCs/>
                <w:sz w:val="26"/>
                <w:szCs w:val="26"/>
                <w:rtl/>
              </w:rPr>
            </w:pPr>
            <w:r w:rsidRPr="003A5867">
              <w:rPr>
                <w:rFonts w:ascii="David" w:hAnsi="David"/>
                <w:b/>
                <w:bCs/>
                <w:sz w:val="26"/>
                <w:szCs w:val="26"/>
                <w:rtl/>
              </w:rPr>
              <w:t>כבוד השופט  אלון גביזון</w:t>
            </w:r>
          </w:p>
          <w:p w14:paraId="2568275C" w14:textId="77777777" w:rsidR="004A0851" w:rsidRPr="003A5867" w:rsidRDefault="004A0851" w:rsidP="00BD1286">
            <w:pPr>
              <w:rPr>
                <w:rFonts w:ascii="David" w:hAnsi="David"/>
                <w:sz w:val="26"/>
                <w:szCs w:val="26"/>
                <w:rtl/>
              </w:rPr>
            </w:pPr>
          </w:p>
          <w:p w14:paraId="27BABADB" w14:textId="77777777" w:rsidR="004A0851" w:rsidRPr="003A5867" w:rsidRDefault="004A0851" w:rsidP="004A0851">
            <w:pPr>
              <w:jc w:val="both"/>
              <w:rPr>
                <w:rFonts w:ascii="David" w:hAnsi="David"/>
                <w:sz w:val="26"/>
                <w:szCs w:val="26"/>
              </w:rPr>
            </w:pPr>
          </w:p>
        </w:tc>
      </w:tr>
      <w:tr w:rsidR="004A0851" w:rsidRPr="003A5867" w14:paraId="2D8DD2D2" w14:textId="77777777" w:rsidTr="004A0851">
        <w:trPr>
          <w:trHeight w:val="355"/>
          <w:jc w:val="center"/>
        </w:trPr>
        <w:tc>
          <w:tcPr>
            <w:tcW w:w="923" w:type="dxa"/>
            <w:tcBorders>
              <w:top w:val="nil"/>
              <w:left w:val="nil"/>
              <w:bottom w:val="nil"/>
              <w:right w:val="nil"/>
            </w:tcBorders>
            <w:shd w:val="clear" w:color="auto" w:fill="auto"/>
          </w:tcPr>
          <w:p w14:paraId="1387D4CD" w14:textId="77777777" w:rsidR="004A0851" w:rsidRPr="003A5867" w:rsidRDefault="004A0851" w:rsidP="004A0851">
            <w:pPr>
              <w:jc w:val="both"/>
              <w:rPr>
                <w:rFonts w:ascii="David" w:hAnsi="David"/>
                <w:sz w:val="26"/>
                <w:szCs w:val="26"/>
              </w:rPr>
            </w:pPr>
            <w:bookmarkStart w:id="2" w:name="FirstAppellant"/>
            <w:r w:rsidRPr="003A5867">
              <w:rPr>
                <w:rFonts w:ascii="David" w:hAnsi="David"/>
                <w:sz w:val="26"/>
                <w:szCs w:val="26"/>
                <w:rtl/>
              </w:rPr>
              <w:t>בעניין:</w:t>
            </w:r>
          </w:p>
        </w:tc>
        <w:tc>
          <w:tcPr>
            <w:tcW w:w="3219" w:type="dxa"/>
            <w:tcBorders>
              <w:top w:val="nil"/>
              <w:left w:val="nil"/>
              <w:bottom w:val="nil"/>
              <w:right w:val="nil"/>
            </w:tcBorders>
            <w:shd w:val="clear" w:color="auto" w:fill="auto"/>
          </w:tcPr>
          <w:p w14:paraId="5CFB7664" w14:textId="77777777" w:rsidR="004A0851" w:rsidRPr="003A5867" w:rsidRDefault="004A0851" w:rsidP="004A0851">
            <w:pPr>
              <w:suppressLineNumbers/>
            </w:pPr>
            <w:r w:rsidRPr="003A5867">
              <w:rPr>
                <w:rFonts w:ascii="Arial" w:hAnsi="Arial" w:hint="cs"/>
                <w:b/>
                <w:bCs/>
                <w:sz w:val="26"/>
                <w:szCs w:val="26"/>
                <w:rtl/>
              </w:rPr>
              <w:t>ה</w:t>
            </w:r>
            <w:r w:rsidRPr="003A5867">
              <w:rPr>
                <w:rFonts w:ascii="Arial" w:hAnsi="Arial"/>
                <w:b/>
                <w:bCs/>
                <w:sz w:val="26"/>
                <w:szCs w:val="26"/>
                <w:rtl/>
              </w:rPr>
              <w:t>מאשימה</w:t>
            </w:r>
          </w:p>
          <w:p w14:paraId="35F9C3D4" w14:textId="77777777" w:rsidR="004A0851" w:rsidRPr="003A5867" w:rsidRDefault="004A0851" w:rsidP="00BD1286">
            <w:pPr>
              <w:rPr>
                <w:rFonts w:ascii="David" w:hAnsi="David"/>
                <w:sz w:val="26"/>
                <w:szCs w:val="26"/>
              </w:rPr>
            </w:pPr>
          </w:p>
        </w:tc>
        <w:tc>
          <w:tcPr>
            <w:tcW w:w="4678" w:type="dxa"/>
            <w:tcBorders>
              <w:top w:val="nil"/>
              <w:left w:val="nil"/>
              <w:bottom w:val="nil"/>
              <w:right w:val="nil"/>
            </w:tcBorders>
            <w:shd w:val="clear" w:color="auto" w:fill="auto"/>
            <w:vAlign w:val="center"/>
          </w:tcPr>
          <w:p w14:paraId="49DA6C43" w14:textId="77777777" w:rsidR="004A0851" w:rsidRPr="003A5867" w:rsidRDefault="004A0851" w:rsidP="004A0851">
            <w:pPr>
              <w:suppressLineNumbers/>
            </w:pPr>
            <w:r w:rsidRPr="003A5867">
              <w:rPr>
                <w:rFonts w:ascii="Arial" w:hAnsi="Arial"/>
                <w:b/>
                <w:bCs/>
                <w:sz w:val="26"/>
                <w:szCs w:val="26"/>
                <w:rtl/>
              </w:rPr>
              <w:t>מדינת ישראל</w:t>
            </w:r>
            <w:r w:rsidRPr="003A5867">
              <w:rPr>
                <w:rFonts w:ascii="Arial" w:hAnsi="Arial"/>
                <w:b/>
                <w:bCs/>
                <w:sz w:val="26"/>
                <w:szCs w:val="26"/>
                <w:rtl/>
              </w:rPr>
              <w:br/>
              <w:t>ע"י ב"כ עו</w:t>
            </w:r>
            <w:r w:rsidRPr="003A5867">
              <w:rPr>
                <w:rFonts w:ascii="Arial" w:hAnsi="Arial" w:hint="cs"/>
                <w:b/>
                <w:bCs/>
                <w:sz w:val="26"/>
                <w:szCs w:val="26"/>
                <w:rtl/>
              </w:rPr>
              <w:t xml:space="preserve">"ד גאל נבון </w:t>
            </w:r>
          </w:p>
          <w:p w14:paraId="5B7834C8" w14:textId="77777777" w:rsidR="004A0851" w:rsidRPr="003A5867" w:rsidRDefault="004A0851" w:rsidP="00BD1286">
            <w:pPr>
              <w:rPr>
                <w:rFonts w:ascii="David" w:hAnsi="David"/>
                <w:sz w:val="26"/>
                <w:szCs w:val="26"/>
              </w:rPr>
            </w:pPr>
          </w:p>
        </w:tc>
      </w:tr>
      <w:bookmarkEnd w:id="2"/>
      <w:tr w:rsidR="004A0851" w:rsidRPr="003A5867" w14:paraId="4BE3F737" w14:textId="77777777" w:rsidTr="004A0851">
        <w:trPr>
          <w:trHeight w:val="355"/>
          <w:jc w:val="center"/>
        </w:trPr>
        <w:tc>
          <w:tcPr>
            <w:tcW w:w="923" w:type="dxa"/>
            <w:tcBorders>
              <w:top w:val="nil"/>
              <w:left w:val="nil"/>
              <w:bottom w:val="nil"/>
              <w:right w:val="nil"/>
            </w:tcBorders>
            <w:shd w:val="clear" w:color="auto" w:fill="auto"/>
          </w:tcPr>
          <w:p w14:paraId="34DD86ED" w14:textId="77777777" w:rsidR="004A0851" w:rsidRPr="003A5867" w:rsidRDefault="004A0851" w:rsidP="004A085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18DF443" w14:textId="77777777" w:rsidR="004A0851" w:rsidRPr="003A5867" w:rsidRDefault="004A0851" w:rsidP="004A0851">
            <w:pPr>
              <w:jc w:val="center"/>
              <w:rPr>
                <w:rFonts w:ascii="David" w:hAnsi="David"/>
                <w:b/>
                <w:bCs/>
                <w:sz w:val="26"/>
                <w:szCs w:val="26"/>
                <w:rtl/>
              </w:rPr>
            </w:pPr>
          </w:p>
          <w:p w14:paraId="2DE070BA" w14:textId="77777777" w:rsidR="004A0851" w:rsidRPr="003A5867" w:rsidRDefault="004A0851" w:rsidP="004A0851">
            <w:pPr>
              <w:jc w:val="center"/>
              <w:rPr>
                <w:rFonts w:ascii="David" w:hAnsi="David"/>
                <w:b/>
                <w:bCs/>
                <w:sz w:val="26"/>
                <w:szCs w:val="26"/>
                <w:rtl/>
              </w:rPr>
            </w:pPr>
            <w:r w:rsidRPr="003A5867">
              <w:rPr>
                <w:rFonts w:ascii="David" w:hAnsi="David"/>
                <w:b/>
                <w:bCs/>
                <w:sz w:val="26"/>
                <w:szCs w:val="26"/>
                <w:rtl/>
              </w:rPr>
              <w:t>נגד</w:t>
            </w:r>
          </w:p>
          <w:p w14:paraId="165166DD" w14:textId="77777777" w:rsidR="004A0851" w:rsidRPr="003A5867" w:rsidRDefault="004A0851" w:rsidP="004A0851">
            <w:pPr>
              <w:jc w:val="both"/>
              <w:rPr>
                <w:rFonts w:ascii="David" w:hAnsi="David"/>
                <w:sz w:val="26"/>
                <w:szCs w:val="26"/>
              </w:rPr>
            </w:pPr>
          </w:p>
        </w:tc>
      </w:tr>
      <w:tr w:rsidR="004A0851" w:rsidRPr="003A5867" w14:paraId="16371E40" w14:textId="77777777" w:rsidTr="004A0851">
        <w:trPr>
          <w:trHeight w:val="355"/>
          <w:jc w:val="center"/>
        </w:trPr>
        <w:tc>
          <w:tcPr>
            <w:tcW w:w="923" w:type="dxa"/>
            <w:tcBorders>
              <w:top w:val="nil"/>
              <w:left w:val="nil"/>
              <w:bottom w:val="nil"/>
              <w:right w:val="nil"/>
            </w:tcBorders>
            <w:shd w:val="clear" w:color="auto" w:fill="auto"/>
          </w:tcPr>
          <w:p w14:paraId="038FC509" w14:textId="77777777" w:rsidR="004A0851" w:rsidRPr="003A5867" w:rsidRDefault="004A0851" w:rsidP="00BD1286">
            <w:pPr>
              <w:rPr>
                <w:rFonts w:ascii="David" w:hAnsi="David"/>
                <w:sz w:val="26"/>
                <w:szCs w:val="26"/>
                <w:rtl/>
              </w:rPr>
            </w:pPr>
          </w:p>
        </w:tc>
        <w:tc>
          <w:tcPr>
            <w:tcW w:w="3219" w:type="dxa"/>
            <w:tcBorders>
              <w:top w:val="nil"/>
              <w:left w:val="nil"/>
              <w:bottom w:val="nil"/>
              <w:right w:val="nil"/>
            </w:tcBorders>
            <w:shd w:val="clear" w:color="auto" w:fill="auto"/>
          </w:tcPr>
          <w:p w14:paraId="3D86ABC2" w14:textId="77777777" w:rsidR="004A0851" w:rsidRPr="003A5867" w:rsidRDefault="004A0851" w:rsidP="00BD1286">
            <w:pPr>
              <w:rPr>
                <w:rFonts w:ascii="Arial" w:hAnsi="Arial"/>
                <w:b/>
                <w:bCs/>
                <w:sz w:val="26"/>
                <w:szCs w:val="26"/>
                <w:rtl/>
              </w:rPr>
            </w:pPr>
            <w:r w:rsidRPr="003A586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27801DF" w14:textId="77777777" w:rsidR="004A0851" w:rsidRPr="003A5867" w:rsidRDefault="004A0851" w:rsidP="004A0851">
            <w:pPr>
              <w:suppressLineNumbers/>
            </w:pPr>
            <w:r w:rsidRPr="003A5867">
              <w:rPr>
                <w:rFonts w:ascii="Arial" w:hAnsi="Arial"/>
                <w:b/>
                <w:bCs/>
                <w:sz w:val="26"/>
                <w:szCs w:val="26"/>
                <w:rtl/>
              </w:rPr>
              <w:t xml:space="preserve">עווד אבו סבית </w:t>
            </w:r>
            <w:r w:rsidRPr="003A5867">
              <w:rPr>
                <w:rFonts w:ascii="Arial" w:hAnsi="Arial" w:hint="cs"/>
                <w:b/>
                <w:bCs/>
                <w:sz w:val="26"/>
                <w:szCs w:val="26"/>
                <w:rtl/>
              </w:rPr>
              <w:t xml:space="preserve">- </w:t>
            </w:r>
            <w:r w:rsidRPr="003A5867">
              <w:rPr>
                <w:rFonts w:ascii="Arial" w:hAnsi="Arial"/>
                <w:b/>
                <w:bCs/>
                <w:sz w:val="26"/>
                <w:szCs w:val="26"/>
                <w:rtl/>
              </w:rPr>
              <w:t xml:space="preserve">הובא </w:t>
            </w:r>
            <w:r w:rsidRPr="003A5867">
              <w:rPr>
                <w:rFonts w:ascii="Arial" w:hAnsi="Arial" w:hint="cs"/>
                <w:b/>
                <w:bCs/>
                <w:sz w:val="26"/>
                <w:szCs w:val="26"/>
                <w:rtl/>
              </w:rPr>
              <w:t>ע"י נחשון</w:t>
            </w:r>
            <w:r w:rsidRPr="003A5867">
              <w:rPr>
                <w:rFonts w:ascii="Arial" w:hAnsi="Arial"/>
                <w:b/>
                <w:bCs/>
                <w:sz w:val="26"/>
                <w:szCs w:val="26"/>
                <w:rtl/>
              </w:rPr>
              <w:br/>
              <w:t>ע"י ב"כ עו"ד</w:t>
            </w:r>
            <w:r w:rsidRPr="003A5867">
              <w:rPr>
                <w:rFonts w:ascii="Arial" w:hAnsi="Arial" w:hint="cs"/>
                <w:b/>
                <w:bCs/>
                <w:sz w:val="26"/>
                <w:szCs w:val="26"/>
                <w:rtl/>
              </w:rPr>
              <w:t xml:space="preserve"> נאשף דרוויש </w:t>
            </w:r>
          </w:p>
          <w:p w14:paraId="00ECC466" w14:textId="77777777" w:rsidR="004A0851" w:rsidRPr="003A5867" w:rsidRDefault="004A0851" w:rsidP="00BD1286">
            <w:pPr>
              <w:rPr>
                <w:rFonts w:ascii="David" w:hAnsi="David"/>
                <w:sz w:val="26"/>
                <w:szCs w:val="26"/>
              </w:rPr>
            </w:pPr>
          </w:p>
        </w:tc>
      </w:tr>
      <w:tr w:rsidR="004A0851" w:rsidRPr="003A5867" w14:paraId="5AD64DD8" w14:textId="77777777" w:rsidTr="004A0851">
        <w:trPr>
          <w:trHeight w:val="355"/>
          <w:jc w:val="center"/>
        </w:trPr>
        <w:tc>
          <w:tcPr>
            <w:tcW w:w="923" w:type="dxa"/>
            <w:tcBorders>
              <w:top w:val="nil"/>
              <w:left w:val="nil"/>
              <w:bottom w:val="nil"/>
              <w:right w:val="nil"/>
            </w:tcBorders>
            <w:shd w:val="clear" w:color="auto" w:fill="auto"/>
          </w:tcPr>
          <w:p w14:paraId="5B9042A2" w14:textId="77777777" w:rsidR="004A0851" w:rsidRPr="003A5867" w:rsidRDefault="004A0851" w:rsidP="004A0851">
            <w:pPr>
              <w:jc w:val="both"/>
              <w:rPr>
                <w:rFonts w:ascii="David" w:hAnsi="David"/>
                <w:sz w:val="26"/>
                <w:szCs w:val="26"/>
                <w:rtl/>
              </w:rPr>
            </w:pPr>
          </w:p>
        </w:tc>
        <w:tc>
          <w:tcPr>
            <w:tcW w:w="3219" w:type="dxa"/>
            <w:tcBorders>
              <w:top w:val="nil"/>
              <w:left w:val="nil"/>
              <w:bottom w:val="nil"/>
              <w:right w:val="nil"/>
            </w:tcBorders>
            <w:shd w:val="clear" w:color="auto" w:fill="auto"/>
          </w:tcPr>
          <w:p w14:paraId="48592DD6" w14:textId="77777777" w:rsidR="004A0851" w:rsidRPr="003A5867" w:rsidRDefault="004A0851" w:rsidP="004A0851">
            <w:pPr>
              <w:jc w:val="both"/>
              <w:rPr>
                <w:rFonts w:ascii="David" w:hAnsi="David"/>
                <w:sz w:val="26"/>
                <w:szCs w:val="26"/>
                <w:rtl/>
              </w:rPr>
            </w:pPr>
          </w:p>
        </w:tc>
        <w:tc>
          <w:tcPr>
            <w:tcW w:w="4678" w:type="dxa"/>
            <w:tcBorders>
              <w:top w:val="nil"/>
              <w:left w:val="nil"/>
              <w:bottom w:val="nil"/>
              <w:right w:val="nil"/>
            </w:tcBorders>
            <w:shd w:val="clear" w:color="auto" w:fill="auto"/>
          </w:tcPr>
          <w:p w14:paraId="204038F8" w14:textId="77777777" w:rsidR="004A0851" w:rsidRPr="003A5867" w:rsidRDefault="004A0851" w:rsidP="004A0851">
            <w:pPr>
              <w:jc w:val="right"/>
              <w:rPr>
                <w:rFonts w:ascii="David" w:hAnsi="David"/>
                <w:sz w:val="26"/>
                <w:szCs w:val="26"/>
              </w:rPr>
            </w:pPr>
          </w:p>
        </w:tc>
      </w:tr>
    </w:tbl>
    <w:p w14:paraId="6A7549CF" w14:textId="77777777" w:rsidR="00270E91" w:rsidRDefault="00270E91" w:rsidP="003A5867">
      <w:pPr>
        <w:rPr>
          <w:sz w:val="26"/>
          <w:szCs w:val="26"/>
          <w:rtl/>
        </w:rPr>
      </w:pPr>
      <w:bookmarkStart w:id="3" w:name="LawTable"/>
      <w:bookmarkEnd w:id="3"/>
    </w:p>
    <w:p w14:paraId="309D6B15" w14:textId="77777777" w:rsidR="00270E91" w:rsidRPr="00270E91" w:rsidRDefault="00270E91" w:rsidP="00270E91">
      <w:pPr>
        <w:spacing w:after="120" w:line="240" w:lineRule="exact"/>
        <w:ind w:left="283" w:hanging="283"/>
        <w:jc w:val="both"/>
        <w:rPr>
          <w:rFonts w:ascii="FrankRuehl" w:hAnsi="FrankRuehl" w:cs="FrankRuehl"/>
          <w:rtl/>
        </w:rPr>
      </w:pPr>
    </w:p>
    <w:p w14:paraId="2221D926" w14:textId="77777777" w:rsidR="00270E91" w:rsidRPr="00270E91" w:rsidRDefault="00270E91" w:rsidP="00270E91">
      <w:pPr>
        <w:spacing w:after="120" w:line="240" w:lineRule="exact"/>
        <w:ind w:left="283" w:hanging="283"/>
        <w:jc w:val="both"/>
        <w:rPr>
          <w:rFonts w:ascii="FrankRuehl" w:hAnsi="FrankRuehl" w:cs="FrankRuehl"/>
          <w:rtl/>
        </w:rPr>
      </w:pPr>
      <w:r w:rsidRPr="00270E91">
        <w:rPr>
          <w:rFonts w:ascii="FrankRuehl" w:hAnsi="FrankRuehl" w:cs="FrankRuehl"/>
          <w:rtl/>
        </w:rPr>
        <w:t xml:space="preserve">חקיקה שאוזכרה: </w:t>
      </w:r>
    </w:p>
    <w:p w14:paraId="07945C74" w14:textId="77777777" w:rsidR="00270E91" w:rsidRPr="00270E91" w:rsidRDefault="00270E91" w:rsidP="00270E91">
      <w:pPr>
        <w:spacing w:after="120" w:line="240" w:lineRule="exact"/>
        <w:ind w:left="283" w:hanging="283"/>
        <w:jc w:val="both"/>
        <w:rPr>
          <w:rFonts w:ascii="FrankRuehl" w:hAnsi="FrankRuehl" w:cs="FrankRuehl"/>
          <w:rtl/>
        </w:rPr>
      </w:pPr>
      <w:hyperlink r:id="rId7" w:history="1">
        <w:r w:rsidRPr="00270E91">
          <w:rPr>
            <w:rFonts w:ascii="FrankRuehl" w:hAnsi="FrankRuehl" w:cs="FrankRuehl"/>
            <w:color w:val="0000FF"/>
            <w:u w:val="single"/>
            <w:rtl/>
          </w:rPr>
          <w:t>חוק העונשין, תשל"ז-1977</w:t>
        </w:r>
      </w:hyperlink>
      <w:r w:rsidRPr="00270E91">
        <w:rPr>
          <w:rFonts w:ascii="FrankRuehl" w:hAnsi="FrankRuehl" w:cs="FrankRuehl"/>
          <w:rtl/>
        </w:rPr>
        <w:t xml:space="preserve">: סע'  </w:t>
      </w:r>
      <w:hyperlink r:id="rId8" w:history="1">
        <w:r w:rsidRPr="00270E91">
          <w:rPr>
            <w:rFonts w:ascii="FrankRuehl" w:hAnsi="FrankRuehl" w:cs="FrankRuehl"/>
            <w:color w:val="0000FF"/>
            <w:u w:val="single"/>
            <w:rtl/>
          </w:rPr>
          <w:t>40 ב</w:t>
        </w:r>
      </w:hyperlink>
      <w:r w:rsidRPr="00270E91">
        <w:rPr>
          <w:rFonts w:ascii="FrankRuehl" w:hAnsi="FrankRuehl" w:cs="FrankRuehl"/>
          <w:rtl/>
        </w:rPr>
        <w:t xml:space="preserve">, </w:t>
      </w:r>
      <w:hyperlink r:id="rId9" w:history="1">
        <w:r w:rsidRPr="00270E91">
          <w:rPr>
            <w:rFonts w:ascii="FrankRuehl" w:hAnsi="FrankRuehl" w:cs="FrankRuehl"/>
            <w:color w:val="0000FF"/>
            <w:u w:val="single"/>
            <w:rtl/>
          </w:rPr>
          <w:t>40 ג</w:t>
        </w:r>
      </w:hyperlink>
      <w:r w:rsidRPr="00270E91">
        <w:rPr>
          <w:rFonts w:ascii="FrankRuehl" w:hAnsi="FrankRuehl" w:cs="FrankRuehl"/>
          <w:rtl/>
        </w:rPr>
        <w:t xml:space="preserve">, </w:t>
      </w:r>
      <w:hyperlink r:id="rId10" w:history="1">
        <w:r w:rsidRPr="00270E91">
          <w:rPr>
            <w:rFonts w:ascii="FrankRuehl" w:hAnsi="FrankRuehl" w:cs="FrankRuehl"/>
            <w:color w:val="0000FF"/>
            <w:u w:val="single"/>
            <w:rtl/>
          </w:rPr>
          <w:t>40ד(א)</w:t>
        </w:r>
      </w:hyperlink>
      <w:r w:rsidRPr="00270E91">
        <w:rPr>
          <w:rFonts w:ascii="FrankRuehl" w:hAnsi="FrankRuehl" w:cs="FrankRuehl"/>
          <w:rtl/>
        </w:rPr>
        <w:t xml:space="preserve">, </w:t>
      </w:r>
      <w:hyperlink r:id="rId11" w:history="1">
        <w:r w:rsidRPr="00270E91">
          <w:rPr>
            <w:rFonts w:ascii="FrankRuehl" w:hAnsi="FrankRuehl" w:cs="FrankRuehl"/>
            <w:color w:val="0000FF"/>
            <w:u w:val="single"/>
            <w:rtl/>
          </w:rPr>
          <w:t>144</w:t>
        </w:r>
      </w:hyperlink>
      <w:r w:rsidRPr="00270E91">
        <w:rPr>
          <w:rFonts w:ascii="FrankRuehl" w:hAnsi="FrankRuehl" w:cs="FrankRuehl"/>
          <w:rtl/>
        </w:rPr>
        <w:t xml:space="preserve">, </w:t>
      </w:r>
      <w:hyperlink r:id="rId12" w:history="1">
        <w:r w:rsidRPr="00270E91">
          <w:rPr>
            <w:rFonts w:ascii="FrankRuehl" w:hAnsi="FrankRuehl" w:cs="FrankRuehl"/>
            <w:color w:val="0000FF"/>
            <w:u w:val="single"/>
            <w:rtl/>
          </w:rPr>
          <w:t>144(ב)</w:t>
        </w:r>
      </w:hyperlink>
      <w:r w:rsidRPr="00270E91">
        <w:rPr>
          <w:rFonts w:ascii="FrankRuehl" w:hAnsi="FrankRuehl" w:cs="FrankRuehl"/>
          <w:rtl/>
        </w:rPr>
        <w:t xml:space="preserve">, </w:t>
      </w:r>
      <w:hyperlink r:id="rId13" w:history="1">
        <w:r w:rsidRPr="00270E91">
          <w:rPr>
            <w:rFonts w:ascii="FrankRuehl" w:hAnsi="FrankRuehl" w:cs="FrankRuehl"/>
            <w:color w:val="0000FF"/>
            <w:u w:val="single"/>
            <w:rtl/>
          </w:rPr>
          <w:t>340א</w:t>
        </w:r>
      </w:hyperlink>
    </w:p>
    <w:p w14:paraId="61AB72DB" w14:textId="77777777" w:rsidR="003A5867" w:rsidRDefault="003A5867" w:rsidP="003A5867">
      <w:pPr>
        <w:rPr>
          <w:rFonts w:hint="cs"/>
          <w:sz w:val="26"/>
          <w:szCs w:val="26"/>
          <w:rtl/>
        </w:rPr>
      </w:pPr>
      <w:bookmarkStart w:id="4" w:name="LawTable_End"/>
      <w:bookmarkEnd w:id="4"/>
    </w:p>
    <w:p w14:paraId="0962158D" w14:textId="77777777" w:rsidR="00270E91" w:rsidRPr="003A5867" w:rsidRDefault="00270E91" w:rsidP="003A5867">
      <w:pPr>
        <w:rPr>
          <w:rFonts w:hint="cs"/>
          <w:sz w:val="26"/>
          <w:szCs w:val="26"/>
          <w:rtl/>
        </w:rPr>
      </w:pPr>
    </w:p>
    <w:p w14:paraId="12E17B79" w14:textId="77777777" w:rsidR="004A0851" w:rsidRPr="003A5867" w:rsidRDefault="004A0851" w:rsidP="004A085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0851" w14:paraId="3D057FDC" w14:textId="77777777" w:rsidTr="004A0851">
        <w:trPr>
          <w:trHeight w:val="355"/>
          <w:jc w:val="center"/>
        </w:trPr>
        <w:tc>
          <w:tcPr>
            <w:tcW w:w="8820" w:type="dxa"/>
            <w:tcBorders>
              <w:top w:val="nil"/>
              <w:left w:val="nil"/>
              <w:bottom w:val="nil"/>
              <w:right w:val="nil"/>
            </w:tcBorders>
            <w:shd w:val="clear" w:color="auto" w:fill="auto"/>
          </w:tcPr>
          <w:p w14:paraId="6F4A7BBD" w14:textId="77777777" w:rsidR="003A5867" w:rsidRPr="003A5867" w:rsidRDefault="003A5867" w:rsidP="003A5867">
            <w:pPr>
              <w:jc w:val="center"/>
              <w:rPr>
                <w:rFonts w:ascii="David" w:hAnsi="David"/>
                <w:b/>
                <w:bCs/>
                <w:sz w:val="32"/>
                <w:szCs w:val="32"/>
                <w:u w:val="single"/>
                <w:rtl/>
              </w:rPr>
            </w:pPr>
            <w:bookmarkStart w:id="5" w:name="PsakDin" w:colFirst="0" w:colLast="0"/>
            <w:bookmarkEnd w:id="0"/>
            <w:bookmarkEnd w:id="1"/>
            <w:r w:rsidRPr="003A5867">
              <w:rPr>
                <w:rFonts w:ascii="David" w:hAnsi="David"/>
                <w:b/>
                <w:bCs/>
                <w:sz w:val="32"/>
                <w:szCs w:val="32"/>
                <w:u w:val="single"/>
                <w:rtl/>
              </w:rPr>
              <w:t>גזר דין</w:t>
            </w:r>
          </w:p>
          <w:p w14:paraId="1779F700" w14:textId="77777777" w:rsidR="004A0851" w:rsidRPr="003A5867" w:rsidRDefault="004A0851" w:rsidP="003A5867">
            <w:pPr>
              <w:jc w:val="center"/>
              <w:rPr>
                <w:rFonts w:ascii="David" w:hAnsi="David"/>
                <w:bCs/>
                <w:sz w:val="32"/>
                <w:szCs w:val="32"/>
                <w:u w:val="single"/>
                <w:rtl/>
              </w:rPr>
            </w:pPr>
          </w:p>
        </w:tc>
      </w:tr>
      <w:bookmarkEnd w:id="5"/>
    </w:tbl>
    <w:p w14:paraId="1706F1FE" w14:textId="77777777" w:rsidR="004A0851" w:rsidRDefault="004A0851" w:rsidP="004A0851">
      <w:pPr>
        <w:jc w:val="center"/>
        <w:rPr>
          <w:rFonts w:ascii="David" w:hAnsi="David"/>
          <w:b/>
          <w:bCs/>
          <w:u w:val="single"/>
          <w:rtl/>
        </w:rPr>
      </w:pPr>
    </w:p>
    <w:p w14:paraId="007E534D" w14:textId="77777777" w:rsidR="004A0851" w:rsidRDefault="004A0851" w:rsidP="004A0851">
      <w:pPr>
        <w:jc w:val="center"/>
        <w:rPr>
          <w:rFonts w:ascii="David" w:hAnsi="David"/>
          <w:b/>
          <w:bCs/>
          <w:u w:val="single"/>
          <w:rtl/>
        </w:rPr>
      </w:pPr>
    </w:p>
    <w:p w14:paraId="094E6307" w14:textId="77777777" w:rsidR="004A0851" w:rsidRDefault="004A0851" w:rsidP="004A0851">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יסוד הודאתו בעובדות כתב האישום המתוקן, בעבירות בנשק (הובלה ונשיאת נשק) -  עבירה לפי </w:t>
      </w:r>
      <w:hyperlink r:id="rId14" w:history="1">
        <w:r w:rsidR="00270E91" w:rsidRPr="00270E91">
          <w:rPr>
            <w:rFonts w:ascii="David" w:hAnsi="David"/>
            <w:color w:val="0000FF"/>
            <w:u w:val="single"/>
            <w:rtl/>
          </w:rPr>
          <w:t>סעיף 144(ב)</w:t>
        </w:r>
      </w:hyperlink>
      <w:r>
        <w:rPr>
          <w:rFonts w:ascii="David" w:hAnsi="David"/>
          <w:rtl/>
        </w:rPr>
        <w:t xml:space="preserve"> רישא +סיפא ל</w:t>
      </w:r>
      <w:hyperlink r:id="rId15" w:history="1">
        <w:r w:rsidR="003A5867" w:rsidRPr="003A5867">
          <w:rPr>
            <w:rFonts w:ascii="David" w:hAnsi="David"/>
            <w:color w:val="0000FF"/>
            <w:u w:val="single"/>
            <w:rtl/>
          </w:rPr>
          <w:t>חוק העונשין</w:t>
        </w:r>
      </w:hyperlink>
      <w:r>
        <w:rPr>
          <w:rFonts w:ascii="David" w:hAnsi="David"/>
          <w:rtl/>
        </w:rPr>
        <w:t xml:space="preserve"> התשל"ז – 1977 (להלן: "</w:t>
      </w:r>
      <w:r>
        <w:rPr>
          <w:rFonts w:ascii="David" w:hAnsi="David"/>
          <w:b/>
          <w:bCs/>
          <w:rtl/>
        </w:rPr>
        <w:t>חוק העונשין</w:t>
      </w:r>
      <w:r>
        <w:rPr>
          <w:rFonts w:ascii="David" w:hAnsi="David"/>
          <w:rtl/>
        </w:rPr>
        <w:t>").</w:t>
      </w:r>
    </w:p>
    <w:p w14:paraId="1F39C3E9" w14:textId="77777777" w:rsidR="004A0851" w:rsidRDefault="004A0851" w:rsidP="004A0851">
      <w:pPr>
        <w:spacing w:line="360" w:lineRule="auto"/>
        <w:ind w:left="720" w:hanging="720"/>
        <w:jc w:val="both"/>
        <w:rPr>
          <w:rFonts w:ascii="David" w:hAnsi="David"/>
          <w:rtl/>
        </w:rPr>
      </w:pPr>
      <w:bookmarkStart w:id="7" w:name="ABSTRACT_END"/>
      <w:bookmarkEnd w:id="7"/>
    </w:p>
    <w:p w14:paraId="061D81C0" w14:textId="77777777" w:rsidR="004A0851" w:rsidRDefault="004A0851" w:rsidP="004A0851">
      <w:pPr>
        <w:jc w:val="both"/>
        <w:rPr>
          <w:rFonts w:ascii="David" w:hAnsi="David"/>
          <w:b/>
          <w:bCs/>
          <w:rtl/>
        </w:rPr>
      </w:pPr>
      <w:r>
        <w:rPr>
          <w:rFonts w:ascii="David" w:hAnsi="David"/>
          <w:b/>
          <w:bCs/>
          <w:rtl/>
        </w:rPr>
        <w:t xml:space="preserve">האישום והסדר הטיעון: </w:t>
      </w:r>
    </w:p>
    <w:p w14:paraId="35075225" w14:textId="77777777" w:rsidR="004A0851" w:rsidRDefault="004A0851" w:rsidP="004A0851">
      <w:pPr>
        <w:jc w:val="both"/>
        <w:rPr>
          <w:rFonts w:ascii="David" w:hAnsi="David"/>
          <w:rtl/>
        </w:rPr>
      </w:pPr>
    </w:p>
    <w:p w14:paraId="74E717CA" w14:textId="77777777" w:rsidR="004A0851" w:rsidRDefault="004A0851" w:rsidP="004A0851">
      <w:pPr>
        <w:spacing w:line="360" w:lineRule="auto"/>
        <w:ind w:left="720" w:hanging="720"/>
        <w:jc w:val="both"/>
        <w:rPr>
          <w:rFonts w:ascii="David" w:hAnsi="David"/>
          <w:rtl/>
        </w:rPr>
      </w:pPr>
      <w:r>
        <w:rPr>
          <w:rFonts w:ascii="David" w:hAnsi="David"/>
          <w:rtl/>
        </w:rPr>
        <w:t>2.</w:t>
      </w:r>
      <w:r>
        <w:rPr>
          <w:rFonts w:ascii="David" w:hAnsi="David"/>
          <w:rtl/>
        </w:rPr>
        <w:tab/>
        <w:t>על פי עובדות כתב האישום המתוקן, ביום 19.11.2023, בשעה 12:00, התהלך הנאשם בשטח פתוח הסמוך לשטח פזורת אלקסס בקרבת הישוב חירן (להלן: "</w:t>
      </w:r>
      <w:r>
        <w:rPr>
          <w:rFonts w:ascii="David" w:hAnsi="David"/>
          <w:b/>
          <w:bCs/>
          <w:rtl/>
        </w:rPr>
        <w:t>השטח הפתוח</w:t>
      </w:r>
      <w:r>
        <w:rPr>
          <w:rFonts w:ascii="David" w:hAnsi="David"/>
          <w:rtl/>
        </w:rPr>
        <w:t xml:space="preserve">"), כשהוא נושא ומוביל אקדח חצי אוטומטי מסוג </w:t>
      </w:r>
      <w:r>
        <w:rPr>
          <w:rFonts w:ascii="David" w:hAnsi="David"/>
        </w:rPr>
        <w:t>MAB</w:t>
      </w:r>
      <w:r>
        <w:rPr>
          <w:rFonts w:ascii="David" w:hAnsi="David"/>
          <w:rtl/>
        </w:rPr>
        <w:t xml:space="preserve"> מודל </w:t>
      </w:r>
      <w:r>
        <w:rPr>
          <w:rFonts w:ascii="David" w:hAnsi="David"/>
        </w:rPr>
        <w:t>PA-15</w:t>
      </w:r>
      <w:r>
        <w:rPr>
          <w:rFonts w:ascii="David" w:hAnsi="David"/>
          <w:rtl/>
        </w:rPr>
        <w:t>, תוצרת צרפת, שבתוכו מחסנית מלאה ב-10 כדורים 9 מ"מ (להלן: "</w:t>
      </w:r>
      <w:r>
        <w:rPr>
          <w:rFonts w:ascii="David" w:hAnsi="David"/>
          <w:b/>
          <w:bCs/>
          <w:rtl/>
        </w:rPr>
        <w:t>הנשק</w:t>
      </w:r>
      <w:r>
        <w:rPr>
          <w:rFonts w:ascii="David" w:hAnsi="David"/>
          <w:rtl/>
        </w:rPr>
        <w:t xml:space="preserve">"). </w:t>
      </w:r>
    </w:p>
    <w:p w14:paraId="6088875F" w14:textId="77777777" w:rsidR="004A0851" w:rsidRDefault="004A0851" w:rsidP="004A0851">
      <w:pPr>
        <w:spacing w:line="360" w:lineRule="auto"/>
        <w:ind w:left="720"/>
        <w:jc w:val="both"/>
        <w:rPr>
          <w:rFonts w:ascii="David" w:hAnsi="David"/>
          <w:rtl/>
        </w:rPr>
      </w:pPr>
      <w:r>
        <w:rPr>
          <w:rFonts w:ascii="David" w:hAnsi="David"/>
          <w:rtl/>
        </w:rPr>
        <w:t xml:space="preserve">במסגרת פעילות משטרתית יזומה, נעצר הנאשם בשטח הפתוח ובחיפוש על גופו אותר הנשק כשהוא מוסלק בתוך מכנסיו. </w:t>
      </w:r>
    </w:p>
    <w:p w14:paraId="70BE27CB" w14:textId="77777777" w:rsidR="004A0851" w:rsidRDefault="004A0851" w:rsidP="004A0851">
      <w:pPr>
        <w:spacing w:line="360" w:lineRule="auto"/>
        <w:ind w:left="720"/>
        <w:jc w:val="both"/>
        <w:rPr>
          <w:rFonts w:ascii="David" w:hAnsi="David"/>
          <w:rtl/>
        </w:rPr>
      </w:pPr>
    </w:p>
    <w:p w14:paraId="4A09803F" w14:textId="77777777" w:rsidR="004A0851" w:rsidRDefault="004A0851" w:rsidP="004A0851">
      <w:pPr>
        <w:spacing w:line="360" w:lineRule="auto"/>
        <w:ind w:left="720" w:hanging="720"/>
        <w:jc w:val="both"/>
        <w:rPr>
          <w:rFonts w:ascii="David" w:hAnsi="David"/>
          <w:rtl/>
        </w:rPr>
      </w:pPr>
      <w:r>
        <w:rPr>
          <w:rFonts w:ascii="David" w:hAnsi="David"/>
          <w:rtl/>
        </w:rPr>
        <w:lastRenderedPageBreak/>
        <w:t>3.</w:t>
      </w:r>
      <w:r>
        <w:rPr>
          <w:rFonts w:ascii="David" w:hAnsi="David"/>
          <w:rtl/>
        </w:rPr>
        <w:tab/>
        <w:t xml:space="preserve">הנאשם הודה בכתב האישום המתוקן במסגרת הסדר טיעון אשר לא כלל הסכמה לעונש. לצד זאת, הוסכם כי המאשימה תעתור למתחם עונש הולם שתחילתו ב-28 חודשי מאסר בפועל. </w:t>
      </w:r>
    </w:p>
    <w:p w14:paraId="6989C122" w14:textId="77777777" w:rsidR="004A0851" w:rsidRDefault="004A0851" w:rsidP="004A0851">
      <w:pPr>
        <w:spacing w:line="360" w:lineRule="auto"/>
        <w:ind w:left="720" w:hanging="720"/>
        <w:jc w:val="both"/>
        <w:rPr>
          <w:rFonts w:ascii="David" w:hAnsi="David"/>
          <w:rtl/>
        </w:rPr>
      </w:pPr>
    </w:p>
    <w:p w14:paraId="64C323CB" w14:textId="77777777" w:rsidR="004A0851" w:rsidRDefault="004A0851" w:rsidP="004A0851">
      <w:pPr>
        <w:spacing w:line="360" w:lineRule="auto"/>
        <w:ind w:left="720" w:hanging="720"/>
        <w:jc w:val="both"/>
        <w:rPr>
          <w:rFonts w:ascii="David" w:hAnsi="David"/>
          <w:b/>
          <w:bCs/>
          <w:rtl/>
        </w:rPr>
      </w:pPr>
      <w:r>
        <w:rPr>
          <w:rFonts w:ascii="David" w:hAnsi="David"/>
          <w:rtl/>
        </w:rPr>
        <w:t>4.</w:t>
      </w:r>
      <w:r>
        <w:rPr>
          <w:rFonts w:ascii="David" w:hAnsi="David"/>
          <w:rtl/>
        </w:rPr>
        <w:tab/>
        <w:t>טרם גזירת עונשו של הנאשם עתר בא כוחו בהסכמת המאשימה לקבל תסקיר לעונש משירות המבחן, אך לאחר עדכון שירות המבחן כי הנאשם לא התייצב לפגישה עמם הודיעה ההגנה כי היא מוותרת על קבלת תסקיר לעונש.</w:t>
      </w:r>
    </w:p>
    <w:p w14:paraId="2D4118E9" w14:textId="77777777" w:rsidR="004A0851" w:rsidRDefault="004A0851" w:rsidP="004A0851">
      <w:pPr>
        <w:spacing w:line="360" w:lineRule="auto"/>
        <w:ind w:left="720" w:hanging="720"/>
        <w:jc w:val="both"/>
        <w:rPr>
          <w:rFonts w:ascii="David" w:hAnsi="David"/>
          <w:b/>
          <w:bCs/>
          <w:rtl/>
        </w:rPr>
      </w:pPr>
    </w:p>
    <w:p w14:paraId="35656748" w14:textId="77777777" w:rsidR="004A0851" w:rsidRDefault="004A0851" w:rsidP="004A0851">
      <w:pPr>
        <w:spacing w:line="360" w:lineRule="auto"/>
        <w:ind w:left="720" w:hanging="720"/>
        <w:jc w:val="both"/>
        <w:rPr>
          <w:rFonts w:ascii="David" w:hAnsi="David"/>
          <w:b/>
          <w:bCs/>
          <w:rtl/>
        </w:rPr>
      </w:pPr>
    </w:p>
    <w:p w14:paraId="0E37F752" w14:textId="77777777" w:rsidR="004A0851" w:rsidRDefault="004A0851" w:rsidP="004A0851">
      <w:pPr>
        <w:spacing w:line="360" w:lineRule="auto"/>
        <w:ind w:left="720" w:hanging="720"/>
        <w:jc w:val="both"/>
        <w:rPr>
          <w:rFonts w:ascii="David" w:hAnsi="David"/>
          <w:b/>
          <w:bCs/>
          <w:rtl/>
        </w:rPr>
      </w:pPr>
    </w:p>
    <w:p w14:paraId="1417C72E" w14:textId="77777777" w:rsidR="004A0851" w:rsidRDefault="004A0851" w:rsidP="004A0851">
      <w:pPr>
        <w:spacing w:line="360" w:lineRule="auto"/>
        <w:ind w:left="720" w:hanging="720"/>
        <w:jc w:val="both"/>
        <w:rPr>
          <w:rFonts w:ascii="David" w:hAnsi="David"/>
          <w:b/>
          <w:bCs/>
          <w:rtl/>
        </w:rPr>
      </w:pPr>
      <w:r>
        <w:rPr>
          <w:rFonts w:ascii="David" w:hAnsi="David"/>
          <w:b/>
          <w:bCs/>
          <w:rtl/>
        </w:rPr>
        <w:t>ראיות וטיעונים לעונש:</w:t>
      </w:r>
    </w:p>
    <w:p w14:paraId="6F40E0A3" w14:textId="77777777" w:rsidR="004A0851" w:rsidRDefault="004A0851" w:rsidP="004A0851">
      <w:pPr>
        <w:spacing w:line="360" w:lineRule="auto"/>
        <w:jc w:val="both"/>
        <w:rPr>
          <w:rFonts w:ascii="David" w:hAnsi="David"/>
          <w:rtl/>
        </w:rPr>
      </w:pPr>
      <w:r>
        <w:rPr>
          <w:rFonts w:ascii="David" w:hAnsi="David"/>
          <w:rtl/>
        </w:rPr>
        <w:t>5.</w:t>
      </w:r>
      <w:r>
        <w:rPr>
          <w:rFonts w:ascii="David" w:hAnsi="David"/>
          <w:rtl/>
        </w:rPr>
        <w:tab/>
        <w:t>הצדדים לא הציגו ראיות לעונש.</w:t>
      </w:r>
    </w:p>
    <w:p w14:paraId="26F6BE82" w14:textId="77777777" w:rsidR="004A0851" w:rsidRDefault="004A0851" w:rsidP="004A0851">
      <w:pPr>
        <w:spacing w:line="360" w:lineRule="auto"/>
        <w:jc w:val="both"/>
        <w:rPr>
          <w:rFonts w:ascii="David" w:hAnsi="David"/>
          <w:rtl/>
        </w:rPr>
      </w:pPr>
    </w:p>
    <w:p w14:paraId="62F74D47" w14:textId="77777777" w:rsidR="004A0851" w:rsidRDefault="004A0851" w:rsidP="004A0851">
      <w:pPr>
        <w:spacing w:line="360" w:lineRule="auto"/>
        <w:ind w:left="720" w:hanging="720"/>
        <w:jc w:val="both"/>
        <w:rPr>
          <w:rFonts w:ascii="David" w:hAnsi="David"/>
          <w:rtl/>
        </w:rPr>
      </w:pPr>
      <w:r>
        <w:rPr>
          <w:rFonts w:ascii="David" w:hAnsi="David"/>
          <w:rtl/>
        </w:rPr>
        <w:t xml:space="preserve">6. </w:t>
      </w:r>
      <w:r>
        <w:rPr>
          <w:rFonts w:ascii="David" w:hAnsi="David"/>
          <w:rtl/>
        </w:rPr>
        <w:tab/>
      </w:r>
      <w:r>
        <w:rPr>
          <w:rFonts w:ascii="David" w:hAnsi="David"/>
          <w:b/>
          <w:bCs/>
          <w:rtl/>
        </w:rPr>
        <w:t>ב"כ המאשימה</w:t>
      </w:r>
      <w:r>
        <w:rPr>
          <w:rFonts w:ascii="David" w:hAnsi="David"/>
          <w:rtl/>
        </w:rPr>
        <w:t xml:space="preserve"> הגישה טיעוניה בכתב (ת/1) והוסיפה בעל פה. המאשימה עתרה לקביעת מתחם עונש הולם הנע בין 28 ל- 42 חודשי מאסר בפועל, ולמקם עונשו של הנאשם באמצע המתחם, כך שיוטלו עליו 35 חודשי מאסר בפועל, לצד מאסר מותנה מרתיע וקנס משמעותי. </w:t>
      </w:r>
    </w:p>
    <w:p w14:paraId="445C84A5" w14:textId="77777777" w:rsidR="004A0851" w:rsidRDefault="004A0851" w:rsidP="004A0851">
      <w:pPr>
        <w:spacing w:line="360" w:lineRule="auto"/>
        <w:ind w:left="720"/>
        <w:jc w:val="both"/>
        <w:rPr>
          <w:rFonts w:ascii="David" w:hAnsi="David"/>
          <w:rtl/>
        </w:rPr>
      </w:pPr>
      <w:r>
        <w:rPr>
          <w:rFonts w:ascii="David" w:hAnsi="David"/>
          <w:rtl/>
        </w:rPr>
        <w:t xml:space="preserve">נטען כי במעשיו פגע הנאשם באופן משמעותי בערכים המוגנים של שמירה על שלום הציבור וביטחונו, הגנה על חיי אדם ושמירה על שלטון החוק והסדר הציבורי, וזאת בין היתר בשים לב לסוג הנשק - אקדח חצי אוטומטי, נשק התקפי שפוטנציאל שהסיכון הגלום בו גבוה, שבתוכו מחסנית מלאה בכדורים והוא מוכן לשימוש.  </w:t>
      </w:r>
    </w:p>
    <w:p w14:paraId="2C597E57" w14:textId="77777777" w:rsidR="004A0851" w:rsidRDefault="004A0851" w:rsidP="004A0851">
      <w:pPr>
        <w:spacing w:line="360" w:lineRule="auto"/>
        <w:ind w:left="720"/>
        <w:jc w:val="both"/>
        <w:rPr>
          <w:rFonts w:ascii="David" w:hAnsi="David"/>
          <w:rtl/>
        </w:rPr>
      </w:pPr>
      <w:r>
        <w:rPr>
          <w:rFonts w:ascii="David" w:hAnsi="David"/>
          <w:rtl/>
        </w:rPr>
        <w:t xml:space="preserve">הודגש כי הגם שבענייננו לא נעשה שימוש בנשק, הרי שיש לתן משקל לחומרת נסיבות ביצוע העבירה - הובלת אקדח בתוכו מחסנית ובה עשרה כדורים המהווה "נשק חי" והמחכה לשימוש מידי. </w:t>
      </w:r>
    </w:p>
    <w:p w14:paraId="0050A5A1" w14:textId="77777777" w:rsidR="004A0851" w:rsidRDefault="004A0851" w:rsidP="004A0851">
      <w:pPr>
        <w:spacing w:line="360" w:lineRule="auto"/>
        <w:ind w:left="720"/>
        <w:jc w:val="both"/>
        <w:rPr>
          <w:rFonts w:ascii="David" w:hAnsi="David"/>
          <w:rtl/>
        </w:rPr>
      </w:pPr>
      <w:r>
        <w:rPr>
          <w:rFonts w:ascii="David" w:hAnsi="David"/>
          <w:rtl/>
        </w:rPr>
        <w:t xml:space="preserve">ב"כ המאשימה עמדה על החומרה היתרה שבעבירות הנשק, על הנזק בנשיאת הנשק הלא חוקי, על הסיכון להעברתו לגורמים עוינים, על פוטנציאל לפגיעה ממשית בנפש הבא לידי ביטוי במציאות הקיימת ועל הצורך בהחמרת הענישה לצורך מיגור התופעה אשר הוכרה כ"מכת מדינה". </w:t>
      </w:r>
    </w:p>
    <w:p w14:paraId="30EEB2AF" w14:textId="77777777" w:rsidR="004A0851" w:rsidRDefault="004A0851" w:rsidP="004A0851">
      <w:pPr>
        <w:spacing w:line="360" w:lineRule="auto"/>
        <w:ind w:left="720"/>
        <w:jc w:val="both"/>
        <w:rPr>
          <w:rFonts w:ascii="David" w:hAnsi="David"/>
          <w:rtl/>
        </w:rPr>
      </w:pPr>
      <w:r>
        <w:rPr>
          <w:rFonts w:ascii="David" w:hAnsi="David"/>
          <w:rtl/>
        </w:rPr>
        <w:t xml:space="preserve">המאשימה ביקשה לתן במסגרת הענישה את הבכורה לשיקולי הרתעת היחיד והרתעת הרבים, סקרה פסיקה רלוונטית וטענה לקביעת מתחם עונש הולם בהתאם. </w:t>
      </w:r>
    </w:p>
    <w:p w14:paraId="5049A8F5" w14:textId="77777777" w:rsidR="004A0851" w:rsidRDefault="004A0851" w:rsidP="004A0851">
      <w:pPr>
        <w:spacing w:line="360" w:lineRule="auto"/>
        <w:ind w:left="720"/>
        <w:jc w:val="both"/>
        <w:rPr>
          <w:rFonts w:ascii="David" w:hAnsi="David"/>
          <w:rtl/>
        </w:rPr>
      </w:pPr>
      <w:r>
        <w:rPr>
          <w:rFonts w:ascii="David" w:hAnsi="David"/>
          <w:rtl/>
        </w:rPr>
        <w:t xml:space="preserve">ב"כ המאשימה ציינה כי הנאשם צעיר, נעדר עבר פלילי אך הזכירה כי בהעדר שיתוף פעולה עם שירות המבחן לא התקבל בעניינו תסקיר לעונש. </w:t>
      </w:r>
    </w:p>
    <w:p w14:paraId="34E3AEDF" w14:textId="77777777" w:rsidR="004A0851" w:rsidRDefault="004A0851" w:rsidP="004A0851">
      <w:pPr>
        <w:spacing w:line="360" w:lineRule="auto"/>
        <w:ind w:left="720"/>
        <w:jc w:val="both"/>
        <w:rPr>
          <w:rFonts w:ascii="David" w:hAnsi="David"/>
          <w:rtl/>
        </w:rPr>
      </w:pPr>
    </w:p>
    <w:p w14:paraId="1DB8821F" w14:textId="77777777" w:rsidR="004A0851" w:rsidRDefault="004A0851" w:rsidP="004A0851">
      <w:pPr>
        <w:spacing w:line="360" w:lineRule="auto"/>
        <w:ind w:left="720" w:hanging="720"/>
        <w:jc w:val="both"/>
        <w:rPr>
          <w:rFonts w:ascii="David" w:hAnsi="David"/>
          <w:rtl/>
        </w:rPr>
      </w:pPr>
      <w:r>
        <w:rPr>
          <w:rFonts w:ascii="David" w:hAnsi="David"/>
          <w:rtl/>
        </w:rPr>
        <w:t>7.</w:t>
      </w:r>
      <w:r>
        <w:rPr>
          <w:rFonts w:ascii="David" w:hAnsi="David"/>
          <w:rtl/>
        </w:rPr>
        <w:tab/>
        <w:t xml:space="preserve"> </w:t>
      </w:r>
      <w:r>
        <w:rPr>
          <w:rFonts w:ascii="David" w:hAnsi="David"/>
          <w:b/>
          <w:bCs/>
          <w:rtl/>
        </w:rPr>
        <w:t>ב"כ הנאשם</w:t>
      </w:r>
      <w:r>
        <w:rPr>
          <w:rFonts w:ascii="David" w:hAnsi="David"/>
          <w:rtl/>
        </w:rPr>
        <w:t xml:space="preserve"> עתר לקביעת מתחם עונש הולם הנע בין 12 ל- 30 חודשים, ביקש להתחשב בסיכויי השיקום של הנאשם ולסטות במעט לקולא  מהמתחם. יוער כי לא הוצגה פסיקה מטעם ההגנה לתמיכה במתחם העונש לו טענה.  </w:t>
      </w:r>
    </w:p>
    <w:p w14:paraId="4A64A252" w14:textId="77777777" w:rsidR="004A0851" w:rsidRDefault="004A0851" w:rsidP="004A0851">
      <w:pPr>
        <w:spacing w:line="360" w:lineRule="auto"/>
        <w:ind w:left="720"/>
        <w:jc w:val="both"/>
        <w:rPr>
          <w:rFonts w:ascii="David" w:hAnsi="David"/>
          <w:rtl/>
        </w:rPr>
      </w:pPr>
      <w:r>
        <w:rPr>
          <w:rFonts w:ascii="David" w:hAnsi="David"/>
          <w:rtl/>
        </w:rPr>
        <w:lastRenderedPageBreak/>
        <w:t xml:space="preserve">נטען כי הפסיקה אותה הציגה המאשימה מתאימה לנסיבות חמורות מאלה שבענייננו ומתייחסת לנשק התקפי ארוך שבאמצעותו בוצע ירי. הסנגור טען כי המתחם לו עותרת המאשימה נובע  גם מחיבור אריתמטי שגוי  של מתחם הענישה המקובל לעבירה של נשיאת נשק עם עבירה של נשיאת תחמושת. ב"כ הנאשם טען כי המסוכנות בעבירה הנה בעצם נשיאת הנשק ומסוכנות זו כוללת בתוכה גם את קיומה של התחמושת. </w:t>
      </w:r>
    </w:p>
    <w:p w14:paraId="11B4136F" w14:textId="77777777" w:rsidR="004A0851" w:rsidRDefault="004A0851" w:rsidP="004A0851">
      <w:pPr>
        <w:spacing w:line="360" w:lineRule="auto"/>
        <w:ind w:left="720"/>
        <w:jc w:val="both"/>
        <w:rPr>
          <w:rFonts w:ascii="David" w:hAnsi="David"/>
          <w:rtl/>
        </w:rPr>
      </w:pPr>
      <w:r>
        <w:rPr>
          <w:rFonts w:ascii="David" w:hAnsi="David"/>
          <w:rtl/>
        </w:rPr>
        <w:t xml:space="preserve">הסניגור הפנה לנסיבותיה המקלות של הנשיאה שבענייננו וטען כן יש להבדיל בין מי שנושא על גופו אקדח ומסתובב אתו בעיר לבין מי שנושא עמו אקדח באמצע המדבר כשאין בסביבתו אנשים נוספים.  </w:t>
      </w:r>
    </w:p>
    <w:p w14:paraId="445A5587" w14:textId="77777777" w:rsidR="004A0851" w:rsidRDefault="004A0851" w:rsidP="004A0851">
      <w:pPr>
        <w:spacing w:line="360" w:lineRule="auto"/>
        <w:ind w:left="720"/>
        <w:jc w:val="both"/>
        <w:rPr>
          <w:rFonts w:ascii="David" w:hAnsi="David"/>
          <w:rtl/>
        </w:rPr>
      </w:pPr>
      <w:r>
        <w:rPr>
          <w:rFonts w:ascii="David" w:hAnsi="David"/>
          <w:rtl/>
        </w:rPr>
        <w:t xml:space="preserve">ב"כ הנאשם ציין כי מתחמי הענישה בעבירות הנשק אכן הוחמרו בתקופה האחרונה מטעמי הרתעה, ואולם חרף זאת אין מקום להחמיר עם הנאשם באופן אוטומטי ויש לתן משקל לנסיבות ביצוע העבירה ונסיבותיו האישיות. הסנגור הוסיף כי אין בהחמרת הענישה כדי  להביא למיגור התופעה וכי יש לטפל בעבירות הנשק גם באמצעות הגברת האכיפה וחינוך מתאים. </w:t>
      </w:r>
    </w:p>
    <w:p w14:paraId="588FEB77" w14:textId="77777777" w:rsidR="004A0851" w:rsidRDefault="004A0851" w:rsidP="004A0851">
      <w:pPr>
        <w:spacing w:line="360" w:lineRule="auto"/>
        <w:ind w:left="720"/>
        <w:jc w:val="both"/>
        <w:rPr>
          <w:rFonts w:ascii="David" w:hAnsi="David"/>
          <w:rtl/>
        </w:rPr>
      </w:pPr>
      <w:r>
        <w:rPr>
          <w:rFonts w:ascii="David" w:hAnsi="David"/>
          <w:rtl/>
        </w:rPr>
        <w:t>נטען כי הנאשם צעיר, נעדר עבר פלילי, אינו בעל נורמות עברייניות ומשכך בעל סיכויי שיקום גבוהים. לדברי ב"כ הנאשם  תיקון 113 מאפשר סטייה ממתחם הענישה משיקולי שיקום גם בהעדרו של תסקיר שירות המבחן, ויש לראות בביצוע העבירה בנסיבותיה מעידה חד פעמית  של הנאשם.</w:t>
      </w:r>
    </w:p>
    <w:p w14:paraId="244922C0" w14:textId="77777777" w:rsidR="004A0851" w:rsidRDefault="004A0851" w:rsidP="004A0851">
      <w:pPr>
        <w:spacing w:line="360" w:lineRule="auto"/>
        <w:ind w:left="720"/>
        <w:jc w:val="both"/>
        <w:rPr>
          <w:rFonts w:ascii="David" w:hAnsi="David"/>
          <w:rtl/>
        </w:rPr>
      </w:pPr>
      <w:r>
        <w:rPr>
          <w:rFonts w:ascii="David" w:hAnsi="David"/>
          <w:rtl/>
        </w:rPr>
        <w:t xml:space="preserve">הסנגור הוסיף כי הנאשם גדל במשפחה נורמטיבית, עובר לאירוע הועסק בעבודה קבועה במפעל אינטל, ולא היו לו הסתבכויות פליליות קודמות בעבר. נוכח סיכויי השיקום ביקש ב"כ הנאשם לסטות מעט לקולא ממתחם העונש ההולם. </w:t>
      </w:r>
    </w:p>
    <w:p w14:paraId="24C6F685" w14:textId="77777777" w:rsidR="004A0851" w:rsidRDefault="004A0851" w:rsidP="004A0851">
      <w:pPr>
        <w:spacing w:line="360" w:lineRule="auto"/>
        <w:ind w:left="720"/>
        <w:jc w:val="both"/>
        <w:rPr>
          <w:rFonts w:ascii="David" w:hAnsi="David"/>
          <w:rtl/>
        </w:rPr>
      </w:pPr>
      <w:r>
        <w:rPr>
          <w:rFonts w:ascii="David" w:hAnsi="David"/>
          <w:rtl/>
        </w:rPr>
        <w:t xml:space="preserve">ב"כ הנאשם ציין כי לנאשם קושי לדבר בבית המשפט ולבקשת הנאשם התנצל  בשמו על ביצוע העבירה. נטען כי חווית המעצר והריחוק ממשפחתו קשה לנאשם מאוד, הוא למד את הלקח וברצונו לשוב לעבודתו באינטל. </w:t>
      </w:r>
    </w:p>
    <w:p w14:paraId="7FEC0CD3" w14:textId="77777777" w:rsidR="004A0851" w:rsidRDefault="004A0851" w:rsidP="004A0851">
      <w:pPr>
        <w:spacing w:line="360" w:lineRule="auto"/>
        <w:ind w:left="720"/>
        <w:jc w:val="both"/>
        <w:rPr>
          <w:rFonts w:ascii="David" w:hAnsi="David"/>
          <w:rtl/>
        </w:rPr>
      </w:pPr>
    </w:p>
    <w:p w14:paraId="1DB509EB" w14:textId="77777777" w:rsidR="004A0851" w:rsidRDefault="004A0851" w:rsidP="004A0851">
      <w:pPr>
        <w:spacing w:line="360" w:lineRule="auto"/>
        <w:jc w:val="both"/>
        <w:rPr>
          <w:rFonts w:ascii="David" w:hAnsi="David"/>
          <w:rtl/>
        </w:rPr>
      </w:pPr>
      <w:r>
        <w:rPr>
          <w:rFonts w:ascii="David" w:hAnsi="David"/>
          <w:rtl/>
        </w:rPr>
        <w:t>8.</w:t>
      </w:r>
      <w:r>
        <w:rPr>
          <w:rFonts w:ascii="David" w:hAnsi="David"/>
          <w:rtl/>
        </w:rPr>
        <w:tab/>
      </w:r>
      <w:r>
        <w:rPr>
          <w:rFonts w:ascii="David" w:hAnsi="David"/>
          <w:b/>
          <w:bCs/>
          <w:rtl/>
        </w:rPr>
        <w:t>הנאשם</w:t>
      </w:r>
      <w:r>
        <w:rPr>
          <w:rFonts w:ascii="David" w:hAnsi="David"/>
          <w:rtl/>
        </w:rPr>
        <w:t xml:space="preserve"> אמר שאין לו מה להוסיף על דברי בא כוחו. </w:t>
      </w:r>
    </w:p>
    <w:p w14:paraId="454A3B3C" w14:textId="77777777" w:rsidR="004A0851" w:rsidRDefault="004A0851" w:rsidP="004A0851">
      <w:pPr>
        <w:spacing w:line="360" w:lineRule="auto"/>
        <w:jc w:val="both"/>
        <w:rPr>
          <w:rFonts w:ascii="David" w:hAnsi="David"/>
          <w:b/>
          <w:bCs/>
          <w:rtl/>
        </w:rPr>
      </w:pPr>
    </w:p>
    <w:p w14:paraId="4BCF55D9" w14:textId="77777777" w:rsidR="004A0851" w:rsidRDefault="004A0851" w:rsidP="004A0851">
      <w:pPr>
        <w:spacing w:line="360" w:lineRule="auto"/>
        <w:jc w:val="both"/>
        <w:rPr>
          <w:rFonts w:ascii="David" w:hAnsi="David"/>
          <w:b/>
          <w:bCs/>
          <w:rtl/>
        </w:rPr>
      </w:pPr>
      <w:r>
        <w:rPr>
          <w:rFonts w:ascii="David" w:hAnsi="David"/>
          <w:b/>
          <w:bCs/>
          <w:rtl/>
        </w:rPr>
        <w:t xml:space="preserve">דיון והכרעה: </w:t>
      </w:r>
    </w:p>
    <w:p w14:paraId="6C1D32A2" w14:textId="77777777" w:rsidR="004A0851" w:rsidRDefault="004A0851" w:rsidP="004A0851">
      <w:pPr>
        <w:spacing w:line="360" w:lineRule="auto"/>
        <w:jc w:val="both"/>
        <w:rPr>
          <w:rFonts w:ascii="David" w:hAnsi="David"/>
          <w:b/>
          <w:bCs/>
          <w:rtl/>
        </w:rPr>
      </w:pPr>
    </w:p>
    <w:p w14:paraId="372C51A9" w14:textId="77777777" w:rsidR="004A0851" w:rsidRDefault="004A0851" w:rsidP="004A0851">
      <w:pPr>
        <w:spacing w:line="360" w:lineRule="auto"/>
        <w:ind w:left="720" w:hanging="720"/>
        <w:jc w:val="both"/>
        <w:rPr>
          <w:rFonts w:ascii="David" w:hAnsi="David"/>
          <w:rtl/>
        </w:rPr>
      </w:pPr>
      <w:r>
        <w:rPr>
          <w:rFonts w:ascii="David" w:hAnsi="David"/>
          <w:rtl/>
        </w:rPr>
        <w:t>9.</w:t>
      </w:r>
      <w:r>
        <w:rPr>
          <w:rFonts w:ascii="David" w:hAnsi="David"/>
          <w:rtl/>
        </w:rPr>
        <w:tab/>
        <w:t>הנאשם הורשע בעבירות בנשק (הובלה ונשיאה) של אקדח חצי אוטומטי שבתוכו מחסנית עם 10 כדורים.</w:t>
      </w:r>
    </w:p>
    <w:p w14:paraId="3A458DF2" w14:textId="77777777" w:rsidR="004A0851" w:rsidRDefault="004A0851" w:rsidP="004A0851">
      <w:pPr>
        <w:spacing w:line="360" w:lineRule="auto"/>
        <w:ind w:left="720" w:hanging="720"/>
        <w:jc w:val="both"/>
        <w:rPr>
          <w:rFonts w:ascii="David" w:hAnsi="David"/>
          <w:rtl/>
        </w:rPr>
      </w:pPr>
    </w:p>
    <w:p w14:paraId="196356AE" w14:textId="77777777" w:rsidR="004A0851" w:rsidRDefault="004A0851" w:rsidP="004A0851">
      <w:pPr>
        <w:spacing w:line="360" w:lineRule="auto"/>
        <w:jc w:val="both"/>
        <w:rPr>
          <w:rFonts w:ascii="David" w:hAnsi="David"/>
          <w:b/>
          <w:bCs/>
          <w:rtl/>
        </w:rPr>
      </w:pPr>
      <w:r>
        <w:rPr>
          <w:rFonts w:ascii="David" w:hAnsi="David"/>
          <w:b/>
          <w:bCs/>
          <w:rtl/>
        </w:rPr>
        <w:t xml:space="preserve">קביעת מתחם העונש ההולם: </w:t>
      </w:r>
    </w:p>
    <w:p w14:paraId="13011BEB" w14:textId="77777777" w:rsidR="004A0851" w:rsidRDefault="004A0851" w:rsidP="004A0851">
      <w:pPr>
        <w:spacing w:line="360" w:lineRule="auto"/>
        <w:jc w:val="both"/>
        <w:rPr>
          <w:rFonts w:ascii="David" w:hAnsi="David"/>
          <w:b/>
          <w:bCs/>
          <w:rtl/>
        </w:rPr>
      </w:pPr>
    </w:p>
    <w:p w14:paraId="2C98BD85" w14:textId="77777777" w:rsidR="004A0851" w:rsidRDefault="004A0851" w:rsidP="004A0851">
      <w:pPr>
        <w:spacing w:line="360" w:lineRule="auto"/>
        <w:ind w:left="720" w:hanging="720"/>
        <w:jc w:val="both"/>
        <w:rPr>
          <w:rFonts w:ascii="David" w:hAnsi="David"/>
          <w:rtl/>
        </w:rPr>
      </w:pPr>
      <w:r>
        <w:rPr>
          <w:rFonts w:ascii="David" w:hAnsi="David"/>
          <w:rtl/>
        </w:rPr>
        <w:t xml:space="preserve">10. </w:t>
      </w:r>
      <w:r>
        <w:rPr>
          <w:rFonts w:ascii="David" w:hAnsi="David"/>
          <w:rtl/>
        </w:rPr>
        <w:tab/>
        <w:t xml:space="preserve">בתאם </w:t>
      </w:r>
      <w:hyperlink r:id="rId16" w:history="1">
        <w:r w:rsidR="00270E91" w:rsidRPr="00270E91">
          <w:rPr>
            <w:rFonts w:ascii="David" w:hAnsi="David"/>
            <w:color w:val="0000FF"/>
            <w:u w:val="single"/>
            <w:rtl/>
          </w:rPr>
          <w:t>לסעיף 40 ב</w:t>
        </w:r>
      </w:hyperlink>
      <w:r>
        <w:rPr>
          <w:rFonts w:ascii="David" w:hAnsi="David"/>
          <w:rtl/>
        </w:rPr>
        <w:t xml:space="preserve"> ל</w:t>
      </w:r>
      <w:hyperlink r:id="rId17" w:history="1">
        <w:r w:rsidR="003A5867" w:rsidRPr="003A5867">
          <w:rPr>
            <w:rFonts w:ascii="David" w:hAnsi="David"/>
            <w:color w:val="0000FF"/>
            <w:u w:val="single"/>
            <w:rtl/>
          </w:rPr>
          <w:t>חוק העונשין</w:t>
        </w:r>
      </w:hyperlink>
      <w:r>
        <w:rPr>
          <w:rFonts w:ascii="David" w:hAnsi="David"/>
          <w:rtl/>
        </w:rPr>
        <w:t>, עקרון ההלימה הינו העיקרון המנחה בענישה, ויש לבחון קיומו של יחס הולם בין חומרת מעשה העבירה, בנסיבותיה ובמידת אשמתו של הנאשם ובין העונש המוטל עליו.</w:t>
      </w:r>
    </w:p>
    <w:p w14:paraId="7AAB652A" w14:textId="77777777" w:rsidR="004A0851" w:rsidRDefault="004A0851" w:rsidP="004A0851">
      <w:pPr>
        <w:spacing w:line="360" w:lineRule="auto"/>
        <w:ind w:left="720" w:hanging="720"/>
        <w:jc w:val="both"/>
        <w:rPr>
          <w:rFonts w:ascii="David" w:hAnsi="David"/>
          <w:rtl/>
        </w:rPr>
      </w:pPr>
    </w:p>
    <w:p w14:paraId="1C54F1E6" w14:textId="77777777" w:rsidR="004A0851" w:rsidRDefault="004A0851" w:rsidP="004A0851">
      <w:pPr>
        <w:spacing w:line="360" w:lineRule="auto"/>
        <w:ind w:left="720" w:hanging="720"/>
        <w:jc w:val="both"/>
        <w:rPr>
          <w:rFonts w:ascii="David" w:hAnsi="David"/>
          <w:rtl/>
        </w:rPr>
      </w:pPr>
      <w:r>
        <w:rPr>
          <w:rFonts w:ascii="David" w:hAnsi="David"/>
          <w:rtl/>
        </w:rPr>
        <w:t>11.</w:t>
      </w:r>
      <w:r>
        <w:rPr>
          <w:rFonts w:ascii="David" w:hAnsi="David"/>
          <w:rtl/>
        </w:rPr>
        <w:tab/>
        <w:t xml:space="preserve">לצורך קביעת מתחם העונש ההולם בהתאם </w:t>
      </w:r>
      <w:hyperlink r:id="rId18" w:history="1">
        <w:r w:rsidR="00270E91" w:rsidRPr="00270E91">
          <w:rPr>
            <w:rFonts w:ascii="David" w:hAnsi="David"/>
            <w:color w:val="0000FF"/>
            <w:u w:val="single"/>
            <w:rtl/>
          </w:rPr>
          <w:t>לסעיף 40 ג</w:t>
        </w:r>
      </w:hyperlink>
      <w:r>
        <w:rPr>
          <w:rFonts w:ascii="David" w:hAnsi="David"/>
          <w:rtl/>
        </w:rPr>
        <w:t xml:space="preserve"> לחוק עונשין, יש לבחון את הערכים החברתיים שנפגעו מהעבירה ומידת הפגיעה בהם, מדיניות הענישה הנוהגת, והנסיבות הקשורות בביצוע העבירה. </w:t>
      </w:r>
    </w:p>
    <w:p w14:paraId="01D0BEEE" w14:textId="77777777" w:rsidR="004A0851" w:rsidRDefault="004A0851" w:rsidP="004A0851">
      <w:pPr>
        <w:spacing w:line="360" w:lineRule="auto"/>
        <w:ind w:left="720" w:hanging="720"/>
        <w:jc w:val="both"/>
        <w:rPr>
          <w:rFonts w:ascii="David" w:hAnsi="David"/>
          <w:rtl/>
        </w:rPr>
      </w:pPr>
    </w:p>
    <w:p w14:paraId="403950AE" w14:textId="77777777" w:rsidR="004A0851" w:rsidRDefault="004A0851" w:rsidP="004A0851">
      <w:pPr>
        <w:spacing w:line="360" w:lineRule="auto"/>
        <w:ind w:left="720" w:hanging="720"/>
        <w:jc w:val="both"/>
        <w:rPr>
          <w:rFonts w:ascii="David" w:hAnsi="David"/>
          <w:rtl/>
        </w:rPr>
      </w:pPr>
    </w:p>
    <w:p w14:paraId="71D90119" w14:textId="77777777" w:rsidR="004A0851" w:rsidRDefault="004A0851" w:rsidP="004A0851">
      <w:pPr>
        <w:spacing w:line="360" w:lineRule="auto"/>
        <w:ind w:left="720" w:hanging="720"/>
        <w:jc w:val="both"/>
        <w:rPr>
          <w:rFonts w:ascii="David" w:hAnsi="David"/>
          <w:rtl/>
        </w:rPr>
      </w:pPr>
      <w:r>
        <w:rPr>
          <w:rFonts w:ascii="David" w:hAnsi="David"/>
          <w:rtl/>
        </w:rPr>
        <w:t>12.</w:t>
      </w:r>
      <w:r>
        <w:rPr>
          <w:rFonts w:ascii="David" w:hAnsi="David"/>
          <w:rtl/>
        </w:rPr>
        <w:tab/>
        <w:t>בנוסף לאמור, ובשים לב לכך שעסקינן בעבירות בנשק שהוכרו כ"מכת מדינה", קביעת מתחם העונש ההולם צריכה להיעשות גם בזיקה לענישה המרבית שקבע המחוקק, ולעניין זה יפים דברי כבוד השופט שטיין ב</w:t>
      </w:r>
      <w:hyperlink r:id="rId19" w:history="1">
        <w:r w:rsidR="003A5867" w:rsidRPr="003A5867">
          <w:rPr>
            <w:rFonts w:ascii="David" w:hAnsi="David"/>
            <w:b/>
            <w:bCs/>
            <w:color w:val="0000FF"/>
            <w:u w:val="single"/>
            <w:rtl/>
          </w:rPr>
          <w:t>ע"פ 147/21</w:t>
        </w:r>
      </w:hyperlink>
      <w:r>
        <w:rPr>
          <w:rFonts w:ascii="David" w:hAnsi="David"/>
          <w:b/>
          <w:bCs/>
          <w:rtl/>
        </w:rPr>
        <w:t xml:space="preserve"> מ"י נ' ירין ביטון </w:t>
      </w:r>
      <w:r>
        <w:rPr>
          <w:rFonts w:ascii="David" w:hAnsi="David"/>
          <w:rtl/>
        </w:rPr>
        <w:t>(14.02.2021):</w:t>
      </w:r>
    </w:p>
    <w:p w14:paraId="2D0BFD6A" w14:textId="77777777" w:rsidR="004A0851" w:rsidRDefault="004A0851" w:rsidP="004A0851">
      <w:pPr>
        <w:spacing w:line="360" w:lineRule="auto"/>
        <w:ind w:left="720" w:hanging="720"/>
        <w:jc w:val="both"/>
        <w:rPr>
          <w:rFonts w:ascii="David" w:hAnsi="David"/>
          <w:rtl/>
        </w:rPr>
      </w:pPr>
    </w:p>
    <w:p w14:paraId="4005A38D" w14:textId="77777777" w:rsidR="004A0851" w:rsidRDefault="004A0851" w:rsidP="004A0851">
      <w:pPr>
        <w:spacing w:line="360" w:lineRule="auto"/>
        <w:ind w:left="1502" w:right="1418"/>
        <w:jc w:val="both"/>
        <w:rPr>
          <w:rFonts w:ascii="David" w:hAnsi="David"/>
          <w:rtl/>
        </w:rPr>
      </w:pPr>
      <w:r>
        <w:rPr>
          <w:rFonts w:ascii="David" w:hAnsi="David"/>
          <w:rtl/>
        </w:rPr>
        <w:t>"</w:t>
      </w:r>
      <w:r>
        <w:rPr>
          <w:rFonts w:ascii="David" w:hAnsi="David"/>
          <w:b/>
          <w:bCs/>
          <w:rtl/>
        </w:rPr>
        <w:t>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w:t>
      </w:r>
      <w:r>
        <w:rPr>
          <w:b/>
          <w:bCs/>
          <w:rtl/>
        </w:rPr>
        <w:t xml:space="preserve"> </w:t>
      </w:r>
      <w:r>
        <w:rPr>
          <w:rFonts w:ascii="David" w:hAnsi="David"/>
          <w:b/>
          <w:bCs/>
          <w:rtl/>
        </w:rPr>
        <w:t>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r:id="rId20" w:history="1">
        <w:r w:rsidR="003A5867" w:rsidRPr="003A5867">
          <w:rPr>
            <w:rFonts w:ascii="David" w:hAnsi="David"/>
            <w:b/>
            <w:bCs/>
            <w:color w:val="0000FF"/>
            <w:u w:val="single"/>
            <w:rtl/>
          </w:rPr>
          <w:t>חוק העונשין</w:t>
        </w:r>
      </w:hyperlink>
      <w:r>
        <w:rPr>
          <w:rFonts w:ascii="David" w:hAnsi="David"/>
          <w:b/>
          <w:bCs/>
          <w:rtl/>
        </w:rPr>
        <w:t>..."</w:t>
      </w:r>
    </w:p>
    <w:p w14:paraId="33601C1C" w14:textId="77777777" w:rsidR="004A0851" w:rsidRDefault="004A0851" w:rsidP="004A0851">
      <w:pPr>
        <w:spacing w:line="360" w:lineRule="auto"/>
        <w:ind w:left="720"/>
        <w:jc w:val="both"/>
        <w:rPr>
          <w:rFonts w:ascii="David" w:hAnsi="David"/>
          <w:rtl/>
        </w:rPr>
      </w:pPr>
    </w:p>
    <w:p w14:paraId="09232761" w14:textId="77777777" w:rsidR="004A0851" w:rsidRDefault="004A0851" w:rsidP="004A0851">
      <w:pPr>
        <w:spacing w:line="360" w:lineRule="auto"/>
        <w:ind w:left="720"/>
        <w:jc w:val="both"/>
        <w:rPr>
          <w:rFonts w:ascii="David" w:hAnsi="David"/>
          <w:rtl/>
        </w:rPr>
      </w:pPr>
      <w:r>
        <w:rPr>
          <w:rFonts w:ascii="David" w:hAnsi="David"/>
          <w:rtl/>
        </w:rPr>
        <w:t xml:space="preserve">לאור האמור, גזירת מתחם העונש ההולם בענייננו תעשה גם בזיקה עניינית לחומרת העבירה בה הורשע הנאשם ולעונש המרבי שנקבע על ידי המחוקק לעבירת הנשיאה וההובלה. </w:t>
      </w:r>
    </w:p>
    <w:p w14:paraId="24AA7979" w14:textId="77777777" w:rsidR="004A0851" w:rsidRDefault="004A0851" w:rsidP="004A0851">
      <w:pPr>
        <w:spacing w:line="360" w:lineRule="auto"/>
        <w:ind w:left="720"/>
        <w:jc w:val="both"/>
        <w:rPr>
          <w:rFonts w:ascii="David" w:hAnsi="David"/>
          <w:rtl/>
        </w:rPr>
      </w:pPr>
    </w:p>
    <w:p w14:paraId="3B02EA81" w14:textId="77777777" w:rsidR="004A0851" w:rsidRDefault="004A0851" w:rsidP="004A0851">
      <w:pPr>
        <w:spacing w:line="360" w:lineRule="auto"/>
        <w:jc w:val="both"/>
        <w:rPr>
          <w:rFonts w:ascii="David" w:hAnsi="David"/>
          <w:b/>
          <w:bCs/>
          <w:rtl/>
        </w:rPr>
      </w:pPr>
      <w:r>
        <w:rPr>
          <w:rFonts w:ascii="David" w:hAnsi="David"/>
          <w:b/>
          <w:bCs/>
          <w:rtl/>
        </w:rPr>
        <w:t xml:space="preserve">הערכים החברתיים שנפגעו: </w:t>
      </w:r>
    </w:p>
    <w:p w14:paraId="79EB1EA4" w14:textId="77777777" w:rsidR="004A0851" w:rsidRDefault="004A0851" w:rsidP="004A0851">
      <w:pPr>
        <w:spacing w:line="360" w:lineRule="auto"/>
        <w:jc w:val="both"/>
        <w:rPr>
          <w:rFonts w:ascii="David" w:hAnsi="David"/>
          <w:b/>
          <w:bCs/>
          <w:rtl/>
        </w:rPr>
      </w:pPr>
    </w:p>
    <w:p w14:paraId="4C037A3B" w14:textId="77777777" w:rsidR="004A0851" w:rsidRDefault="004A0851" w:rsidP="004A0851">
      <w:pPr>
        <w:spacing w:line="360" w:lineRule="auto"/>
        <w:ind w:left="720" w:hanging="720"/>
        <w:jc w:val="both"/>
        <w:rPr>
          <w:rFonts w:ascii="David" w:hAnsi="David"/>
          <w:rtl/>
        </w:rPr>
      </w:pPr>
      <w:r>
        <w:rPr>
          <w:rFonts w:ascii="David" w:hAnsi="David"/>
          <w:rtl/>
        </w:rPr>
        <w:t>13.</w:t>
      </w:r>
      <w:r>
        <w:rPr>
          <w:rFonts w:ascii="David" w:hAnsi="David"/>
          <w:rtl/>
        </w:rPr>
        <w:tab/>
        <w:t xml:space="preserve">בביצוע העבירה ובנסיבותיה פגע הנאשם בצורה משמעותית בערכים המוגנים של שמירה על החיים והגוף, על בטחון הציבור ושמירת הסדר הציבורי. </w:t>
      </w:r>
    </w:p>
    <w:p w14:paraId="3C74FEA1" w14:textId="77777777" w:rsidR="004A0851" w:rsidRDefault="004A0851" w:rsidP="004A0851">
      <w:pPr>
        <w:spacing w:line="360" w:lineRule="auto"/>
        <w:ind w:left="720"/>
        <w:jc w:val="both"/>
        <w:rPr>
          <w:rFonts w:ascii="David" w:hAnsi="David"/>
          <w:rtl/>
        </w:rPr>
      </w:pPr>
      <w:r>
        <w:rPr>
          <w:rFonts w:ascii="David" w:hAnsi="David"/>
          <w:rtl/>
        </w:rPr>
        <w:t xml:space="preserve">עבירת נשיאה והובלה של נשק ותחמושת מגלמת סיכון פוטנציאלי לשלום הציבור ולביטחונו שכן פעמים רבות מהווה הקדמה או חלק מביצוע עבירות נוספות. ניסיון החיים מלמד כי אדם לא נושא נשק שבתוכו מחסנית וכדורים אלא לשם הגשמת ביצוע עבירות נוספות. </w:t>
      </w:r>
    </w:p>
    <w:p w14:paraId="6F592E1E" w14:textId="77777777" w:rsidR="004A0851" w:rsidRDefault="004A0851" w:rsidP="004A0851">
      <w:pPr>
        <w:spacing w:line="360" w:lineRule="auto"/>
        <w:jc w:val="both"/>
        <w:rPr>
          <w:rFonts w:ascii="David" w:hAnsi="David"/>
          <w:b/>
          <w:bCs/>
          <w:rtl/>
        </w:rPr>
      </w:pPr>
    </w:p>
    <w:p w14:paraId="4B4B279D" w14:textId="77777777" w:rsidR="004A0851" w:rsidRDefault="004A0851" w:rsidP="004A0851">
      <w:pPr>
        <w:spacing w:line="360" w:lineRule="auto"/>
        <w:jc w:val="both"/>
        <w:rPr>
          <w:rFonts w:ascii="David" w:hAnsi="David"/>
          <w:b/>
          <w:bCs/>
          <w:rtl/>
        </w:rPr>
      </w:pPr>
      <w:r>
        <w:rPr>
          <w:rFonts w:ascii="David" w:hAnsi="David"/>
          <w:b/>
          <w:bCs/>
          <w:rtl/>
        </w:rPr>
        <w:t xml:space="preserve">מדיניות הענישה הנוהגת: </w:t>
      </w:r>
    </w:p>
    <w:p w14:paraId="1D3B8F79" w14:textId="77777777" w:rsidR="004A0851" w:rsidRDefault="004A0851" w:rsidP="004A0851">
      <w:pPr>
        <w:spacing w:line="360" w:lineRule="auto"/>
        <w:jc w:val="both"/>
        <w:rPr>
          <w:rFonts w:ascii="David" w:hAnsi="David"/>
          <w:b/>
          <w:bCs/>
          <w:rtl/>
        </w:rPr>
      </w:pPr>
    </w:p>
    <w:p w14:paraId="10FBDBD8" w14:textId="77777777" w:rsidR="004A0851" w:rsidRDefault="004A0851" w:rsidP="004A0851">
      <w:pPr>
        <w:spacing w:line="360" w:lineRule="auto"/>
        <w:ind w:left="720" w:hanging="720"/>
        <w:jc w:val="both"/>
        <w:rPr>
          <w:rFonts w:ascii="David" w:hAnsi="David"/>
          <w:rtl/>
        </w:rPr>
      </w:pPr>
      <w:r>
        <w:rPr>
          <w:rFonts w:ascii="David" w:hAnsi="David"/>
          <w:rtl/>
        </w:rPr>
        <w:t>14.</w:t>
      </w:r>
      <w:r>
        <w:rPr>
          <w:rFonts w:ascii="David" w:hAnsi="David"/>
          <w:rtl/>
        </w:rPr>
        <w:tab/>
        <w:t xml:space="preserve">נוכח הסיכון הפוטנציאלי לשלום הציבור הדגיש בית המשפט העליון את הצורך בהחמרה בענישה בעבירות הנשק השונות ואת החומרה הרבה שבביצוע עבירות אלה. לעניין זה ראה </w:t>
      </w:r>
      <w:hyperlink r:id="rId21" w:history="1">
        <w:r w:rsidR="003A5867" w:rsidRPr="003A5867">
          <w:rPr>
            <w:rFonts w:ascii="David" w:hAnsi="David"/>
            <w:b/>
            <w:bCs/>
            <w:color w:val="0000FF"/>
            <w:u w:val="single"/>
            <w:rtl/>
          </w:rPr>
          <w:t>ע"פ 6383/21</w:t>
        </w:r>
      </w:hyperlink>
      <w:r>
        <w:rPr>
          <w:rFonts w:ascii="David" w:hAnsi="David"/>
          <w:b/>
          <w:bCs/>
          <w:rtl/>
        </w:rPr>
        <w:t xml:space="preserve"> קרייף נ' מדינת ישראל </w:t>
      </w:r>
      <w:r>
        <w:rPr>
          <w:rFonts w:ascii="David" w:hAnsi="David"/>
          <w:rtl/>
        </w:rPr>
        <w:t>(13.02.2022):</w:t>
      </w:r>
    </w:p>
    <w:p w14:paraId="292D9A81" w14:textId="77777777" w:rsidR="004A0851" w:rsidRDefault="004A0851" w:rsidP="004A0851">
      <w:pPr>
        <w:spacing w:line="360" w:lineRule="auto"/>
        <w:ind w:left="720" w:hanging="720"/>
        <w:jc w:val="both"/>
        <w:rPr>
          <w:rFonts w:ascii="David" w:hAnsi="David"/>
          <w:rtl/>
        </w:rPr>
      </w:pPr>
    </w:p>
    <w:p w14:paraId="558D00B5" w14:textId="77777777" w:rsidR="004A0851" w:rsidRDefault="004A0851" w:rsidP="004A0851">
      <w:pPr>
        <w:spacing w:line="360" w:lineRule="auto"/>
        <w:ind w:left="1502" w:right="1560"/>
        <w:jc w:val="both"/>
        <w:rPr>
          <w:rFonts w:ascii="David" w:hAnsi="David"/>
          <w:rtl/>
        </w:rPr>
      </w:pPr>
      <w:r>
        <w:rPr>
          <w:rFonts w:ascii="David" w:hAnsi="David"/>
          <w:rtl/>
        </w:rPr>
        <w:t>"</w:t>
      </w:r>
      <w:r>
        <w:rPr>
          <w:rFonts w:ascii="David" w:hAnsi="David"/>
          <w:b/>
          <w:bCs/>
          <w:rtl/>
        </w:rPr>
        <w:t>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w:t>
      </w:r>
      <w:r>
        <w:rPr>
          <w:rFonts w:ascii="David" w:hAnsi="David"/>
          <w:rtl/>
        </w:rPr>
        <w:t xml:space="preserve">" </w:t>
      </w:r>
    </w:p>
    <w:p w14:paraId="1D610249" w14:textId="77777777" w:rsidR="004A0851" w:rsidRDefault="004A0851" w:rsidP="004A0851">
      <w:pPr>
        <w:spacing w:line="360" w:lineRule="auto"/>
        <w:ind w:left="1502" w:right="1560"/>
        <w:jc w:val="both"/>
        <w:rPr>
          <w:rFonts w:ascii="David" w:hAnsi="David"/>
          <w:rtl/>
        </w:rPr>
      </w:pPr>
    </w:p>
    <w:p w14:paraId="2DA17EE4" w14:textId="77777777" w:rsidR="004A0851" w:rsidRDefault="004A0851" w:rsidP="004A0851">
      <w:pPr>
        <w:spacing w:line="360" w:lineRule="auto"/>
        <w:ind w:left="720" w:hanging="720"/>
        <w:jc w:val="both"/>
        <w:rPr>
          <w:rFonts w:ascii="David" w:hAnsi="David"/>
          <w:rtl/>
        </w:rPr>
      </w:pPr>
      <w:r>
        <w:rPr>
          <w:rFonts w:ascii="David" w:hAnsi="David"/>
          <w:rtl/>
        </w:rPr>
        <w:t>15.</w:t>
      </w:r>
      <w:r>
        <w:rPr>
          <w:rFonts w:ascii="David" w:hAnsi="David"/>
          <w:rtl/>
        </w:rPr>
        <w:tab/>
        <w:t xml:space="preserve">נוכח המציאות הקשה השוררת בישראל, בהיטשטש הגבולות בין הפלילי לבין הלאומני,  כשהאחד מזין את השני, לעבירות בנשק נודעת חומרה מיוחדת. לעניין זה ראה </w:t>
      </w:r>
      <w:hyperlink r:id="rId22" w:history="1">
        <w:r w:rsidR="003A5867" w:rsidRPr="003A5867">
          <w:rPr>
            <w:rFonts w:ascii="David" w:hAnsi="David"/>
            <w:b/>
            <w:bCs/>
            <w:color w:val="0000FF"/>
            <w:u w:val="single"/>
            <w:rtl/>
          </w:rPr>
          <w:t>ע"פ 2564/19</w:t>
        </w:r>
      </w:hyperlink>
      <w:r>
        <w:rPr>
          <w:rFonts w:ascii="David" w:hAnsi="David"/>
          <w:b/>
          <w:bCs/>
          <w:rtl/>
        </w:rPr>
        <w:t xml:space="preserve"> אזברגה נ' מדינת ישראל</w:t>
      </w:r>
      <w:r>
        <w:rPr>
          <w:rFonts w:ascii="David" w:hAnsi="David"/>
          <w:rtl/>
        </w:rPr>
        <w:t xml:space="preserve"> (18.07.2019):</w:t>
      </w:r>
    </w:p>
    <w:p w14:paraId="278DB889" w14:textId="77777777" w:rsidR="004A0851" w:rsidRDefault="004A0851" w:rsidP="004A0851">
      <w:pPr>
        <w:spacing w:line="360" w:lineRule="auto"/>
        <w:ind w:left="720" w:hanging="720"/>
        <w:jc w:val="both"/>
        <w:rPr>
          <w:rFonts w:ascii="David" w:hAnsi="David"/>
          <w:rtl/>
        </w:rPr>
      </w:pPr>
    </w:p>
    <w:p w14:paraId="02ED3318" w14:textId="77777777" w:rsidR="004A0851" w:rsidRDefault="004A0851" w:rsidP="004A0851">
      <w:pPr>
        <w:spacing w:line="360" w:lineRule="auto"/>
        <w:ind w:left="1643" w:right="1418"/>
        <w:jc w:val="both"/>
        <w:rPr>
          <w:rFonts w:ascii="David" w:hAnsi="David"/>
          <w:rtl/>
        </w:rPr>
      </w:pPr>
      <w:r>
        <w:rPr>
          <w:rFonts w:ascii="David" w:hAnsi="David"/>
          <w:rtl/>
        </w:rPr>
        <w:t>"</w:t>
      </w:r>
      <w:r>
        <w:rPr>
          <w:rFonts w:ascii="David" w:hAnsi="David"/>
          <w:b/>
          <w:bCs/>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w:t>
      </w:r>
      <w:r>
        <w:rPr>
          <w:rFonts w:ascii="David" w:hAnsi="David"/>
          <w:rtl/>
        </w:rPr>
        <w:t>...</w:t>
      </w:r>
      <w:r>
        <w:rPr>
          <w:rtl/>
        </w:rPr>
        <w:t xml:space="preserve"> </w:t>
      </w:r>
      <w:r>
        <w:rPr>
          <w:rFonts w:ascii="David" w:hAnsi="David"/>
          <w:b/>
          <w:bCs/>
          <w:rtl/>
        </w:rPr>
        <w:t>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r>
        <w:rPr>
          <w:rFonts w:ascii="David" w:hAnsi="David"/>
          <w:rtl/>
        </w:rPr>
        <w:t>.</w:t>
      </w:r>
    </w:p>
    <w:p w14:paraId="60CDD298" w14:textId="77777777" w:rsidR="004A0851" w:rsidRDefault="004A0851" w:rsidP="004A0851">
      <w:pPr>
        <w:spacing w:line="360" w:lineRule="auto"/>
        <w:ind w:left="720"/>
        <w:jc w:val="both"/>
        <w:rPr>
          <w:rFonts w:ascii="David" w:hAnsi="David"/>
          <w:rtl/>
        </w:rPr>
      </w:pPr>
    </w:p>
    <w:p w14:paraId="5314F7DF" w14:textId="77777777" w:rsidR="004A0851" w:rsidRDefault="004A0851" w:rsidP="004A0851">
      <w:pPr>
        <w:spacing w:line="360" w:lineRule="auto"/>
        <w:ind w:left="720"/>
        <w:jc w:val="both"/>
        <w:rPr>
          <w:rFonts w:ascii="David" w:hAnsi="David"/>
          <w:rtl/>
        </w:rPr>
      </w:pPr>
      <w:r>
        <w:rPr>
          <w:rFonts w:ascii="David" w:hAnsi="David"/>
          <w:rtl/>
        </w:rPr>
        <w:t xml:space="preserve">וראה גם </w:t>
      </w:r>
      <w:hyperlink r:id="rId23" w:history="1">
        <w:r w:rsidR="003A5867" w:rsidRPr="003A5867">
          <w:rPr>
            <w:rFonts w:ascii="David" w:hAnsi="David"/>
            <w:b/>
            <w:bCs/>
            <w:color w:val="0000FF"/>
            <w:u w:val="single"/>
            <w:rtl/>
          </w:rPr>
          <w:t>ע"פ 4945/13</w:t>
        </w:r>
      </w:hyperlink>
      <w:r>
        <w:rPr>
          <w:rFonts w:ascii="David" w:hAnsi="David"/>
          <w:b/>
          <w:bCs/>
          <w:rtl/>
        </w:rPr>
        <w:t xml:space="preserve"> מדינת ישראל נ' סלימאן</w:t>
      </w:r>
      <w:r>
        <w:rPr>
          <w:rFonts w:ascii="David" w:hAnsi="David"/>
          <w:rtl/>
        </w:rPr>
        <w:t xml:space="preserve"> (19.01.14):</w:t>
      </w:r>
    </w:p>
    <w:p w14:paraId="66761102" w14:textId="77777777" w:rsidR="004A0851" w:rsidRDefault="004A0851" w:rsidP="004A0851">
      <w:pPr>
        <w:spacing w:line="360" w:lineRule="auto"/>
        <w:ind w:left="720"/>
        <w:jc w:val="both"/>
        <w:rPr>
          <w:rFonts w:ascii="David" w:hAnsi="David"/>
          <w:rtl/>
        </w:rPr>
      </w:pPr>
    </w:p>
    <w:p w14:paraId="5A776240" w14:textId="77777777" w:rsidR="004A0851" w:rsidRDefault="004A0851" w:rsidP="004A0851">
      <w:pPr>
        <w:spacing w:line="360" w:lineRule="auto"/>
        <w:ind w:left="1643" w:right="1418" w:hanging="720"/>
        <w:jc w:val="both"/>
        <w:rPr>
          <w:rFonts w:ascii="David" w:hAnsi="David"/>
          <w:b/>
          <w:bCs/>
          <w:rtl/>
        </w:rPr>
      </w:pPr>
      <w:r>
        <w:rPr>
          <w:rFonts w:ascii="David" w:hAnsi="David"/>
          <w:rtl/>
        </w:rPr>
        <w:tab/>
      </w:r>
      <w:r>
        <w:rPr>
          <w:rFonts w:ascii="David" w:hAnsi="David"/>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w:t>
      </w:r>
    </w:p>
    <w:p w14:paraId="31011A00" w14:textId="77777777" w:rsidR="004A0851" w:rsidRDefault="004A0851" w:rsidP="004A0851">
      <w:pPr>
        <w:spacing w:line="360" w:lineRule="auto"/>
        <w:ind w:left="1643" w:right="1418" w:hanging="720"/>
        <w:jc w:val="both"/>
        <w:rPr>
          <w:rFonts w:ascii="David" w:hAnsi="David"/>
          <w:rtl/>
        </w:rPr>
      </w:pPr>
    </w:p>
    <w:p w14:paraId="124F494B" w14:textId="77777777" w:rsidR="004A0851" w:rsidRDefault="004A0851" w:rsidP="004A0851">
      <w:pPr>
        <w:spacing w:line="360" w:lineRule="auto"/>
        <w:ind w:left="720" w:hanging="720"/>
        <w:jc w:val="both"/>
        <w:rPr>
          <w:rFonts w:ascii="David" w:hAnsi="David"/>
          <w:rtl/>
        </w:rPr>
      </w:pPr>
      <w:r>
        <w:rPr>
          <w:rFonts w:ascii="David" w:hAnsi="David"/>
          <w:rtl/>
        </w:rPr>
        <w:t>16.</w:t>
      </w:r>
      <w:r>
        <w:rPr>
          <w:rFonts w:ascii="David" w:hAnsi="David"/>
          <w:rtl/>
        </w:rPr>
        <w:tab/>
        <w:t>באשר לטענת ב"כ הנאשם כי מגמת החמרת הענישה טרם הביאה למיגור התופעה בהעדר אכיפה וחינוך, אעיר כפי שציינתי בפסיקתי ב</w:t>
      </w:r>
      <w:hyperlink r:id="rId24" w:history="1">
        <w:r w:rsidR="003A5867" w:rsidRPr="003A5867">
          <w:rPr>
            <w:rFonts w:ascii="David" w:hAnsi="David"/>
            <w:b/>
            <w:bCs/>
            <w:color w:val="0000FF"/>
            <w:u w:val="single"/>
            <w:rtl/>
          </w:rPr>
          <w:t>ת"פ 2476-07-22</w:t>
        </w:r>
      </w:hyperlink>
      <w:r>
        <w:rPr>
          <w:rFonts w:ascii="David" w:hAnsi="David"/>
          <w:b/>
          <w:bCs/>
          <w:rtl/>
        </w:rPr>
        <w:t xml:space="preserve"> מדינת ישראל נ' אבו אלקיעאן</w:t>
      </w:r>
      <w:r>
        <w:rPr>
          <w:rFonts w:ascii="David" w:hAnsi="David"/>
          <w:rtl/>
        </w:rPr>
        <w:t xml:space="preserve"> (01.05.2023) ענישה מחמירה ומרתיעה היא דרכו של בית המשפט לתרום למיגור התופעה שהוכרה בפסיקה בשנים האחרונות כ"מכת מדינה", וכי הקלות הבלתי נסבלת בביצוע עבירות נשק מחייבת מענה הולם של בתי המשפט.</w:t>
      </w:r>
    </w:p>
    <w:p w14:paraId="06BB8D2E" w14:textId="77777777" w:rsidR="004A0851" w:rsidRDefault="004A0851" w:rsidP="004A0851">
      <w:pPr>
        <w:spacing w:line="360" w:lineRule="auto"/>
        <w:ind w:left="720"/>
        <w:jc w:val="both"/>
        <w:rPr>
          <w:rFonts w:ascii="David" w:hAnsi="David"/>
          <w:rtl/>
        </w:rPr>
      </w:pPr>
    </w:p>
    <w:p w14:paraId="6423C366" w14:textId="77777777" w:rsidR="004A0851" w:rsidRDefault="004A0851" w:rsidP="004A0851">
      <w:pPr>
        <w:spacing w:line="360" w:lineRule="auto"/>
        <w:ind w:left="720"/>
        <w:jc w:val="both"/>
        <w:rPr>
          <w:rFonts w:ascii="David" w:hAnsi="David"/>
          <w:rtl/>
        </w:rPr>
      </w:pPr>
      <w:r>
        <w:rPr>
          <w:rFonts w:ascii="David" w:hAnsi="David"/>
          <w:rtl/>
        </w:rPr>
        <w:t>ולעניין זה אפנה גם ל</w:t>
      </w:r>
      <w:hyperlink r:id="rId25" w:history="1">
        <w:r w:rsidR="003A5867" w:rsidRPr="003A5867">
          <w:rPr>
            <w:rFonts w:ascii="David" w:hAnsi="David"/>
            <w:b/>
            <w:bCs/>
            <w:color w:val="0000FF"/>
            <w:u w:val="single"/>
            <w:rtl/>
          </w:rPr>
          <w:t>ע"פ 147/21</w:t>
        </w:r>
      </w:hyperlink>
      <w:r>
        <w:rPr>
          <w:rFonts w:ascii="David" w:hAnsi="David"/>
          <w:b/>
          <w:bCs/>
          <w:rtl/>
        </w:rPr>
        <w:t xml:space="preserve"> מ"י נ' ביטון </w:t>
      </w:r>
      <w:r>
        <w:rPr>
          <w:rFonts w:ascii="David" w:hAnsi="David"/>
          <w:rtl/>
        </w:rPr>
        <w:t xml:space="preserve">(14.02.2021): </w:t>
      </w:r>
    </w:p>
    <w:p w14:paraId="4B0C07E8" w14:textId="77777777" w:rsidR="004A0851" w:rsidRDefault="004A0851" w:rsidP="004A0851">
      <w:pPr>
        <w:spacing w:line="360" w:lineRule="auto"/>
        <w:ind w:left="720"/>
        <w:jc w:val="both"/>
        <w:rPr>
          <w:rFonts w:ascii="David" w:hAnsi="David"/>
          <w:rtl/>
        </w:rPr>
      </w:pPr>
    </w:p>
    <w:p w14:paraId="27981FAE" w14:textId="77777777" w:rsidR="004A0851" w:rsidRDefault="004A0851" w:rsidP="004A0851">
      <w:pPr>
        <w:spacing w:line="360" w:lineRule="auto"/>
        <w:ind w:left="1643" w:right="1701"/>
        <w:jc w:val="both"/>
        <w:rPr>
          <w:rFonts w:ascii="David" w:hAnsi="David"/>
          <w:b/>
          <w:bCs/>
          <w:rtl/>
        </w:rPr>
      </w:pPr>
      <w:r>
        <w:rPr>
          <w:rFonts w:ascii="David" w:hAnsi="David"/>
          <w:b/>
          <w:bCs/>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p>
    <w:p w14:paraId="12042C3B" w14:textId="77777777" w:rsidR="004A0851" w:rsidRDefault="004A0851" w:rsidP="004A0851">
      <w:pPr>
        <w:spacing w:line="360" w:lineRule="auto"/>
        <w:ind w:left="1643" w:right="1701"/>
        <w:jc w:val="both"/>
        <w:rPr>
          <w:rFonts w:ascii="David" w:hAnsi="David"/>
          <w:b/>
          <w:bCs/>
          <w:rtl/>
        </w:rPr>
      </w:pPr>
    </w:p>
    <w:p w14:paraId="45219AFD" w14:textId="77777777" w:rsidR="004A0851" w:rsidRDefault="004A0851" w:rsidP="004A0851">
      <w:pPr>
        <w:spacing w:line="360" w:lineRule="auto"/>
        <w:ind w:left="720" w:right="142"/>
        <w:jc w:val="both"/>
        <w:rPr>
          <w:rFonts w:ascii="David" w:hAnsi="David"/>
          <w:rtl/>
        </w:rPr>
      </w:pPr>
      <w:r>
        <w:rPr>
          <w:rFonts w:ascii="David" w:hAnsi="David"/>
          <w:rtl/>
        </w:rPr>
        <w:t xml:space="preserve">זאת ועוד, אל לו לבית המשפט להירתע כשמדיניות ההחמרה בענישה בעבירות בנשק טרם נשאה פרי, ובמציאות בה אנו נמצאים כשנשק הפך גם לסמל סטטוס וכוח במגזר הערבי, מצווים אנחנו להמשיך במדיניות זו אף ביתר שאת. לעניין נשק כסמל סטטוס ראה גם </w:t>
      </w:r>
      <w:hyperlink r:id="rId26" w:history="1">
        <w:r w:rsidR="003A5867" w:rsidRPr="003A5867">
          <w:rPr>
            <w:rFonts w:ascii="David" w:hAnsi="David"/>
            <w:b/>
            <w:bCs/>
            <w:color w:val="0000FF"/>
            <w:u w:val="single"/>
            <w:rtl/>
          </w:rPr>
          <w:t>ת.פ (מחוזי מרכז) 42106-01-22</w:t>
        </w:r>
      </w:hyperlink>
      <w:r>
        <w:rPr>
          <w:rFonts w:ascii="David" w:hAnsi="David"/>
          <w:b/>
          <w:bCs/>
          <w:rtl/>
        </w:rPr>
        <w:t xml:space="preserve"> מ"י נ' עבדאללה וחידי</w:t>
      </w:r>
      <w:r>
        <w:rPr>
          <w:rFonts w:ascii="David" w:hAnsi="David"/>
          <w:rtl/>
        </w:rPr>
        <w:t xml:space="preserve"> ( 13.2.2023).</w:t>
      </w:r>
    </w:p>
    <w:p w14:paraId="3543C7A8" w14:textId="77777777" w:rsidR="004A0851" w:rsidRDefault="004A0851" w:rsidP="004A0851">
      <w:pPr>
        <w:spacing w:line="360" w:lineRule="auto"/>
        <w:ind w:left="720" w:right="142"/>
        <w:jc w:val="both"/>
        <w:rPr>
          <w:rFonts w:ascii="David" w:hAnsi="David"/>
          <w:rtl/>
        </w:rPr>
      </w:pPr>
      <w:r>
        <w:rPr>
          <w:rFonts w:ascii="David" w:hAnsi="David"/>
          <w:rtl/>
        </w:rPr>
        <w:t>מגמה זו אף קיבלה ביטוי בחקיקה</w:t>
      </w:r>
      <w:r>
        <w:rPr>
          <w:rFonts w:ascii="David" w:hAnsi="David" w:hint="cs"/>
          <w:rtl/>
        </w:rPr>
        <w:t>,</w:t>
      </w:r>
      <w:r>
        <w:rPr>
          <w:rFonts w:ascii="David" w:hAnsi="David"/>
          <w:rtl/>
        </w:rPr>
        <w:t xml:space="preserve"> במסגרת תיקון 140 ל</w:t>
      </w:r>
      <w:hyperlink r:id="rId27" w:history="1">
        <w:r w:rsidR="003A5867" w:rsidRPr="003A5867">
          <w:rPr>
            <w:rFonts w:ascii="David" w:hAnsi="David"/>
            <w:color w:val="0000FF"/>
            <w:u w:val="single"/>
            <w:rtl/>
          </w:rPr>
          <w:t>חוק העונשין</w:t>
        </w:r>
      </w:hyperlink>
      <w:r>
        <w:rPr>
          <w:rFonts w:ascii="David" w:hAnsi="David"/>
          <w:rtl/>
        </w:rPr>
        <w:t>, בו נקבע עונשי מינימום לעבירות בנשק.</w:t>
      </w:r>
    </w:p>
    <w:p w14:paraId="044F5984" w14:textId="77777777" w:rsidR="004A0851" w:rsidRDefault="004A0851" w:rsidP="004A0851">
      <w:pPr>
        <w:spacing w:line="360" w:lineRule="auto"/>
        <w:ind w:left="720" w:right="142"/>
        <w:jc w:val="both"/>
        <w:rPr>
          <w:rFonts w:ascii="David" w:hAnsi="David"/>
          <w:rtl/>
        </w:rPr>
      </w:pPr>
    </w:p>
    <w:p w14:paraId="7329DC7D" w14:textId="77777777" w:rsidR="004A0851" w:rsidRDefault="004A0851" w:rsidP="004A0851">
      <w:pPr>
        <w:spacing w:line="360" w:lineRule="auto"/>
        <w:ind w:left="720" w:right="142" w:hanging="720"/>
        <w:jc w:val="both"/>
        <w:rPr>
          <w:rFonts w:ascii="David" w:hAnsi="David"/>
          <w:rtl/>
        </w:rPr>
      </w:pPr>
      <w:r>
        <w:rPr>
          <w:rFonts w:ascii="David" w:hAnsi="David"/>
          <w:rtl/>
        </w:rPr>
        <w:t>17.</w:t>
      </w:r>
      <w:r>
        <w:rPr>
          <w:rFonts w:ascii="David" w:hAnsi="David"/>
          <w:rtl/>
        </w:rPr>
        <w:tab/>
        <w:t xml:space="preserve">ביחס לטענת הסנגור בדבר מדיניות הענישה המקלה המתבקשת לנאשמים נעדרי עבר פלילי קודם וסיכויי השיקום הנלמדים מכך, הרי שכפי שציינתי בעבר עבירות בנשק מבוצעות לא רק על ידי עבריינים חוזרים אלא גם על ידי צעירים נטולי עבר פלילי ולכאורה נורמטיביים. מציאות זו מחייבת טיפול בתופעה המדאיגה והחמרת הענישה גם עם נאשמים נעדרי עבר פלילי. ראה לעניין זה </w:t>
      </w:r>
      <w:hyperlink r:id="rId28" w:history="1">
        <w:r w:rsidR="003A5867" w:rsidRPr="003A5867">
          <w:rPr>
            <w:rFonts w:ascii="David" w:hAnsi="David"/>
            <w:b/>
            <w:bCs/>
            <w:color w:val="0000FF"/>
            <w:u w:val="single"/>
            <w:rtl/>
          </w:rPr>
          <w:t>ת"פ 18484-07-23</w:t>
        </w:r>
      </w:hyperlink>
      <w:r>
        <w:rPr>
          <w:rFonts w:ascii="David" w:hAnsi="David"/>
          <w:b/>
          <w:bCs/>
          <w:rtl/>
        </w:rPr>
        <w:t xml:space="preserve"> (מחוזי ב"ש) מדינת ישראל נ' אלקרינאוי </w:t>
      </w:r>
      <w:r>
        <w:rPr>
          <w:rFonts w:ascii="David" w:hAnsi="David"/>
          <w:rtl/>
        </w:rPr>
        <w:t>(09.09.24) ו</w:t>
      </w:r>
      <w:hyperlink r:id="rId29" w:history="1">
        <w:r w:rsidR="003A5867" w:rsidRPr="003A5867">
          <w:rPr>
            <w:rFonts w:ascii="David" w:hAnsi="David"/>
            <w:b/>
            <w:bCs/>
            <w:color w:val="0000FF"/>
            <w:u w:val="single"/>
            <w:rtl/>
          </w:rPr>
          <w:t>ת"פ 43742-07-22</w:t>
        </w:r>
      </w:hyperlink>
      <w:r>
        <w:rPr>
          <w:rFonts w:ascii="David" w:hAnsi="David"/>
          <w:b/>
          <w:bCs/>
          <w:rtl/>
        </w:rPr>
        <w:t xml:space="preserve"> (מחוזי ב"ש) מדינת ישראל נ' אלסייד</w:t>
      </w:r>
      <w:r>
        <w:rPr>
          <w:rFonts w:ascii="David" w:hAnsi="David"/>
          <w:rtl/>
        </w:rPr>
        <w:t xml:space="preserve"> (25.6.2023).</w:t>
      </w:r>
    </w:p>
    <w:p w14:paraId="27FCA8D0" w14:textId="77777777" w:rsidR="004A0851" w:rsidRDefault="004A0851" w:rsidP="004A0851">
      <w:pPr>
        <w:spacing w:line="360" w:lineRule="auto"/>
        <w:ind w:left="720" w:right="142" w:hanging="720"/>
        <w:jc w:val="both"/>
        <w:rPr>
          <w:rFonts w:ascii="David" w:hAnsi="David"/>
          <w:rtl/>
        </w:rPr>
      </w:pPr>
    </w:p>
    <w:p w14:paraId="22E501B7" w14:textId="77777777" w:rsidR="004A0851" w:rsidRDefault="004A0851" w:rsidP="004A0851">
      <w:pPr>
        <w:spacing w:line="360" w:lineRule="auto"/>
        <w:ind w:left="720" w:right="142" w:hanging="720"/>
        <w:jc w:val="both"/>
        <w:rPr>
          <w:rFonts w:ascii="David" w:hAnsi="David"/>
          <w:rtl/>
        </w:rPr>
      </w:pPr>
    </w:p>
    <w:p w14:paraId="467F8E44" w14:textId="77777777" w:rsidR="004A0851" w:rsidRDefault="004A0851" w:rsidP="004A0851">
      <w:pPr>
        <w:spacing w:line="360" w:lineRule="auto"/>
        <w:ind w:left="720" w:right="142" w:hanging="720"/>
        <w:jc w:val="both"/>
        <w:rPr>
          <w:rFonts w:ascii="David" w:hAnsi="David"/>
          <w:rtl/>
        </w:rPr>
      </w:pPr>
    </w:p>
    <w:p w14:paraId="268196CE" w14:textId="77777777" w:rsidR="004A0851" w:rsidRDefault="004A0851" w:rsidP="004A0851">
      <w:pPr>
        <w:spacing w:line="360" w:lineRule="auto"/>
        <w:ind w:left="720" w:hanging="720"/>
        <w:jc w:val="both"/>
        <w:rPr>
          <w:rFonts w:ascii="David" w:hAnsi="David"/>
          <w:rtl/>
        </w:rPr>
      </w:pPr>
      <w:r>
        <w:rPr>
          <w:rFonts w:ascii="David" w:hAnsi="David"/>
          <w:rtl/>
        </w:rPr>
        <w:t>18.</w:t>
      </w:r>
      <w:r>
        <w:rPr>
          <w:rFonts w:ascii="David" w:hAnsi="David"/>
          <w:rtl/>
        </w:rPr>
        <w:tab/>
        <w:t xml:space="preserve">בזיקה לאמור אדרש למדגם של הפסיקה הנוהגת תוך שאציין כי בהבניית שיקול הדעת אין הכוונה לעריכת ממוצע סטטיסטי של טווחי ענישה. קשת הענישה בפסיקה רחבה ותלויה בנסיבותיו של המקרה הקונקרטי ובפרמטרים שונים, ובכללם התכנון והתעוזה שבמעשים, סוג הנשק וכמות התחמושת, משך הנשיאה וההובלה ומטרתה, פוטנציאל הסיכון וקיומן של עבירות נלוות, ויש לבצע את ההבחנה הנדרשת לקולא ולחומרא: </w:t>
      </w:r>
    </w:p>
    <w:p w14:paraId="548316FB" w14:textId="77777777" w:rsidR="004A0851" w:rsidRDefault="004A0851" w:rsidP="004A0851">
      <w:pPr>
        <w:spacing w:line="360" w:lineRule="auto"/>
        <w:ind w:left="720" w:hanging="720"/>
        <w:jc w:val="both"/>
        <w:rPr>
          <w:rFonts w:ascii="David" w:hAnsi="David"/>
          <w:rtl/>
        </w:rPr>
      </w:pPr>
    </w:p>
    <w:p w14:paraId="44157339" w14:textId="77777777" w:rsidR="004A0851" w:rsidRDefault="004A0851" w:rsidP="004A0851">
      <w:pPr>
        <w:spacing w:line="360" w:lineRule="auto"/>
        <w:ind w:left="1440" w:hanging="720"/>
        <w:jc w:val="both"/>
        <w:rPr>
          <w:rFonts w:ascii="David" w:hAnsi="David"/>
          <w:rtl/>
        </w:rPr>
      </w:pPr>
      <w:r>
        <w:rPr>
          <w:rFonts w:ascii="David" w:hAnsi="David"/>
          <w:rtl/>
        </w:rPr>
        <w:t>א.</w:t>
      </w:r>
      <w:r>
        <w:rPr>
          <w:rFonts w:ascii="David" w:hAnsi="David"/>
          <w:rtl/>
        </w:rPr>
        <w:tab/>
        <w:t>ב</w:t>
      </w:r>
      <w:hyperlink r:id="rId30" w:history="1">
        <w:r w:rsidR="003A5867" w:rsidRPr="003A5867">
          <w:rPr>
            <w:rFonts w:ascii="David" w:hAnsi="David"/>
            <w:b/>
            <w:bCs/>
            <w:color w:val="0000FF"/>
            <w:u w:val="single"/>
            <w:rtl/>
          </w:rPr>
          <w:t>ע"פ 5856/22</w:t>
        </w:r>
      </w:hyperlink>
      <w:r>
        <w:rPr>
          <w:rFonts w:ascii="David" w:hAnsi="David"/>
          <w:b/>
          <w:bCs/>
          <w:rtl/>
        </w:rPr>
        <w:t xml:space="preserve"> טאיע סויטאת נ' מדינת ישראל</w:t>
      </w:r>
      <w:r>
        <w:rPr>
          <w:rFonts w:ascii="David" w:hAnsi="David"/>
          <w:rtl/>
        </w:rPr>
        <w:t xml:space="preserve"> (21.03.2023) נדחה ערעורו של נאשם על הכרעת הדין וגזר הדין בעניינו. הנאשם הורשע לאחר שמיעת ראיות בעבירות של נשיאה והובלת נשק ואביזר לנשק שלא כדין לפי </w:t>
      </w:r>
      <w:hyperlink r:id="rId31" w:history="1">
        <w:r w:rsidR="00270E91" w:rsidRPr="00270E91">
          <w:rPr>
            <w:rFonts w:ascii="David" w:hAnsi="David"/>
            <w:color w:val="0000FF"/>
            <w:u w:val="single"/>
            <w:rtl/>
          </w:rPr>
          <w:t>סעיף 144 (ב)</w:t>
        </w:r>
      </w:hyperlink>
      <w:r>
        <w:rPr>
          <w:rFonts w:ascii="David" w:hAnsi="David"/>
          <w:rtl/>
        </w:rPr>
        <w:t xml:space="preserve"> רישא וסיפא והפרעה לשוטר בשעת מילוי תפקידו. הנאשם נסע עם אדם אחר כשהוא נושא אקדח מסוג </w:t>
      </w:r>
      <w:r>
        <w:rPr>
          <w:rFonts w:ascii="David" w:hAnsi="David"/>
        </w:rPr>
        <w:t>FN</w:t>
      </w:r>
      <w:r>
        <w:rPr>
          <w:rFonts w:ascii="David" w:hAnsi="David"/>
          <w:rtl/>
        </w:rPr>
        <w:t xml:space="preserve"> ובו מחסנית ריקה. כאשר הגיע הרכב למחסום משטרתי הנהג עצר את הרכב, הנאשם יצא מהרכב והחל להימלט מהמקום ובחלוף מרדף קצר, שבמהלכו השליך את האקדח, נתפס. על הנאשם הוטלו </w:t>
      </w:r>
      <w:r>
        <w:rPr>
          <w:rFonts w:ascii="David" w:hAnsi="David"/>
          <w:b/>
          <w:bCs/>
          <w:rtl/>
        </w:rPr>
        <w:t>28 חודשי מאסר בפועל</w:t>
      </w:r>
      <w:r>
        <w:rPr>
          <w:rFonts w:ascii="David" w:hAnsi="David"/>
          <w:rtl/>
        </w:rPr>
        <w:t xml:space="preserve"> לצד עונשים נלווים. </w:t>
      </w:r>
    </w:p>
    <w:p w14:paraId="05F23BF6" w14:textId="77777777" w:rsidR="004A0851" w:rsidRDefault="004A0851" w:rsidP="004A0851">
      <w:pPr>
        <w:spacing w:line="360" w:lineRule="auto"/>
        <w:ind w:left="1440" w:hanging="720"/>
        <w:jc w:val="both"/>
        <w:rPr>
          <w:rFonts w:ascii="David" w:hAnsi="David"/>
          <w:rtl/>
        </w:rPr>
      </w:pPr>
    </w:p>
    <w:p w14:paraId="38F2EF36" w14:textId="77777777" w:rsidR="004A0851" w:rsidRDefault="004A0851" w:rsidP="004A0851">
      <w:pPr>
        <w:spacing w:line="360" w:lineRule="auto"/>
        <w:ind w:left="1440" w:hanging="720"/>
        <w:jc w:val="both"/>
        <w:rPr>
          <w:rFonts w:ascii="David" w:hAnsi="David"/>
          <w:rtl/>
        </w:rPr>
      </w:pPr>
      <w:r>
        <w:rPr>
          <w:rFonts w:ascii="David" w:hAnsi="David"/>
          <w:rtl/>
        </w:rPr>
        <w:t>ב.</w:t>
      </w:r>
      <w:r>
        <w:rPr>
          <w:rFonts w:ascii="David" w:hAnsi="David"/>
          <w:rtl/>
        </w:rPr>
        <w:tab/>
      </w:r>
      <w:r>
        <w:rPr>
          <w:rFonts w:ascii="David" w:hAnsi="David"/>
          <w:b/>
          <w:bCs/>
          <w:rtl/>
        </w:rPr>
        <w:t>ב</w:t>
      </w:r>
      <w:hyperlink r:id="rId32" w:history="1">
        <w:r w:rsidR="003A5867" w:rsidRPr="003A5867">
          <w:rPr>
            <w:rFonts w:ascii="David" w:hAnsi="David"/>
            <w:b/>
            <w:bCs/>
            <w:color w:val="0000FF"/>
            <w:u w:val="single"/>
            <w:rtl/>
          </w:rPr>
          <w:t>ע"פ 4290/21</w:t>
        </w:r>
      </w:hyperlink>
      <w:r>
        <w:rPr>
          <w:rFonts w:ascii="David" w:hAnsi="David"/>
          <w:b/>
          <w:bCs/>
          <w:rtl/>
        </w:rPr>
        <w:t xml:space="preserve"> עזריה זרבאילוב נ' מדינת ישראל</w:t>
      </w:r>
      <w:r>
        <w:rPr>
          <w:rFonts w:ascii="David" w:hAnsi="David"/>
          <w:rtl/>
        </w:rPr>
        <w:t xml:space="preserve"> (6.12.2021) נדחה ערעורו של נאשם אשר הורשע על יסוד הודאתו בעבירה בנשק -נשיאה והובלה. הנאשם נסע ברכבו והוביל בתא המטען שני אקדחים שכל אחד מהם טעון במחסנית ובתוכה חמישה כדורים. הרכב נעצר על ידי המשטרה שתפסה את הנשק. בית המשפט המחוזי (</w:t>
      </w:r>
      <w:hyperlink r:id="rId33" w:history="1">
        <w:r w:rsidR="003A5867" w:rsidRPr="003A5867">
          <w:rPr>
            <w:rFonts w:ascii="David" w:hAnsi="David"/>
            <w:color w:val="0000FF"/>
            <w:u w:val="single"/>
            <w:rtl/>
          </w:rPr>
          <w:t>ת"פ (חי) 61299-12-19</w:t>
        </w:r>
      </w:hyperlink>
      <w:r>
        <w:rPr>
          <w:rFonts w:ascii="David" w:hAnsi="David"/>
          <w:rtl/>
        </w:rPr>
        <w:t xml:space="preserve">) קבע מתחם עונש הולם הנע בין 16-36 חודשי מאסר בפועל לצד עונשים נלווים. על הנאשם, בעל עבר פלילי, הוטלו </w:t>
      </w:r>
      <w:r>
        <w:rPr>
          <w:rFonts w:ascii="David" w:hAnsi="David"/>
          <w:b/>
          <w:bCs/>
          <w:rtl/>
        </w:rPr>
        <w:t>18 חודשי מאסר בפועל</w:t>
      </w:r>
      <w:r>
        <w:rPr>
          <w:rFonts w:ascii="David" w:hAnsi="David"/>
          <w:rtl/>
        </w:rPr>
        <w:t xml:space="preserve"> לצד מאסר מותנה. </w:t>
      </w:r>
    </w:p>
    <w:p w14:paraId="5ACFAFDA" w14:textId="77777777" w:rsidR="004A0851" w:rsidRDefault="004A0851" w:rsidP="004A0851">
      <w:pPr>
        <w:spacing w:line="360" w:lineRule="auto"/>
        <w:ind w:left="1440" w:hanging="720"/>
        <w:jc w:val="both"/>
        <w:rPr>
          <w:rFonts w:ascii="David" w:hAnsi="David"/>
          <w:rtl/>
        </w:rPr>
      </w:pPr>
    </w:p>
    <w:p w14:paraId="6C9A11BD" w14:textId="77777777" w:rsidR="004A0851" w:rsidRDefault="004A0851" w:rsidP="004A0851">
      <w:pPr>
        <w:spacing w:line="360" w:lineRule="auto"/>
        <w:ind w:left="1440" w:hanging="720"/>
        <w:jc w:val="both"/>
        <w:rPr>
          <w:rFonts w:ascii="David" w:hAnsi="David"/>
          <w:rtl/>
        </w:rPr>
      </w:pPr>
      <w:r>
        <w:rPr>
          <w:rFonts w:ascii="David" w:hAnsi="David"/>
          <w:rtl/>
        </w:rPr>
        <w:t>ג.</w:t>
      </w:r>
      <w:r>
        <w:rPr>
          <w:rFonts w:ascii="David" w:hAnsi="David"/>
          <w:rtl/>
        </w:rPr>
        <w:tab/>
        <w:t>ב</w:t>
      </w:r>
      <w:hyperlink r:id="rId34" w:history="1">
        <w:r w:rsidR="003A5867" w:rsidRPr="003A5867">
          <w:rPr>
            <w:rFonts w:ascii="David" w:hAnsi="David"/>
            <w:b/>
            <w:bCs/>
            <w:color w:val="0000FF"/>
            <w:u w:val="single"/>
            <w:rtl/>
          </w:rPr>
          <w:t>ע"פ 3877/16</w:t>
        </w:r>
      </w:hyperlink>
      <w:r>
        <w:rPr>
          <w:rFonts w:ascii="David" w:hAnsi="David"/>
          <w:b/>
          <w:bCs/>
          <w:rtl/>
        </w:rPr>
        <w:t xml:space="preserve"> פאדי ג'באלי נ' מדינת ישראל</w:t>
      </w:r>
      <w:r>
        <w:rPr>
          <w:rFonts w:ascii="David" w:hAnsi="David"/>
          <w:rtl/>
        </w:rPr>
        <w:t xml:space="preserve"> (17.11.2016) נדחה ערעורו של נאשם אשר הורשע על יסוד הודאתו בעבירה של נשיאת נשק לפי </w:t>
      </w:r>
      <w:hyperlink r:id="rId35" w:history="1">
        <w:r w:rsidR="00270E91" w:rsidRPr="00270E91">
          <w:rPr>
            <w:rFonts w:ascii="David" w:hAnsi="David"/>
            <w:color w:val="0000FF"/>
            <w:u w:val="single"/>
            <w:rtl/>
          </w:rPr>
          <w:t>סעיף 144 (ב)</w:t>
        </w:r>
      </w:hyperlink>
      <w:r>
        <w:rPr>
          <w:rFonts w:ascii="David" w:hAnsi="David"/>
          <w:rtl/>
        </w:rPr>
        <w:t xml:space="preserve"> רישא. על רקע סכסוך עם אחר, נשא הנאשם אקדח מסוג גלוק טעון במחסנית שהכילה 14 כדורים ברכבו ולאחר מכן החביא את האקדח במכנסיו. בבימ"ש המחוזי מרכז- לוד </w:t>
      </w:r>
      <w:hyperlink r:id="rId36" w:history="1">
        <w:r w:rsidR="003A5867" w:rsidRPr="003A5867">
          <w:rPr>
            <w:rFonts w:ascii="David" w:hAnsi="David"/>
            <w:color w:val="0000FF"/>
            <w:u w:val="single"/>
            <w:rtl/>
          </w:rPr>
          <w:t>ת"פ 4222-09-15</w:t>
        </w:r>
      </w:hyperlink>
      <w:r>
        <w:rPr>
          <w:rFonts w:ascii="David" w:hAnsi="David"/>
          <w:rtl/>
        </w:rPr>
        <w:t xml:space="preserve"> נקבע מתחם עונש הולם </w:t>
      </w:r>
      <w:r>
        <w:rPr>
          <w:rFonts w:ascii="David" w:hAnsi="David"/>
          <w:b/>
          <w:bCs/>
          <w:rtl/>
        </w:rPr>
        <w:t>שנע בין 24 ל-48 חודשי מאסר בפועל</w:t>
      </w:r>
      <w:r>
        <w:rPr>
          <w:rFonts w:ascii="David" w:hAnsi="David"/>
          <w:rtl/>
        </w:rPr>
        <w:t xml:space="preserve">. על הנאשם, בעל עבר פלילי מכביד, הוטלו </w:t>
      </w:r>
      <w:r>
        <w:rPr>
          <w:rFonts w:ascii="David" w:hAnsi="David"/>
          <w:b/>
          <w:bCs/>
          <w:rtl/>
        </w:rPr>
        <w:t>34 חודשי מאסר בפועל</w:t>
      </w:r>
      <w:r>
        <w:rPr>
          <w:rFonts w:ascii="David" w:hAnsi="David"/>
          <w:rtl/>
        </w:rPr>
        <w:t>, לצד מאסר מותנה וקנס בסך 7,500 ש"ח.</w:t>
      </w:r>
    </w:p>
    <w:p w14:paraId="6DA76DCD" w14:textId="77777777" w:rsidR="004A0851" w:rsidRDefault="004A0851" w:rsidP="004A0851">
      <w:pPr>
        <w:spacing w:line="360" w:lineRule="auto"/>
        <w:ind w:left="1440" w:hanging="720"/>
        <w:jc w:val="both"/>
        <w:rPr>
          <w:rFonts w:ascii="David" w:hAnsi="David"/>
          <w:rtl/>
        </w:rPr>
      </w:pPr>
    </w:p>
    <w:p w14:paraId="4B2C5246" w14:textId="77777777" w:rsidR="004A0851" w:rsidRDefault="004A0851" w:rsidP="004A0851">
      <w:pPr>
        <w:spacing w:line="360" w:lineRule="auto"/>
        <w:ind w:left="1440" w:hanging="720"/>
        <w:jc w:val="both"/>
        <w:rPr>
          <w:rFonts w:ascii="David" w:hAnsi="David"/>
          <w:rtl/>
        </w:rPr>
      </w:pPr>
      <w:r>
        <w:rPr>
          <w:rFonts w:ascii="David" w:hAnsi="David"/>
          <w:rtl/>
        </w:rPr>
        <w:t>ד.</w:t>
      </w:r>
      <w:r>
        <w:rPr>
          <w:rFonts w:ascii="David" w:hAnsi="David"/>
          <w:rtl/>
        </w:rPr>
        <w:tab/>
        <w:t>ב</w:t>
      </w:r>
      <w:hyperlink r:id="rId37" w:history="1">
        <w:r w:rsidR="003A5867" w:rsidRPr="003A5867">
          <w:rPr>
            <w:rFonts w:ascii="David" w:hAnsi="David"/>
            <w:b/>
            <w:bCs/>
            <w:color w:val="0000FF"/>
            <w:u w:val="single"/>
            <w:rtl/>
          </w:rPr>
          <w:t>ע"פ 2892/13</w:t>
        </w:r>
      </w:hyperlink>
      <w:r>
        <w:rPr>
          <w:rFonts w:ascii="David" w:hAnsi="David"/>
          <w:b/>
          <w:bCs/>
          <w:rtl/>
        </w:rPr>
        <w:t xml:space="preserve"> מוחמד עודתאללה נ' מדינת ישראל</w:t>
      </w:r>
      <w:r>
        <w:rPr>
          <w:rFonts w:ascii="David" w:hAnsi="David"/>
          <w:rtl/>
        </w:rPr>
        <w:t xml:space="preserve"> (29.09.2013) נדחה ערעורו של נאשם על הכרעת הדין וגזר הדין. הנאשם הורשע לאחר שמיעת ראיות בעבירות של נשיאה והובלה של נשק שלא כדין לפי </w:t>
      </w:r>
      <w:hyperlink r:id="rId38" w:history="1">
        <w:r w:rsidR="00270E91" w:rsidRPr="00270E91">
          <w:rPr>
            <w:rFonts w:ascii="David" w:hAnsi="David"/>
            <w:color w:val="0000FF"/>
            <w:u w:val="single"/>
            <w:rtl/>
          </w:rPr>
          <w:t>סעיף 144(ב)</w:t>
        </w:r>
      </w:hyperlink>
      <w:r>
        <w:rPr>
          <w:rFonts w:ascii="David" w:hAnsi="David"/>
          <w:rtl/>
        </w:rPr>
        <w:t xml:space="preserve"> רישא והסתייעות ברכב לביצוע פשע. הנאשם נהג ברכב כשהוא מוביל אקדח ובו מחסנית ריקה מכדורים מוסתר תחת השטיחון שמתחת לכיסא הנהג. בית המשפט המחוזי בנצרת ב</w:t>
      </w:r>
      <w:hyperlink r:id="rId39" w:history="1">
        <w:r w:rsidR="003A5867" w:rsidRPr="003A5867">
          <w:rPr>
            <w:rFonts w:ascii="David" w:hAnsi="David"/>
            <w:color w:val="0000FF"/>
            <w:u w:val="single"/>
            <w:rtl/>
          </w:rPr>
          <w:t>ת"פ 27089-07-12</w:t>
        </w:r>
      </w:hyperlink>
      <w:r>
        <w:rPr>
          <w:rFonts w:ascii="David" w:hAnsi="David"/>
          <w:rtl/>
        </w:rPr>
        <w:t xml:space="preserve"> קבע מתחם ענישה הולם הנע בין 12 לבין 36 חודשי מאסר בפועל. על הנאשם, צעיר נעדר עבר פלילי, הוטלו</w:t>
      </w:r>
      <w:r>
        <w:rPr>
          <w:rFonts w:ascii="David" w:hAnsi="David"/>
          <w:b/>
          <w:bCs/>
          <w:rtl/>
        </w:rPr>
        <w:t xml:space="preserve"> 21 חודשי מאסר בפועל,</w:t>
      </w:r>
      <w:r>
        <w:rPr>
          <w:rFonts w:ascii="David" w:hAnsi="David"/>
          <w:rtl/>
        </w:rPr>
        <w:t xml:space="preserve"> מאסר מותנה וקנס בסך 8,000 ₪.  </w:t>
      </w:r>
    </w:p>
    <w:p w14:paraId="7E5D2A8E" w14:textId="77777777" w:rsidR="004A0851" w:rsidRDefault="004A0851" w:rsidP="004A0851">
      <w:pPr>
        <w:spacing w:line="360" w:lineRule="auto"/>
        <w:ind w:left="1440" w:hanging="720"/>
        <w:jc w:val="both"/>
        <w:rPr>
          <w:rFonts w:ascii="David" w:hAnsi="David"/>
          <w:rtl/>
        </w:rPr>
      </w:pPr>
    </w:p>
    <w:p w14:paraId="573695B3" w14:textId="77777777" w:rsidR="004A0851" w:rsidRDefault="004A0851" w:rsidP="004A0851">
      <w:pPr>
        <w:spacing w:line="360" w:lineRule="auto"/>
        <w:ind w:left="720" w:hanging="720"/>
        <w:jc w:val="both"/>
        <w:rPr>
          <w:rFonts w:ascii="David" w:hAnsi="David"/>
          <w:rtl/>
        </w:rPr>
      </w:pPr>
      <w:r>
        <w:rPr>
          <w:rFonts w:ascii="David" w:hAnsi="David"/>
          <w:rtl/>
        </w:rPr>
        <w:t>19.</w:t>
      </w:r>
      <w:r>
        <w:rPr>
          <w:rFonts w:ascii="David" w:hAnsi="David"/>
          <w:rtl/>
        </w:rPr>
        <w:tab/>
        <w:t xml:space="preserve">יוער כי מעיון בפסיקה אותה הציגה המאשימה עולה כי זו עוסקת בנסיבות שונות וחמורות מהמקרה שבענייננו הן לעניין סוג הנשק (נשק ארוך) והן לעניין קיומן של עבירות נלוות ומשכך לא מצאתי להקיש ממנה לענייננו. </w:t>
      </w:r>
    </w:p>
    <w:p w14:paraId="6419E7A4" w14:textId="77777777" w:rsidR="004A0851" w:rsidRDefault="004A0851" w:rsidP="004A0851">
      <w:pPr>
        <w:spacing w:line="360" w:lineRule="auto"/>
        <w:ind w:left="720" w:hanging="720"/>
        <w:jc w:val="both"/>
        <w:rPr>
          <w:rFonts w:ascii="David" w:hAnsi="David"/>
          <w:b/>
          <w:bCs/>
          <w:rtl/>
        </w:rPr>
      </w:pPr>
    </w:p>
    <w:p w14:paraId="50D862D5" w14:textId="77777777" w:rsidR="004A0851" w:rsidRDefault="004A0851" w:rsidP="004A0851">
      <w:pPr>
        <w:spacing w:line="360" w:lineRule="auto"/>
        <w:ind w:left="720" w:hanging="720"/>
        <w:jc w:val="both"/>
        <w:rPr>
          <w:rFonts w:ascii="David" w:hAnsi="David"/>
          <w:b/>
          <w:bCs/>
          <w:rtl/>
        </w:rPr>
      </w:pPr>
      <w:r>
        <w:rPr>
          <w:rFonts w:ascii="David" w:hAnsi="David"/>
          <w:b/>
          <w:bCs/>
          <w:rtl/>
        </w:rPr>
        <w:t>נסיבות ביצוע העבירה</w:t>
      </w:r>
      <w:r>
        <w:rPr>
          <w:rFonts w:ascii="David" w:hAnsi="David"/>
          <w:rtl/>
        </w:rPr>
        <w:t xml:space="preserve"> </w:t>
      </w:r>
    </w:p>
    <w:p w14:paraId="18546092" w14:textId="77777777" w:rsidR="004A0851" w:rsidRDefault="004A0851" w:rsidP="004A0851">
      <w:pPr>
        <w:spacing w:line="360" w:lineRule="auto"/>
        <w:ind w:left="720" w:hanging="720"/>
        <w:jc w:val="both"/>
        <w:rPr>
          <w:rFonts w:ascii="David" w:hAnsi="David"/>
          <w:b/>
          <w:bCs/>
          <w:rtl/>
        </w:rPr>
      </w:pPr>
    </w:p>
    <w:p w14:paraId="780976AF" w14:textId="77777777" w:rsidR="004A0851" w:rsidRDefault="004A0851" w:rsidP="004A0851">
      <w:pPr>
        <w:spacing w:line="360" w:lineRule="auto"/>
        <w:ind w:left="720" w:hanging="720"/>
        <w:jc w:val="both"/>
        <w:rPr>
          <w:rFonts w:ascii="David" w:hAnsi="David"/>
          <w:rtl/>
        </w:rPr>
      </w:pPr>
      <w:r>
        <w:rPr>
          <w:rFonts w:ascii="David" w:hAnsi="David"/>
          <w:rtl/>
        </w:rPr>
        <w:t>20.</w:t>
      </w:r>
      <w:r>
        <w:rPr>
          <w:rFonts w:ascii="David" w:hAnsi="David"/>
          <w:rtl/>
        </w:rPr>
        <w:tab/>
        <w:t xml:space="preserve">חומרת העבירה שביצע הנאשם נלמדת בראש ובראשונה מהעובדה כי נשא על גופו אקדח חצי אוטומטי שבתוכו מחסנית המלאה ב- 10 כדורים, בבחינת "נשק חי", מוכן לשימוש, שפוטנציאל הנזק שלו קטלני. </w:t>
      </w:r>
    </w:p>
    <w:p w14:paraId="1E1B19E0" w14:textId="77777777" w:rsidR="004A0851" w:rsidRDefault="004A0851" w:rsidP="004A0851">
      <w:pPr>
        <w:spacing w:line="360" w:lineRule="auto"/>
        <w:ind w:left="720"/>
        <w:jc w:val="both"/>
        <w:rPr>
          <w:rFonts w:ascii="David" w:hAnsi="David"/>
          <w:rtl/>
        </w:rPr>
      </w:pPr>
      <w:r>
        <w:rPr>
          <w:rFonts w:ascii="David" w:hAnsi="David"/>
          <w:rtl/>
        </w:rPr>
        <w:t xml:space="preserve">הגם שהנאשם נשא את האקדח בשטח פתוח ולא בשטח בנוי ומאוכלס, הרי שבהתאם לעובדות כתב האישום שהה בפזורה ובקרבה לישוב, וברי כי לא היה מצוי בשטח סטרילי ובהכרח ריק מאדם. </w:t>
      </w:r>
    </w:p>
    <w:p w14:paraId="10BC7B6C" w14:textId="77777777" w:rsidR="004A0851" w:rsidRDefault="004A0851" w:rsidP="004A0851">
      <w:pPr>
        <w:spacing w:line="360" w:lineRule="auto"/>
        <w:ind w:left="720"/>
        <w:jc w:val="both"/>
        <w:rPr>
          <w:rFonts w:ascii="David" w:hAnsi="David"/>
          <w:rtl/>
        </w:rPr>
      </w:pPr>
    </w:p>
    <w:p w14:paraId="29D797EE" w14:textId="77777777" w:rsidR="004A0851" w:rsidRDefault="004A0851" w:rsidP="004A0851">
      <w:pPr>
        <w:spacing w:line="360" w:lineRule="auto"/>
        <w:ind w:left="720"/>
        <w:jc w:val="both"/>
        <w:rPr>
          <w:rFonts w:ascii="David" w:hAnsi="David"/>
          <w:rtl/>
        </w:rPr>
      </w:pPr>
      <w:r>
        <w:rPr>
          <w:rFonts w:ascii="David" w:hAnsi="David"/>
          <w:rtl/>
        </w:rPr>
        <w:t xml:space="preserve">כתב האישום שותק ביחס למשך הזמן בו נשא והוביל הנאשם את האקדח, היעד ממנו הגיע ואליו הלך ומטרתו. הגם שבתוך האקדח היתה מחסנית מלאה בכדורים, כתב האישום המתוקן לא מייחס לנאשם שימוש בו או תכנון לביצוע עבירה באמצעותו.  מאידך, האקדח והתחמושת נתפסו במסגרת פעילות משטרתית יזומה כשהם מוסלקים בתוך מכנסיו של הנאשם אשר התהלך עמם בשעת צהריים ללא מורא ופחד ותוך הפגנת תעוזה. </w:t>
      </w:r>
    </w:p>
    <w:p w14:paraId="4EEC5A0E" w14:textId="77777777" w:rsidR="004A0851" w:rsidRDefault="004A0851" w:rsidP="004A0851">
      <w:pPr>
        <w:spacing w:line="360" w:lineRule="auto"/>
        <w:ind w:left="720"/>
        <w:jc w:val="both"/>
        <w:rPr>
          <w:rFonts w:ascii="David" w:hAnsi="David"/>
          <w:rtl/>
        </w:rPr>
      </w:pPr>
    </w:p>
    <w:p w14:paraId="5C47A7B2" w14:textId="77777777" w:rsidR="004A0851" w:rsidRDefault="004A0851" w:rsidP="004A0851">
      <w:pPr>
        <w:spacing w:line="360" w:lineRule="auto"/>
        <w:ind w:left="720" w:hanging="720"/>
        <w:jc w:val="both"/>
        <w:rPr>
          <w:rFonts w:ascii="David" w:hAnsi="David"/>
          <w:b/>
          <w:bCs/>
          <w:rtl/>
        </w:rPr>
      </w:pPr>
      <w:r>
        <w:rPr>
          <w:rFonts w:ascii="David" w:hAnsi="David"/>
          <w:rtl/>
        </w:rPr>
        <w:t xml:space="preserve">21. </w:t>
      </w:r>
      <w:r>
        <w:rPr>
          <w:rFonts w:ascii="David" w:hAnsi="David"/>
          <w:rtl/>
        </w:rPr>
        <w:tab/>
      </w:r>
      <w:r>
        <w:rPr>
          <w:rFonts w:ascii="David" w:hAnsi="David"/>
          <w:b/>
          <w:bCs/>
          <w:rtl/>
        </w:rPr>
        <w:t xml:space="preserve">מכל המקובץ לעיל, ולאחר שעיינתי בפסיקה אליה הפנתה המאשימה, הנני קובע כי מתחם העונש ההולם בגין העבירה בה הורשע הנאשם בנסיבותיה, נע בין 22 ובין 36 חודשי מאסר בפועל לצד מאסר מותנה וקנס. </w:t>
      </w:r>
    </w:p>
    <w:p w14:paraId="43F944FC" w14:textId="77777777" w:rsidR="004A0851" w:rsidRDefault="004A0851" w:rsidP="004A0851">
      <w:pPr>
        <w:spacing w:line="360" w:lineRule="auto"/>
        <w:ind w:left="720" w:hanging="720"/>
        <w:jc w:val="both"/>
        <w:rPr>
          <w:rFonts w:ascii="David" w:hAnsi="David"/>
          <w:b/>
          <w:bCs/>
          <w:rtl/>
        </w:rPr>
      </w:pPr>
    </w:p>
    <w:p w14:paraId="4CD851E9" w14:textId="77777777" w:rsidR="004A0851" w:rsidRDefault="004A0851" w:rsidP="004A0851">
      <w:pPr>
        <w:spacing w:line="360" w:lineRule="auto"/>
        <w:ind w:left="720" w:hanging="720"/>
        <w:jc w:val="both"/>
        <w:rPr>
          <w:rFonts w:ascii="David" w:hAnsi="David"/>
          <w:rtl/>
        </w:rPr>
      </w:pPr>
      <w:r>
        <w:rPr>
          <w:rFonts w:ascii="David" w:hAnsi="David"/>
          <w:rtl/>
        </w:rPr>
        <w:t>22.</w:t>
      </w:r>
      <w:r>
        <w:rPr>
          <w:rFonts w:ascii="David" w:hAnsi="David"/>
          <w:rtl/>
        </w:rPr>
        <w:tab/>
        <w:t xml:space="preserve">לעניין רכיב הקנס ומאחר ובבסיס עבירות האמל"ח הבלתי חוקי עומד גם אינטרס כלכלי הרי שהענישה צריכה לכלול גם קנס כספי שימנע כל טובת הנאה מהעבריין ויהפוך את העבירה ללא כדאית גם מבחינה כלכלית. </w:t>
      </w:r>
    </w:p>
    <w:p w14:paraId="21CB33BC" w14:textId="77777777" w:rsidR="004A0851" w:rsidRDefault="004A0851" w:rsidP="004A0851">
      <w:pPr>
        <w:spacing w:line="360" w:lineRule="auto"/>
        <w:ind w:left="720" w:hanging="720"/>
        <w:jc w:val="both"/>
        <w:rPr>
          <w:rFonts w:ascii="David" w:hAnsi="David"/>
          <w:rtl/>
        </w:rPr>
      </w:pPr>
      <w:r>
        <w:rPr>
          <w:rFonts w:ascii="David" w:hAnsi="David"/>
          <w:rtl/>
        </w:rPr>
        <w:tab/>
        <w:t xml:space="preserve">בהקשר למתחם הקנס ההולם, הסנגור לא הציג ראיות ונתונים אודות מצבו הכלכלי של הנאשם ונמסר כי עובר לביצוע העבירה עבד למחייתו. </w:t>
      </w:r>
    </w:p>
    <w:p w14:paraId="0B8C6FD8" w14:textId="77777777" w:rsidR="004A0851" w:rsidRDefault="004A0851" w:rsidP="004A0851">
      <w:pPr>
        <w:spacing w:line="360" w:lineRule="auto"/>
        <w:ind w:left="720"/>
        <w:jc w:val="both"/>
        <w:rPr>
          <w:rFonts w:ascii="David" w:hAnsi="David"/>
          <w:rtl/>
        </w:rPr>
      </w:pPr>
      <w:r>
        <w:rPr>
          <w:rFonts w:ascii="David" w:hAnsi="David"/>
          <w:rtl/>
        </w:rPr>
        <w:t xml:space="preserve">יוער כי מצבו הכלכלי של הנאשם הנו אחד השיקולים אך לא היחיד, בקביעת גובה הקנס ושיקולי הרתעת הרבים, כמו גם הרתעת הנאשם, תומכים בענישה כלכלית משמעותית המצטרפת לענישה מאחורי סורג ובריח. </w:t>
      </w:r>
    </w:p>
    <w:p w14:paraId="25AB5BF4" w14:textId="77777777" w:rsidR="004A0851" w:rsidRDefault="004A0851" w:rsidP="004A0851">
      <w:pPr>
        <w:spacing w:line="360" w:lineRule="auto"/>
        <w:ind w:left="720"/>
        <w:jc w:val="both"/>
        <w:rPr>
          <w:rFonts w:ascii="David" w:hAnsi="David"/>
          <w:b/>
          <w:bCs/>
          <w:rtl/>
        </w:rPr>
      </w:pPr>
      <w:r>
        <w:rPr>
          <w:rFonts w:ascii="David" w:hAnsi="David"/>
          <w:b/>
          <w:bCs/>
          <w:rtl/>
        </w:rPr>
        <w:t xml:space="preserve">לאור האמור ולאחר שעיינתי בפסיקה, הנני קובע מתחם הקנס ההולם </w:t>
      </w:r>
      <w:r>
        <w:rPr>
          <w:rFonts w:ascii="David" w:hAnsi="David" w:hint="cs"/>
          <w:b/>
          <w:bCs/>
          <w:rtl/>
        </w:rPr>
        <w:t xml:space="preserve">נע </w:t>
      </w:r>
      <w:r>
        <w:rPr>
          <w:rFonts w:ascii="David" w:hAnsi="David"/>
          <w:b/>
          <w:bCs/>
          <w:rtl/>
        </w:rPr>
        <w:t>בין 6,000 לבין 12,000 ₪.</w:t>
      </w:r>
    </w:p>
    <w:p w14:paraId="39F3791B" w14:textId="77777777" w:rsidR="004A0851" w:rsidRDefault="004A0851" w:rsidP="004A0851">
      <w:pPr>
        <w:spacing w:line="360" w:lineRule="auto"/>
        <w:jc w:val="both"/>
        <w:rPr>
          <w:rFonts w:ascii="David" w:hAnsi="David"/>
          <w:b/>
          <w:bCs/>
          <w:rtl/>
        </w:rPr>
      </w:pPr>
    </w:p>
    <w:p w14:paraId="4C79D600" w14:textId="77777777" w:rsidR="004A0851" w:rsidRDefault="004A0851" w:rsidP="004A0851">
      <w:pPr>
        <w:spacing w:line="360" w:lineRule="auto"/>
        <w:jc w:val="both"/>
        <w:rPr>
          <w:rFonts w:ascii="David" w:hAnsi="David"/>
          <w:b/>
          <w:bCs/>
          <w:rtl/>
        </w:rPr>
      </w:pPr>
      <w:r>
        <w:rPr>
          <w:rFonts w:ascii="David" w:hAnsi="David"/>
          <w:b/>
          <w:bCs/>
          <w:rtl/>
        </w:rPr>
        <w:t>גזירת העונש בגדרי המתחם:</w:t>
      </w:r>
    </w:p>
    <w:p w14:paraId="7913ABFE" w14:textId="77777777" w:rsidR="004A0851" w:rsidRDefault="004A0851" w:rsidP="004A0851">
      <w:pPr>
        <w:spacing w:line="360" w:lineRule="auto"/>
        <w:jc w:val="both"/>
        <w:rPr>
          <w:rFonts w:ascii="David" w:hAnsi="David"/>
          <w:b/>
          <w:bCs/>
          <w:rtl/>
        </w:rPr>
      </w:pPr>
    </w:p>
    <w:p w14:paraId="02BA21FE" w14:textId="77777777" w:rsidR="004A0851" w:rsidRDefault="004A0851" w:rsidP="004A0851">
      <w:pPr>
        <w:spacing w:line="360" w:lineRule="auto"/>
        <w:ind w:left="720" w:hanging="720"/>
        <w:jc w:val="both"/>
        <w:rPr>
          <w:rFonts w:ascii="David" w:hAnsi="David"/>
          <w:rtl/>
        </w:rPr>
      </w:pPr>
      <w:r>
        <w:rPr>
          <w:rFonts w:ascii="David" w:hAnsi="David"/>
          <w:rtl/>
        </w:rPr>
        <w:t>23.</w:t>
      </w:r>
      <w:r>
        <w:rPr>
          <w:rFonts w:ascii="David" w:hAnsi="David"/>
          <w:rtl/>
        </w:rPr>
        <w:tab/>
        <w:t xml:space="preserve">בגזירת העונש המתאים לנאשם, בגדרי מתחם העונש ההולם, יש להתחשב בנסיבות שאינן קשורות לביצוע העבירה. כידוע הענישה הנה אינדיבידואלית ובמסגרתה יש לתן את הדעת לנסיבותיו האישיות של הנאשם. </w:t>
      </w:r>
    </w:p>
    <w:p w14:paraId="39B6C459" w14:textId="77777777" w:rsidR="004A0851" w:rsidRDefault="004A0851" w:rsidP="004A0851">
      <w:pPr>
        <w:spacing w:line="360" w:lineRule="auto"/>
        <w:ind w:left="720" w:hanging="720"/>
        <w:jc w:val="both"/>
        <w:rPr>
          <w:rFonts w:ascii="David" w:hAnsi="David"/>
          <w:rtl/>
        </w:rPr>
      </w:pPr>
    </w:p>
    <w:p w14:paraId="33975138" w14:textId="77777777" w:rsidR="004A0851" w:rsidRDefault="004A0851" w:rsidP="004A0851">
      <w:pPr>
        <w:spacing w:line="360" w:lineRule="auto"/>
        <w:ind w:left="720" w:hanging="720"/>
        <w:jc w:val="both"/>
        <w:rPr>
          <w:rFonts w:ascii="David" w:hAnsi="David"/>
          <w:rtl/>
        </w:rPr>
      </w:pPr>
      <w:r>
        <w:rPr>
          <w:rFonts w:ascii="David" w:hAnsi="David"/>
          <w:rtl/>
        </w:rPr>
        <w:t>24.</w:t>
      </w:r>
      <w:r>
        <w:rPr>
          <w:rFonts w:ascii="David" w:hAnsi="David"/>
          <w:rtl/>
        </w:rPr>
        <w:tab/>
        <w:t xml:space="preserve">לקולת עונשו של הנאשם נתתי דעתי להיותו  יליד 2000, נעדר עבר פלילי, להודאתו ולחיסכון בזמנו של בית המשפט. כמו כן נתתי דעתי לכך שהנאשם עצור מיום 19.11.23. </w:t>
      </w:r>
    </w:p>
    <w:p w14:paraId="4F139561" w14:textId="77777777" w:rsidR="004A0851" w:rsidRDefault="004A0851" w:rsidP="004A0851">
      <w:pPr>
        <w:spacing w:line="360" w:lineRule="auto"/>
        <w:ind w:left="720" w:hanging="720"/>
        <w:jc w:val="both"/>
        <w:rPr>
          <w:rFonts w:ascii="David" w:hAnsi="David"/>
          <w:rtl/>
        </w:rPr>
      </w:pPr>
    </w:p>
    <w:p w14:paraId="3D568161" w14:textId="77777777" w:rsidR="004A0851" w:rsidRDefault="004A0851" w:rsidP="004A0851">
      <w:pPr>
        <w:spacing w:line="360" w:lineRule="auto"/>
        <w:ind w:left="720" w:hanging="720"/>
        <w:jc w:val="both"/>
        <w:rPr>
          <w:rFonts w:ascii="David" w:hAnsi="David"/>
          <w:rtl/>
        </w:rPr>
      </w:pPr>
      <w:r>
        <w:rPr>
          <w:rFonts w:ascii="David" w:hAnsi="David"/>
          <w:rtl/>
        </w:rPr>
        <w:t>25.</w:t>
      </w:r>
      <w:r>
        <w:rPr>
          <w:rFonts w:ascii="David" w:hAnsi="David"/>
          <w:rtl/>
        </w:rPr>
        <w:tab/>
        <w:t xml:space="preserve">בגדרי שיקולי הענישה בתוך המתחם נתתי דעתי לשיקולי הרתעת היחיד. הנאשם אומנם התנצל באמצעות בא כוחו על ביצוע העבירה אך לא הוצג לפני כל אפיק טיפולי- שיקומי </w:t>
      </w:r>
      <w:r>
        <w:rPr>
          <w:rFonts w:ascii="David" w:hAnsi="David" w:hint="cs"/>
          <w:rtl/>
        </w:rPr>
        <w:t xml:space="preserve"> </w:t>
      </w:r>
      <w:r>
        <w:rPr>
          <w:rFonts w:ascii="David" w:hAnsi="David"/>
          <w:rtl/>
        </w:rPr>
        <w:t>וכאמור הנאשם ויתר על הגשת תסקיר שירות המבחן בעניינו. בהעדר אופק טיפולי- שיקומי סדור וברור נותר הנאשם עם דפוסיו הפסולים אשר הביאו אותו לביצוע העבירה שבענייננו.</w:t>
      </w:r>
    </w:p>
    <w:p w14:paraId="3AAE4998" w14:textId="77777777" w:rsidR="004A0851" w:rsidRDefault="004A0851" w:rsidP="004A0851">
      <w:pPr>
        <w:spacing w:line="360" w:lineRule="auto"/>
        <w:ind w:left="720" w:hanging="720"/>
        <w:jc w:val="both"/>
        <w:rPr>
          <w:rFonts w:ascii="David" w:hAnsi="David"/>
          <w:rtl/>
        </w:rPr>
      </w:pPr>
    </w:p>
    <w:p w14:paraId="4B4A2083" w14:textId="77777777" w:rsidR="004A0851" w:rsidRDefault="004A0851" w:rsidP="004A0851">
      <w:pPr>
        <w:spacing w:line="360" w:lineRule="auto"/>
        <w:ind w:left="720" w:hanging="720"/>
        <w:jc w:val="both"/>
        <w:rPr>
          <w:rFonts w:ascii="David" w:hAnsi="David"/>
          <w:rtl/>
        </w:rPr>
      </w:pPr>
      <w:r>
        <w:rPr>
          <w:rFonts w:ascii="David" w:hAnsi="David"/>
          <w:rtl/>
        </w:rPr>
        <w:t>26.</w:t>
      </w:r>
      <w:r>
        <w:rPr>
          <w:rFonts w:ascii="David" w:hAnsi="David"/>
          <w:rtl/>
        </w:rPr>
        <w:tab/>
        <w:t xml:space="preserve">עוד נתתי דעתי לשיקולי הרתעת הרבים, המקבלים משנה תוקף שעה שהעבירה שבוצעה הוכרזה כאמור כ"מכת מדינה". </w:t>
      </w:r>
    </w:p>
    <w:p w14:paraId="75CE28B0" w14:textId="77777777" w:rsidR="004A0851" w:rsidRDefault="004A0851" w:rsidP="004A0851">
      <w:pPr>
        <w:spacing w:line="360" w:lineRule="auto"/>
        <w:ind w:left="720" w:hanging="720"/>
        <w:jc w:val="both"/>
        <w:rPr>
          <w:rFonts w:ascii="David" w:hAnsi="David"/>
          <w:rtl/>
        </w:rPr>
      </w:pPr>
    </w:p>
    <w:p w14:paraId="00FBE5BF" w14:textId="77777777" w:rsidR="004A0851" w:rsidRDefault="004A0851" w:rsidP="004A0851">
      <w:pPr>
        <w:spacing w:line="360" w:lineRule="auto"/>
        <w:ind w:left="720"/>
        <w:jc w:val="both"/>
        <w:rPr>
          <w:rFonts w:ascii="David" w:hAnsi="David"/>
          <w:rtl/>
        </w:rPr>
      </w:pPr>
      <w:r>
        <w:rPr>
          <w:rFonts w:ascii="David" w:hAnsi="David"/>
          <w:rtl/>
        </w:rPr>
        <w:t>כבר נקבע ב</w:t>
      </w:r>
      <w:hyperlink r:id="rId40" w:history="1">
        <w:r w:rsidR="003A5867" w:rsidRPr="003A5867">
          <w:rPr>
            <w:rFonts w:ascii="David" w:hAnsi="David"/>
            <w:b/>
            <w:bCs/>
            <w:color w:val="0000FF"/>
            <w:u w:val="single"/>
            <w:rtl/>
          </w:rPr>
          <w:t>ע"פ 5602/22</w:t>
        </w:r>
      </w:hyperlink>
      <w:r>
        <w:rPr>
          <w:rFonts w:ascii="David" w:hAnsi="David"/>
          <w:b/>
          <w:bCs/>
          <w:rtl/>
        </w:rPr>
        <w:t xml:space="preserve"> מדינת ישראל נ' פלוני</w:t>
      </w:r>
      <w:r>
        <w:rPr>
          <w:rFonts w:ascii="David" w:hAnsi="David"/>
          <w:rtl/>
        </w:rPr>
        <w:t xml:space="preserve"> (14.09.2022)) כי:</w:t>
      </w:r>
    </w:p>
    <w:p w14:paraId="5AA982F6" w14:textId="77777777" w:rsidR="004A0851" w:rsidRDefault="004A0851" w:rsidP="004A0851">
      <w:pPr>
        <w:spacing w:line="360" w:lineRule="auto"/>
        <w:ind w:left="720"/>
        <w:jc w:val="both"/>
        <w:rPr>
          <w:rFonts w:ascii="David" w:hAnsi="David"/>
          <w:rtl/>
        </w:rPr>
      </w:pPr>
    </w:p>
    <w:p w14:paraId="34120883" w14:textId="77777777" w:rsidR="004A0851" w:rsidRDefault="004A0851" w:rsidP="004A0851">
      <w:pPr>
        <w:spacing w:line="360" w:lineRule="auto"/>
        <w:ind w:left="1643" w:right="1701"/>
        <w:jc w:val="both"/>
        <w:rPr>
          <w:rFonts w:ascii="David" w:hAnsi="David"/>
          <w:rtl/>
        </w:rPr>
      </w:pPr>
      <w:r>
        <w:rPr>
          <w:rFonts w:ascii="David" w:hAnsi="David"/>
          <w:rtl/>
        </w:rPr>
        <w:t>"</w:t>
      </w:r>
      <w:r>
        <w:rPr>
          <w:rFonts w:ascii="David" w:hAnsi="David"/>
          <w:b/>
          <w:bCs/>
          <w:rtl/>
        </w:rPr>
        <w:t>בית המשפט שמקל בעונשו של עבריין נשק מכביד על החברה שנא</w:t>
      </w:r>
      <w:r>
        <w:rPr>
          <w:rFonts w:ascii="David" w:hAnsi="David" w:hint="cs"/>
          <w:b/>
          <w:bCs/>
          <w:rtl/>
        </w:rPr>
        <w:t>ל</w:t>
      </w:r>
      <w:r>
        <w:rPr>
          <w:rFonts w:ascii="David" w:hAnsi="David"/>
          <w:b/>
          <w:bCs/>
          <w:rtl/>
        </w:rPr>
        <w:t>צת להגן על עצמה – על בניה ובנותיה – מעברייני נשק</w:t>
      </w:r>
      <w:r>
        <w:rPr>
          <w:rFonts w:ascii="David" w:hAnsi="David"/>
          <w:rtl/>
        </w:rPr>
        <w:t>".</w:t>
      </w:r>
    </w:p>
    <w:p w14:paraId="32DD532C" w14:textId="77777777" w:rsidR="004A0851" w:rsidRDefault="004A0851" w:rsidP="004A0851">
      <w:pPr>
        <w:spacing w:line="360" w:lineRule="auto"/>
        <w:ind w:left="720"/>
        <w:jc w:val="both"/>
        <w:rPr>
          <w:rFonts w:ascii="David" w:hAnsi="David"/>
          <w:rtl/>
        </w:rPr>
      </w:pPr>
    </w:p>
    <w:p w14:paraId="6FCC80B2" w14:textId="77777777" w:rsidR="004A0851" w:rsidRDefault="004A0851" w:rsidP="004A0851">
      <w:pPr>
        <w:spacing w:line="360" w:lineRule="auto"/>
        <w:ind w:left="720"/>
        <w:jc w:val="both"/>
        <w:rPr>
          <w:rFonts w:ascii="David" w:hAnsi="David"/>
          <w:rtl/>
        </w:rPr>
      </w:pPr>
      <w:r>
        <w:rPr>
          <w:rFonts w:ascii="David" w:hAnsi="David"/>
          <w:rtl/>
        </w:rPr>
        <w:t xml:space="preserve">זאת ועוד, על בתי המשפט לפעול באמצעות הענישה לשינוי יחסי "סיכוי -סיכון" מכוחו פועל עבריין הנשק, ובאופן שהמאזן ייטה בבירור לטובת האחרון. צודק הסניגור כי את יחסי "סיכוי-סיכון" ניתן לשנות גם באמצעות חינוך והגברת המשילות והאכיפה, אך כאמור אין בכך כדי לרפות את ידיו של ביהמ"ש ממילוי תפקידו באמצעות הענישה. </w:t>
      </w:r>
    </w:p>
    <w:p w14:paraId="137211F8" w14:textId="77777777" w:rsidR="004A0851" w:rsidRDefault="004A0851" w:rsidP="004A0851">
      <w:pPr>
        <w:spacing w:line="360" w:lineRule="auto"/>
        <w:ind w:left="720"/>
        <w:jc w:val="both"/>
        <w:rPr>
          <w:rFonts w:ascii="David" w:hAnsi="David"/>
          <w:rtl/>
        </w:rPr>
      </w:pPr>
      <w:r>
        <w:rPr>
          <w:rFonts w:ascii="David" w:hAnsi="David"/>
          <w:rtl/>
        </w:rPr>
        <w:t>בית המשפט חי בתוך עמו ושומע את זעקת הציבור, ועליו להעביר מסר חד וברור כי טוב יעשה העבריין הפוטנציאלי כי ירחיק ידו מנשק בלתי חוקי, שאם לא כן ימצא עצמו מאחורי סורג ובריח ולתקופה ממושכת.</w:t>
      </w:r>
    </w:p>
    <w:p w14:paraId="1A2820C0" w14:textId="77777777" w:rsidR="004A0851" w:rsidRDefault="004A0851" w:rsidP="004A0851">
      <w:pPr>
        <w:spacing w:line="360" w:lineRule="auto"/>
        <w:ind w:left="720"/>
        <w:jc w:val="both"/>
        <w:rPr>
          <w:rFonts w:ascii="David" w:hAnsi="David"/>
          <w:rtl/>
        </w:rPr>
      </w:pPr>
      <w:r>
        <w:rPr>
          <w:rFonts w:ascii="David" w:hAnsi="David"/>
          <w:rtl/>
        </w:rPr>
        <w:t>דומה כי הנאשם בענייננו ביקש לנצל לרעה את שטחי הנגב הרחבים אשר משרים כביכול תחושת "אין דין ואין דיין". על בית המשפט להעביר, באמצעות ענישה מוחשית וממושכת, מסר נוקב וברור כי הנגב אינו "שטח הפקר" לפעילות עבריינית וכי אין במרחבי הנגב כדי להימלט מהדין.</w:t>
      </w:r>
    </w:p>
    <w:p w14:paraId="107D2E6F" w14:textId="77777777" w:rsidR="004A0851" w:rsidRDefault="004A0851" w:rsidP="004A0851">
      <w:pPr>
        <w:spacing w:line="360" w:lineRule="auto"/>
        <w:ind w:left="720"/>
        <w:jc w:val="both"/>
        <w:rPr>
          <w:rFonts w:ascii="David" w:hAnsi="David"/>
          <w:rtl/>
        </w:rPr>
      </w:pPr>
    </w:p>
    <w:p w14:paraId="2D6B1325" w14:textId="77777777" w:rsidR="004A0851" w:rsidRDefault="004A0851" w:rsidP="004A0851">
      <w:pPr>
        <w:spacing w:line="360" w:lineRule="auto"/>
        <w:ind w:left="720" w:hanging="720"/>
        <w:jc w:val="both"/>
        <w:rPr>
          <w:rFonts w:ascii="David" w:hAnsi="David"/>
          <w:rtl/>
        </w:rPr>
      </w:pPr>
      <w:r>
        <w:rPr>
          <w:rFonts w:ascii="David" w:hAnsi="David"/>
          <w:rtl/>
        </w:rPr>
        <w:t>27.</w:t>
      </w:r>
      <w:r>
        <w:rPr>
          <w:rFonts w:ascii="David" w:hAnsi="David"/>
          <w:rtl/>
        </w:rPr>
        <w:tab/>
        <w:t xml:space="preserve">אינני מקבל את טענת הסנגור כי יש לסטות לקולא, ולו במעט, ממתחם העונש ההולם בעניינו של הנאשם נוכח סיכויי השיקום הנטענים. אכן </w:t>
      </w:r>
      <w:hyperlink r:id="rId41" w:history="1">
        <w:r w:rsidR="00270E91" w:rsidRPr="00270E91">
          <w:rPr>
            <w:rFonts w:ascii="David" w:hAnsi="David"/>
            <w:color w:val="0000FF"/>
            <w:u w:val="single"/>
            <w:rtl/>
          </w:rPr>
          <w:t>סעיף 40ד(א)</w:t>
        </w:r>
      </w:hyperlink>
      <w:r>
        <w:rPr>
          <w:rFonts w:ascii="David" w:hAnsi="David"/>
          <w:rtl/>
        </w:rPr>
        <w:t xml:space="preserve"> ל</w:t>
      </w:r>
      <w:hyperlink r:id="rId42" w:history="1">
        <w:r w:rsidR="003A5867" w:rsidRPr="003A5867">
          <w:rPr>
            <w:rFonts w:ascii="David" w:hAnsi="David"/>
            <w:color w:val="0000FF"/>
            <w:u w:val="single"/>
            <w:rtl/>
          </w:rPr>
          <w:t>חוק העונשין</w:t>
        </w:r>
      </w:hyperlink>
      <w:r>
        <w:rPr>
          <w:rFonts w:ascii="David" w:hAnsi="David"/>
          <w:rtl/>
        </w:rPr>
        <w:t xml:space="preserve"> מקנה לבית המשפט את שיקול הדעת לחרוג מטה ממתחם העונש ההולם אם מצא כי "</w:t>
      </w:r>
      <w:r>
        <w:rPr>
          <w:rFonts w:ascii="David" w:hAnsi="David"/>
          <w:b/>
          <w:bCs/>
          <w:rtl/>
        </w:rPr>
        <w:t>הנאשם השתקם או כי יש סיכוי של ממש שישתקם</w:t>
      </w:r>
      <w:r>
        <w:rPr>
          <w:rFonts w:ascii="David" w:hAnsi="David"/>
          <w:rtl/>
        </w:rPr>
        <w:t>". אך כידוע עסקינן בסמכות שבשיקול דעת ועל בית המשפט ליישמה בזהירות, הן לאור עקרון ההלימה והן מהטעם שחלק מהשיקולים הרלוונטיים להליך השיקום מובאים ברגיל בחשבון במסגרת קביעת העונש בגדרי המתחם (</w:t>
      </w:r>
      <w:r>
        <w:rPr>
          <w:rFonts w:ascii="David" w:hAnsi="David"/>
          <w:b/>
          <w:bCs/>
          <w:rtl/>
        </w:rPr>
        <w:t>ע"פ 6673/17 קרנדל נ' מדינת ישראל</w:t>
      </w:r>
      <w:r>
        <w:rPr>
          <w:rFonts w:ascii="David" w:hAnsi="David"/>
          <w:rtl/>
        </w:rPr>
        <w:t xml:space="preserve"> (18.04.2018)).</w:t>
      </w:r>
    </w:p>
    <w:p w14:paraId="7FCA3C78" w14:textId="77777777" w:rsidR="004A0851" w:rsidRDefault="004A0851" w:rsidP="004A0851">
      <w:pPr>
        <w:spacing w:line="360" w:lineRule="auto"/>
        <w:ind w:left="720"/>
        <w:jc w:val="both"/>
        <w:rPr>
          <w:rFonts w:ascii="David" w:hAnsi="David"/>
          <w:rtl/>
        </w:rPr>
      </w:pPr>
      <w:r>
        <w:rPr>
          <w:rFonts w:ascii="David" w:hAnsi="David"/>
          <w:rtl/>
        </w:rPr>
        <w:t xml:space="preserve">זאת ועוד, בהעדר חוות דעת של אנשי מקצוע לא ניתן ללמוד מגילו הצעיר של הנאשם, עברו התעסוקתי והעדר עברו הפלילי הקודם, אודות סיכויי שיקומו. יתרה מכך, והגם תקופת מעצרו הארוכה בחרה ההגנה שלא להציג בפני בית המשפט כל ראיה כי אכן הנאשם החל בהליך שיקומי כלשהו במהלך מעצרו. ויתורו של הנאשם על תסקיר שירות המבחן מלמד דווקא כי אינו מכיר בדפוסיו המכשילים ואינו מוכן לטפל בהם. </w:t>
      </w:r>
    </w:p>
    <w:p w14:paraId="0C7EB31F" w14:textId="77777777" w:rsidR="004A0851" w:rsidRDefault="004A0851" w:rsidP="004A0851">
      <w:pPr>
        <w:spacing w:line="360" w:lineRule="auto"/>
        <w:ind w:left="720"/>
        <w:jc w:val="both"/>
        <w:rPr>
          <w:rFonts w:ascii="David" w:hAnsi="David"/>
          <w:rtl/>
        </w:rPr>
      </w:pPr>
    </w:p>
    <w:p w14:paraId="73AA528C" w14:textId="77777777" w:rsidR="004A0851" w:rsidRDefault="004A0851" w:rsidP="004A0851">
      <w:pPr>
        <w:spacing w:line="360" w:lineRule="auto"/>
        <w:ind w:left="720" w:hanging="720"/>
        <w:jc w:val="both"/>
        <w:rPr>
          <w:rFonts w:ascii="David" w:hAnsi="David"/>
          <w:rtl/>
        </w:rPr>
      </w:pPr>
      <w:r>
        <w:rPr>
          <w:rFonts w:ascii="David" w:hAnsi="David"/>
          <w:rtl/>
        </w:rPr>
        <w:t>28.</w:t>
      </w:r>
      <w:r>
        <w:rPr>
          <w:rFonts w:ascii="David" w:hAnsi="David"/>
          <w:rtl/>
        </w:rPr>
        <w:tab/>
        <w:t xml:space="preserve">מכל המקובץ לעיל, ובאיזון השיקולים השונים, אני גוזר על הנאשם את העונשים הבאים: </w:t>
      </w:r>
    </w:p>
    <w:p w14:paraId="682DBE17" w14:textId="77777777" w:rsidR="004A0851" w:rsidRDefault="004A0851" w:rsidP="004A0851">
      <w:pPr>
        <w:spacing w:line="360" w:lineRule="auto"/>
        <w:ind w:left="720" w:hanging="720"/>
        <w:jc w:val="both"/>
        <w:rPr>
          <w:rFonts w:ascii="David" w:hAnsi="David"/>
          <w:rtl/>
        </w:rPr>
      </w:pPr>
    </w:p>
    <w:p w14:paraId="3DE274A9" w14:textId="77777777" w:rsidR="004A0851" w:rsidRDefault="004A0851" w:rsidP="004A0851">
      <w:pPr>
        <w:spacing w:line="360" w:lineRule="auto"/>
        <w:ind w:left="720" w:hanging="720"/>
        <w:jc w:val="both"/>
        <w:rPr>
          <w:rFonts w:ascii="David" w:hAnsi="David"/>
          <w:rtl/>
        </w:rPr>
      </w:pPr>
      <w:r>
        <w:rPr>
          <w:rFonts w:ascii="David" w:hAnsi="David"/>
          <w:rtl/>
        </w:rPr>
        <w:tab/>
        <w:t xml:space="preserve">א. </w:t>
      </w:r>
      <w:r>
        <w:rPr>
          <w:rFonts w:ascii="David" w:hAnsi="David"/>
          <w:rtl/>
        </w:rPr>
        <w:tab/>
      </w:r>
      <w:r>
        <w:rPr>
          <w:rFonts w:ascii="David" w:hAnsi="David" w:hint="cs"/>
          <w:rtl/>
        </w:rPr>
        <w:t xml:space="preserve">25 </w:t>
      </w:r>
      <w:r>
        <w:rPr>
          <w:rFonts w:ascii="David" w:hAnsi="David"/>
          <w:rtl/>
        </w:rPr>
        <w:t xml:space="preserve"> חודשי מאסר בפועל, בניכוי ימי מעצרו. </w:t>
      </w:r>
    </w:p>
    <w:p w14:paraId="33A25E59" w14:textId="77777777" w:rsidR="004A0851" w:rsidRDefault="004A0851" w:rsidP="004A0851">
      <w:pPr>
        <w:spacing w:line="360" w:lineRule="auto"/>
        <w:ind w:left="720" w:hanging="720"/>
        <w:jc w:val="both"/>
        <w:rPr>
          <w:rFonts w:ascii="David" w:hAnsi="David"/>
          <w:rtl/>
        </w:rPr>
      </w:pPr>
    </w:p>
    <w:p w14:paraId="770A45D5" w14:textId="77777777" w:rsidR="004A0851" w:rsidRDefault="004A0851" w:rsidP="004A0851">
      <w:pPr>
        <w:spacing w:line="360" w:lineRule="auto"/>
        <w:ind w:left="1440" w:hanging="720"/>
        <w:jc w:val="both"/>
        <w:rPr>
          <w:rFonts w:ascii="David" w:hAnsi="David"/>
          <w:rtl/>
        </w:rPr>
      </w:pPr>
      <w:r>
        <w:rPr>
          <w:rFonts w:ascii="David" w:hAnsi="David"/>
          <w:rtl/>
        </w:rPr>
        <w:t xml:space="preserve">ב. </w:t>
      </w:r>
      <w:r>
        <w:rPr>
          <w:rFonts w:ascii="David" w:hAnsi="David"/>
          <w:rtl/>
        </w:rPr>
        <w:tab/>
        <w:t xml:space="preserve">12 חודשי מאסר על תנאי לתקופה של 3 שנים מיום שחרורו, שהנאשם לא יעבור עבירות בנשק לפי </w:t>
      </w:r>
      <w:hyperlink r:id="rId43" w:history="1">
        <w:r w:rsidR="00270E91" w:rsidRPr="00270E91">
          <w:rPr>
            <w:rFonts w:ascii="David" w:hAnsi="David"/>
            <w:color w:val="0000FF"/>
            <w:u w:val="single"/>
            <w:rtl/>
          </w:rPr>
          <w:t>סעיף 144</w:t>
        </w:r>
      </w:hyperlink>
      <w:r>
        <w:rPr>
          <w:rFonts w:ascii="David" w:hAnsi="David"/>
          <w:rtl/>
        </w:rPr>
        <w:t xml:space="preserve"> ל</w:t>
      </w:r>
      <w:hyperlink r:id="rId44" w:history="1">
        <w:r w:rsidR="003A5867" w:rsidRPr="003A5867">
          <w:rPr>
            <w:rFonts w:ascii="David" w:hAnsi="David"/>
            <w:color w:val="0000FF"/>
            <w:u w:val="single"/>
            <w:rtl/>
          </w:rPr>
          <w:t>חוק העונשין</w:t>
        </w:r>
      </w:hyperlink>
      <w:r>
        <w:rPr>
          <w:rFonts w:ascii="David" w:hAnsi="David"/>
          <w:rtl/>
        </w:rPr>
        <w:t xml:space="preserve"> על חלופותיו השונות או עבירה לפי </w:t>
      </w:r>
      <w:hyperlink r:id="rId45" w:history="1">
        <w:r w:rsidR="00270E91" w:rsidRPr="00270E91">
          <w:rPr>
            <w:rFonts w:ascii="David" w:hAnsi="David"/>
            <w:color w:val="0000FF"/>
            <w:u w:val="single"/>
            <w:rtl/>
          </w:rPr>
          <w:t>סעיף 340א</w:t>
        </w:r>
      </w:hyperlink>
      <w:r>
        <w:rPr>
          <w:rFonts w:ascii="David" w:hAnsi="David"/>
          <w:rtl/>
        </w:rPr>
        <w:t xml:space="preserve"> לחוק העונשין על חלופותיו השונות. </w:t>
      </w:r>
    </w:p>
    <w:p w14:paraId="602603D9" w14:textId="77777777" w:rsidR="004A0851" w:rsidRDefault="004A0851" w:rsidP="004A0851">
      <w:pPr>
        <w:spacing w:line="360" w:lineRule="auto"/>
        <w:ind w:left="1440" w:hanging="720"/>
        <w:jc w:val="both"/>
        <w:rPr>
          <w:rFonts w:ascii="David" w:hAnsi="David"/>
          <w:rtl/>
        </w:rPr>
      </w:pPr>
    </w:p>
    <w:p w14:paraId="2D6E8542" w14:textId="77777777" w:rsidR="004A0851" w:rsidRDefault="004A0851" w:rsidP="004A0851">
      <w:pPr>
        <w:spacing w:line="360" w:lineRule="auto"/>
        <w:ind w:left="1440" w:hanging="720"/>
        <w:jc w:val="both"/>
        <w:rPr>
          <w:rFonts w:ascii="David" w:hAnsi="David"/>
          <w:rtl/>
        </w:rPr>
      </w:pPr>
      <w:r>
        <w:rPr>
          <w:rFonts w:ascii="David" w:hAnsi="David"/>
          <w:rtl/>
        </w:rPr>
        <w:t xml:space="preserve">ג. </w:t>
      </w:r>
      <w:r>
        <w:rPr>
          <w:rFonts w:ascii="David" w:hAnsi="David"/>
          <w:rtl/>
        </w:rPr>
        <w:tab/>
        <w:t>קנס בסך 8,000 ₪ או 60 ימי מאסר תמורתו. הקנס ישולם לא יאוחר מיום 01.04.25.</w:t>
      </w:r>
    </w:p>
    <w:p w14:paraId="03FAFE43" w14:textId="77777777" w:rsidR="004A0851" w:rsidRDefault="004A0851" w:rsidP="004A0851">
      <w:pPr>
        <w:spacing w:line="360" w:lineRule="auto"/>
        <w:rPr>
          <w:rtl/>
        </w:rPr>
      </w:pPr>
    </w:p>
    <w:p w14:paraId="4EF8F62E" w14:textId="77777777" w:rsidR="004A0851" w:rsidRDefault="004A0851" w:rsidP="004A0851">
      <w:pPr>
        <w:spacing w:line="360" w:lineRule="auto"/>
        <w:rPr>
          <w:rtl/>
        </w:rPr>
      </w:pPr>
    </w:p>
    <w:p w14:paraId="40091223" w14:textId="77777777" w:rsidR="004A0851" w:rsidRDefault="004A0851" w:rsidP="004A0851">
      <w:pPr>
        <w:spacing w:line="360" w:lineRule="auto"/>
        <w:rPr>
          <w:rtl/>
        </w:rPr>
      </w:pPr>
    </w:p>
    <w:p w14:paraId="370990DF" w14:textId="77777777" w:rsidR="004A0851" w:rsidRDefault="004A0851" w:rsidP="004A0851">
      <w:pPr>
        <w:spacing w:line="360" w:lineRule="auto"/>
        <w:rPr>
          <w:rtl/>
        </w:rPr>
      </w:pPr>
    </w:p>
    <w:p w14:paraId="050791C8" w14:textId="77777777" w:rsidR="004A0851" w:rsidRDefault="004A0851" w:rsidP="004A0851">
      <w:pPr>
        <w:spacing w:line="360" w:lineRule="auto"/>
        <w:rPr>
          <w:rtl/>
        </w:rPr>
      </w:pPr>
    </w:p>
    <w:p w14:paraId="0E70662C" w14:textId="77777777" w:rsidR="004A0851" w:rsidRDefault="004A0851" w:rsidP="004A0851">
      <w:pPr>
        <w:spacing w:line="360" w:lineRule="auto"/>
        <w:jc w:val="both"/>
      </w:pPr>
      <w:r>
        <w:rPr>
          <w:rtl/>
        </w:rPr>
        <w:t>לידיעת הנאשם, ניתן יהיה לשלם את</w:t>
      </w:r>
      <w:r>
        <w:rPr>
          <w:rFonts w:hint="cs"/>
          <w:rtl/>
        </w:rPr>
        <w:t xml:space="preserve"> הקנס</w:t>
      </w:r>
      <w:r>
        <w:rPr>
          <w:rtl/>
        </w:rPr>
        <w:t xml:space="preserve"> לחשבון המרכז לגביית קנסות, אגרות והוצאות ברשות האכיפה והגבייה באחת מהדרכים הבאות:</w:t>
      </w:r>
    </w:p>
    <w:p w14:paraId="090C6886" w14:textId="77777777" w:rsidR="004A0851" w:rsidRDefault="004A0851" w:rsidP="004A0851"/>
    <w:p w14:paraId="3C129B8C" w14:textId="77777777" w:rsidR="004A0851" w:rsidRDefault="004A0851" w:rsidP="004A0851">
      <w:pPr>
        <w:pStyle w:val="aa"/>
        <w:numPr>
          <w:ilvl w:val="0"/>
          <w:numId w:val="1"/>
        </w:numPr>
        <w:rPr>
          <w:rFonts w:ascii="David" w:hAnsi="David"/>
          <w:b/>
          <w:bCs/>
          <w:rtl/>
        </w:rPr>
      </w:pPr>
      <w:r>
        <w:rPr>
          <w:rFonts w:ascii="David" w:hAnsi="David" w:cs="Times New Roman"/>
          <w:b/>
          <w:bCs/>
          <w:rtl/>
        </w:rPr>
        <w:t>בכרטיס אשראי</w:t>
      </w:r>
      <w:r>
        <w:rPr>
          <w:rFonts w:ascii="David" w:hAnsi="David"/>
          <w:rtl/>
        </w:rPr>
        <w:t xml:space="preserve"> – </w:t>
      </w:r>
      <w:r>
        <w:rPr>
          <w:rFonts w:ascii="David" w:hAnsi="David" w:cs="Times New Roman"/>
          <w:rtl/>
        </w:rPr>
        <w:t>באתר המקוון של רשות האכיפה והגבייה</w:t>
      </w:r>
      <w:r>
        <w:rPr>
          <w:rFonts w:ascii="David" w:hAnsi="David"/>
          <w:rtl/>
        </w:rPr>
        <w:t xml:space="preserve">, </w:t>
      </w:r>
      <w:hyperlink r:id="rId46" w:history="1">
        <w:r>
          <w:rPr>
            <w:rStyle w:val="Hyperlink"/>
            <w:rFonts w:ascii="David" w:hAnsi="David"/>
          </w:rPr>
          <w:t>www.eca.gov.il</w:t>
        </w:r>
      </w:hyperlink>
      <w:r>
        <w:rPr>
          <w:rFonts w:ascii="David" w:hAnsi="David"/>
        </w:rPr>
        <w:t xml:space="preserve"> </w:t>
      </w:r>
      <w:r w:rsidR="003A5867">
        <w:rPr>
          <w:rFonts w:ascii="David" w:hAnsi="David" w:cs="Times New Roman"/>
          <w:rtl/>
        </w:rPr>
        <w:t xml:space="preserve"> </w:t>
      </w:r>
    </w:p>
    <w:p w14:paraId="30E60C8C" w14:textId="77777777" w:rsidR="004A0851" w:rsidRDefault="004A0851" w:rsidP="004A0851">
      <w:pPr>
        <w:pStyle w:val="aa"/>
        <w:numPr>
          <w:ilvl w:val="0"/>
          <w:numId w:val="1"/>
        </w:numPr>
        <w:rPr>
          <w:rFonts w:ascii="David" w:hAnsi="David"/>
          <w:b/>
          <w:bCs/>
        </w:rPr>
      </w:pPr>
      <w:r>
        <w:rPr>
          <w:rFonts w:ascii="David" w:hAnsi="David" w:cs="Times New Roman"/>
          <w:b/>
          <w:bCs/>
          <w:rtl/>
        </w:rPr>
        <w:t xml:space="preserve">מוקד שירות טלפוני בשרות עצמי </w:t>
      </w:r>
      <w:r>
        <w:rPr>
          <w:rFonts w:ascii="David" w:hAnsi="David"/>
          <w:b/>
          <w:bCs/>
          <w:rtl/>
        </w:rPr>
        <w:t>(</w:t>
      </w:r>
      <w:r>
        <w:rPr>
          <w:rFonts w:ascii="David" w:hAnsi="David" w:cs="Times New Roman"/>
          <w:b/>
          <w:bCs/>
          <w:rtl/>
        </w:rPr>
        <w:t>מרכז גבייה</w:t>
      </w:r>
      <w:r>
        <w:rPr>
          <w:rFonts w:ascii="David" w:hAnsi="David"/>
          <w:b/>
          <w:bCs/>
          <w:rtl/>
        </w:rPr>
        <w:t>)</w:t>
      </w:r>
      <w:r w:rsidR="003A5867">
        <w:rPr>
          <w:rFonts w:ascii="David" w:hAnsi="David" w:cs="Times New Roman"/>
          <w:b/>
          <w:bCs/>
          <w:rtl/>
        </w:rPr>
        <w:t xml:space="preserve"> </w:t>
      </w:r>
      <w:r>
        <w:rPr>
          <w:rFonts w:ascii="David" w:hAnsi="David"/>
          <w:b/>
          <w:bCs/>
          <w:rtl/>
        </w:rPr>
        <w:t xml:space="preserve"> – </w:t>
      </w:r>
      <w:r>
        <w:rPr>
          <w:rFonts w:ascii="David" w:hAnsi="David" w:cs="Times New Roman"/>
          <w:b/>
          <w:bCs/>
          <w:rtl/>
        </w:rPr>
        <w:t xml:space="preserve">בטלפון </w:t>
      </w:r>
      <w:r>
        <w:rPr>
          <w:rFonts w:ascii="David" w:hAnsi="David"/>
          <w:b/>
          <w:bCs/>
          <w:rtl/>
        </w:rPr>
        <w:t xml:space="preserve">35592* </w:t>
      </w:r>
      <w:r>
        <w:rPr>
          <w:rFonts w:ascii="David" w:hAnsi="David" w:cs="Times New Roman"/>
          <w:b/>
          <w:bCs/>
          <w:rtl/>
        </w:rPr>
        <w:t xml:space="preserve">או בטלפון </w:t>
      </w:r>
      <w:r>
        <w:rPr>
          <w:rFonts w:ascii="David" w:hAnsi="David"/>
          <w:b/>
          <w:bCs/>
          <w:rtl/>
        </w:rPr>
        <w:t>073-2055000</w:t>
      </w:r>
    </w:p>
    <w:p w14:paraId="047C23AA" w14:textId="77777777" w:rsidR="004A0851" w:rsidRDefault="004A0851" w:rsidP="004A0851">
      <w:pPr>
        <w:pStyle w:val="aa"/>
        <w:numPr>
          <w:ilvl w:val="0"/>
          <w:numId w:val="1"/>
        </w:numPr>
        <w:rPr>
          <w:rFonts w:ascii="David" w:hAnsi="David"/>
          <w:b/>
          <w:bCs/>
          <w:rtl/>
        </w:rPr>
      </w:pPr>
      <w:r>
        <w:rPr>
          <w:rFonts w:ascii="David" w:hAnsi="David" w:cs="Times New Roman"/>
          <w:b/>
          <w:bCs/>
          <w:rtl/>
        </w:rPr>
        <w:t>במזומן בכל סניף של בנק הדואר</w:t>
      </w:r>
      <w:r>
        <w:rPr>
          <w:rFonts w:ascii="David" w:hAnsi="David"/>
          <w:rtl/>
        </w:rPr>
        <w:t xml:space="preserve"> – </w:t>
      </w:r>
      <w:r>
        <w:rPr>
          <w:rFonts w:ascii="David" w:hAnsi="David" w:cs="Times New Roman"/>
          <w:rtl/>
        </w:rPr>
        <w:t xml:space="preserve">בהצגת תעודת זהות בלבד </w:t>
      </w:r>
      <w:r>
        <w:rPr>
          <w:rFonts w:ascii="David" w:hAnsi="David"/>
          <w:rtl/>
        </w:rPr>
        <w:t>(</w:t>
      </w:r>
      <w:r>
        <w:rPr>
          <w:rFonts w:ascii="David" w:hAnsi="David" w:cs="Times New Roman"/>
          <w:rtl/>
        </w:rPr>
        <w:t>אין צורך בשוברי תשלום</w:t>
      </w:r>
      <w:r>
        <w:rPr>
          <w:rFonts w:ascii="David" w:hAnsi="David"/>
          <w:rtl/>
        </w:rPr>
        <w:t>).</w:t>
      </w:r>
    </w:p>
    <w:p w14:paraId="2970EB34" w14:textId="77777777" w:rsidR="004A0851" w:rsidRPr="004B03E2" w:rsidRDefault="004A0851" w:rsidP="004A0851"/>
    <w:p w14:paraId="6BFBF770" w14:textId="77777777" w:rsidR="004A0851" w:rsidRPr="003A5867" w:rsidRDefault="003A5867" w:rsidP="004A0851">
      <w:pPr>
        <w:spacing w:line="360" w:lineRule="auto"/>
        <w:ind w:left="720" w:hanging="720"/>
        <w:jc w:val="both"/>
        <w:rPr>
          <w:rFonts w:ascii="David" w:hAnsi="David"/>
          <w:b/>
          <w:bCs/>
          <w:color w:val="FFFFFF"/>
          <w:sz w:val="2"/>
          <w:szCs w:val="2"/>
          <w:rtl/>
        </w:rPr>
      </w:pPr>
      <w:r w:rsidRPr="003A5867">
        <w:rPr>
          <w:rFonts w:ascii="David" w:hAnsi="David"/>
          <w:b/>
          <w:bCs/>
          <w:color w:val="FFFFFF"/>
          <w:sz w:val="2"/>
          <w:szCs w:val="2"/>
          <w:rtl/>
        </w:rPr>
        <w:t>5129371</w:t>
      </w:r>
    </w:p>
    <w:p w14:paraId="3C5083D1" w14:textId="77777777" w:rsidR="004A0851" w:rsidRDefault="003A5867" w:rsidP="004A0851">
      <w:pPr>
        <w:spacing w:line="360" w:lineRule="auto"/>
        <w:ind w:left="720" w:hanging="720"/>
        <w:jc w:val="both"/>
        <w:rPr>
          <w:rFonts w:ascii="David" w:hAnsi="David"/>
          <w:rtl/>
        </w:rPr>
      </w:pPr>
      <w:r w:rsidRPr="003A5867">
        <w:rPr>
          <w:rFonts w:ascii="David" w:hAnsi="David"/>
          <w:b/>
          <w:bCs/>
          <w:color w:val="FFFFFF"/>
          <w:sz w:val="2"/>
          <w:szCs w:val="2"/>
          <w:rtl/>
        </w:rPr>
        <w:t>54678313</w:t>
      </w:r>
      <w:r w:rsidR="004A0851">
        <w:rPr>
          <w:rFonts w:ascii="David" w:hAnsi="David"/>
          <w:b/>
          <w:bCs/>
          <w:rtl/>
        </w:rPr>
        <w:t>זכות ערעור תוך 45 ימים לבית המשפט העליון.</w:t>
      </w:r>
    </w:p>
    <w:p w14:paraId="77DDB3C7" w14:textId="77777777" w:rsidR="004A0851" w:rsidRPr="000F2247" w:rsidRDefault="004A0851" w:rsidP="004A0851">
      <w:pPr>
        <w:rPr>
          <w:rFonts w:ascii="Arial" w:hAnsi="Arial"/>
          <w:b/>
          <w:bCs/>
          <w:sz w:val="26"/>
          <w:szCs w:val="26"/>
          <w:rtl/>
        </w:rPr>
      </w:pPr>
    </w:p>
    <w:p w14:paraId="0F46C4BE" w14:textId="77777777" w:rsidR="004A0851" w:rsidRPr="000F2247" w:rsidRDefault="003A5867" w:rsidP="004A085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חשוון תשפ"ה, 14 נובמבר 2024, בהעדר הצדדים. </w:t>
      </w:r>
      <w:bookmarkEnd w:id="8"/>
      <w:r w:rsidR="004A0851">
        <w:rPr>
          <w:rFonts w:ascii="Arial" w:hAnsi="Arial"/>
          <w:b/>
          <w:bCs/>
          <w:sz w:val="26"/>
          <w:szCs w:val="26"/>
          <w:rtl/>
        </w:rPr>
        <w:tab/>
      </w:r>
      <w:r w:rsidR="004A0851">
        <w:rPr>
          <w:rFonts w:ascii="Arial" w:hAnsi="Arial"/>
          <w:b/>
          <w:bCs/>
          <w:sz w:val="26"/>
          <w:szCs w:val="26"/>
          <w:rtl/>
        </w:rPr>
        <w:tab/>
      </w:r>
      <w:r w:rsidR="004A0851">
        <w:rPr>
          <w:rFonts w:ascii="Arial" w:hAnsi="Arial"/>
          <w:b/>
          <w:bCs/>
          <w:sz w:val="26"/>
          <w:szCs w:val="26"/>
          <w:rtl/>
        </w:rPr>
        <w:tab/>
      </w:r>
      <w:r w:rsidR="004A0851">
        <w:rPr>
          <w:rFonts w:ascii="Arial" w:hAnsi="Arial"/>
          <w:b/>
          <w:bCs/>
          <w:sz w:val="26"/>
          <w:szCs w:val="26"/>
          <w:rtl/>
        </w:rPr>
        <w:tab/>
      </w:r>
      <w:r w:rsidR="004A0851">
        <w:rPr>
          <w:rFonts w:ascii="Arial" w:hAnsi="Arial"/>
          <w:b/>
          <w:bCs/>
          <w:sz w:val="26"/>
          <w:szCs w:val="26"/>
          <w:rtl/>
        </w:rPr>
        <w:tab/>
      </w:r>
      <w:r w:rsidR="004A0851">
        <w:rPr>
          <w:rFonts w:ascii="Arial" w:hAnsi="Arial"/>
          <w:b/>
          <w:bCs/>
          <w:sz w:val="26"/>
          <w:szCs w:val="26"/>
          <w:rtl/>
        </w:rPr>
        <w:tab/>
      </w:r>
      <w:r w:rsidR="004A0851">
        <w:rPr>
          <w:rFonts w:ascii="Arial" w:hAnsi="Arial"/>
          <w:b/>
          <w:bCs/>
          <w:sz w:val="26"/>
          <w:szCs w:val="26"/>
          <w:rtl/>
        </w:rPr>
        <w:tab/>
      </w:r>
      <w:r w:rsidR="004A0851">
        <w:rPr>
          <w:rFonts w:ascii="Arial" w:hAnsi="Arial" w:hint="cs"/>
          <w:b/>
          <w:bCs/>
          <w:sz w:val="26"/>
          <w:szCs w:val="26"/>
          <w:rtl/>
        </w:rPr>
        <w:t xml:space="preserve">         </w:t>
      </w:r>
    </w:p>
    <w:p w14:paraId="28F672C9" w14:textId="77777777" w:rsidR="004A0851" w:rsidRPr="000F2247" w:rsidRDefault="004A0851" w:rsidP="003A586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19E409F" w14:textId="77777777" w:rsidR="004A0851" w:rsidRPr="00D739EF" w:rsidRDefault="00D739EF" w:rsidP="004A0851">
      <w:pPr>
        <w:jc w:val="center"/>
        <w:rPr>
          <w:rFonts w:ascii="Arial" w:hAnsi="Arial"/>
          <w:b/>
          <w:bCs/>
          <w:color w:val="FFFFFF"/>
          <w:sz w:val="2"/>
          <w:szCs w:val="2"/>
          <w:rtl/>
        </w:rPr>
      </w:pPr>
      <w:r w:rsidRPr="00D739EF">
        <w:rPr>
          <w:rFonts w:ascii="Arial" w:hAnsi="Arial"/>
          <w:b/>
          <w:bCs/>
          <w:color w:val="FFFFFF"/>
          <w:sz w:val="2"/>
          <w:szCs w:val="2"/>
          <w:rtl/>
        </w:rPr>
        <w:t>5129371</w:t>
      </w:r>
    </w:p>
    <w:p w14:paraId="7F21BEB1" w14:textId="77777777" w:rsidR="00FE4E28" w:rsidRPr="00D739EF" w:rsidRDefault="00D739EF" w:rsidP="003A5867">
      <w:pPr>
        <w:keepNext/>
        <w:rPr>
          <w:rFonts w:ascii="David" w:hAnsi="David"/>
          <w:color w:val="FFFFFF"/>
          <w:sz w:val="2"/>
          <w:szCs w:val="2"/>
          <w:rtl/>
        </w:rPr>
      </w:pPr>
      <w:r w:rsidRPr="00D739EF">
        <w:rPr>
          <w:rFonts w:ascii="David" w:hAnsi="David"/>
          <w:color w:val="FFFFFF"/>
          <w:sz w:val="2"/>
          <w:szCs w:val="2"/>
          <w:rtl/>
        </w:rPr>
        <w:t>512937154678313</w:t>
      </w:r>
    </w:p>
    <w:p w14:paraId="4C9D8F93" w14:textId="77777777" w:rsidR="003A5867" w:rsidRPr="00D739EF" w:rsidRDefault="00D739EF" w:rsidP="003A5867">
      <w:pPr>
        <w:rPr>
          <w:color w:val="FFFFFF"/>
          <w:sz w:val="2"/>
          <w:szCs w:val="2"/>
          <w:rtl/>
        </w:rPr>
      </w:pPr>
      <w:r w:rsidRPr="00D739EF">
        <w:rPr>
          <w:color w:val="FFFFFF"/>
          <w:sz w:val="2"/>
          <w:szCs w:val="2"/>
          <w:rtl/>
        </w:rPr>
        <w:t>54678313</w:t>
      </w:r>
    </w:p>
    <w:p w14:paraId="5399DD3B" w14:textId="77777777" w:rsidR="003A5867" w:rsidRDefault="003A5867" w:rsidP="003A5867">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50C910AD" w14:textId="77777777" w:rsidR="00D739EF" w:rsidRPr="00D739EF" w:rsidRDefault="00D739EF" w:rsidP="00D739EF">
      <w:pPr>
        <w:keepNext/>
        <w:rPr>
          <w:rFonts w:ascii="David" w:hAnsi="David"/>
          <w:color w:val="000000"/>
          <w:sz w:val="22"/>
          <w:szCs w:val="22"/>
          <w:rtl/>
        </w:rPr>
      </w:pPr>
    </w:p>
    <w:p w14:paraId="4C919A6F" w14:textId="77777777" w:rsidR="00D739EF" w:rsidRPr="00D739EF" w:rsidRDefault="00D739EF" w:rsidP="00D739EF">
      <w:pPr>
        <w:keepNext/>
        <w:rPr>
          <w:rFonts w:ascii="David" w:hAnsi="David"/>
          <w:color w:val="000000"/>
          <w:sz w:val="22"/>
          <w:szCs w:val="22"/>
          <w:rtl/>
        </w:rPr>
      </w:pPr>
      <w:r w:rsidRPr="00D739EF">
        <w:rPr>
          <w:rFonts w:ascii="David" w:hAnsi="David"/>
          <w:color w:val="000000"/>
          <w:sz w:val="22"/>
          <w:szCs w:val="22"/>
          <w:rtl/>
        </w:rPr>
        <w:t>אלון גביזון 54678313-/</w:t>
      </w:r>
    </w:p>
    <w:p w14:paraId="08DE6926" w14:textId="77777777" w:rsidR="003A5867" w:rsidRPr="003A5867" w:rsidRDefault="00D739EF" w:rsidP="00D739EF">
      <w:pPr>
        <w:rPr>
          <w:color w:val="0000FF"/>
          <w:u w:val="single"/>
        </w:rPr>
      </w:pPr>
      <w:r w:rsidRPr="00D739EF">
        <w:rPr>
          <w:color w:val="000000"/>
          <w:u w:val="single"/>
          <w:rtl/>
        </w:rPr>
        <w:t>נוסח מסמך זה כפוף לשינויי ניסוח ועריכה</w:t>
      </w:r>
    </w:p>
    <w:sectPr w:rsidR="003A5867" w:rsidRPr="003A5867" w:rsidSect="00D739EF">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1A000" w14:textId="77777777" w:rsidR="00AB1997" w:rsidRDefault="00AB1997" w:rsidP="00071A80">
      <w:r>
        <w:separator/>
      </w:r>
    </w:p>
  </w:endnote>
  <w:endnote w:type="continuationSeparator" w:id="0">
    <w:p w14:paraId="312B5863" w14:textId="77777777" w:rsidR="00AB1997" w:rsidRDefault="00AB1997" w:rsidP="00071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D4644" w14:textId="77777777" w:rsidR="00D739EF" w:rsidRDefault="00D739EF" w:rsidP="00D739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44D90AC" w14:textId="77777777" w:rsidR="00E21084" w:rsidRPr="00D739EF" w:rsidRDefault="00D739EF" w:rsidP="00D739EF">
    <w:pPr>
      <w:pStyle w:val="a5"/>
      <w:pBdr>
        <w:top w:val="single" w:sz="4" w:space="1" w:color="auto"/>
        <w:between w:val="single" w:sz="4" w:space="0" w:color="auto"/>
      </w:pBdr>
      <w:spacing w:after="60"/>
      <w:jc w:val="center"/>
      <w:rPr>
        <w:rFonts w:ascii="FrankRuehl" w:hAnsi="FrankRuehl" w:cs="FrankRuehl"/>
        <w:color w:val="000000"/>
      </w:rPr>
    </w:pPr>
    <w:r w:rsidRPr="00D739E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D01CE" w14:textId="77777777" w:rsidR="00D739EF" w:rsidRDefault="00D739EF" w:rsidP="00D739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08A8">
      <w:rPr>
        <w:rFonts w:ascii="FrankRuehl" w:hAnsi="FrankRuehl" w:cs="FrankRuehl"/>
        <w:noProof/>
        <w:rtl/>
      </w:rPr>
      <w:t>1</w:t>
    </w:r>
    <w:r>
      <w:rPr>
        <w:rFonts w:ascii="FrankRuehl" w:hAnsi="FrankRuehl" w:cs="FrankRuehl"/>
        <w:rtl/>
      </w:rPr>
      <w:fldChar w:fldCharType="end"/>
    </w:r>
  </w:p>
  <w:p w14:paraId="766B0F9A" w14:textId="77777777" w:rsidR="00E21084" w:rsidRPr="00D739EF" w:rsidRDefault="00D739EF" w:rsidP="00D739EF">
    <w:pPr>
      <w:pStyle w:val="a5"/>
      <w:pBdr>
        <w:top w:val="single" w:sz="4" w:space="1" w:color="auto"/>
        <w:between w:val="single" w:sz="4" w:space="0" w:color="auto"/>
      </w:pBdr>
      <w:spacing w:after="60"/>
      <w:jc w:val="center"/>
      <w:rPr>
        <w:rFonts w:ascii="FrankRuehl" w:hAnsi="FrankRuehl" w:cs="FrankRuehl"/>
        <w:color w:val="000000"/>
      </w:rPr>
    </w:pPr>
    <w:r w:rsidRPr="00D739EF">
      <w:rPr>
        <w:rFonts w:ascii="FrankRuehl" w:hAnsi="FrankRuehl" w:cs="FrankRuehl"/>
        <w:color w:val="000000"/>
      </w:rPr>
      <w:pict w14:anchorId="3DA84F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6572D" w14:textId="77777777" w:rsidR="00AB1997" w:rsidRDefault="00AB1997" w:rsidP="00071A80">
      <w:r>
        <w:separator/>
      </w:r>
    </w:p>
  </w:footnote>
  <w:footnote w:type="continuationSeparator" w:id="0">
    <w:p w14:paraId="6A66C743" w14:textId="77777777" w:rsidR="00AB1997" w:rsidRDefault="00AB1997" w:rsidP="00071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00CA7" w14:textId="77777777" w:rsidR="00E21084" w:rsidRPr="00D739EF" w:rsidRDefault="00D739EF" w:rsidP="00D739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3384-12-23</w:t>
    </w:r>
    <w:r>
      <w:rPr>
        <w:rFonts w:ascii="David" w:hAnsi="David"/>
        <w:color w:val="000000"/>
        <w:sz w:val="22"/>
        <w:szCs w:val="22"/>
        <w:rtl/>
      </w:rPr>
      <w:tab/>
      <w:t xml:space="preserve"> מדינת ישראל נ' עווד אבו סבית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E6593" w14:textId="77777777" w:rsidR="00E21084" w:rsidRPr="00D739EF" w:rsidRDefault="00D739EF" w:rsidP="00D739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3384-12-23</w:t>
    </w:r>
    <w:r>
      <w:rPr>
        <w:rFonts w:ascii="David" w:hAnsi="David"/>
        <w:color w:val="000000"/>
        <w:sz w:val="22"/>
        <w:szCs w:val="22"/>
        <w:rtl/>
      </w:rPr>
      <w:tab/>
      <w:t xml:space="preserve"> מדינת ישראל נ' עווד אבו סבית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num w:numId="1" w16cid:durableId="96423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0851"/>
    <w:rsid w:val="00071A80"/>
    <w:rsid w:val="00270E91"/>
    <w:rsid w:val="003A5867"/>
    <w:rsid w:val="004A0851"/>
    <w:rsid w:val="008E08A8"/>
    <w:rsid w:val="00924F78"/>
    <w:rsid w:val="00AB1997"/>
    <w:rsid w:val="00B92735"/>
    <w:rsid w:val="00BD1286"/>
    <w:rsid w:val="00D739EF"/>
    <w:rsid w:val="00E21084"/>
    <w:rsid w:val="00F6103C"/>
    <w:rsid w:val="00FE4E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F136F2"/>
  <w15:chartTrackingRefBased/>
  <w15:docId w15:val="{A569DCFE-75F6-432B-AEC3-909EEF16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085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0851"/>
    <w:pPr>
      <w:tabs>
        <w:tab w:val="center" w:pos="4153"/>
        <w:tab w:val="right" w:pos="8306"/>
      </w:tabs>
    </w:pPr>
  </w:style>
  <w:style w:type="character" w:customStyle="1" w:styleId="a4">
    <w:name w:val="כותרת עליונה תו"/>
    <w:link w:val="a3"/>
    <w:rsid w:val="004A0851"/>
    <w:rPr>
      <w:rFonts w:ascii="Times New Roman" w:eastAsia="Times New Roman" w:hAnsi="Times New Roman" w:cs="David"/>
      <w:sz w:val="24"/>
      <w:szCs w:val="24"/>
    </w:rPr>
  </w:style>
  <w:style w:type="paragraph" w:styleId="a5">
    <w:name w:val="footer"/>
    <w:basedOn w:val="a"/>
    <w:link w:val="a6"/>
    <w:rsid w:val="004A0851"/>
    <w:pPr>
      <w:tabs>
        <w:tab w:val="center" w:pos="4153"/>
        <w:tab w:val="right" w:pos="8306"/>
      </w:tabs>
    </w:pPr>
  </w:style>
  <w:style w:type="character" w:customStyle="1" w:styleId="a6">
    <w:name w:val="כותרת תחתונה תו"/>
    <w:link w:val="a5"/>
    <w:rsid w:val="004A0851"/>
    <w:rPr>
      <w:rFonts w:ascii="Times New Roman" w:eastAsia="Times New Roman" w:hAnsi="Times New Roman" w:cs="David"/>
      <w:sz w:val="24"/>
      <w:szCs w:val="24"/>
    </w:rPr>
  </w:style>
  <w:style w:type="table" w:styleId="a7">
    <w:name w:val="Table Grid"/>
    <w:basedOn w:val="a1"/>
    <w:rsid w:val="004A085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0851"/>
  </w:style>
  <w:style w:type="character" w:styleId="Hyperlink">
    <w:name w:val="Hyperlink"/>
    <w:rsid w:val="004A0851"/>
    <w:rPr>
      <w:color w:val="0563C1"/>
      <w:u w:val="single"/>
    </w:rPr>
  </w:style>
  <w:style w:type="character" w:customStyle="1" w:styleId="a9">
    <w:name w:val="פיסקת רשימה תו"/>
    <w:link w:val="aa"/>
    <w:locked/>
    <w:rsid w:val="004A0851"/>
    <w:rPr>
      <w:rFonts w:ascii="Calibri" w:hAnsi="Calibri" w:cs="Calibri"/>
    </w:rPr>
  </w:style>
  <w:style w:type="paragraph" w:styleId="aa">
    <w:name w:val="List Paragraph"/>
    <w:basedOn w:val="a"/>
    <w:link w:val="a9"/>
    <w:qFormat/>
    <w:rsid w:val="004A0851"/>
    <w:pPr>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40c" TargetMode="External"/><Relationship Id="rId26" Type="http://schemas.openxmlformats.org/officeDocument/2006/relationships/hyperlink" Target="http://www.nevo.co.il/case/28257427" TargetMode="External"/><Relationship Id="rId39" Type="http://schemas.openxmlformats.org/officeDocument/2006/relationships/hyperlink" Target="http://www.nevo.co.il/case/3850993" TargetMode="External"/><Relationship Id="rId21" Type="http://schemas.openxmlformats.org/officeDocument/2006/relationships/hyperlink" Target="http://www.nevo.co.il/case/27925239" TargetMode="External"/><Relationship Id="rId34" Type="http://schemas.openxmlformats.org/officeDocument/2006/relationships/hyperlink" Target="http://www.nevo.co.il/case/21474168" TargetMode="External"/><Relationship Id="rId42" Type="http://schemas.openxmlformats.org/officeDocument/2006/relationships/hyperlink" Target="http://www.nevo.co.il/law/70301"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9" Type="http://schemas.openxmlformats.org/officeDocument/2006/relationships/hyperlink" Target="http://www.nevo.co.il/case/28791025"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30326799" TargetMode="External"/><Relationship Id="rId32" Type="http://schemas.openxmlformats.org/officeDocument/2006/relationships/hyperlink" Target="http://www.nevo.co.il/case/27716369" TargetMode="External"/><Relationship Id="rId37" Type="http://schemas.openxmlformats.org/officeDocument/2006/relationships/hyperlink" Target="http://www.nevo.co.il/case/6949290" TargetMode="External"/><Relationship Id="rId40" Type="http://schemas.openxmlformats.org/officeDocument/2006/relationships/hyperlink" Target="http://www.nevo.co.il/case/28883087" TargetMode="External"/><Relationship Id="rId45" Type="http://schemas.openxmlformats.org/officeDocument/2006/relationships/hyperlink" Target="http://www.nevo.co.il/law/70301/340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40d.a" TargetMode="External"/><Relationship Id="rId19" Type="http://schemas.openxmlformats.org/officeDocument/2006/relationships/hyperlink" Target="http://www.nevo.co.il/case/27309272"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law/7030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5612982"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916087" TargetMode="External"/><Relationship Id="rId35" Type="http://schemas.openxmlformats.org/officeDocument/2006/relationships/hyperlink" Target="http://www.nevo.co.il/law/70301/144.b" TargetMode="External"/><Relationship Id="rId43" Type="http://schemas.openxmlformats.org/officeDocument/2006/relationships/hyperlink" Target="http://www.nevo.co.il/law/70301/144" TargetMode="External"/><Relationship Id="rId48" Type="http://schemas.openxmlformats.org/officeDocument/2006/relationships/header" Target="header1.xml"/><Relationship Id="rId8" Type="http://schemas.openxmlformats.org/officeDocument/2006/relationships/hyperlink" Target="http://www.nevo.co.il/law/70301/40b"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309272" TargetMode="External"/><Relationship Id="rId33" Type="http://schemas.openxmlformats.org/officeDocument/2006/relationships/hyperlink" Target="http://www.nevo.co.il/case/26304344" TargetMode="External"/><Relationship Id="rId38" Type="http://schemas.openxmlformats.org/officeDocument/2006/relationships/hyperlink" Target="http://www.nevo.co.il/law/70301/144.b" TargetMode="External"/><Relationship Id="rId46" Type="http://schemas.openxmlformats.org/officeDocument/2006/relationships/hyperlink" Target="http://www.eca.gov.il"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40d.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7791493" TargetMode="External"/><Relationship Id="rId28" Type="http://schemas.openxmlformats.org/officeDocument/2006/relationships/hyperlink" Target="http://www.nevo.co.il/case/29819083" TargetMode="External"/><Relationship Id="rId36" Type="http://schemas.openxmlformats.org/officeDocument/2006/relationships/hyperlink" Target="http://www.nevo.co.il/case/20548556"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3201</Words>
  <Characters>16010</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19173</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7864368</vt:i4>
      </vt:variant>
      <vt:variant>
        <vt:i4>117</vt:i4>
      </vt:variant>
      <vt:variant>
        <vt:i4>0</vt:i4>
      </vt:variant>
      <vt:variant>
        <vt:i4>5</vt:i4>
      </vt:variant>
      <vt:variant>
        <vt:lpwstr>http://www.eca.gov.il/</vt:lpwstr>
      </vt:variant>
      <vt:variant>
        <vt:lpwstr/>
      </vt:variant>
      <vt:variant>
        <vt:i4>86</vt:i4>
      </vt:variant>
      <vt:variant>
        <vt:i4>114</vt:i4>
      </vt:variant>
      <vt:variant>
        <vt:i4>0</vt:i4>
      </vt:variant>
      <vt:variant>
        <vt:i4>5</vt:i4>
      </vt:variant>
      <vt:variant>
        <vt:lpwstr>http://www.nevo.co.il/law/70301/340a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6357092</vt:i4>
      </vt:variant>
      <vt:variant>
        <vt:i4>108</vt:i4>
      </vt:variant>
      <vt:variant>
        <vt:i4>0</vt:i4>
      </vt:variant>
      <vt:variant>
        <vt:i4>5</vt:i4>
      </vt:variant>
      <vt:variant>
        <vt:lpwstr>http://www.nevo.co.il/law/70301/144</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3211380</vt:i4>
      </vt:variant>
      <vt:variant>
        <vt:i4>99</vt:i4>
      </vt:variant>
      <vt:variant>
        <vt:i4>0</vt:i4>
      </vt:variant>
      <vt:variant>
        <vt:i4>5</vt:i4>
      </vt:variant>
      <vt:variant>
        <vt:lpwstr>http://www.nevo.co.il/case/28883087</vt:lpwstr>
      </vt:variant>
      <vt:variant>
        <vt:lpwstr/>
      </vt:variant>
      <vt:variant>
        <vt:i4>3932277</vt:i4>
      </vt:variant>
      <vt:variant>
        <vt:i4>96</vt:i4>
      </vt:variant>
      <vt:variant>
        <vt:i4>0</vt:i4>
      </vt:variant>
      <vt:variant>
        <vt:i4>5</vt:i4>
      </vt:variant>
      <vt:variant>
        <vt:lpwstr>http://www.nevo.co.il/case/3850993</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3145853</vt:i4>
      </vt:variant>
      <vt:variant>
        <vt:i4>90</vt:i4>
      </vt:variant>
      <vt:variant>
        <vt:i4>0</vt:i4>
      </vt:variant>
      <vt:variant>
        <vt:i4>5</vt:i4>
      </vt:variant>
      <vt:variant>
        <vt:lpwstr>http://www.nevo.co.il/case/6949290</vt:lpwstr>
      </vt:variant>
      <vt:variant>
        <vt:lpwstr/>
      </vt:variant>
      <vt:variant>
        <vt:i4>3801205</vt:i4>
      </vt:variant>
      <vt:variant>
        <vt:i4>87</vt:i4>
      </vt:variant>
      <vt:variant>
        <vt:i4>0</vt:i4>
      </vt:variant>
      <vt:variant>
        <vt:i4>5</vt:i4>
      </vt:variant>
      <vt:variant>
        <vt:lpwstr>http://www.nevo.co.il/case/20548556</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3407987</vt:i4>
      </vt:variant>
      <vt:variant>
        <vt:i4>81</vt:i4>
      </vt:variant>
      <vt:variant>
        <vt:i4>0</vt:i4>
      </vt:variant>
      <vt:variant>
        <vt:i4>5</vt:i4>
      </vt:variant>
      <vt:variant>
        <vt:lpwstr>http://www.nevo.co.il/case/21474168</vt:lpwstr>
      </vt:variant>
      <vt:variant>
        <vt:lpwstr/>
      </vt:variant>
      <vt:variant>
        <vt:i4>3211377</vt:i4>
      </vt:variant>
      <vt:variant>
        <vt:i4>78</vt:i4>
      </vt:variant>
      <vt:variant>
        <vt:i4>0</vt:i4>
      </vt:variant>
      <vt:variant>
        <vt:i4>5</vt:i4>
      </vt:variant>
      <vt:variant>
        <vt:lpwstr>http://www.nevo.co.il/case/26304344</vt:lpwstr>
      </vt:variant>
      <vt:variant>
        <vt:lpwstr/>
      </vt:variant>
      <vt:variant>
        <vt:i4>3473521</vt:i4>
      </vt:variant>
      <vt:variant>
        <vt:i4>75</vt:i4>
      </vt:variant>
      <vt:variant>
        <vt:i4>0</vt:i4>
      </vt:variant>
      <vt:variant>
        <vt:i4>5</vt:i4>
      </vt:variant>
      <vt:variant>
        <vt:lpwstr>http://www.nevo.co.il/case/27716369</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3473533</vt:i4>
      </vt:variant>
      <vt:variant>
        <vt:i4>69</vt:i4>
      </vt:variant>
      <vt:variant>
        <vt:i4>0</vt:i4>
      </vt:variant>
      <vt:variant>
        <vt:i4>5</vt:i4>
      </vt:variant>
      <vt:variant>
        <vt:lpwstr>http://www.nevo.co.il/case/28916087</vt:lpwstr>
      </vt:variant>
      <vt:variant>
        <vt:lpwstr/>
      </vt:variant>
      <vt:variant>
        <vt:i4>3539061</vt:i4>
      </vt:variant>
      <vt:variant>
        <vt:i4>66</vt:i4>
      </vt:variant>
      <vt:variant>
        <vt:i4>0</vt:i4>
      </vt:variant>
      <vt:variant>
        <vt:i4>5</vt:i4>
      </vt:variant>
      <vt:variant>
        <vt:lpwstr>http://www.nevo.co.il/case/28791025</vt:lpwstr>
      </vt:variant>
      <vt:variant>
        <vt:lpwstr/>
      </vt:variant>
      <vt:variant>
        <vt:i4>3866748</vt:i4>
      </vt:variant>
      <vt:variant>
        <vt:i4>63</vt:i4>
      </vt:variant>
      <vt:variant>
        <vt:i4>0</vt:i4>
      </vt:variant>
      <vt:variant>
        <vt:i4>5</vt:i4>
      </vt:variant>
      <vt:variant>
        <vt:lpwstr>http://www.nevo.co.il/case/29819083</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3473533</vt:i4>
      </vt:variant>
      <vt:variant>
        <vt:i4>57</vt:i4>
      </vt:variant>
      <vt:variant>
        <vt:i4>0</vt:i4>
      </vt:variant>
      <vt:variant>
        <vt:i4>5</vt:i4>
      </vt:variant>
      <vt:variant>
        <vt:lpwstr>http://www.nevo.co.il/case/28257427</vt:lpwstr>
      </vt:variant>
      <vt:variant>
        <vt:lpwstr/>
      </vt:variant>
      <vt:variant>
        <vt:i4>4128881</vt:i4>
      </vt:variant>
      <vt:variant>
        <vt:i4>54</vt:i4>
      </vt:variant>
      <vt:variant>
        <vt:i4>0</vt:i4>
      </vt:variant>
      <vt:variant>
        <vt:i4>5</vt:i4>
      </vt:variant>
      <vt:variant>
        <vt:lpwstr>http://www.nevo.co.il/case/27309272</vt:lpwstr>
      </vt:variant>
      <vt:variant>
        <vt:lpwstr/>
      </vt:variant>
      <vt:variant>
        <vt:i4>4128881</vt:i4>
      </vt:variant>
      <vt:variant>
        <vt:i4>51</vt:i4>
      </vt:variant>
      <vt:variant>
        <vt:i4>0</vt:i4>
      </vt:variant>
      <vt:variant>
        <vt:i4>5</vt:i4>
      </vt:variant>
      <vt:variant>
        <vt:lpwstr>http://www.nevo.co.il/case/30326799</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4063353</vt:i4>
      </vt:variant>
      <vt:variant>
        <vt:i4>45</vt:i4>
      </vt:variant>
      <vt:variant>
        <vt:i4>0</vt:i4>
      </vt:variant>
      <vt:variant>
        <vt:i4>5</vt:i4>
      </vt:variant>
      <vt:variant>
        <vt:lpwstr>http://www.nevo.co.il/case/25612982</vt:lpwstr>
      </vt:variant>
      <vt:variant>
        <vt:lpwstr/>
      </vt:variant>
      <vt:variant>
        <vt:i4>3997811</vt:i4>
      </vt:variant>
      <vt:variant>
        <vt:i4>42</vt:i4>
      </vt:variant>
      <vt:variant>
        <vt:i4>0</vt:i4>
      </vt:variant>
      <vt:variant>
        <vt:i4>5</vt:i4>
      </vt:variant>
      <vt:variant>
        <vt:lpwstr>http://www.nevo.co.il/case/27925239</vt:lpwstr>
      </vt:variant>
      <vt:variant>
        <vt:lpwstr/>
      </vt:variant>
      <vt:variant>
        <vt:i4>7995492</vt:i4>
      </vt:variant>
      <vt:variant>
        <vt:i4>39</vt:i4>
      </vt:variant>
      <vt:variant>
        <vt:i4>0</vt:i4>
      </vt:variant>
      <vt:variant>
        <vt:i4>5</vt:i4>
      </vt:variant>
      <vt:variant>
        <vt:lpwstr>http://www.nevo.co.il/law/70301</vt:lpwstr>
      </vt:variant>
      <vt:variant>
        <vt:lpwstr/>
      </vt:variant>
      <vt:variant>
        <vt:i4>4128881</vt:i4>
      </vt:variant>
      <vt:variant>
        <vt:i4>36</vt:i4>
      </vt:variant>
      <vt:variant>
        <vt:i4>0</vt:i4>
      </vt:variant>
      <vt:variant>
        <vt:i4>5</vt:i4>
      </vt:variant>
      <vt:variant>
        <vt:lpwstr>http://www.nevo.co.il/case/27309272</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86</vt:i4>
      </vt:variant>
      <vt:variant>
        <vt:i4>18</vt:i4>
      </vt:variant>
      <vt:variant>
        <vt:i4>0</vt:i4>
      </vt:variant>
      <vt:variant>
        <vt:i4>5</vt:i4>
      </vt:variant>
      <vt:variant>
        <vt:lpwstr>http://www.nevo.co.il/law/70301/340a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2025-01-19T17:08:00Z</dcterms:created>
  <dcterms:modified xsi:type="dcterms:W3CDTF">2025-01-19T17:08:00Z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3384</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עווד אבו סבית </vt:lpwstr>
  </property>
  <property fmtid="{D5CDD505-2E9C-101B-9397-08002B2CF9AE}" pid="10" name="LAWYER">
    <vt:lpwstr>גאל נבון;נאשף דרוויש</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20241114</vt:lpwstr>
  </property>
  <property fmtid="{D5CDD505-2E9C-101B-9397-08002B2CF9AE}" pid="14" name="TYPE_N_DATE">
    <vt:lpwstr>39020241114</vt:lpwstr>
  </property>
  <property fmtid="{D5CDD505-2E9C-101B-9397-08002B2CF9AE}" pid="15" name="CASESLISTTMP1">
    <vt:lpwstr>27309272:2;27925239;25612982;7791493;30326799;28257427;29819083;28791025;28916087;27716369;26304344;21474168;20548556;6949290;3850993;28883087</vt:lpwstr>
  </property>
  <property fmtid="{D5CDD505-2E9C-101B-9397-08002B2CF9AE}" pid="16" name="CASENOTES1">
    <vt:lpwstr>ProcID=133;209&amp;PartA=6673&amp;PartC=17</vt:lpwstr>
  </property>
  <property fmtid="{D5CDD505-2E9C-101B-9397-08002B2CF9AE}" pid="17" name="WORDNUMPAGES">
    <vt:lpwstr>11</vt:lpwstr>
  </property>
  <property fmtid="{D5CDD505-2E9C-101B-9397-08002B2CF9AE}" pid="18" name="TYPE_ABS_DATE">
    <vt:lpwstr>390020241114</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70301/144.b:4;040b;040c;040d.a;144;340a</vt:lpwstr>
  </property>
</Properties>
</file>