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B54BF5" w:rsidRPr="00A91EAE" w14:paraId="0BDC4ACF" w14:textId="77777777" w:rsidTr="001515BC">
        <w:trPr>
          <w:gridAfter w:val="1"/>
          <w:wAfter w:w="99" w:type="dxa"/>
          <w:trHeight w:hRule="exact" w:val="418"/>
          <w:jc w:val="center"/>
        </w:trPr>
        <w:tc>
          <w:tcPr>
            <w:tcW w:w="8721" w:type="dxa"/>
            <w:gridSpan w:val="4"/>
          </w:tcPr>
          <w:p w14:paraId="4440FAA4" w14:textId="77777777" w:rsidR="00B54BF5" w:rsidRPr="00A91EAE" w:rsidRDefault="00B54BF5" w:rsidP="00333761">
            <w:pPr>
              <w:pStyle w:val="a3"/>
              <w:jc w:val="center"/>
              <w:rPr>
                <w:rFonts w:ascii="Tahoma" w:hAnsi="Tahoma" w:cs="Tahoma"/>
                <w:color w:val="000080"/>
                <w:rtl/>
              </w:rPr>
            </w:pPr>
            <w:bookmarkStart w:id="0" w:name="LastJudge"/>
            <w:r w:rsidRPr="00A91EAE">
              <w:rPr>
                <w:rFonts w:ascii="Tahoma" w:hAnsi="Tahoma" w:cs="Tahoma"/>
                <w:b/>
                <w:bCs/>
                <w:color w:val="000080"/>
                <w:rtl/>
              </w:rPr>
              <w:t>בית המשפט המחוזי מרכז-לוד</w:t>
            </w:r>
          </w:p>
        </w:tc>
      </w:tr>
      <w:tr w:rsidR="00B54BF5" w:rsidRPr="00A91EAE" w14:paraId="07080225" w14:textId="77777777" w:rsidTr="001515BC">
        <w:trPr>
          <w:gridAfter w:val="1"/>
          <w:wAfter w:w="99" w:type="dxa"/>
          <w:trHeight w:val="337"/>
          <w:jc w:val="center"/>
        </w:trPr>
        <w:tc>
          <w:tcPr>
            <w:tcW w:w="5058" w:type="dxa"/>
            <w:gridSpan w:val="3"/>
          </w:tcPr>
          <w:p w14:paraId="1D2EA9E3" w14:textId="77777777" w:rsidR="00B54BF5" w:rsidRPr="00A91EAE" w:rsidRDefault="00B54BF5" w:rsidP="00333761">
            <w:pPr>
              <w:rPr>
                <w:rFonts w:cs="FrankRuehl"/>
                <w:sz w:val="28"/>
                <w:szCs w:val="28"/>
                <w:rtl/>
              </w:rPr>
            </w:pPr>
            <w:r w:rsidRPr="00A91EAE">
              <w:rPr>
                <w:rFonts w:cs="FrankRuehl"/>
                <w:sz w:val="28"/>
                <w:szCs w:val="28"/>
                <w:rtl/>
              </w:rPr>
              <w:t>ת"פ</w:t>
            </w:r>
            <w:r w:rsidRPr="00A91EAE">
              <w:rPr>
                <w:rFonts w:cs="FrankRuehl" w:hint="cs"/>
                <w:sz w:val="28"/>
                <w:szCs w:val="28"/>
                <w:rtl/>
              </w:rPr>
              <w:t xml:space="preserve"> </w:t>
            </w:r>
            <w:r w:rsidRPr="00A91EAE">
              <w:rPr>
                <w:rFonts w:cs="FrankRuehl"/>
                <w:sz w:val="28"/>
                <w:szCs w:val="28"/>
                <w:rtl/>
              </w:rPr>
              <w:t>38550-12-23</w:t>
            </w:r>
            <w:r w:rsidRPr="00A91EAE">
              <w:rPr>
                <w:rFonts w:cs="FrankRuehl" w:hint="cs"/>
                <w:sz w:val="28"/>
                <w:szCs w:val="28"/>
                <w:rtl/>
              </w:rPr>
              <w:t xml:space="preserve"> </w:t>
            </w:r>
            <w:r w:rsidRPr="00A91EAE">
              <w:rPr>
                <w:rFonts w:cs="FrankRuehl"/>
                <w:sz w:val="28"/>
                <w:szCs w:val="28"/>
                <w:rtl/>
              </w:rPr>
              <w:t>מדינת ישראל נ' אגמיל(עציר) ואח'</w:t>
            </w:r>
          </w:p>
          <w:p w14:paraId="22383645" w14:textId="77777777" w:rsidR="00B54BF5" w:rsidRPr="00A91EAE" w:rsidRDefault="00B54BF5" w:rsidP="00333761">
            <w:pPr>
              <w:pStyle w:val="a3"/>
              <w:rPr>
                <w:rFonts w:cs="FrankRuehl"/>
                <w:sz w:val="28"/>
                <w:szCs w:val="28"/>
                <w:rtl/>
              </w:rPr>
            </w:pPr>
          </w:p>
        </w:tc>
        <w:tc>
          <w:tcPr>
            <w:tcW w:w="3663" w:type="dxa"/>
          </w:tcPr>
          <w:p w14:paraId="6186AF82" w14:textId="77777777" w:rsidR="00B54BF5" w:rsidRPr="00A91EAE" w:rsidRDefault="00B54BF5" w:rsidP="00333761">
            <w:pPr>
              <w:pStyle w:val="a3"/>
              <w:jc w:val="right"/>
              <w:rPr>
                <w:rFonts w:cs="FrankRuehl"/>
                <w:sz w:val="28"/>
                <w:szCs w:val="28"/>
                <w:rtl/>
              </w:rPr>
            </w:pPr>
          </w:p>
        </w:tc>
      </w:tr>
      <w:tr w:rsidR="00B54BF5" w:rsidRPr="00A91EAE" w14:paraId="25AB3C30" w14:textId="77777777" w:rsidTr="001515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946F8D7" w14:textId="77777777" w:rsidR="00B54BF5" w:rsidRPr="00A91EAE" w:rsidRDefault="00B54BF5" w:rsidP="00B54BF5">
            <w:pPr>
              <w:jc w:val="both"/>
              <w:rPr>
                <w:rFonts w:ascii="David" w:hAnsi="David"/>
                <w:sz w:val="26"/>
                <w:szCs w:val="26"/>
              </w:rPr>
            </w:pPr>
            <w:r w:rsidRPr="00A91EAE">
              <w:rPr>
                <w:rFonts w:hint="cs"/>
                <w:rtl/>
              </w:rPr>
              <w:t xml:space="preserve"> </w:t>
            </w:r>
            <w:r w:rsidRPr="00A91EAE">
              <w:rPr>
                <w:rFonts w:ascii="David" w:hAnsi="David" w:hint="cs"/>
                <w:sz w:val="26"/>
                <w:szCs w:val="26"/>
                <w:rtl/>
              </w:rPr>
              <w:t>ל</w:t>
            </w:r>
            <w:r w:rsidRPr="00A91EAE">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12C5412D" w14:textId="77777777" w:rsidR="00B54BF5" w:rsidRPr="00A91EAE" w:rsidRDefault="00B54BF5" w:rsidP="00333761">
            <w:pPr>
              <w:rPr>
                <w:rFonts w:ascii="David" w:hAnsi="David"/>
                <w:b/>
                <w:bCs/>
                <w:sz w:val="26"/>
                <w:szCs w:val="26"/>
                <w:rtl/>
              </w:rPr>
            </w:pPr>
            <w:r w:rsidRPr="00A91EAE">
              <w:rPr>
                <w:rFonts w:ascii="David" w:hAnsi="David"/>
                <w:b/>
                <w:bCs/>
                <w:sz w:val="26"/>
                <w:szCs w:val="26"/>
                <w:rtl/>
              </w:rPr>
              <w:t>כבוד השופטת  מרב גרינברג</w:t>
            </w:r>
          </w:p>
          <w:p w14:paraId="3462127F" w14:textId="77777777" w:rsidR="00B54BF5" w:rsidRPr="00A91EAE" w:rsidRDefault="00B54BF5" w:rsidP="00333761">
            <w:pPr>
              <w:rPr>
                <w:rFonts w:ascii="David" w:hAnsi="David"/>
                <w:sz w:val="26"/>
                <w:szCs w:val="26"/>
                <w:rtl/>
              </w:rPr>
            </w:pPr>
          </w:p>
          <w:p w14:paraId="316C5FFD" w14:textId="77777777" w:rsidR="00B54BF5" w:rsidRPr="00A91EAE" w:rsidRDefault="00B54BF5" w:rsidP="00B54BF5">
            <w:pPr>
              <w:jc w:val="both"/>
              <w:rPr>
                <w:rFonts w:ascii="David" w:hAnsi="David"/>
                <w:sz w:val="26"/>
                <w:szCs w:val="26"/>
              </w:rPr>
            </w:pPr>
          </w:p>
        </w:tc>
      </w:tr>
      <w:tr w:rsidR="00B54BF5" w:rsidRPr="00A91EAE" w14:paraId="7A5B1B37" w14:textId="77777777" w:rsidTr="001515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530B7A8" w14:textId="77777777" w:rsidR="00B54BF5" w:rsidRPr="00A91EAE" w:rsidRDefault="00B54BF5" w:rsidP="00B54BF5">
            <w:pPr>
              <w:jc w:val="both"/>
              <w:rPr>
                <w:rFonts w:ascii="David" w:hAnsi="David"/>
                <w:sz w:val="26"/>
                <w:szCs w:val="26"/>
              </w:rPr>
            </w:pPr>
            <w:bookmarkStart w:id="1" w:name="FirstAppellant"/>
            <w:r w:rsidRPr="00A91EAE">
              <w:rPr>
                <w:rFonts w:ascii="David" w:hAnsi="David"/>
                <w:sz w:val="26"/>
                <w:szCs w:val="26"/>
                <w:rtl/>
              </w:rPr>
              <w:t>בעניין:</w:t>
            </w:r>
          </w:p>
        </w:tc>
        <w:tc>
          <w:tcPr>
            <w:tcW w:w="3219" w:type="dxa"/>
            <w:tcBorders>
              <w:top w:val="nil"/>
              <w:left w:val="nil"/>
              <w:bottom w:val="nil"/>
              <w:right w:val="nil"/>
            </w:tcBorders>
            <w:shd w:val="clear" w:color="auto" w:fill="auto"/>
          </w:tcPr>
          <w:p w14:paraId="2902870B" w14:textId="77777777" w:rsidR="00B54BF5" w:rsidRPr="00A91EAE" w:rsidRDefault="00B54BF5" w:rsidP="00B54BF5">
            <w:pPr>
              <w:suppressLineNumbers/>
            </w:pPr>
            <w:r w:rsidRPr="00A91EAE">
              <w:rPr>
                <w:rFonts w:ascii="Arial" w:hAnsi="Arial" w:hint="cs"/>
                <w:b/>
                <w:bCs/>
                <w:sz w:val="26"/>
                <w:szCs w:val="26"/>
                <w:rtl/>
              </w:rPr>
              <w:t>ה</w:t>
            </w:r>
            <w:r w:rsidRPr="00A91EAE">
              <w:rPr>
                <w:rFonts w:ascii="Arial" w:hAnsi="Arial"/>
                <w:b/>
                <w:bCs/>
                <w:sz w:val="26"/>
                <w:szCs w:val="26"/>
                <w:rtl/>
              </w:rPr>
              <w:t>מאשימה</w:t>
            </w:r>
          </w:p>
          <w:p w14:paraId="610370C2" w14:textId="77777777" w:rsidR="00B54BF5" w:rsidRPr="00A91EAE" w:rsidRDefault="00B54BF5" w:rsidP="0033376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5C09B26B" w14:textId="77777777" w:rsidR="00B54BF5" w:rsidRPr="00A91EAE" w:rsidRDefault="00B54BF5" w:rsidP="00B54BF5">
            <w:pPr>
              <w:suppressLineNumbers/>
            </w:pPr>
            <w:r w:rsidRPr="00A91EAE">
              <w:rPr>
                <w:rFonts w:ascii="Arial" w:hAnsi="Arial"/>
                <w:b/>
                <w:bCs/>
                <w:sz w:val="26"/>
                <w:szCs w:val="26"/>
                <w:rtl/>
              </w:rPr>
              <w:t>מדינת ישראל</w:t>
            </w:r>
            <w:r w:rsidRPr="00A91EAE">
              <w:rPr>
                <w:rFonts w:ascii="Arial" w:hAnsi="Arial" w:hint="cs"/>
                <w:b/>
                <w:bCs/>
                <w:sz w:val="26"/>
                <w:szCs w:val="26"/>
                <w:rtl/>
              </w:rPr>
              <w:t xml:space="preserve"> </w:t>
            </w:r>
          </w:p>
          <w:p w14:paraId="7B0E9AF1" w14:textId="77777777" w:rsidR="00B54BF5" w:rsidRPr="00A91EAE" w:rsidRDefault="00B54BF5" w:rsidP="00333761">
            <w:pPr>
              <w:rPr>
                <w:rFonts w:ascii="David" w:hAnsi="David"/>
                <w:sz w:val="26"/>
                <w:szCs w:val="26"/>
              </w:rPr>
            </w:pPr>
          </w:p>
        </w:tc>
      </w:tr>
      <w:bookmarkEnd w:id="1"/>
      <w:tr w:rsidR="00B54BF5" w:rsidRPr="00A91EAE" w14:paraId="01D39393" w14:textId="77777777" w:rsidTr="001515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42FFD00" w14:textId="77777777" w:rsidR="00B54BF5" w:rsidRPr="00A91EAE" w:rsidRDefault="00B54BF5" w:rsidP="00B54BF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009B1C2" w14:textId="77777777" w:rsidR="00B54BF5" w:rsidRPr="00A91EAE" w:rsidRDefault="00B54BF5" w:rsidP="00B54BF5">
            <w:pPr>
              <w:jc w:val="center"/>
              <w:rPr>
                <w:rFonts w:ascii="David" w:hAnsi="David"/>
                <w:b/>
                <w:bCs/>
                <w:sz w:val="26"/>
                <w:szCs w:val="26"/>
                <w:rtl/>
              </w:rPr>
            </w:pPr>
          </w:p>
          <w:p w14:paraId="5EF52143" w14:textId="77777777" w:rsidR="00B54BF5" w:rsidRPr="00A91EAE" w:rsidRDefault="00B54BF5" w:rsidP="00B54BF5">
            <w:pPr>
              <w:jc w:val="center"/>
              <w:rPr>
                <w:rFonts w:ascii="David" w:hAnsi="David"/>
                <w:b/>
                <w:bCs/>
                <w:sz w:val="26"/>
                <w:szCs w:val="26"/>
                <w:rtl/>
              </w:rPr>
            </w:pPr>
            <w:r w:rsidRPr="00A91EAE">
              <w:rPr>
                <w:rFonts w:ascii="David" w:hAnsi="David"/>
                <w:b/>
                <w:bCs/>
                <w:sz w:val="26"/>
                <w:szCs w:val="26"/>
                <w:rtl/>
              </w:rPr>
              <w:t>נגד</w:t>
            </w:r>
          </w:p>
          <w:p w14:paraId="7D09F39C" w14:textId="77777777" w:rsidR="00B54BF5" w:rsidRPr="00A91EAE" w:rsidRDefault="00B54BF5" w:rsidP="00B54BF5">
            <w:pPr>
              <w:jc w:val="both"/>
              <w:rPr>
                <w:rFonts w:ascii="David" w:hAnsi="David"/>
                <w:sz w:val="26"/>
                <w:szCs w:val="26"/>
              </w:rPr>
            </w:pPr>
          </w:p>
        </w:tc>
      </w:tr>
      <w:tr w:rsidR="00B54BF5" w:rsidRPr="00A91EAE" w14:paraId="32D13183" w14:textId="77777777" w:rsidTr="001515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D11118" w14:textId="77777777" w:rsidR="00B54BF5" w:rsidRPr="00A91EAE" w:rsidRDefault="00B54BF5" w:rsidP="00333761">
            <w:pPr>
              <w:rPr>
                <w:rFonts w:ascii="David" w:hAnsi="David"/>
                <w:sz w:val="26"/>
                <w:szCs w:val="26"/>
                <w:rtl/>
              </w:rPr>
            </w:pPr>
          </w:p>
        </w:tc>
        <w:tc>
          <w:tcPr>
            <w:tcW w:w="3219" w:type="dxa"/>
            <w:tcBorders>
              <w:top w:val="nil"/>
              <w:left w:val="nil"/>
              <w:bottom w:val="nil"/>
              <w:right w:val="nil"/>
            </w:tcBorders>
            <w:shd w:val="clear" w:color="auto" w:fill="auto"/>
          </w:tcPr>
          <w:p w14:paraId="6B89A361" w14:textId="77777777" w:rsidR="00B54BF5" w:rsidRPr="00A91EAE" w:rsidRDefault="00B54BF5" w:rsidP="00333761">
            <w:pPr>
              <w:rPr>
                <w:rFonts w:ascii="Arial" w:hAnsi="Arial"/>
                <w:b/>
                <w:bCs/>
                <w:sz w:val="26"/>
                <w:szCs w:val="26"/>
                <w:rtl/>
              </w:rPr>
            </w:pPr>
            <w:r w:rsidRPr="00A91EAE">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1A4DB308" w14:textId="77777777" w:rsidR="00B54BF5" w:rsidRPr="00A91EAE" w:rsidRDefault="00B54BF5" w:rsidP="00333761">
            <w:pPr>
              <w:rPr>
                <w:rFonts w:ascii="David" w:hAnsi="David"/>
                <w:sz w:val="26"/>
                <w:szCs w:val="26"/>
              </w:rPr>
            </w:pPr>
          </w:p>
          <w:p w14:paraId="31D9F7E0" w14:textId="77777777" w:rsidR="00B54BF5" w:rsidRPr="00A91EAE" w:rsidRDefault="00B54BF5" w:rsidP="00B54BF5">
            <w:pPr>
              <w:suppressLineNumbers/>
            </w:pPr>
            <w:r w:rsidRPr="00A91EAE">
              <w:rPr>
                <w:rFonts w:ascii="Arial" w:hAnsi="Arial"/>
                <w:b/>
                <w:bCs/>
                <w:sz w:val="26"/>
                <w:szCs w:val="26"/>
                <w:rtl/>
              </w:rPr>
              <w:t>1. כארם אגמיל (עציר)</w:t>
            </w:r>
            <w:r w:rsidRPr="00A91EAE">
              <w:rPr>
                <w:rFonts w:ascii="Arial" w:hAnsi="Arial" w:hint="cs"/>
                <w:b/>
                <w:bCs/>
                <w:sz w:val="26"/>
                <w:szCs w:val="26"/>
                <w:rtl/>
              </w:rPr>
              <w:t xml:space="preserve"> </w:t>
            </w:r>
          </w:p>
          <w:p w14:paraId="1207082C" w14:textId="77777777" w:rsidR="00B54BF5" w:rsidRPr="00A91EAE" w:rsidRDefault="00B54BF5" w:rsidP="00B54BF5">
            <w:pPr>
              <w:suppressLineNumbers/>
            </w:pPr>
            <w:r w:rsidRPr="00A91EAE">
              <w:rPr>
                <w:rFonts w:ascii="Arial" w:hAnsi="Arial"/>
                <w:b/>
                <w:bCs/>
                <w:sz w:val="26"/>
                <w:szCs w:val="26"/>
                <w:rtl/>
              </w:rPr>
              <w:t>2. אברהים גמיל (עציר)</w:t>
            </w:r>
            <w:r w:rsidRPr="00A91EAE">
              <w:rPr>
                <w:rFonts w:ascii="Arial" w:hAnsi="Arial" w:hint="cs"/>
                <w:b/>
                <w:bCs/>
                <w:sz w:val="26"/>
                <w:szCs w:val="26"/>
                <w:rtl/>
              </w:rPr>
              <w:t xml:space="preserve"> </w:t>
            </w:r>
          </w:p>
        </w:tc>
      </w:tr>
    </w:tbl>
    <w:p w14:paraId="1E654AE7" w14:textId="77777777" w:rsidR="00A91EAE" w:rsidRPr="00A91EAE" w:rsidRDefault="00A91EAE" w:rsidP="00A91EAE">
      <w:pPr>
        <w:spacing w:before="120" w:after="120" w:line="240" w:lineRule="exact"/>
        <w:ind w:left="283" w:hanging="283"/>
        <w:jc w:val="both"/>
        <w:rPr>
          <w:rFonts w:ascii="FrankRuehl" w:hAnsi="FrankRuehl" w:cs="FrankRuehl"/>
          <w:rtl/>
        </w:rPr>
      </w:pPr>
    </w:p>
    <w:p w14:paraId="2EF7515E" w14:textId="77777777" w:rsidR="00A91EAE" w:rsidRPr="00A91EAE" w:rsidRDefault="00A91EAE" w:rsidP="00A91EAE">
      <w:pPr>
        <w:rPr>
          <w:sz w:val="26"/>
          <w:szCs w:val="26"/>
          <w:rtl/>
        </w:rPr>
      </w:pPr>
    </w:p>
    <w:p w14:paraId="60F947A2" w14:textId="77777777" w:rsidR="00D356D4" w:rsidRPr="00D356D4" w:rsidRDefault="00D356D4" w:rsidP="00D356D4">
      <w:pPr>
        <w:spacing w:before="120" w:after="120" w:line="240" w:lineRule="exact"/>
        <w:ind w:left="283" w:hanging="283"/>
        <w:jc w:val="both"/>
        <w:rPr>
          <w:rFonts w:ascii="FrankRuehl" w:hAnsi="FrankRuehl" w:cs="FrankRuehl"/>
          <w:rtl/>
        </w:rPr>
      </w:pPr>
      <w:bookmarkStart w:id="2" w:name="LawTable"/>
      <w:bookmarkEnd w:id="2"/>
    </w:p>
    <w:p w14:paraId="563DEC70" w14:textId="77777777" w:rsidR="00D356D4" w:rsidRPr="00D356D4" w:rsidRDefault="00D356D4" w:rsidP="00D356D4">
      <w:pPr>
        <w:spacing w:before="120" w:after="120" w:line="240" w:lineRule="exact"/>
        <w:ind w:left="283" w:hanging="283"/>
        <w:jc w:val="both"/>
        <w:rPr>
          <w:rFonts w:ascii="FrankRuehl" w:hAnsi="FrankRuehl" w:cs="FrankRuehl"/>
          <w:rtl/>
        </w:rPr>
      </w:pPr>
      <w:r w:rsidRPr="00D356D4">
        <w:rPr>
          <w:rFonts w:ascii="FrankRuehl" w:hAnsi="FrankRuehl" w:cs="FrankRuehl"/>
          <w:rtl/>
        </w:rPr>
        <w:t xml:space="preserve">חקיקה שאוזכרה: </w:t>
      </w:r>
    </w:p>
    <w:p w14:paraId="20A475AE" w14:textId="77777777" w:rsidR="00D356D4" w:rsidRPr="00D356D4" w:rsidRDefault="00D356D4" w:rsidP="00D356D4">
      <w:pPr>
        <w:spacing w:before="120" w:after="120" w:line="240" w:lineRule="exact"/>
        <w:ind w:left="283" w:hanging="283"/>
        <w:jc w:val="both"/>
        <w:rPr>
          <w:rFonts w:ascii="FrankRuehl" w:hAnsi="FrankRuehl" w:cs="FrankRuehl"/>
          <w:color w:val="0000FF"/>
          <w:rtl/>
        </w:rPr>
      </w:pPr>
      <w:hyperlink r:id="rId7" w:history="1">
        <w:r w:rsidRPr="00D356D4">
          <w:rPr>
            <w:rStyle w:val="Hyperlink"/>
            <w:rFonts w:ascii="FrankRuehl" w:hAnsi="FrankRuehl" w:cs="FrankRuehl"/>
            <w:u w:val="none"/>
            <w:rtl/>
          </w:rPr>
          <w:t>חוק העונשין, תשל"ז-1977</w:t>
        </w:r>
      </w:hyperlink>
      <w:r w:rsidRPr="00D356D4">
        <w:rPr>
          <w:rFonts w:ascii="FrankRuehl" w:hAnsi="FrankRuehl" w:cs="FrankRuehl"/>
          <w:color w:val="0000FF"/>
          <w:rtl/>
        </w:rPr>
        <w:t xml:space="preserve">: סע'  </w:t>
      </w:r>
      <w:hyperlink r:id="rId8" w:history="1">
        <w:r w:rsidRPr="00D356D4">
          <w:rPr>
            <w:rStyle w:val="Hyperlink"/>
            <w:rFonts w:ascii="FrankRuehl" w:hAnsi="FrankRuehl" w:cs="FrankRuehl"/>
            <w:u w:val="none"/>
          </w:rPr>
          <w:t>29</w:t>
        </w:r>
      </w:hyperlink>
      <w:r w:rsidRPr="00D356D4">
        <w:rPr>
          <w:rFonts w:ascii="FrankRuehl" w:hAnsi="FrankRuehl" w:cs="FrankRuehl"/>
          <w:color w:val="0000FF"/>
          <w:rtl/>
        </w:rPr>
        <w:t xml:space="preserve">(א), </w:t>
      </w:r>
      <w:hyperlink r:id="rId9" w:history="1">
        <w:r w:rsidRPr="00D356D4">
          <w:rPr>
            <w:rStyle w:val="Hyperlink"/>
            <w:rFonts w:ascii="FrankRuehl" w:hAnsi="FrankRuehl" w:cs="FrankRuehl"/>
            <w:u w:val="none"/>
          </w:rPr>
          <w:t>144</w:t>
        </w:r>
      </w:hyperlink>
      <w:r w:rsidRPr="00D356D4">
        <w:rPr>
          <w:rFonts w:ascii="FrankRuehl" w:hAnsi="FrankRuehl" w:cs="FrankRuehl"/>
          <w:color w:val="0000FF"/>
          <w:rtl/>
        </w:rPr>
        <w:t xml:space="preserve">(א), </w:t>
      </w:r>
      <w:hyperlink r:id="rId10" w:history="1">
        <w:r w:rsidRPr="00D356D4">
          <w:rPr>
            <w:rStyle w:val="Hyperlink"/>
            <w:rFonts w:ascii="FrankRuehl" w:hAnsi="FrankRuehl" w:cs="FrankRuehl"/>
            <w:u w:val="none"/>
          </w:rPr>
          <w:t>275</w:t>
        </w:r>
      </w:hyperlink>
      <w:r w:rsidRPr="00D356D4">
        <w:rPr>
          <w:rFonts w:ascii="FrankRuehl" w:hAnsi="FrankRuehl" w:cs="FrankRuehl"/>
          <w:color w:val="0000FF"/>
          <w:rtl/>
        </w:rPr>
        <w:t xml:space="preserve">, </w:t>
      </w:r>
      <w:hyperlink r:id="rId11" w:history="1">
        <w:r w:rsidRPr="00D356D4">
          <w:rPr>
            <w:rStyle w:val="Hyperlink"/>
            <w:rFonts w:ascii="FrankRuehl" w:hAnsi="FrankRuehl" w:cs="FrankRuehl"/>
            <w:u w:val="none"/>
          </w:rPr>
          <w:t>287</w:t>
        </w:r>
      </w:hyperlink>
      <w:r w:rsidRPr="00D356D4">
        <w:rPr>
          <w:rFonts w:ascii="FrankRuehl" w:hAnsi="FrankRuehl" w:cs="FrankRuehl"/>
          <w:color w:val="0000FF"/>
          <w:rtl/>
        </w:rPr>
        <w:t>(א)</w:t>
      </w:r>
    </w:p>
    <w:p w14:paraId="60436AC0" w14:textId="77777777" w:rsidR="00D356D4" w:rsidRPr="00D356D4" w:rsidRDefault="00D356D4" w:rsidP="00D356D4">
      <w:pPr>
        <w:spacing w:before="120" w:after="120" w:line="240" w:lineRule="exact"/>
        <w:ind w:left="283" w:hanging="283"/>
        <w:jc w:val="both"/>
        <w:rPr>
          <w:rFonts w:ascii="FrankRuehl" w:hAnsi="FrankRuehl" w:cs="FrankRuehl"/>
          <w:color w:val="0000FF"/>
          <w:rtl/>
        </w:rPr>
      </w:pPr>
      <w:hyperlink r:id="rId12" w:history="1">
        <w:r w:rsidRPr="00D356D4">
          <w:rPr>
            <w:rStyle w:val="Hyperlink"/>
            <w:rFonts w:ascii="FrankRuehl" w:hAnsi="FrankRuehl" w:cs="FrankRuehl"/>
            <w:u w:val="none"/>
            <w:rtl/>
          </w:rPr>
          <w:t>פקודת התעבורה [נוסח חדש</w:t>
        </w:r>
        <w:r w:rsidRPr="00D356D4">
          <w:rPr>
            <w:rStyle w:val="Hyperlink"/>
            <w:rFonts w:ascii="FrankRuehl" w:hAnsi="FrankRuehl" w:cs="FrankRuehl"/>
            <w:u w:val="none"/>
          </w:rPr>
          <w:t>]</w:t>
        </w:r>
      </w:hyperlink>
      <w:r w:rsidRPr="00D356D4">
        <w:rPr>
          <w:rFonts w:ascii="FrankRuehl" w:hAnsi="FrankRuehl" w:cs="FrankRuehl"/>
          <w:color w:val="0000FF"/>
          <w:rtl/>
        </w:rPr>
        <w:t xml:space="preserve">: סע'  </w:t>
      </w:r>
      <w:hyperlink r:id="rId13" w:history="1">
        <w:r w:rsidRPr="00D356D4">
          <w:rPr>
            <w:rStyle w:val="Hyperlink"/>
            <w:rFonts w:ascii="FrankRuehl" w:hAnsi="FrankRuehl" w:cs="FrankRuehl"/>
            <w:u w:val="none"/>
          </w:rPr>
          <w:t>38.2</w:t>
        </w:r>
      </w:hyperlink>
      <w:r w:rsidRPr="00D356D4">
        <w:rPr>
          <w:rFonts w:ascii="FrankRuehl" w:hAnsi="FrankRuehl" w:cs="FrankRuehl"/>
          <w:color w:val="0000FF"/>
          <w:rtl/>
        </w:rPr>
        <w:t xml:space="preserve">, </w:t>
      </w:r>
      <w:hyperlink r:id="rId14" w:history="1">
        <w:r w:rsidRPr="00D356D4">
          <w:rPr>
            <w:rStyle w:val="Hyperlink"/>
            <w:rFonts w:ascii="FrankRuehl" w:hAnsi="FrankRuehl" w:cs="FrankRuehl"/>
            <w:u w:val="none"/>
          </w:rPr>
          <w:t>62.2.</w:t>
        </w:r>
      </w:hyperlink>
    </w:p>
    <w:p w14:paraId="15634016" w14:textId="77777777" w:rsidR="00B54BF5" w:rsidRDefault="00B54BF5" w:rsidP="00D356D4">
      <w:pPr>
        <w:rPr>
          <w:rFonts w:hint="cs"/>
          <w:sz w:val="26"/>
          <w:szCs w:val="26"/>
          <w:rtl/>
        </w:rPr>
      </w:pPr>
      <w:bookmarkStart w:id="3" w:name="LawTable_End"/>
      <w:bookmarkEnd w:id="3"/>
    </w:p>
    <w:p w14:paraId="1B9E5AE5" w14:textId="77777777" w:rsidR="00D356D4" w:rsidRDefault="00D356D4" w:rsidP="00D356D4">
      <w:pPr>
        <w:rPr>
          <w:rFonts w:hint="cs"/>
          <w:sz w:val="26"/>
          <w:szCs w:val="26"/>
          <w:rtl/>
        </w:rPr>
      </w:pPr>
    </w:p>
    <w:p w14:paraId="2511C0EF" w14:textId="77777777" w:rsidR="00D356D4" w:rsidRDefault="00D356D4" w:rsidP="00D356D4">
      <w:pPr>
        <w:rPr>
          <w:rFonts w:hint="cs"/>
          <w:sz w:val="26"/>
          <w:szCs w:val="26"/>
          <w:rtl/>
        </w:rPr>
      </w:pPr>
    </w:p>
    <w:p w14:paraId="35235E14" w14:textId="77777777" w:rsidR="00D356D4" w:rsidRPr="00D356D4" w:rsidRDefault="00D356D4" w:rsidP="00D356D4">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4BF5" w14:paraId="433C7EDB" w14:textId="77777777" w:rsidTr="00B54BF5">
        <w:trPr>
          <w:trHeight w:val="355"/>
          <w:jc w:val="center"/>
        </w:trPr>
        <w:tc>
          <w:tcPr>
            <w:tcW w:w="8820" w:type="dxa"/>
            <w:tcBorders>
              <w:top w:val="nil"/>
              <w:left w:val="nil"/>
              <w:bottom w:val="nil"/>
              <w:right w:val="nil"/>
            </w:tcBorders>
            <w:shd w:val="clear" w:color="auto" w:fill="auto"/>
          </w:tcPr>
          <w:p w14:paraId="28DCE328" w14:textId="77777777" w:rsidR="00A91EAE" w:rsidRPr="00A91EAE" w:rsidRDefault="00A91EAE" w:rsidP="00A91EAE">
            <w:pPr>
              <w:jc w:val="center"/>
              <w:rPr>
                <w:rFonts w:ascii="David" w:hAnsi="David"/>
                <w:b/>
                <w:bCs/>
                <w:sz w:val="32"/>
                <w:szCs w:val="32"/>
                <w:u w:val="single"/>
                <w:rtl/>
              </w:rPr>
            </w:pPr>
            <w:bookmarkStart w:id="4" w:name="PsakDin" w:colFirst="0" w:colLast="0"/>
            <w:bookmarkEnd w:id="0"/>
            <w:r w:rsidRPr="00A91EAE">
              <w:rPr>
                <w:rFonts w:ascii="David" w:hAnsi="David"/>
                <w:b/>
                <w:bCs/>
                <w:sz w:val="32"/>
                <w:szCs w:val="32"/>
                <w:u w:val="single"/>
                <w:rtl/>
              </w:rPr>
              <w:t>גזר דין</w:t>
            </w:r>
          </w:p>
          <w:p w14:paraId="3D0350B8" w14:textId="77777777" w:rsidR="00B54BF5" w:rsidRPr="00A91EAE" w:rsidRDefault="00B54BF5" w:rsidP="00A91EAE">
            <w:pPr>
              <w:jc w:val="center"/>
              <w:rPr>
                <w:rFonts w:ascii="David" w:hAnsi="David"/>
                <w:bCs/>
                <w:sz w:val="32"/>
                <w:szCs w:val="32"/>
                <w:u w:val="single"/>
                <w:rtl/>
              </w:rPr>
            </w:pPr>
          </w:p>
        </w:tc>
      </w:tr>
      <w:bookmarkEnd w:id="4"/>
    </w:tbl>
    <w:p w14:paraId="02DB7380" w14:textId="77777777" w:rsidR="00B54BF5" w:rsidRPr="000F2247" w:rsidRDefault="00B54BF5" w:rsidP="00B54BF5">
      <w:pPr>
        <w:rPr>
          <w:rFonts w:ascii="Arial" w:hAnsi="Arial"/>
          <w:b/>
          <w:bCs/>
          <w:sz w:val="26"/>
          <w:szCs w:val="26"/>
          <w:rtl/>
        </w:rPr>
      </w:pPr>
    </w:p>
    <w:p w14:paraId="37EAA41B" w14:textId="77777777" w:rsidR="00B54BF5" w:rsidRDefault="00B54BF5" w:rsidP="00B54BF5">
      <w:pPr>
        <w:numPr>
          <w:ilvl w:val="0"/>
          <w:numId w:val="1"/>
        </w:numPr>
        <w:spacing w:line="360" w:lineRule="auto"/>
        <w:jc w:val="both"/>
        <w:rPr>
          <w:rtl/>
        </w:rPr>
      </w:pPr>
      <w:bookmarkStart w:id="5" w:name="ABSTRACT_START"/>
      <w:bookmarkEnd w:id="5"/>
      <w:r>
        <w:rPr>
          <w:rFonts w:hint="cs"/>
          <w:rtl/>
        </w:rPr>
        <w:t xml:space="preserve">הנאשמים הורשעו במסגרת הסדר דיוני בעובדות כתב האישום </w:t>
      </w:r>
      <w:r>
        <w:rPr>
          <w:rFonts w:hint="cs"/>
          <w:b/>
          <w:bCs/>
          <w:rtl/>
        </w:rPr>
        <w:t xml:space="preserve">בעבירה של החזקת נשק בצוותא </w:t>
      </w:r>
      <w:r>
        <w:rPr>
          <w:rFonts w:hint="cs"/>
          <w:rtl/>
        </w:rPr>
        <w:t xml:space="preserve">לפי </w:t>
      </w:r>
      <w:hyperlink r:id="rId15" w:history="1">
        <w:r w:rsidR="001515BC" w:rsidRPr="001515BC">
          <w:rPr>
            <w:rStyle w:val="Hyperlink"/>
            <w:rFonts w:hint="eastAsia"/>
            <w:rtl/>
          </w:rPr>
          <w:t>סעיף</w:t>
        </w:r>
        <w:r w:rsidR="001515BC" w:rsidRPr="001515BC">
          <w:rPr>
            <w:rStyle w:val="Hyperlink"/>
            <w:rtl/>
          </w:rPr>
          <w:t xml:space="preserve"> 144(א)</w:t>
        </w:r>
      </w:hyperlink>
      <w:r>
        <w:rPr>
          <w:rFonts w:hint="cs"/>
          <w:rtl/>
        </w:rPr>
        <w:t xml:space="preserve"> רישא וסיפא </w:t>
      </w:r>
      <w:hyperlink r:id="rId16" w:history="1">
        <w:r w:rsidR="001515BC" w:rsidRPr="001515BC">
          <w:rPr>
            <w:rStyle w:val="Hyperlink"/>
            <w:rFonts w:hint="eastAsia"/>
            <w:rtl/>
          </w:rPr>
          <w:t>וסעיף</w:t>
        </w:r>
        <w:r w:rsidR="001515BC" w:rsidRPr="001515BC">
          <w:rPr>
            <w:rStyle w:val="Hyperlink"/>
            <w:rtl/>
          </w:rPr>
          <w:t xml:space="preserve"> 29(א)</w:t>
        </w:r>
      </w:hyperlink>
      <w:r>
        <w:rPr>
          <w:rFonts w:hint="cs"/>
          <w:rtl/>
        </w:rPr>
        <w:t xml:space="preserve"> ל</w:t>
      </w:r>
      <w:hyperlink r:id="rId17" w:history="1">
        <w:r w:rsidR="00A91EAE" w:rsidRPr="00A91EAE">
          <w:rPr>
            <w:color w:val="0000FF"/>
            <w:u w:val="single"/>
            <w:rtl/>
          </w:rPr>
          <w:t>חוק העונשין</w:t>
        </w:r>
      </w:hyperlink>
      <w:r>
        <w:rPr>
          <w:rFonts w:hint="cs"/>
          <w:rtl/>
        </w:rPr>
        <w:t xml:space="preserve">, תשל"ז-1977 (להלן: "החוק"). נאשם 1 הורשע בנוסף בעבירות של הפרעה לשוטר לפי </w:t>
      </w:r>
      <w:hyperlink r:id="rId18" w:history="1">
        <w:r w:rsidR="001515BC" w:rsidRPr="001515BC">
          <w:rPr>
            <w:rStyle w:val="Hyperlink"/>
            <w:rFonts w:hint="eastAsia"/>
            <w:rtl/>
          </w:rPr>
          <w:t>סעיף</w:t>
        </w:r>
        <w:r w:rsidR="001515BC" w:rsidRPr="001515BC">
          <w:rPr>
            <w:rStyle w:val="Hyperlink"/>
            <w:rtl/>
          </w:rPr>
          <w:t xml:space="preserve"> 275</w:t>
        </w:r>
      </w:hyperlink>
      <w:r>
        <w:rPr>
          <w:rFonts w:hint="cs"/>
          <w:rtl/>
        </w:rPr>
        <w:t xml:space="preserve"> לחוק, הפרת הוראה חוקית לפי </w:t>
      </w:r>
      <w:hyperlink r:id="rId19" w:history="1">
        <w:r w:rsidR="001515BC" w:rsidRPr="001515BC">
          <w:rPr>
            <w:rStyle w:val="Hyperlink"/>
            <w:rFonts w:hint="eastAsia"/>
            <w:rtl/>
          </w:rPr>
          <w:t>סעיף</w:t>
        </w:r>
        <w:r w:rsidR="001515BC" w:rsidRPr="001515BC">
          <w:rPr>
            <w:rStyle w:val="Hyperlink"/>
            <w:rtl/>
          </w:rPr>
          <w:t xml:space="preserve"> 287(א)</w:t>
        </w:r>
      </w:hyperlink>
      <w:r>
        <w:rPr>
          <w:rFonts w:hint="cs"/>
          <w:rtl/>
        </w:rPr>
        <w:t xml:space="preserve"> לחוק ונהיגה בקלות ראש אשר גרמה לתאונה בה ניזוק רכוש לפי </w:t>
      </w:r>
      <w:hyperlink r:id="rId20" w:history="1">
        <w:r w:rsidR="00D356D4" w:rsidRPr="00D356D4">
          <w:rPr>
            <w:rStyle w:val="Hyperlink"/>
            <w:rFonts w:hint="eastAsia"/>
            <w:rtl/>
          </w:rPr>
          <w:t>סעיף</w:t>
        </w:r>
        <w:r w:rsidR="00D356D4" w:rsidRPr="00D356D4">
          <w:rPr>
            <w:rStyle w:val="Hyperlink"/>
            <w:rtl/>
          </w:rPr>
          <w:t xml:space="preserve"> 62(2)+38(2)</w:t>
        </w:r>
      </w:hyperlink>
      <w:r>
        <w:rPr>
          <w:rFonts w:hint="cs"/>
          <w:rtl/>
        </w:rPr>
        <w:t xml:space="preserve"> ל</w:t>
      </w:r>
      <w:hyperlink r:id="rId21" w:history="1">
        <w:r w:rsidR="00A91EAE" w:rsidRPr="00A91EAE">
          <w:rPr>
            <w:color w:val="0000FF"/>
            <w:u w:val="single"/>
            <w:rtl/>
          </w:rPr>
          <w:t>פקודת התעבורה</w:t>
        </w:r>
      </w:hyperlink>
      <w:r>
        <w:rPr>
          <w:rFonts w:hint="cs"/>
          <w:rtl/>
        </w:rPr>
        <w:t xml:space="preserve">. </w:t>
      </w:r>
    </w:p>
    <w:p w14:paraId="3FA678E7" w14:textId="77777777" w:rsidR="00B54BF5" w:rsidRDefault="00B54BF5" w:rsidP="00B54BF5">
      <w:pPr>
        <w:spacing w:line="360" w:lineRule="auto"/>
        <w:ind w:left="720"/>
        <w:contextualSpacing/>
        <w:jc w:val="both"/>
      </w:pPr>
      <w:bookmarkStart w:id="6" w:name="ABSTRACT_END"/>
      <w:bookmarkEnd w:id="6"/>
    </w:p>
    <w:p w14:paraId="7078FF45" w14:textId="77777777" w:rsidR="00B54BF5" w:rsidRDefault="00B54BF5" w:rsidP="00B54BF5">
      <w:pPr>
        <w:numPr>
          <w:ilvl w:val="0"/>
          <w:numId w:val="1"/>
        </w:numPr>
        <w:spacing w:line="360" w:lineRule="auto"/>
        <w:jc w:val="both"/>
      </w:pPr>
      <w:r>
        <w:rPr>
          <w:rFonts w:hint="cs"/>
          <w:rtl/>
        </w:rPr>
        <w:t xml:space="preserve">כמפורט בכתב האישום המתוקן ביום 7.12.23 נסעו הנאשמים ברכב בו נהג נאשם 1 ברחבי טייבה, הנאשמים החזיקו ברכב תיק כחול ובו רובה סער </w:t>
      </w:r>
      <w:r>
        <w:t>M-4</w:t>
      </w:r>
      <w:r>
        <w:rPr>
          <w:rFonts w:hint="cs"/>
          <w:rtl/>
        </w:rPr>
        <w:t xml:space="preserve"> מפורק עם אביזר נשק כוונת טלסקופית ולצדו מחסנית ובה 30 כדורי 5.56 מ"מ. בעת נסיעתם ביצע השוטר אלכס מחסום באמצעות ניידת, כשהגיע נאשם 1 לכיוון הניידת, האט את מהירות נסיעתו ומייד אח"כ האיץ במהירות, עקף את הניידת ופגע בחלקה האחורי והחל בבריחה. בנסיבות אלו החל השוטר אלכס במרדף אחרי הרכב והורה לנאשמים לעצור. על אף האמור המשיך נאשם </w:t>
      </w:r>
      <w:r>
        <w:rPr>
          <w:rFonts w:hint="cs"/>
          <w:rtl/>
        </w:rPr>
        <w:lastRenderedPageBreak/>
        <w:t xml:space="preserve">1 בנסיעתו כשאחד הנאשמים השליך דרך חלון הנוסע את התיק ובו הנשק. לאורך 1.8 ק"מ לא נענה נאשם 1 לקריאות השוטר לעצור, המשיך בנסיעה מהירה עד שנעצר בדרך ללא מוצא. כתוצאה מהפגיעה נגרם לניידת נזק בדמות שבר בפגוש ובפנס האחורי. במועד ביצוע המעשים נאסר על נאשם 1 לשהות בעיר טייבה מכח החלטת קצין משטרה והנאשם הפירה. </w:t>
      </w:r>
    </w:p>
    <w:p w14:paraId="6CE5F399" w14:textId="77777777" w:rsidR="00B54BF5" w:rsidRDefault="00B54BF5" w:rsidP="00B54BF5">
      <w:pPr>
        <w:spacing w:line="360" w:lineRule="auto"/>
        <w:ind w:left="720"/>
        <w:contextualSpacing/>
        <w:jc w:val="both"/>
      </w:pPr>
    </w:p>
    <w:p w14:paraId="4CBF2666" w14:textId="77777777" w:rsidR="00B54BF5" w:rsidRDefault="00B54BF5" w:rsidP="00B54BF5">
      <w:pPr>
        <w:pStyle w:val="aa"/>
        <w:numPr>
          <w:ilvl w:val="0"/>
          <w:numId w:val="1"/>
        </w:numPr>
        <w:spacing w:line="360" w:lineRule="auto"/>
        <w:jc w:val="both"/>
        <w:rPr>
          <w:b/>
          <w:bCs/>
          <w:u w:val="single"/>
        </w:rPr>
      </w:pPr>
      <w:r>
        <w:rPr>
          <w:rFonts w:hint="cs"/>
          <w:rtl/>
        </w:rPr>
        <w:t xml:space="preserve">הנאשמים הודו והורשעו בכתב אישום מתוקן בהמשך להליך גישור שנדון לפני כב' השופט טרסי, ללא הסכמות עונשיות.  </w:t>
      </w:r>
    </w:p>
    <w:p w14:paraId="5C30ED98" w14:textId="77777777" w:rsidR="00B54BF5" w:rsidRPr="000752CE" w:rsidRDefault="00B54BF5" w:rsidP="00B54BF5">
      <w:pPr>
        <w:pStyle w:val="aa"/>
        <w:rPr>
          <w:b/>
          <w:bCs/>
          <w:u w:val="single"/>
          <w:rtl/>
        </w:rPr>
      </w:pPr>
    </w:p>
    <w:p w14:paraId="5C17D88D" w14:textId="77777777" w:rsidR="00B54BF5" w:rsidRDefault="00B54BF5" w:rsidP="00B54BF5">
      <w:pPr>
        <w:pStyle w:val="aa"/>
        <w:spacing w:line="360" w:lineRule="auto"/>
        <w:jc w:val="both"/>
        <w:rPr>
          <w:b/>
          <w:bCs/>
          <w:u w:val="single"/>
          <w:rtl/>
        </w:rPr>
      </w:pPr>
    </w:p>
    <w:p w14:paraId="19DB8E7D" w14:textId="77777777" w:rsidR="00B54BF5" w:rsidRDefault="00B54BF5" w:rsidP="00B54BF5">
      <w:pPr>
        <w:spacing w:line="360" w:lineRule="auto"/>
        <w:ind w:left="720"/>
        <w:contextualSpacing/>
        <w:jc w:val="both"/>
        <w:rPr>
          <w:rtl/>
        </w:rPr>
      </w:pPr>
    </w:p>
    <w:p w14:paraId="16F60F27" w14:textId="77777777" w:rsidR="00B54BF5" w:rsidRDefault="00B54BF5" w:rsidP="00B54BF5">
      <w:pPr>
        <w:spacing w:line="360" w:lineRule="auto"/>
        <w:ind w:firstLine="360"/>
        <w:jc w:val="both"/>
        <w:rPr>
          <w:b/>
          <w:bCs/>
          <w:u w:val="single"/>
          <w:rtl/>
        </w:rPr>
      </w:pPr>
      <w:r>
        <w:rPr>
          <w:rFonts w:hint="cs"/>
          <w:b/>
          <w:bCs/>
          <w:u w:val="single"/>
          <w:rtl/>
        </w:rPr>
        <w:t>תמצית הטיעונים לעונש</w:t>
      </w:r>
    </w:p>
    <w:p w14:paraId="78B0186A" w14:textId="77777777" w:rsidR="00B54BF5" w:rsidRDefault="00B54BF5" w:rsidP="00B54BF5">
      <w:pPr>
        <w:numPr>
          <w:ilvl w:val="0"/>
          <w:numId w:val="1"/>
        </w:numPr>
        <w:spacing w:line="360" w:lineRule="auto"/>
        <w:jc w:val="both"/>
        <w:rPr>
          <w:rtl/>
        </w:rPr>
      </w:pPr>
      <w:r>
        <w:rPr>
          <w:rFonts w:hint="cs"/>
          <w:rtl/>
        </w:rPr>
        <w:t xml:space="preserve">המאשימה, באמצעות ב"כ עו"ד גבי פאר, עמדה בטיעוניה על חומרת מעשי הנאשמים (טיעונים בכתב, מסומן ת/1), פגיעתם בערכים המוגנים של הגנה על שלום הציבור וביטחונו והסיכון הרב הגלום במעשים. עוד עמדה על נסיבות החמורות של המעשים, שבוצעו במהלך המלחמה וסוג הנשק- נשק אוטומטי, לצד כוונת טלסקופית ותחמושת. לטענתה נסיבות המעשים מלמדים על תכנון מוקדם, נאשם 1 חטא בנוסף בכך שנמלט משוטרים והפר הוראה חוקית, כשלא ידוע מי מהשניים השליך את התיק מהרכב במהלך המלטותם משוטרים. עוד נטען כי הרכב נעצר אך משום שהגיע לדרך ללא מוצא ולא ביוזמת הנאשמים. אשר לרמת הענישה הפנתה המאשימה לרמת הענישה המחמירה בעבירות נשק ותיקון 140 לחוק, לשיטתה יש להחמיר עם הנאשמים, לא ידועה הסיבה שבה החזיקו בנשק, מדובר בנשק אוטומטי שגלום בו סיכון רב ונשקף סיכון שהנשק יועד או הוחזק לצורך ביצוע עבירות פליליות או בטחוניות. עוד סבור ב"כ המאשימה שאין להתחשב בכך שהנשק הוחזק מפורק, הנשק ניתן לשימוש כשלצדו כוונת ותחמושת תואמת. לשיטת המאשימה, המתחם ההולם נע בין 24-48 חודשי מאסר בגין עבירת החזקת נשק מסוג רובה סער ומאסר נוסף בגין עבירת התחמושת. אשר לנאשם 1 עותרת המאשימה בגין מעשיו למתחם שנע בין 32-56 חודשי מאסר, וביחס לנאשם 2 למתחם הנע בין 28-52 חודשי מאסר. נאשם 1 בעל עבר פלילי רלוונטי, כולל שתי הרשעות בעבירות נשק, הנאשם לא הורתע ממאסרים שהוטלו עליו ולא מהוראות חוקיות, השתחרר בחודש אוגוסט 22 ושב לסורו. עברו הפלילי מלמד על מעורבותו העמוקה בעולם הנשק הבלתי חוקי, לחובת הנאשם מאסר על תנאי בן 12 חודשים בר הפעלה. המאשימה מבקשת למקם את עונשו של נאשם 1 באמצע המתחם, לגזור עליו 44 חודשי מאסר ולהפעיל את תקופת התנאי במצטבר לצד ענישה נלווית בדמות מאסר על תנאי, קנס ועונשי פסילה. אשר לנאשם 2, לחובתו הרשעה ישנה יחסית בעבירת נשק (2013). על כן מבוקש למקמו בחלק העליון של השליש התחתון של מתחם הענישה לצד ענישה נלווית דומה. </w:t>
      </w:r>
    </w:p>
    <w:p w14:paraId="16A5A521" w14:textId="77777777" w:rsidR="00B54BF5" w:rsidRDefault="00B54BF5" w:rsidP="00B54BF5">
      <w:pPr>
        <w:spacing w:line="360" w:lineRule="auto"/>
        <w:ind w:left="720"/>
        <w:contextualSpacing/>
        <w:jc w:val="both"/>
      </w:pPr>
    </w:p>
    <w:p w14:paraId="6BBC97F6" w14:textId="77777777" w:rsidR="00B54BF5" w:rsidRDefault="00B54BF5" w:rsidP="00B54BF5">
      <w:pPr>
        <w:numPr>
          <w:ilvl w:val="0"/>
          <w:numId w:val="1"/>
        </w:numPr>
        <w:spacing w:line="360" w:lineRule="auto"/>
        <w:jc w:val="both"/>
      </w:pPr>
      <w:r>
        <w:rPr>
          <w:rFonts w:hint="cs"/>
          <w:rtl/>
        </w:rPr>
        <w:lastRenderedPageBreak/>
        <w:t xml:space="preserve">ב"כ נאשם 1, עו"ד שאדי נאטור, שם את הדגש בטיעוניו על כך שהנשק הוחזק מפורק, כשלטענתו, נסיבות החזקת הנשק מקילות ומאפשרות קביעת מתחם מתון יותר מהרגיל. לדבריו נסיבות המעשה מלמדות על סיכון נמוך, הנשק לא הוחזק נגיש לשימוש, לא ידוע אם לנאשמים היה את הידע המתאים לחבר בין חלקי הנשק ולהפעילו, ולא הובהר בכתב האישום לכמה חלקים פורק. לפיכך סבור שניתן להשוותו לנשק שהוחזק עבור אחר וכי הפסיקה מצאה לקבוע מתחמים מתונים יותר בנסיבות אלו, על כן עותר למתחם המתחיל בתקופת מאסר הניתנת לריצוי בדרך של עבודות שירות ועד 24 חודשי מאסר. ב"כ הנאשם סבור שיש להתחשב בכך שהנאשם ביצע את המעשים שנה ומחצה לאחר שחרורו ממאסר ולא ניתן ללמוד מהם שמדובר בעבריין נשק רצדביסט כטענת המאשימה. עוד הפנה לפסיקה, שבה לשיטתו במקרים דומים בנסיבות המעשה או העושה, נגזרו על נאשמים עונשי מאסר מתונים. </w:t>
      </w:r>
    </w:p>
    <w:p w14:paraId="3D1EA251" w14:textId="77777777" w:rsidR="00B54BF5" w:rsidRDefault="00B54BF5" w:rsidP="00B54BF5">
      <w:pPr>
        <w:pStyle w:val="aa"/>
      </w:pPr>
    </w:p>
    <w:p w14:paraId="5B45D145" w14:textId="77777777" w:rsidR="00B54BF5" w:rsidRDefault="00B54BF5" w:rsidP="00B54BF5">
      <w:pPr>
        <w:spacing w:line="360" w:lineRule="auto"/>
        <w:ind w:left="720"/>
        <w:contextualSpacing/>
        <w:jc w:val="both"/>
        <w:rPr>
          <w:rtl/>
        </w:rPr>
      </w:pPr>
    </w:p>
    <w:p w14:paraId="207A27B9" w14:textId="77777777" w:rsidR="00B54BF5" w:rsidRDefault="00B54BF5" w:rsidP="00B54BF5">
      <w:pPr>
        <w:numPr>
          <w:ilvl w:val="0"/>
          <w:numId w:val="1"/>
        </w:numPr>
        <w:spacing w:line="360" w:lineRule="auto"/>
        <w:jc w:val="both"/>
        <w:rPr>
          <w:rtl/>
        </w:rPr>
      </w:pPr>
      <w:r>
        <w:rPr>
          <w:rFonts w:hint="cs"/>
          <w:rtl/>
        </w:rPr>
        <w:t xml:space="preserve">ב"כ הנאשם, עו"ד תילוואי, סבור אף הוא כי נסיבות מעשי הנאשמים יחודיות וכי יש לאבחן בין החזקת נשק שלם זמין לתפעול לבין החזקת חלקי נשק מפורקים. לדבריו בנסיבות אלו מתחם הענישה צריך להיות נמוך. עוד הפנה לכך שהנשק הוחזק לזמן קצר, לא היה טעון ואוחסן בתוך תיק. אשר לנסיבות נאשם 2 נטען כי הוא אב לשני ילדים שסובלים מאוטיזם, עברו ישן, מצבו האישי קשה והוא משמש כמפרנס יחידי בבית. על כן מבקש להסתפק במאסר החופף את ימי מעצרו. </w:t>
      </w:r>
    </w:p>
    <w:p w14:paraId="0952AE04" w14:textId="77777777" w:rsidR="00B54BF5" w:rsidRDefault="00B54BF5" w:rsidP="00B54BF5">
      <w:pPr>
        <w:spacing w:line="360" w:lineRule="auto"/>
        <w:ind w:left="720"/>
        <w:contextualSpacing/>
        <w:jc w:val="both"/>
      </w:pPr>
    </w:p>
    <w:p w14:paraId="43EA7FB5" w14:textId="77777777" w:rsidR="00B54BF5" w:rsidRDefault="00B54BF5" w:rsidP="00B54BF5">
      <w:pPr>
        <w:numPr>
          <w:ilvl w:val="0"/>
          <w:numId w:val="1"/>
        </w:numPr>
        <w:spacing w:line="360" w:lineRule="auto"/>
        <w:jc w:val="both"/>
      </w:pPr>
      <w:r>
        <w:rPr>
          <w:rFonts w:hint="cs"/>
          <w:rtl/>
        </w:rPr>
        <w:t xml:space="preserve">מטעם נאשם 2 העידה אשתו, לדבריה היא מתקשה לגדל לבדה את שני ילדיהם הזקוקים לטיפול מיוחד וביקשה להתחשב במצב המשפחה. נאשם 2 הוסיף בדבריו לעונש שלקח אחריות על מעשיו, אין לו ניסיון בנשק, הוא עבר חיים קשים ומבקש להשתחרר כדי לסייע לטפל בילדיו. </w:t>
      </w:r>
    </w:p>
    <w:p w14:paraId="16321BB2" w14:textId="77777777" w:rsidR="00B54BF5" w:rsidRDefault="00B54BF5" w:rsidP="00B54BF5">
      <w:pPr>
        <w:pStyle w:val="aa"/>
      </w:pPr>
    </w:p>
    <w:p w14:paraId="1B5D4672" w14:textId="77777777" w:rsidR="00B54BF5" w:rsidRDefault="00B54BF5" w:rsidP="00B54BF5">
      <w:pPr>
        <w:spacing w:line="360" w:lineRule="auto"/>
        <w:jc w:val="both"/>
        <w:rPr>
          <w:b/>
          <w:bCs/>
          <w:u w:val="single"/>
          <w:rtl/>
        </w:rPr>
      </w:pPr>
      <w:r>
        <w:rPr>
          <w:rFonts w:hint="cs"/>
          <w:b/>
          <w:bCs/>
          <w:u w:val="single"/>
          <w:rtl/>
        </w:rPr>
        <w:t>דיון והכרעה</w:t>
      </w:r>
    </w:p>
    <w:p w14:paraId="64644187" w14:textId="77777777" w:rsidR="00B54BF5" w:rsidRDefault="00B54BF5" w:rsidP="00B54BF5">
      <w:pPr>
        <w:spacing w:line="360" w:lineRule="auto"/>
        <w:jc w:val="both"/>
        <w:rPr>
          <w:b/>
          <w:bCs/>
          <w:u w:val="single"/>
          <w:rtl/>
        </w:rPr>
      </w:pPr>
      <w:r>
        <w:rPr>
          <w:rFonts w:hint="cs"/>
          <w:b/>
          <w:bCs/>
          <w:u w:val="single"/>
          <w:rtl/>
        </w:rPr>
        <w:t>מתחם העונש ההולם</w:t>
      </w:r>
    </w:p>
    <w:p w14:paraId="7532C822" w14:textId="77777777" w:rsidR="00B54BF5" w:rsidRDefault="00B54BF5" w:rsidP="00B54BF5">
      <w:pPr>
        <w:numPr>
          <w:ilvl w:val="0"/>
          <w:numId w:val="1"/>
        </w:numPr>
        <w:spacing w:after="160" w:line="360" w:lineRule="auto"/>
        <w:contextualSpacing/>
        <w:jc w:val="both"/>
        <w:rPr>
          <w:rtl/>
        </w:rPr>
      </w:pPr>
      <w:r>
        <w:rPr>
          <w:rFonts w:hint="cs"/>
          <w:rtl/>
        </w:rPr>
        <w:t>עבירות הנשק הפכו זה מכבר למכת מדינה ומגלמות סכנה ממשית לשלום הציבור ולביטחונו. חומרתן היתרה של עבירות אלה אינה מתמצה אך בעבירות גופן אלא בפוטנציאל הנזק הנובע מהן. מדיניות הענישה בעבירות נשק באשר הן מצויה במגמת החמרה נוקשה ועקבית, תוך מתן משקל כבד לשיקולי הרתעה, אף בנסיבות עבירה שאינן ברף הגבוה וכשמדובר בעבירה קצרת מועד. מגמה זו אחידה ועיקבית ביחס לכלל עברייני הנשק, אף כשהם נעדרי עבר פלילי והאירוע חריג באורח חייהם (</w:t>
      </w:r>
      <w:hyperlink r:id="rId22" w:history="1">
        <w:r w:rsidR="00A91EAE" w:rsidRPr="00A91EAE">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23" w:history="1">
        <w:r w:rsidR="00A91EAE" w:rsidRPr="00A91EAE">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24" w:history="1">
        <w:r w:rsidR="00A91EAE" w:rsidRPr="00A91EAE">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25" w:history="1">
        <w:r w:rsidR="00A91EAE" w:rsidRPr="00A91EAE">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ע"פ 78/21 </w:t>
      </w:r>
      <w:r>
        <w:rPr>
          <w:rFonts w:hint="cs"/>
          <w:b/>
          <w:bCs/>
          <w:rtl/>
        </w:rPr>
        <w:t>פלוני נ' מדינת</w:t>
      </w:r>
      <w:r>
        <w:rPr>
          <w:rFonts w:hint="cs"/>
          <w:rtl/>
        </w:rPr>
        <w:t xml:space="preserve"> </w:t>
      </w:r>
      <w:r>
        <w:rPr>
          <w:rFonts w:hint="cs"/>
          <w:b/>
          <w:bCs/>
          <w:rtl/>
        </w:rPr>
        <w:t>ישראל</w:t>
      </w:r>
      <w:r>
        <w:rPr>
          <w:rFonts w:hint="cs"/>
          <w:rtl/>
        </w:rPr>
        <w:t xml:space="preserve"> (26.7.2022) (להלן: "עניין פלוני"); </w:t>
      </w:r>
      <w:hyperlink r:id="rId26" w:history="1">
        <w:r w:rsidR="00A91EAE" w:rsidRPr="00A91EAE">
          <w:rPr>
            <w:color w:val="0000FF"/>
            <w:u w:val="single"/>
            <w:rtl/>
          </w:rPr>
          <w:t>ע"פ 116/13</w:t>
        </w:r>
      </w:hyperlink>
      <w:r w:rsidR="00A91EAE">
        <w:rPr>
          <w:rFonts w:hint="cs"/>
          <w:rtl/>
        </w:rPr>
        <w:t xml:space="preserve"> </w:t>
      </w:r>
      <w:r>
        <w:rPr>
          <w:rFonts w:hint="cs"/>
          <w:b/>
          <w:bCs/>
          <w:rtl/>
        </w:rPr>
        <w:t>וקנין נ' מדינת ישראל</w:t>
      </w:r>
      <w:r>
        <w:rPr>
          <w:rFonts w:hint="cs"/>
          <w:rtl/>
        </w:rPr>
        <w:t>,</w:t>
      </w:r>
      <w:r w:rsidR="00A91EAE">
        <w:rPr>
          <w:rFonts w:hint="cs"/>
          <w:rtl/>
        </w:rPr>
        <w:t xml:space="preserve"> </w:t>
      </w:r>
      <w:r>
        <w:rPr>
          <w:rFonts w:hint="cs"/>
          <w:rtl/>
        </w:rPr>
        <w:t xml:space="preserve">פס' 7 (31.7.2013)). מגמה זו קיבלה ביטוי גם בחקיקה, במסגרת תיקון 140 לחוק שנכנס לתוקף ביום 8.12.21, בו נקבעו עונשי מינימום לעבירות נשק באשר הן, באופן שככלל, העונש שיושת בגין עבירות אלו, לא יפחת מרבע העונש המרבי שנקבע לעבירה. </w:t>
      </w:r>
    </w:p>
    <w:p w14:paraId="3834B65D" w14:textId="77777777" w:rsidR="00B54BF5" w:rsidRDefault="00B54BF5" w:rsidP="00B54BF5">
      <w:pPr>
        <w:spacing w:after="160" w:line="360" w:lineRule="auto"/>
        <w:ind w:left="720"/>
        <w:contextualSpacing/>
        <w:jc w:val="both"/>
        <w:rPr>
          <w:rtl/>
        </w:rPr>
      </w:pPr>
    </w:p>
    <w:p w14:paraId="5944EAEB" w14:textId="77777777" w:rsidR="00B54BF5" w:rsidRDefault="00B54BF5" w:rsidP="00B54BF5">
      <w:pPr>
        <w:numPr>
          <w:ilvl w:val="0"/>
          <w:numId w:val="1"/>
        </w:numPr>
        <w:spacing w:after="120" w:line="360" w:lineRule="auto"/>
        <w:contextualSpacing/>
        <w:jc w:val="both"/>
        <w:rPr>
          <w:b/>
          <w:bCs/>
          <w:u w:val="single"/>
          <w:rtl/>
        </w:rPr>
      </w:pPr>
      <w:r>
        <w:rPr>
          <w:rFonts w:hint="cs"/>
          <w:b/>
          <w:bCs/>
          <w:rtl/>
        </w:rPr>
        <w:t>אשר לנסיבות מעשי הנאשמים</w:t>
      </w:r>
      <w:r>
        <w:rPr>
          <w:rFonts w:hint="cs"/>
          <w:rtl/>
        </w:rPr>
        <w:t xml:space="preserve">- הנאשמים הובילו יחדיו ברכב תיק ובו נשק התקפי מסוג רובה סער </w:t>
      </w:r>
      <w:r>
        <w:t>M-4</w:t>
      </w:r>
      <w:r>
        <w:rPr>
          <w:rFonts w:hint="cs"/>
          <w:rtl/>
        </w:rPr>
        <w:t xml:space="preserve"> מפורק ולצדו כוונת טלסקופית ותחמושת. ב"כ הנאשמים ביקשו בטיעוניהם ליתן משקל נכבד לכך שהנשק הוחזק מפורק. אלא שהנשק לא הוחזק בבית, מפורק לחלקים שאוחסנו במקומות שונים כי אם בתיק שאותו החזיקו הנאשמים ברכבו של נאשם 1 בנוסעם ברחבי העיר טייבה. מטרת החזקתו אינה ידועה אך נסיבות החזקתו לצד כוונת ותחמושת והמלטות הנאשמים מהשוטרים מעידים כי הוחזק לצורך שימוש בלתי חוקי, בין אם ע"י מי מהנאשמים ובין ע"י אחרים. אופן החזקת הנשק מעיד שלא היה מוכן לשימוש מיידי בו אך כאמור אין מחלוקת בין הצדדים שהנאשמים החזיקו את כל חלקי הנשק, טענת ההגנה כי לא ידעו כיצד להרכיבו אינה מתיישבת עם עברם הפלילי הרלוונטי. נאשם 1 הוסיף במעשיו הנלווים חטא על פשע, הוא שהה בעיר טייבה חרף החלטת קצין משטרה שהרחיקו, לא שעה להוראת שוטרים לעצור, נמלט במהירות ממחסום ופגע בתוך כך בניידת וגרם לה נזק. מסע הבריחה של הנאשמים הסתיים אך משום שנכנסו לרחוב ללא מוצא. בהנתן סוג הנשק- נשק התקפי, החזקת אביזר ותחמושת לצדו, בעודם נוסעים ברכב, תוך התחשבות במצב הנשק שנתפס מפורק ובתוך תיק, מצאתי לקבוע כי מעשי הנאשמים פגעו בערכים המוגנים ברף בינוני. </w:t>
      </w:r>
    </w:p>
    <w:p w14:paraId="43F5311B" w14:textId="77777777" w:rsidR="00B54BF5" w:rsidRDefault="00B54BF5" w:rsidP="00B54BF5">
      <w:pPr>
        <w:spacing w:after="120" w:line="360" w:lineRule="auto"/>
        <w:ind w:left="720"/>
        <w:contextualSpacing/>
        <w:jc w:val="both"/>
        <w:rPr>
          <w:b/>
          <w:bCs/>
          <w:u w:val="single"/>
        </w:rPr>
      </w:pPr>
    </w:p>
    <w:p w14:paraId="3069BCB0" w14:textId="77777777" w:rsidR="00B54BF5" w:rsidRDefault="00B54BF5" w:rsidP="00B54BF5">
      <w:pPr>
        <w:spacing w:line="360" w:lineRule="auto"/>
        <w:rPr>
          <w:rtl/>
        </w:rPr>
      </w:pPr>
      <w:r>
        <w:rPr>
          <w:rFonts w:hint="cs"/>
          <w:b/>
          <w:bCs/>
          <w:u w:val="single"/>
          <w:rtl/>
        </w:rPr>
        <w:t>מדיניות הענישה הנוהגת</w:t>
      </w:r>
    </w:p>
    <w:p w14:paraId="63788AA5" w14:textId="77777777" w:rsidR="00B54BF5" w:rsidRDefault="00B54BF5" w:rsidP="00B54BF5">
      <w:pPr>
        <w:numPr>
          <w:ilvl w:val="0"/>
          <w:numId w:val="1"/>
        </w:numPr>
        <w:spacing w:after="160" w:line="360" w:lineRule="auto"/>
        <w:contextualSpacing/>
        <w:jc w:val="both"/>
        <w:rPr>
          <w:rFonts w:ascii="David" w:eastAsia="David" w:hAnsi="David"/>
          <w:rtl/>
        </w:rPr>
      </w:pPr>
      <w:r>
        <w:rPr>
          <w:rFonts w:hint="cs"/>
          <w:rtl/>
        </w:rPr>
        <w:t xml:space="preserve">בפסיקה ענפה הושתו על נושאי נשק עונשי מאסר מאחורי סורג ובריח לתקופות לא קצרות. בנסיבות החזקת הנשק במצב מפורק אין כדי להחריגן ממתחם הענישה ההולם עבירות נשק וממגמת ההחמרה ברמת הענישה בעבירות אלו, </w:t>
      </w:r>
      <w:r>
        <w:rPr>
          <w:rFonts w:hint="cs"/>
          <w:b/>
          <w:bCs/>
          <w:rtl/>
        </w:rPr>
        <w:t xml:space="preserve">"המסר העונשי הנגזר ממדיניות הענישה האמורה הוא כי שומר נפשו ושלומו – ירחק מעבירות הנשק באשר הן, קלות כחמורות" </w:t>
      </w:r>
      <w:r>
        <w:rPr>
          <w:rFonts w:hint="cs"/>
          <w:rtl/>
        </w:rPr>
        <w:t>(ע"פ 78/21</w:t>
      </w:r>
      <w:r>
        <w:rPr>
          <w:rFonts w:hint="cs"/>
          <w:b/>
          <w:bCs/>
          <w:rtl/>
        </w:rPr>
        <w:t xml:space="preserve"> פלוני נ' מדינת ישראל </w:t>
      </w:r>
      <w:r>
        <w:rPr>
          <w:rFonts w:hint="cs"/>
          <w:rtl/>
        </w:rPr>
        <w:t>פסקה 10</w:t>
      </w:r>
      <w:r>
        <w:rPr>
          <w:rFonts w:hint="cs"/>
          <w:b/>
          <w:bCs/>
          <w:rtl/>
        </w:rPr>
        <w:t xml:space="preserve"> </w:t>
      </w:r>
      <w:r>
        <w:rPr>
          <w:rFonts w:hint="cs"/>
          <w:rtl/>
        </w:rPr>
        <w:t>(26.7.22).</w:t>
      </w:r>
    </w:p>
    <w:p w14:paraId="226BCC90" w14:textId="77777777" w:rsidR="00B54BF5" w:rsidRDefault="00B54BF5" w:rsidP="00B54BF5">
      <w:pPr>
        <w:spacing w:after="160" w:line="360" w:lineRule="auto"/>
        <w:ind w:left="720"/>
        <w:contextualSpacing/>
        <w:jc w:val="both"/>
      </w:pPr>
    </w:p>
    <w:p w14:paraId="1C936404" w14:textId="77777777" w:rsidR="00B54BF5" w:rsidRDefault="00B54BF5" w:rsidP="00B54BF5">
      <w:pPr>
        <w:spacing w:after="160" w:line="360" w:lineRule="auto"/>
        <w:ind w:left="720"/>
        <w:contextualSpacing/>
        <w:jc w:val="both"/>
      </w:pPr>
      <w:r>
        <w:rPr>
          <w:rFonts w:hint="cs"/>
          <w:rtl/>
        </w:rPr>
        <w:t>ב</w:t>
      </w:r>
      <w:hyperlink r:id="rId27" w:history="1">
        <w:r w:rsidR="00A91EAE" w:rsidRPr="00A91EAE">
          <w:rPr>
            <w:color w:val="0000FF"/>
            <w:u w:val="single"/>
            <w:rtl/>
          </w:rPr>
          <w:t>ע"פ 637/24</w:t>
        </w:r>
      </w:hyperlink>
      <w:r>
        <w:rPr>
          <w:rFonts w:hint="cs"/>
          <w:rtl/>
        </w:rPr>
        <w:t xml:space="preserve"> </w:t>
      </w:r>
      <w:r>
        <w:rPr>
          <w:rFonts w:hint="cs"/>
          <w:b/>
          <w:bCs/>
          <w:rtl/>
        </w:rPr>
        <w:t xml:space="preserve">זועבי נ' מדינת ישראל </w:t>
      </w:r>
      <w:r>
        <w:rPr>
          <w:rFonts w:hint="cs"/>
          <w:rtl/>
        </w:rPr>
        <w:t xml:space="preserve">(19.2.24) נדחה ערעור נאשם שהורשע בהחזקה בצוותא ברכב רובה סער דמוי </w:t>
      </w:r>
      <w:r>
        <w:t>M-16</w:t>
      </w:r>
      <w:r>
        <w:rPr>
          <w:rFonts w:hint="cs"/>
          <w:rtl/>
        </w:rPr>
        <w:t xml:space="preserve"> טעון במחסנית ריקה מתאימה. נקבע מתחם הנע בין 36-20 חודשי מאסר. בהתחשב בהודאתו לאחר שהתקיימו מספר דיוני הוכחות, תקופת מעצר ממושכת ונסיבותיו האישיות, ומנגד הרשעה קודמת שאינה מתחום הנשק, נדון למאסר בן 20 חודשים; </w:t>
      </w:r>
    </w:p>
    <w:p w14:paraId="5D70ADAA" w14:textId="77777777" w:rsidR="00B54BF5" w:rsidRDefault="00B54BF5" w:rsidP="00B54BF5">
      <w:pPr>
        <w:spacing w:after="160" w:line="360" w:lineRule="auto"/>
        <w:ind w:left="720"/>
        <w:contextualSpacing/>
        <w:jc w:val="both"/>
        <w:rPr>
          <w:rtl/>
        </w:rPr>
      </w:pPr>
    </w:p>
    <w:p w14:paraId="46C34626" w14:textId="77777777" w:rsidR="00B54BF5" w:rsidRDefault="00B54BF5" w:rsidP="00B54BF5">
      <w:pPr>
        <w:spacing w:after="160" w:line="360" w:lineRule="auto"/>
        <w:ind w:left="720"/>
        <w:contextualSpacing/>
        <w:jc w:val="both"/>
        <w:rPr>
          <w:rtl/>
        </w:rPr>
      </w:pPr>
      <w:r>
        <w:rPr>
          <w:rFonts w:hint="cs"/>
          <w:rtl/>
        </w:rPr>
        <w:t>ב</w:t>
      </w:r>
      <w:hyperlink r:id="rId28" w:history="1">
        <w:r w:rsidR="00A91EAE" w:rsidRPr="00A91EAE">
          <w:rPr>
            <w:color w:val="0000FF"/>
            <w:u w:val="single"/>
            <w:rtl/>
          </w:rPr>
          <w:t>ע"פ 6806/23</w:t>
        </w:r>
      </w:hyperlink>
      <w:r>
        <w:rPr>
          <w:rFonts w:hint="cs"/>
          <w:rtl/>
        </w:rPr>
        <w:t xml:space="preserve"> </w:t>
      </w:r>
      <w:r>
        <w:rPr>
          <w:rFonts w:hint="cs"/>
          <w:b/>
          <w:bCs/>
          <w:rtl/>
        </w:rPr>
        <w:t xml:space="preserve">סעדיאיב נ' מדינת ישראל </w:t>
      </w:r>
      <w:r>
        <w:rPr>
          <w:rFonts w:hint="cs"/>
          <w:rtl/>
        </w:rPr>
        <w:t>(27.9.23) נדחה ערעור נאשם שהורשע בעבירות החזקת ונשיאת אקדח טעון על גופו. בדירתו החזיק תחמושת נוספת. נקבע מתחם ענישה הנע בין 40-18 חודשי מאסר. נוכח מצבו הרפואי הלא פשוט, ובצד זאת עבר פלילי בעבירות סמים ורכוש, נדון למאסר בן 20 חודשים;</w:t>
      </w:r>
    </w:p>
    <w:p w14:paraId="4C66EF27" w14:textId="77777777" w:rsidR="00B54BF5" w:rsidRDefault="00B54BF5" w:rsidP="00B54BF5">
      <w:pPr>
        <w:spacing w:after="160" w:line="360" w:lineRule="auto"/>
        <w:ind w:left="720"/>
        <w:contextualSpacing/>
        <w:jc w:val="both"/>
        <w:rPr>
          <w:rtl/>
        </w:rPr>
      </w:pPr>
    </w:p>
    <w:p w14:paraId="23F192B9" w14:textId="77777777" w:rsidR="00B54BF5" w:rsidRDefault="00B54BF5" w:rsidP="00B54BF5">
      <w:pPr>
        <w:spacing w:after="120" w:line="360" w:lineRule="auto"/>
        <w:ind w:left="720"/>
        <w:contextualSpacing/>
        <w:jc w:val="both"/>
        <w:rPr>
          <w:rtl/>
        </w:rPr>
      </w:pPr>
      <w:r>
        <w:rPr>
          <w:rFonts w:hint="cs"/>
          <w:rtl/>
        </w:rPr>
        <w:t>ב</w:t>
      </w:r>
      <w:hyperlink r:id="rId29" w:history="1">
        <w:r w:rsidR="00A91EAE" w:rsidRPr="00A91EAE">
          <w:rPr>
            <w:color w:val="0000FF"/>
            <w:u w:val="single"/>
            <w:rtl/>
          </w:rPr>
          <w:t>ע"פ 166/22</w:t>
        </w:r>
      </w:hyperlink>
      <w:r>
        <w:rPr>
          <w:rFonts w:hint="cs"/>
          <w:rtl/>
        </w:rPr>
        <w:t xml:space="preserve"> </w:t>
      </w:r>
      <w:r>
        <w:rPr>
          <w:rFonts w:hint="cs"/>
          <w:b/>
          <w:bCs/>
          <w:rtl/>
        </w:rPr>
        <w:t xml:space="preserve">טאהא נ' מדינת ישראל </w:t>
      </w:r>
      <w:r>
        <w:rPr>
          <w:rFonts w:hint="cs"/>
          <w:rtl/>
        </w:rPr>
        <w:t xml:space="preserve">(1.6.2022) הורשע נאשם בהחזקת תת מקלע מאולתר ברכבו, הנאשם החזיקו לבקשת אחר, הנשק נמצא בחיפוש ערך שוטר ברכב. נקבע מתחם הנע בין 40-20 חודשי מאסר. הנאשם, צעיר ללא עבר, נדון למאסר בן 22 חודשים. ערעורו נדחה; </w:t>
      </w:r>
    </w:p>
    <w:p w14:paraId="059677BC" w14:textId="77777777" w:rsidR="00B54BF5" w:rsidRDefault="00B54BF5" w:rsidP="00B54BF5">
      <w:pPr>
        <w:spacing w:after="160" w:line="360" w:lineRule="auto"/>
        <w:ind w:left="720"/>
        <w:contextualSpacing/>
        <w:jc w:val="both"/>
        <w:rPr>
          <w:rFonts w:ascii="David" w:eastAsia="David" w:hAnsi="David"/>
          <w:rtl/>
        </w:rPr>
      </w:pPr>
    </w:p>
    <w:p w14:paraId="787C276F" w14:textId="77777777" w:rsidR="00B54BF5" w:rsidRDefault="00A91EAE" w:rsidP="00B54BF5">
      <w:pPr>
        <w:spacing w:after="120" w:line="360" w:lineRule="auto"/>
        <w:ind w:left="720"/>
        <w:contextualSpacing/>
        <w:jc w:val="both"/>
      </w:pPr>
      <w:hyperlink r:id="rId30" w:history="1">
        <w:r w:rsidRPr="00A91EAE">
          <w:rPr>
            <w:color w:val="0000FF"/>
            <w:u w:val="single"/>
            <w:rtl/>
          </w:rPr>
          <w:t>ע"פ 1695/22</w:t>
        </w:r>
      </w:hyperlink>
      <w:r w:rsidR="00B54BF5" w:rsidRPr="000752CE">
        <w:rPr>
          <w:rtl/>
        </w:rPr>
        <w:t xml:space="preserve"> </w:t>
      </w:r>
      <w:r w:rsidR="00B54BF5" w:rsidRPr="000752CE">
        <w:rPr>
          <w:rFonts w:hint="cs"/>
          <w:b/>
          <w:bCs/>
          <w:rtl/>
        </w:rPr>
        <w:t xml:space="preserve">מדינת </w:t>
      </w:r>
      <w:r w:rsidR="00B54BF5">
        <w:rPr>
          <w:rFonts w:hint="cs"/>
          <w:b/>
          <w:bCs/>
          <w:rtl/>
        </w:rPr>
        <w:t xml:space="preserve">ישראל נ' גנאים ואח' </w:t>
      </w:r>
      <w:r w:rsidR="00B54BF5">
        <w:rPr>
          <w:rFonts w:hint="cs"/>
          <w:rtl/>
        </w:rPr>
        <w:t xml:space="preserve">(29.3.2022) הוחמר עונשו של נאשם שהחזיק תת מקלע מאולתר בתצורה של רובה סער </w:t>
      </w:r>
      <w:r w:rsidR="00B54BF5">
        <w:t>M16</w:t>
      </w:r>
      <w:r w:rsidR="00B54BF5">
        <w:rPr>
          <w:rFonts w:hint="cs"/>
          <w:rtl/>
        </w:rPr>
        <w:t xml:space="preserve">, לצד מחסנית מאולתרת תואמת. הנאשם צעיר ללא עבר פלילי נדון ל- 19 חודשים. בית המשפט העליון קיבל את ערעור המדינה והעמיד את עונשו על 22 חודשי מאסר, בהתחשב, בין היתר, בסוג הנשק;  </w:t>
      </w:r>
    </w:p>
    <w:p w14:paraId="4E01B9BF" w14:textId="77777777" w:rsidR="00B54BF5" w:rsidRDefault="00B54BF5" w:rsidP="00B54BF5">
      <w:pPr>
        <w:spacing w:after="120" w:line="360" w:lineRule="auto"/>
        <w:ind w:left="720"/>
        <w:contextualSpacing/>
        <w:jc w:val="both"/>
        <w:rPr>
          <w:rtl/>
        </w:rPr>
      </w:pPr>
    </w:p>
    <w:p w14:paraId="333FA7EF" w14:textId="77777777" w:rsidR="00B54BF5" w:rsidRDefault="00B54BF5" w:rsidP="00B54BF5">
      <w:pPr>
        <w:spacing w:after="120" w:line="360" w:lineRule="auto"/>
        <w:ind w:left="720"/>
        <w:contextualSpacing/>
        <w:jc w:val="both"/>
        <w:rPr>
          <w:rtl/>
        </w:rPr>
      </w:pPr>
      <w:r>
        <w:rPr>
          <w:rFonts w:hint="cs"/>
          <w:rtl/>
        </w:rPr>
        <w:t>ב</w:t>
      </w:r>
      <w:hyperlink r:id="rId31" w:history="1">
        <w:r w:rsidR="00A91EAE" w:rsidRPr="00A91EAE">
          <w:rPr>
            <w:color w:val="0000FF"/>
            <w:u w:val="single"/>
            <w:rtl/>
          </w:rPr>
          <w:t>ע"פ 1826/19</w:t>
        </w:r>
      </w:hyperlink>
      <w:r>
        <w:rPr>
          <w:rFonts w:hint="cs"/>
          <w:rtl/>
        </w:rPr>
        <w:t xml:space="preserve"> </w:t>
      </w:r>
      <w:r>
        <w:rPr>
          <w:rFonts w:hint="cs"/>
          <w:b/>
          <w:bCs/>
          <w:rtl/>
        </w:rPr>
        <w:t>אבו עסא נ' מדינת ישראל</w:t>
      </w:r>
      <w:r>
        <w:rPr>
          <w:rFonts w:hint="cs"/>
          <w:rtl/>
        </w:rPr>
        <w:t xml:space="preserve"> (11.7.2019) נדחה ערעורו של נאשם, שהורשע בהחזקת נשק אוטומטי, בית המשפט קבע מתחם עונשי שנע בין 15-36 חודשי מאסר. על הנאשם, צעיר, ללא עבר בעל סיכויי שיקום, נגזרו 18 חודשי מאסר;</w:t>
      </w:r>
    </w:p>
    <w:p w14:paraId="2C1A439B" w14:textId="77777777" w:rsidR="00B54BF5" w:rsidRDefault="00B54BF5" w:rsidP="00B54BF5">
      <w:pPr>
        <w:spacing w:after="160" w:line="360" w:lineRule="auto"/>
        <w:ind w:left="720"/>
        <w:contextualSpacing/>
        <w:jc w:val="both"/>
        <w:rPr>
          <w:rFonts w:ascii="Arial" w:eastAsia="David" w:hAnsi="Arial"/>
        </w:rPr>
      </w:pPr>
    </w:p>
    <w:p w14:paraId="06A06B9A" w14:textId="77777777" w:rsidR="00B54BF5" w:rsidRDefault="00B54BF5" w:rsidP="00B54BF5">
      <w:pPr>
        <w:spacing w:after="160" w:line="360" w:lineRule="auto"/>
        <w:ind w:left="720"/>
        <w:contextualSpacing/>
        <w:jc w:val="both"/>
        <w:rPr>
          <w:rFonts w:ascii="Arial" w:hAnsi="Arial"/>
          <w:rtl/>
        </w:rPr>
      </w:pPr>
      <w:r>
        <w:rPr>
          <w:rFonts w:ascii="Arial" w:hAnsi="Arial" w:hint="cs"/>
          <w:rtl/>
        </w:rPr>
        <w:t xml:space="preserve">בת"פ (מח' מרכז) </w:t>
      </w:r>
      <w:r>
        <w:rPr>
          <w:rFonts w:ascii="Arial" w:hAnsi="Arial" w:hint="cs"/>
          <w:b/>
          <w:bCs/>
          <w:rtl/>
        </w:rPr>
        <w:t xml:space="preserve">מדינת ישראל נ' מתאני </w:t>
      </w:r>
      <w:r>
        <w:rPr>
          <w:rFonts w:ascii="Arial" w:hAnsi="Arial" w:hint="cs"/>
          <w:rtl/>
        </w:rPr>
        <w:t xml:space="preserve">(7.2.24) הורשע הנאשם בהחזקת נשק מסוג קרלו ברכבו, מחסנית תואמת ו-39 כדורי תחמושת תואמים עטופים בחולצה ובשקיות. במהלך הנסיעה נהג במהירות גבוהה וזגזג בנסיעתו, בנוסף הורשע בעבירת הפרעה לשוטר. נקבע מתחם ענישה הנע בין 36-18 חודשי מאסר. הנאשם צעיר, לחובתו הרשעות קודמות בעבירות נשק ואלימות בגינן נדון לעונשי מאסר. נדון למאסר בן 26 חודשים, בנוסף הופעל מאסר מותנה באופן חופף ומצטבר כך שירצה 36 חודשי מאסר; </w:t>
      </w:r>
    </w:p>
    <w:p w14:paraId="534CA1B3" w14:textId="77777777" w:rsidR="00B54BF5" w:rsidRDefault="00B54BF5" w:rsidP="00B54BF5">
      <w:pPr>
        <w:spacing w:after="160" w:line="360" w:lineRule="auto"/>
        <w:ind w:left="720"/>
        <w:contextualSpacing/>
        <w:jc w:val="both"/>
        <w:rPr>
          <w:rFonts w:ascii="Arial" w:hAnsi="Arial"/>
          <w:rtl/>
        </w:rPr>
      </w:pPr>
    </w:p>
    <w:p w14:paraId="3DE4370E" w14:textId="77777777" w:rsidR="00B54BF5" w:rsidRDefault="00B54BF5" w:rsidP="00B54BF5">
      <w:pPr>
        <w:spacing w:after="160" w:line="360" w:lineRule="auto"/>
        <w:ind w:left="720"/>
        <w:contextualSpacing/>
        <w:jc w:val="both"/>
        <w:rPr>
          <w:rFonts w:ascii="David" w:hAnsi="David"/>
          <w:rtl/>
        </w:rPr>
      </w:pPr>
      <w:r>
        <w:rPr>
          <w:rFonts w:hint="cs"/>
          <w:rtl/>
        </w:rPr>
        <w:t>ב</w:t>
      </w:r>
      <w:hyperlink r:id="rId32" w:history="1">
        <w:r w:rsidR="00A91EAE" w:rsidRPr="00A91EAE">
          <w:rPr>
            <w:color w:val="0000FF"/>
            <w:u w:val="single"/>
            <w:rtl/>
          </w:rPr>
          <w:t>ת"פ (מח' מרכז) 25009-02-23</w:t>
        </w:r>
      </w:hyperlink>
      <w:r>
        <w:rPr>
          <w:rFonts w:hint="cs"/>
          <w:rtl/>
        </w:rPr>
        <w:t xml:space="preserve"> </w:t>
      </w:r>
      <w:r>
        <w:rPr>
          <w:rFonts w:hint="cs"/>
          <w:b/>
          <w:bCs/>
          <w:rtl/>
        </w:rPr>
        <w:t xml:space="preserve">מדינת ישראל נ' אלדראגה </w:t>
      </w:r>
      <w:r>
        <w:rPr>
          <w:rFonts w:hint="cs"/>
          <w:rtl/>
        </w:rPr>
        <w:t xml:space="preserve">(גזר דיני מיום 14.2.24) הורשע הנאשם בעבירת נשיאה והובלה נשק ותחמושת – אקדח ומחסנית, על גופו נמצאה תחמושת תואמת. נקבע מתחם ענישה הנע בין 40-20 חודשים. בהתחשב בגילו הצעיר, עברו הנקי, שמירתו על אורח חיים יציב והליך טיפולי ראשוני שעבר במסגרת שירות המבחן, נדון למאסר בן 20 חודשים. </w:t>
      </w:r>
    </w:p>
    <w:p w14:paraId="7720E48E" w14:textId="77777777" w:rsidR="00B54BF5" w:rsidRDefault="00B54BF5" w:rsidP="00B54BF5">
      <w:pPr>
        <w:spacing w:after="160" w:line="360" w:lineRule="auto"/>
        <w:ind w:left="720"/>
        <w:contextualSpacing/>
        <w:jc w:val="both"/>
        <w:rPr>
          <w:rtl/>
        </w:rPr>
      </w:pPr>
    </w:p>
    <w:p w14:paraId="43ED1EEF" w14:textId="77777777" w:rsidR="00B54BF5" w:rsidRDefault="00B54BF5" w:rsidP="00B54BF5">
      <w:pPr>
        <w:spacing w:after="120" w:line="360" w:lineRule="auto"/>
        <w:ind w:left="720"/>
        <w:jc w:val="both"/>
        <w:rPr>
          <w:b/>
          <w:bCs/>
          <w:rtl/>
        </w:rPr>
      </w:pPr>
      <w:r>
        <w:rPr>
          <w:rFonts w:hint="cs"/>
          <w:rtl/>
        </w:rPr>
        <w:t>עוד נתתי דעתי לכך שהנאשמים הורשעו בהחזקת נשק התקפי מסוג רובה סער, שלו מייחסת הפסיקה משנה חומרה ופוטנציאל קטלני גבוה (ע"פ גנאים ואח', ראה לעיל)</w:t>
      </w:r>
    </w:p>
    <w:p w14:paraId="7AC8A0B2" w14:textId="77777777" w:rsidR="00B54BF5" w:rsidRDefault="00B54BF5" w:rsidP="00B54BF5">
      <w:pPr>
        <w:spacing w:after="120" w:line="360" w:lineRule="auto"/>
        <w:ind w:left="720"/>
        <w:jc w:val="both"/>
        <w:rPr>
          <w:b/>
          <w:bCs/>
          <w:rtl/>
        </w:rPr>
      </w:pPr>
      <w:r>
        <w:rPr>
          <w:rFonts w:hint="cs"/>
          <w:rtl/>
        </w:rPr>
        <w:t xml:space="preserve">אשר לעבירות הנוספות בהן הורשע הנאשם 1, נוכח נסיבותיהן, נקבע מתחם ענישה הנע בין 4-10 חודשי מאסר. </w:t>
      </w:r>
    </w:p>
    <w:p w14:paraId="7DC9BFC0" w14:textId="77777777" w:rsidR="00B54BF5" w:rsidRDefault="00B54BF5" w:rsidP="00B54BF5">
      <w:pPr>
        <w:spacing w:after="120" w:line="360" w:lineRule="auto"/>
        <w:ind w:left="720"/>
        <w:jc w:val="both"/>
        <w:rPr>
          <w:b/>
          <w:bCs/>
          <w:rtl/>
        </w:rPr>
      </w:pPr>
    </w:p>
    <w:p w14:paraId="3FCE28F4" w14:textId="77777777" w:rsidR="00B54BF5" w:rsidRDefault="00B54BF5" w:rsidP="00B54BF5">
      <w:pPr>
        <w:numPr>
          <w:ilvl w:val="0"/>
          <w:numId w:val="1"/>
        </w:numPr>
        <w:spacing w:after="120" w:line="360" w:lineRule="auto"/>
        <w:jc w:val="both"/>
        <w:rPr>
          <w:b/>
          <w:bCs/>
          <w:u w:val="single"/>
          <w:rtl/>
        </w:rPr>
      </w:pPr>
      <w:r>
        <w:rPr>
          <w:rFonts w:hint="cs"/>
          <w:rtl/>
        </w:rPr>
        <w:t xml:space="preserve">בהתחשב במידת הפגיעה בערכים המוגנים ומדיניות הענישה הנוהגת, לאחר שבחנתי את נסיבות ביצוע העבירה, מצאתי לקבוע </w:t>
      </w:r>
      <w:r>
        <w:rPr>
          <w:rFonts w:hint="cs"/>
          <w:u w:val="single"/>
          <w:rtl/>
        </w:rPr>
        <w:t>בעניין נאשם 2</w:t>
      </w:r>
      <w:r>
        <w:rPr>
          <w:rFonts w:hint="cs"/>
          <w:rtl/>
        </w:rPr>
        <w:t xml:space="preserve"> מתחם ענישה הנע בין 18-36 חודשי מאסר בפועל. </w:t>
      </w:r>
      <w:r>
        <w:rPr>
          <w:rFonts w:hint="cs"/>
          <w:u w:val="single"/>
          <w:rtl/>
        </w:rPr>
        <w:t>בנוגע לנאשם</w:t>
      </w:r>
      <w:r>
        <w:rPr>
          <w:rFonts w:hint="cs"/>
          <w:rtl/>
        </w:rPr>
        <w:t xml:space="preserve"> 1, שנסיבות מעשיו חמורות יותר, מתחם ענישה הנע בין 22-45 חודשי מאסר.  </w:t>
      </w:r>
    </w:p>
    <w:p w14:paraId="6305EA63" w14:textId="77777777" w:rsidR="00B54BF5" w:rsidRDefault="00B54BF5" w:rsidP="00B54BF5">
      <w:pPr>
        <w:spacing w:after="160" w:line="360" w:lineRule="auto"/>
        <w:ind w:firstLine="360"/>
        <w:jc w:val="both"/>
        <w:rPr>
          <w:rFonts w:ascii="David" w:eastAsia="David" w:hAnsi="David"/>
          <w:b/>
          <w:bCs/>
          <w:u w:val="single"/>
        </w:rPr>
      </w:pPr>
      <w:r>
        <w:rPr>
          <w:rFonts w:hint="cs"/>
          <w:b/>
          <w:bCs/>
          <w:u w:val="single"/>
          <w:rtl/>
        </w:rPr>
        <w:t>גזירת העונש המתאים לנאשמים</w:t>
      </w:r>
    </w:p>
    <w:p w14:paraId="74FDB852" w14:textId="77777777" w:rsidR="00B54BF5" w:rsidRDefault="00B54BF5" w:rsidP="00B54BF5">
      <w:pPr>
        <w:numPr>
          <w:ilvl w:val="0"/>
          <w:numId w:val="1"/>
        </w:numPr>
        <w:spacing w:after="160" w:line="360" w:lineRule="auto"/>
        <w:contextualSpacing/>
        <w:jc w:val="both"/>
        <w:rPr>
          <w:rtl/>
        </w:rPr>
      </w:pPr>
      <w:r>
        <w:rPr>
          <w:rFonts w:hint="cs"/>
          <w:rtl/>
        </w:rPr>
        <w:t>נאשם 1, יליד 1997, בעברו שלוש הרשעות, כולן רלוונטיות לעניננו, שתיים משנת 2017. הראשונה בגין עבירות של קשירת קשר וסחר בנשק בגינה נדון למאסר בן 30 חודשים, והאחרת, בעבירות של החזקת סכין, נהיגה פוחזת ברכב והפרעה לשוטר בגינה נדון למאסר בן 5 חודשים. עיון בגזר הדין בגין עבירות הנשק שהוגש ע"י המאשימה (</w:t>
      </w:r>
      <w:hyperlink r:id="rId33" w:history="1">
        <w:r w:rsidR="00A91EAE" w:rsidRPr="00A91EAE">
          <w:rPr>
            <w:color w:val="0000FF"/>
            <w:u w:val="single"/>
            <w:rtl/>
          </w:rPr>
          <w:t>ת"פ 46999-07-16</w:t>
        </w:r>
      </w:hyperlink>
      <w:r>
        <w:rPr>
          <w:rFonts w:hint="cs"/>
          <w:rtl/>
        </w:rPr>
        <w:t xml:space="preserve"> של בית משפט זה, ת/5) מעלה שהנאשם הורשע במסגרת כתב אישום מרובה נאשמים בסחר בשלושה כלי נשק בצוותא עם נאשמים אחרים. הרשעתו הנוספת משנת 2022, בגין שתי עבירות של ניסיון לרכישת נשק בגינה נדון למאסר בן 19 חודשים עיון בגזר הדין, </w:t>
      </w:r>
      <w:hyperlink r:id="rId34" w:history="1">
        <w:r w:rsidR="00A91EAE" w:rsidRPr="00A91EAE">
          <w:rPr>
            <w:color w:val="0000FF"/>
            <w:u w:val="single"/>
            <w:rtl/>
          </w:rPr>
          <w:t>ת"פ 63141-04-21</w:t>
        </w:r>
      </w:hyperlink>
      <w:r>
        <w:rPr>
          <w:rFonts w:hint="cs"/>
          <w:rtl/>
        </w:rPr>
        <w:t xml:space="preserve"> של בית משפט זה, מעלה כי חרף המאסר הארוך שהוטל עליו, שב הנאשם לסורו והורשע במעורבות בפרשה חמורה ורבת נאשמים בעבירות נשק, הנאשם (בתיק זה נאשם מס' 11), הורשע במסגרת הסדר טיעון בניסיון לרכוש נשק מנאשם אחר באותה פרשה, ונגזרו עליו  13 חודשי מאסר, כן הופעל תנאי בן 12 חודשים, מחציתו במצטבר, סה"כ 19 חודשי מאסר, לצד מאסר על תנאי בן 12 חודשים שהוא בר הפעלה בתיק שלפנינו. </w:t>
      </w:r>
    </w:p>
    <w:p w14:paraId="44951242" w14:textId="77777777" w:rsidR="00B54BF5" w:rsidRDefault="00B54BF5" w:rsidP="00B54BF5">
      <w:pPr>
        <w:spacing w:after="160" w:line="360" w:lineRule="auto"/>
        <w:ind w:left="720"/>
        <w:contextualSpacing/>
        <w:jc w:val="both"/>
      </w:pPr>
    </w:p>
    <w:p w14:paraId="25EA3A2E" w14:textId="77777777" w:rsidR="00B54BF5" w:rsidRDefault="00B54BF5" w:rsidP="00B54BF5">
      <w:pPr>
        <w:numPr>
          <w:ilvl w:val="0"/>
          <w:numId w:val="1"/>
        </w:numPr>
        <w:spacing w:after="160" w:line="360" w:lineRule="auto"/>
        <w:contextualSpacing/>
        <w:jc w:val="both"/>
      </w:pPr>
      <w:r>
        <w:rPr>
          <w:rFonts w:hint="cs"/>
          <w:rtl/>
        </w:rPr>
        <w:t xml:space="preserve">עברו הפלילי של הנאשם מלמד כי מעורב שנים רבות בתחום הנשק בלתי חוקי ואינו נרתע ממאסרים שמוטלים עליו. התנהלותו במהלך האירוע, זלזולו בהחלטת קצין משטרה להרחיקו מהעיר טייבה והמלטותו משוטרים מחזקים את המסקנה כי מדובר בנאשם בעל דפוסי התנהגות שוליים, שמנהל אורח חיים עברייני ומסכן את הציבור. אזקוף לזכותו את הודאתו במיוחס לו ומעצרו הממושך. לפיכך מצאתי למקם את עונשו במרכז המתחם הענישה ולגזור עליו עונש מאסר הנותן משקל בכורה לשיקולי הרתעת היחיד והרבים </w:t>
      </w:r>
      <w:r w:rsidRPr="00B54BF5">
        <w:rPr>
          <w:rFonts w:ascii="Calibri" w:eastAsia="Calibri" w:hAnsi="Calibri" w:hint="cs"/>
          <w:rtl/>
        </w:rPr>
        <w:t>(</w:t>
      </w:r>
      <w:hyperlink r:id="rId35" w:history="1">
        <w:r w:rsidR="00A91EAE" w:rsidRPr="00A91EAE">
          <w:rPr>
            <w:rFonts w:ascii="Calibri" w:eastAsia="Calibri" w:hAnsi="Calibri" w:hint="cs"/>
            <w:color w:val="0000FF"/>
            <w:u w:val="single"/>
            <w:rtl/>
          </w:rPr>
          <w:t>ע</w:t>
        </w:r>
        <w:r w:rsidR="00A91EAE" w:rsidRPr="00A91EAE">
          <w:rPr>
            <w:rFonts w:ascii="Calibri" w:eastAsia="Calibri" w:hAnsi="Calibri"/>
            <w:color w:val="0000FF"/>
            <w:u w:val="single"/>
            <w:rtl/>
          </w:rPr>
          <w:t>"</w:t>
        </w:r>
        <w:r w:rsidR="00A91EAE" w:rsidRPr="00A91EAE">
          <w:rPr>
            <w:rFonts w:ascii="Calibri" w:eastAsia="Calibri" w:hAnsi="Calibri" w:hint="cs"/>
            <w:color w:val="0000FF"/>
            <w:u w:val="single"/>
            <w:rtl/>
          </w:rPr>
          <w:t>פ</w:t>
        </w:r>
        <w:r w:rsidR="00A91EAE" w:rsidRPr="00A91EAE">
          <w:rPr>
            <w:rFonts w:ascii="Calibri" w:eastAsia="Calibri" w:hAnsi="Calibri"/>
            <w:color w:val="0000FF"/>
            <w:u w:val="single"/>
            <w:rtl/>
          </w:rPr>
          <w:t xml:space="preserve"> 587/22</w:t>
        </w:r>
      </w:hyperlink>
      <w:r w:rsidRPr="00B54BF5">
        <w:rPr>
          <w:rFonts w:ascii="Calibri" w:eastAsia="Calibri" w:hAnsi="Calibri" w:hint="cs"/>
          <w:rtl/>
        </w:rPr>
        <w:t xml:space="preserve"> </w:t>
      </w:r>
      <w:r w:rsidRPr="00B54BF5">
        <w:rPr>
          <w:rFonts w:ascii="Calibri" w:eastAsia="Calibri" w:hAnsi="Calibri" w:hint="cs"/>
          <w:b/>
          <w:bCs/>
          <w:rtl/>
        </w:rPr>
        <w:t>אבו נאעסה נ' מדינת ישראל</w:t>
      </w:r>
      <w:r w:rsidRPr="00B54BF5">
        <w:rPr>
          <w:rFonts w:ascii="Calibri" w:eastAsia="Calibri" w:hAnsi="Calibri" w:hint="cs"/>
          <w:rtl/>
        </w:rPr>
        <w:t xml:space="preserve"> פסקה 13 (22.5.2022))</w:t>
      </w:r>
      <w:r>
        <w:rPr>
          <w:rFonts w:hint="cs"/>
          <w:rtl/>
        </w:rPr>
        <w:t xml:space="preserve">, לצד הפעלת מאסר על תנאי רובו במצטבר למאסרו וענישה נלווית הכוללת גם עונשי פסילה.  </w:t>
      </w:r>
    </w:p>
    <w:p w14:paraId="25C6C623" w14:textId="77777777" w:rsidR="00B54BF5" w:rsidRDefault="00B54BF5" w:rsidP="00B54BF5">
      <w:pPr>
        <w:spacing w:after="160" w:line="360" w:lineRule="auto"/>
        <w:ind w:left="720"/>
        <w:contextualSpacing/>
        <w:jc w:val="both"/>
      </w:pPr>
    </w:p>
    <w:p w14:paraId="55ABF4DF" w14:textId="77777777" w:rsidR="00B54BF5" w:rsidRDefault="00B54BF5" w:rsidP="00B54BF5">
      <w:pPr>
        <w:numPr>
          <w:ilvl w:val="0"/>
          <w:numId w:val="1"/>
        </w:numPr>
        <w:spacing w:after="160" w:line="360" w:lineRule="auto"/>
        <w:contextualSpacing/>
        <w:jc w:val="both"/>
      </w:pPr>
      <w:r>
        <w:rPr>
          <w:rFonts w:hint="cs"/>
          <w:rtl/>
        </w:rPr>
        <w:t xml:space="preserve">נאשם 2, יליד 1990, נשוי ואב לשני ילדים. בעברו הרשעה אחת שהתיישנה אך רלוונטית לתיק זה, בגין עבירות של החזקת נשק והפרעה לשוטר בגינה נדון ל-4 חודשי עבודות שירות. ממסמכים רפואיים שהוגשו עולה כי סובל מכאבי גב קשים שהחלו כשעבד כמלגזן ומחזיק בתעודת נכה. לנאשם שני בנים הסובלים מאוטיזם (ר' מסמכים נ/1). הנאשם נטל אחריות על המיוחס לו והביע חרטה, ניכר מדבריו ודברי רעייתו כי תקופת מעצרו הממושך מכבידה עליו ועל משפחתו. על יסוד נסיבותיו, מצאתי למקם את עונשו בחלק התחתון של מתחם הענישה. </w:t>
      </w:r>
    </w:p>
    <w:p w14:paraId="40DDE5C7" w14:textId="77777777" w:rsidR="00B54BF5" w:rsidRDefault="00B54BF5" w:rsidP="00B54BF5">
      <w:pPr>
        <w:ind w:left="720"/>
        <w:contextualSpacing/>
        <w:rPr>
          <w:b/>
          <w:bCs/>
          <w:u w:val="single"/>
          <w:rtl/>
        </w:rPr>
      </w:pPr>
    </w:p>
    <w:p w14:paraId="1BC4EA2C" w14:textId="77777777" w:rsidR="00B54BF5" w:rsidRDefault="00B54BF5" w:rsidP="00B54BF5">
      <w:pPr>
        <w:spacing w:after="160" w:line="360" w:lineRule="auto"/>
        <w:jc w:val="both"/>
        <w:rPr>
          <w:rtl/>
        </w:rPr>
      </w:pPr>
      <w:r>
        <w:rPr>
          <w:rFonts w:hint="cs"/>
          <w:b/>
          <w:bCs/>
          <w:u w:val="single"/>
          <w:rtl/>
        </w:rPr>
        <w:t>סוף דבר</w:t>
      </w:r>
    </w:p>
    <w:p w14:paraId="6C585C85" w14:textId="77777777" w:rsidR="00B54BF5" w:rsidRDefault="00B54BF5" w:rsidP="00B54BF5">
      <w:pPr>
        <w:numPr>
          <w:ilvl w:val="0"/>
          <w:numId w:val="1"/>
        </w:numPr>
        <w:spacing w:after="160" w:line="360" w:lineRule="auto"/>
        <w:contextualSpacing/>
        <w:jc w:val="both"/>
        <w:rPr>
          <w:b/>
          <w:bCs/>
          <w:rtl/>
        </w:rPr>
      </w:pPr>
      <w:r>
        <w:rPr>
          <w:rFonts w:hint="cs"/>
          <w:b/>
          <w:bCs/>
          <w:rtl/>
        </w:rPr>
        <w:t>אני גוזרת על הנאשם 1 את העונשים הבאים:</w:t>
      </w:r>
    </w:p>
    <w:p w14:paraId="14E23F8C" w14:textId="77777777" w:rsidR="00B54BF5" w:rsidRDefault="00B54BF5" w:rsidP="00B54BF5">
      <w:pPr>
        <w:ind w:left="720"/>
        <w:contextualSpacing/>
      </w:pPr>
    </w:p>
    <w:p w14:paraId="46ACA09F" w14:textId="77777777" w:rsidR="00B54BF5" w:rsidRDefault="00B54BF5" w:rsidP="00B54BF5">
      <w:pPr>
        <w:numPr>
          <w:ilvl w:val="0"/>
          <w:numId w:val="2"/>
        </w:numPr>
        <w:spacing w:line="360" w:lineRule="auto"/>
        <w:contextualSpacing/>
        <w:jc w:val="both"/>
        <w:rPr>
          <w:rtl/>
        </w:rPr>
      </w:pPr>
      <w:r>
        <w:rPr>
          <w:rFonts w:hint="cs"/>
          <w:b/>
          <w:bCs/>
          <w:rtl/>
        </w:rPr>
        <w:t>28 חודשי מאסר</w:t>
      </w:r>
      <w:r>
        <w:rPr>
          <w:rFonts w:hint="cs"/>
          <w:rtl/>
        </w:rPr>
        <w:t xml:space="preserve"> החל מיום מעצרו 7.12.23. </w:t>
      </w:r>
    </w:p>
    <w:p w14:paraId="679AC788" w14:textId="77777777" w:rsidR="00B54BF5" w:rsidRDefault="00B54BF5" w:rsidP="00B54BF5">
      <w:pPr>
        <w:numPr>
          <w:ilvl w:val="0"/>
          <w:numId w:val="2"/>
        </w:numPr>
        <w:spacing w:line="360" w:lineRule="auto"/>
        <w:contextualSpacing/>
        <w:jc w:val="both"/>
      </w:pPr>
      <w:r>
        <w:rPr>
          <w:rFonts w:hint="cs"/>
          <w:rtl/>
        </w:rPr>
        <w:t>מפעילה תנאי בן 12 חודשים מ</w:t>
      </w:r>
      <w:hyperlink r:id="rId36" w:history="1">
        <w:r w:rsidR="00A91EAE" w:rsidRPr="00A91EAE">
          <w:rPr>
            <w:color w:val="0000FF"/>
            <w:u w:val="single"/>
            <w:rtl/>
          </w:rPr>
          <w:t>ת"פ 63141-04-21</w:t>
        </w:r>
      </w:hyperlink>
      <w:r>
        <w:rPr>
          <w:rFonts w:hint="cs"/>
          <w:rtl/>
        </w:rPr>
        <w:t xml:space="preserve">, במצטבר ובחופף לתקופת מאסרו, כך שהנאשם ירצה מאסר כולל בן 38 חודשים מיום מעצרו. </w:t>
      </w:r>
    </w:p>
    <w:p w14:paraId="37E58918" w14:textId="77777777" w:rsidR="00B54BF5" w:rsidRDefault="00B54BF5" w:rsidP="00B54BF5">
      <w:pPr>
        <w:numPr>
          <w:ilvl w:val="0"/>
          <w:numId w:val="2"/>
        </w:numPr>
        <w:spacing w:after="160" w:line="360" w:lineRule="auto"/>
        <w:contextualSpacing/>
        <w:jc w:val="both"/>
      </w:pPr>
      <w:r>
        <w:rPr>
          <w:rFonts w:hint="cs"/>
          <w:rtl/>
        </w:rPr>
        <w:t xml:space="preserve">מאסר על תנאי בן 12 חודשים לבל יעבור הנאשם עבירת נשק מסוג פשע תוך 3 שנים מיום שחרורו ממאסר. </w:t>
      </w:r>
    </w:p>
    <w:p w14:paraId="7BC92BA4" w14:textId="77777777" w:rsidR="00B54BF5" w:rsidRDefault="00B54BF5" w:rsidP="00B54BF5">
      <w:pPr>
        <w:numPr>
          <w:ilvl w:val="0"/>
          <w:numId w:val="2"/>
        </w:numPr>
        <w:spacing w:after="160" w:line="360" w:lineRule="auto"/>
        <w:contextualSpacing/>
        <w:jc w:val="both"/>
      </w:pPr>
      <w:r>
        <w:rPr>
          <w:rFonts w:hint="cs"/>
          <w:rtl/>
        </w:rPr>
        <w:t>מאסר על תנאי בן 6 חודשים בגין עבירה כלפי שוטר או הפרת הוראה חוקית במשך 3 שנים מיום שחרורו ממאסר.</w:t>
      </w:r>
    </w:p>
    <w:p w14:paraId="6F9C2F2E" w14:textId="77777777" w:rsidR="00B54BF5" w:rsidRDefault="00B54BF5" w:rsidP="00B54BF5">
      <w:pPr>
        <w:numPr>
          <w:ilvl w:val="0"/>
          <w:numId w:val="2"/>
        </w:numPr>
        <w:spacing w:after="160" w:line="360" w:lineRule="auto"/>
        <w:contextualSpacing/>
        <w:jc w:val="both"/>
      </w:pPr>
      <w:r>
        <w:rPr>
          <w:rFonts w:hint="cs"/>
          <w:rtl/>
        </w:rPr>
        <w:t xml:space="preserve">פסילת מלהחזיק/לקבל רישיון למשך 6 חודשים מיום שחרורו ממאסר במצטבר לכל עונש פסילה אחר והחל מיום הפקדת רשיונו. </w:t>
      </w:r>
    </w:p>
    <w:p w14:paraId="55CAFA9C" w14:textId="77777777" w:rsidR="00B54BF5" w:rsidRDefault="00B54BF5" w:rsidP="00B54BF5">
      <w:pPr>
        <w:numPr>
          <w:ilvl w:val="0"/>
          <w:numId w:val="2"/>
        </w:numPr>
        <w:spacing w:after="160" w:line="360" w:lineRule="auto"/>
        <w:contextualSpacing/>
        <w:jc w:val="both"/>
      </w:pPr>
      <w:r>
        <w:rPr>
          <w:rFonts w:hint="cs"/>
          <w:rtl/>
        </w:rPr>
        <w:t>פסילה בת 12 חודשים וזאת על תנאי שלא יעבור עבירה שיש בה כדי לסכן חיי אדם או נהיגה בזמן פסילה במשך שנתיים מיום שחרורו ממאסר.</w:t>
      </w:r>
    </w:p>
    <w:p w14:paraId="66FD1919" w14:textId="77777777" w:rsidR="00B54BF5" w:rsidRDefault="00B54BF5" w:rsidP="00B54BF5">
      <w:pPr>
        <w:numPr>
          <w:ilvl w:val="0"/>
          <w:numId w:val="2"/>
        </w:numPr>
        <w:spacing w:after="160" w:line="360" w:lineRule="auto"/>
        <w:contextualSpacing/>
        <w:jc w:val="both"/>
      </w:pPr>
      <w:r>
        <w:rPr>
          <w:rFonts w:hint="cs"/>
          <w:rtl/>
        </w:rPr>
        <w:t xml:space="preserve">קנס בסך 10,000 ₪ או 60 ימי מאסר. הקנס ישולם בעשרה תשלומים שווים ורצופים החל מיום 1.10.24. </w:t>
      </w:r>
    </w:p>
    <w:p w14:paraId="16B8B98A" w14:textId="77777777" w:rsidR="00B54BF5" w:rsidRDefault="00B54BF5" w:rsidP="00B54BF5">
      <w:pPr>
        <w:spacing w:after="160" w:line="360" w:lineRule="auto"/>
        <w:ind w:left="1080"/>
        <w:contextualSpacing/>
        <w:jc w:val="both"/>
      </w:pPr>
    </w:p>
    <w:p w14:paraId="47B2945C" w14:textId="77777777" w:rsidR="00B54BF5" w:rsidRDefault="00B54BF5" w:rsidP="00B54BF5">
      <w:pPr>
        <w:spacing w:after="160" w:line="360" w:lineRule="auto"/>
        <w:ind w:left="1080"/>
        <w:contextualSpacing/>
        <w:jc w:val="both"/>
        <w:rPr>
          <w:b/>
          <w:bCs/>
          <w:u w:val="single"/>
          <w:rtl/>
        </w:rPr>
      </w:pPr>
      <w:r>
        <w:rPr>
          <w:rFonts w:hint="cs"/>
          <w:b/>
          <w:bCs/>
          <w:u w:val="single"/>
          <w:rtl/>
        </w:rPr>
        <w:t>נאשם 2:</w:t>
      </w:r>
    </w:p>
    <w:p w14:paraId="28F2743A" w14:textId="77777777" w:rsidR="00B54BF5" w:rsidRDefault="00B54BF5" w:rsidP="00B54BF5">
      <w:pPr>
        <w:pStyle w:val="aa"/>
        <w:numPr>
          <w:ilvl w:val="0"/>
          <w:numId w:val="3"/>
        </w:numPr>
        <w:spacing w:after="160" w:line="360" w:lineRule="auto"/>
        <w:jc w:val="both"/>
        <w:rPr>
          <w:rtl/>
        </w:rPr>
      </w:pPr>
      <w:r>
        <w:rPr>
          <w:rFonts w:hint="cs"/>
          <w:rtl/>
        </w:rPr>
        <w:t>מאסר בן 21 חודשים החל מיום מעצרו 7.12.23.</w:t>
      </w:r>
    </w:p>
    <w:p w14:paraId="786190A3" w14:textId="77777777" w:rsidR="00B54BF5" w:rsidRDefault="00B54BF5" w:rsidP="00B54BF5">
      <w:pPr>
        <w:pStyle w:val="aa"/>
        <w:numPr>
          <w:ilvl w:val="0"/>
          <w:numId w:val="3"/>
        </w:numPr>
        <w:spacing w:after="160" w:line="360" w:lineRule="auto"/>
        <w:jc w:val="both"/>
      </w:pPr>
      <w:r>
        <w:rPr>
          <w:rFonts w:hint="cs"/>
          <w:rtl/>
        </w:rPr>
        <w:t>מאסר על תנאי בן 10 חודשים שלא יבצע עבירת נשק מסוג פשע במשך 3 שנים מיום שחרורו ממאסר.</w:t>
      </w:r>
    </w:p>
    <w:p w14:paraId="51F6A690" w14:textId="77777777" w:rsidR="00B54BF5" w:rsidRDefault="00B54BF5" w:rsidP="00B54BF5">
      <w:pPr>
        <w:pStyle w:val="aa"/>
        <w:numPr>
          <w:ilvl w:val="0"/>
          <w:numId w:val="3"/>
        </w:numPr>
        <w:spacing w:after="160" w:line="360" w:lineRule="auto"/>
        <w:jc w:val="both"/>
      </w:pPr>
      <w:r>
        <w:rPr>
          <w:rFonts w:hint="cs"/>
          <w:rtl/>
        </w:rPr>
        <w:t xml:space="preserve">קנס בסך 4,000 ₪ או 30 ימי מאסר תמורתו. הקנס ישולם ב-4 תשלומים שווים ורצופים החל מיום 15.9.24. </w:t>
      </w:r>
    </w:p>
    <w:p w14:paraId="7E60CB22" w14:textId="77777777" w:rsidR="00B54BF5" w:rsidRDefault="00B54BF5" w:rsidP="00B54BF5">
      <w:pPr>
        <w:pStyle w:val="aa"/>
        <w:spacing w:after="160" w:line="360" w:lineRule="auto"/>
        <w:ind w:left="1080"/>
        <w:jc w:val="both"/>
      </w:pPr>
    </w:p>
    <w:p w14:paraId="625DDBF9" w14:textId="77777777" w:rsidR="00B54BF5" w:rsidRDefault="00B54BF5" w:rsidP="00B54BF5">
      <w:pPr>
        <w:pStyle w:val="aa"/>
        <w:spacing w:after="160" w:line="360" w:lineRule="auto"/>
        <w:ind w:left="1080"/>
        <w:jc w:val="both"/>
        <w:rPr>
          <w:rtl/>
        </w:rPr>
      </w:pPr>
      <w:r>
        <w:rPr>
          <w:rFonts w:hint="cs"/>
          <w:rtl/>
        </w:rPr>
        <w:t>הנשק והתחמושת יושמדו.</w:t>
      </w:r>
    </w:p>
    <w:p w14:paraId="45CCCCC7" w14:textId="77777777" w:rsidR="00B54BF5" w:rsidRDefault="00B54BF5" w:rsidP="00B54BF5">
      <w:pPr>
        <w:pStyle w:val="aa"/>
        <w:spacing w:after="160" w:line="360" w:lineRule="auto"/>
        <w:ind w:left="1080"/>
        <w:jc w:val="both"/>
        <w:rPr>
          <w:rtl/>
        </w:rPr>
      </w:pPr>
      <w:r>
        <w:rPr>
          <w:rFonts w:hint="cs"/>
          <w:rtl/>
        </w:rPr>
        <w:t>צו כללי למוצגים.</w:t>
      </w:r>
    </w:p>
    <w:p w14:paraId="5CD8C8A8" w14:textId="77777777" w:rsidR="00B54BF5" w:rsidRDefault="00B54BF5" w:rsidP="00B54BF5">
      <w:pPr>
        <w:pStyle w:val="aa"/>
        <w:spacing w:after="160" w:line="360" w:lineRule="auto"/>
        <w:ind w:left="1080"/>
        <w:jc w:val="both"/>
        <w:rPr>
          <w:rtl/>
        </w:rPr>
      </w:pPr>
    </w:p>
    <w:p w14:paraId="0396B11F" w14:textId="77777777" w:rsidR="00B54BF5" w:rsidRDefault="00B54BF5" w:rsidP="00B54BF5">
      <w:pPr>
        <w:spacing w:line="360" w:lineRule="auto"/>
        <w:jc w:val="both"/>
        <w:rPr>
          <w:b/>
          <w:bCs/>
          <w:rtl/>
        </w:rPr>
      </w:pPr>
      <w:r>
        <w:rPr>
          <w:rFonts w:hint="cs"/>
          <w:b/>
          <w:bCs/>
          <w:rtl/>
        </w:rPr>
        <w:t xml:space="preserve">זכות ערעור לבית המשפט העליון תוך 45 יום. </w:t>
      </w:r>
    </w:p>
    <w:p w14:paraId="4715AECE" w14:textId="77777777" w:rsidR="00B54BF5" w:rsidRDefault="00B54BF5" w:rsidP="00B54BF5"/>
    <w:p w14:paraId="25DFE5AF" w14:textId="77777777" w:rsidR="00B54BF5" w:rsidRDefault="00B54BF5" w:rsidP="00B54BF5"/>
    <w:p w14:paraId="197B440B" w14:textId="77777777" w:rsidR="00B54BF5" w:rsidRPr="00A91EAE" w:rsidRDefault="00A91EAE" w:rsidP="00B54BF5">
      <w:pPr>
        <w:rPr>
          <w:rFonts w:ascii="Arial" w:hAnsi="Arial"/>
          <w:b/>
          <w:bCs/>
          <w:color w:val="FFFFFF"/>
          <w:sz w:val="2"/>
          <w:szCs w:val="2"/>
          <w:rtl/>
        </w:rPr>
      </w:pPr>
      <w:r w:rsidRPr="00A91EAE">
        <w:rPr>
          <w:rFonts w:ascii="Arial" w:hAnsi="Arial"/>
          <w:b/>
          <w:bCs/>
          <w:color w:val="FFFFFF"/>
          <w:sz w:val="2"/>
          <w:szCs w:val="2"/>
          <w:rtl/>
        </w:rPr>
        <w:t>5129371</w:t>
      </w:r>
    </w:p>
    <w:p w14:paraId="28EE08D4" w14:textId="77777777" w:rsidR="00B54BF5" w:rsidRPr="00A91EAE" w:rsidRDefault="00A91EAE" w:rsidP="00B54BF5">
      <w:pPr>
        <w:rPr>
          <w:rFonts w:ascii="Arial" w:hAnsi="Arial"/>
          <w:b/>
          <w:bCs/>
          <w:color w:val="FFFFFF"/>
          <w:sz w:val="2"/>
          <w:szCs w:val="2"/>
          <w:rtl/>
        </w:rPr>
      </w:pPr>
      <w:r w:rsidRPr="00A91EAE">
        <w:rPr>
          <w:rFonts w:ascii="Arial" w:hAnsi="Arial"/>
          <w:b/>
          <w:bCs/>
          <w:color w:val="FFFFFF"/>
          <w:sz w:val="2"/>
          <w:szCs w:val="2"/>
          <w:rtl/>
        </w:rPr>
        <w:t>54678313</w:t>
      </w:r>
    </w:p>
    <w:p w14:paraId="4ED574A6" w14:textId="77777777" w:rsidR="00B54BF5" w:rsidRPr="000F2247" w:rsidRDefault="00B54BF5" w:rsidP="00B54BF5">
      <w:pPr>
        <w:rPr>
          <w:rFonts w:ascii="Arial" w:hAnsi="Arial"/>
          <w:b/>
          <w:bCs/>
          <w:sz w:val="26"/>
          <w:szCs w:val="26"/>
          <w:rtl/>
        </w:rPr>
      </w:pPr>
    </w:p>
    <w:p w14:paraId="6DE8D0A7" w14:textId="77777777" w:rsidR="00B54BF5" w:rsidRPr="000F2247" w:rsidRDefault="00A91EAE" w:rsidP="00B54BF5">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א' אב תשפ"ד, 05 אוגוסט 2024, במעמד הצדדים. </w:t>
      </w:r>
      <w:bookmarkEnd w:id="7"/>
      <w:r w:rsidR="00B54BF5">
        <w:rPr>
          <w:rFonts w:ascii="Arial" w:hAnsi="Arial"/>
          <w:b/>
          <w:bCs/>
          <w:sz w:val="26"/>
          <w:szCs w:val="26"/>
          <w:rtl/>
        </w:rPr>
        <w:tab/>
      </w:r>
      <w:r w:rsidR="00B54BF5">
        <w:rPr>
          <w:rFonts w:ascii="Arial" w:hAnsi="Arial"/>
          <w:b/>
          <w:bCs/>
          <w:sz w:val="26"/>
          <w:szCs w:val="26"/>
          <w:rtl/>
        </w:rPr>
        <w:tab/>
      </w:r>
      <w:r w:rsidR="00B54BF5">
        <w:rPr>
          <w:rFonts w:ascii="Arial" w:hAnsi="Arial"/>
          <w:b/>
          <w:bCs/>
          <w:sz w:val="26"/>
          <w:szCs w:val="26"/>
          <w:rtl/>
        </w:rPr>
        <w:tab/>
      </w:r>
      <w:r w:rsidR="00B54BF5">
        <w:rPr>
          <w:rFonts w:ascii="Arial" w:hAnsi="Arial"/>
          <w:b/>
          <w:bCs/>
          <w:sz w:val="26"/>
          <w:szCs w:val="26"/>
          <w:rtl/>
        </w:rPr>
        <w:tab/>
      </w:r>
      <w:r w:rsidR="00B54BF5">
        <w:rPr>
          <w:rFonts w:ascii="Arial" w:hAnsi="Arial"/>
          <w:b/>
          <w:bCs/>
          <w:sz w:val="26"/>
          <w:szCs w:val="26"/>
          <w:rtl/>
        </w:rPr>
        <w:tab/>
      </w:r>
      <w:r w:rsidR="00B54BF5">
        <w:rPr>
          <w:rFonts w:ascii="Arial" w:hAnsi="Arial"/>
          <w:b/>
          <w:bCs/>
          <w:sz w:val="26"/>
          <w:szCs w:val="26"/>
          <w:rtl/>
        </w:rPr>
        <w:tab/>
      </w:r>
      <w:r w:rsidR="00B54BF5">
        <w:rPr>
          <w:rFonts w:ascii="Arial" w:hAnsi="Arial"/>
          <w:b/>
          <w:bCs/>
          <w:sz w:val="26"/>
          <w:szCs w:val="26"/>
          <w:rtl/>
        </w:rPr>
        <w:tab/>
      </w:r>
      <w:r w:rsidR="00B54BF5">
        <w:rPr>
          <w:rFonts w:ascii="Arial" w:hAnsi="Arial" w:hint="cs"/>
          <w:b/>
          <w:bCs/>
          <w:sz w:val="26"/>
          <w:szCs w:val="26"/>
          <w:rtl/>
        </w:rPr>
        <w:t xml:space="preserve">         </w:t>
      </w:r>
    </w:p>
    <w:p w14:paraId="17999A65" w14:textId="77777777" w:rsidR="00B54BF5" w:rsidRPr="000F2247" w:rsidRDefault="00B54BF5" w:rsidP="00A91EA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AC4D4C0" w14:textId="77777777" w:rsidR="00B54BF5" w:rsidRPr="000F2247" w:rsidRDefault="00B54BF5" w:rsidP="00B54BF5">
      <w:pPr>
        <w:jc w:val="center"/>
        <w:rPr>
          <w:rFonts w:ascii="Arial" w:hAnsi="Arial"/>
          <w:b/>
          <w:bCs/>
          <w:sz w:val="26"/>
          <w:szCs w:val="26"/>
          <w:rtl/>
        </w:rPr>
      </w:pPr>
    </w:p>
    <w:p w14:paraId="6C22D590" w14:textId="77777777" w:rsidR="00EA4315" w:rsidRPr="00A91EAE" w:rsidRDefault="00EA4315" w:rsidP="00A91EAE">
      <w:pPr>
        <w:keepNext/>
        <w:rPr>
          <w:rFonts w:ascii="David" w:hAnsi="David"/>
          <w:color w:val="000000"/>
          <w:sz w:val="22"/>
          <w:szCs w:val="22"/>
          <w:rtl/>
        </w:rPr>
      </w:pPr>
    </w:p>
    <w:p w14:paraId="0F67F36C" w14:textId="77777777" w:rsidR="00A91EAE" w:rsidRPr="00A91EAE" w:rsidRDefault="00A91EAE" w:rsidP="00A91EAE">
      <w:pPr>
        <w:keepNext/>
        <w:rPr>
          <w:rFonts w:ascii="David" w:hAnsi="David"/>
          <w:color w:val="000000"/>
          <w:sz w:val="22"/>
          <w:szCs w:val="22"/>
          <w:rtl/>
        </w:rPr>
      </w:pPr>
      <w:r w:rsidRPr="00A91EAE">
        <w:rPr>
          <w:rFonts w:ascii="David" w:hAnsi="David"/>
          <w:color w:val="000000"/>
          <w:sz w:val="22"/>
          <w:szCs w:val="22"/>
          <w:rtl/>
        </w:rPr>
        <w:t>מרב גרינברג 54678313</w:t>
      </w:r>
    </w:p>
    <w:p w14:paraId="21F21E53" w14:textId="77777777" w:rsidR="00A91EAE" w:rsidRDefault="00A91EAE" w:rsidP="00A91EAE">
      <w:r w:rsidRPr="00A91EAE">
        <w:rPr>
          <w:color w:val="000000"/>
          <w:rtl/>
        </w:rPr>
        <w:t>נוסח מסמך זה כפוף לשינויי ניסוח ועריכה</w:t>
      </w:r>
    </w:p>
    <w:p w14:paraId="60821072" w14:textId="77777777" w:rsidR="00A91EAE" w:rsidRDefault="00A91EAE" w:rsidP="00A91EAE">
      <w:pPr>
        <w:rPr>
          <w:rtl/>
        </w:rPr>
      </w:pPr>
    </w:p>
    <w:p w14:paraId="78BDCB63" w14:textId="77777777" w:rsidR="00A91EAE" w:rsidRDefault="00A91EAE" w:rsidP="00A91EAE">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24309D56" w14:textId="77777777" w:rsidR="00A91EAE" w:rsidRPr="00A91EAE" w:rsidRDefault="00A91EAE" w:rsidP="00A91EAE">
      <w:pPr>
        <w:jc w:val="center"/>
        <w:rPr>
          <w:color w:val="0000FF"/>
          <w:u w:val="single"/>
        </w:rPr>
      </w:pPr>
    </w:p>
    <w:sectPr w:rsidR="00A91EAE" w:rsidRPr="00A91EAE" w:rsidSect="00A91EAE">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9FAAF" w14:textId="77777777" w:rsidR="00726070" w:rsidRDefault="00726070" w:rsidP="007C7C97">
      <w:r>
        <w:separator/>
      </w:r>
    </w:p>
  </w:endnote>
  <w:endnote w:type="continuationSeparator" w:id="0">
    <w:p w14:paraId="2FC23A3F" w14:textId="77777777" w:rsidR="00726070" w:rsidRDefault="00726070" w:rsidP="007C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CF793" w14:textId="77777777" w:rsidR="00A91EAE" w:rsidRDefault="00A91EAE" w:rsidP="00A91E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92280F7" w14:textId="77777777" w:rsidR="00333761" w:rsidRPr="00A91EAE" w:rsidRDefault="00A91EAE" w:rsidP="00A91EA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E6F80" w14:textId="77777777" w:rsidR="00A91EAE" w:rsidRDefault="00A91EAE" w:rsidP="00A91EA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1DE7">
      <w:rPr>
        <w:rFonts w:ascii="FrankRuehl" w:hAnsi="FrankRuehl" w:cs="FrankRuehl"/>
        <w:noProof/>
        <w:rtl/>
      </w:rPr>
      <w:t>1</w:t>
    </w:r>
    <w:r>
      <w:rPr>
        <w:rFonts w:ascii="FrankRuehl" w:hAnsi="FrankRuehl" w:cs="FrankRuehl"/>
        <w:rtl/>
      </w:rPr>
      <w:fldChar w:fldCharType="end"/>
    </w:r>
  </w:p>
  <w:p w14:paraId="3C886EBF" w14:textId="77777777" w:rsidR="00333761" w:rsidRPr="00A91EAE" w:rsidRDefault="00A91EAE" w:rsidP="00A91EA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BA9F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A80B8" w14:textId="77777777" w:rsidR="00726070" w:rsidRDefault="00726070" w:rsidP="007C7C97">
      <w:r>
        <w:separator/>
      </w:r>
    </w:p>
  </w:footnote>
  <w:footnote w:type="continuationSeparator" w:id="0">
    <w:p w14:paraId="4D63D6C4" w14:textId="77777777" w:rsidR="00726070" w:rsidRDefault="00726070" w:rsidP="007C7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C89FD" w14:textId="77777777" w:rsidR="00A91EAE" w:rsidRPr="00A91EAE" w:rsidRDefault="00A91EAE" w:rsidP="00A91EA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38550-12-23</w:t>
    </w:r>
    <w:r>
      <w:rPr>
        <w:rFonts w:ascii="David" w:hAnsi="David"/>
        <w:color w:val="000000"/>
        <w:sz w:val="22"/>
        <w:szCs w:val="22"/>
        <w:rtl/>
      </w:rPr>
      <w:tab/>
      <w:t xml:space="preserve"> מדינת ישראל נ' כארם אגמיל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EF514" w14:textId="77777777" w:rsidR="00A91EAE" w:rsidRPr="00A91EAE" w:rsidRDefault="00A91EAE" w:rsidP="00A91EA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38550-12-23</w:t>
    </w:r>
    <w:r>
      <w:rPr>
        <w:rFonts w:ascii="David" w:hAnsi="David"/>
        <w:color w:val="000000"/>
        <w:sz w:val="22"/>
        <w:szCs w:val="22"/>
        <w:rtl/>
      </w:rPr>
      <w:tab/>
      <w:t xml:space="preserve"> מדינת ישראל נ' כארם אגמיל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CD4"/>
    <w:multiLevelType w:val="hybridMultilevel"/>
    <w:tmpl w:val="345C0640"/>
    <w:lvl w:ilvl="0" w:tplc="537C42D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6ABE6A52"/>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337823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51481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1553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4BF5"/>
    <w:rsid w:val="001515BC"/>
    <w:rsid w:val="001B5A3B"/>
    <w:rsid w:val="00333761"/>
    <w:rsid w:val="00381DE7"/>
    <w:rsid w:val="00726070"/>
    <w:rsid w:val="007C7C97"/>
    <w:rsid w:val="00A91EAE"/>
    <w:rsid w:val="00B54BF5"/>
    <w:rsid w:val="00D356D4"/>
    <w:rsid w:val="00E167BA"/>
    <w:rsid w:val="00EA43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88A7EE"/>
  <w15:chartTrackingRefBased/>
  <w15:docId w15:val="{4D5C13E1-1660-4178-A3B1-6DE2A558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4B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4BF5"/>
    <w:pPr>
      <w:tabs>
        <w:tab w:val="center" w:pos="4153"/>
        <w:tab w:val="right" w:pos="8306"/>
      </w:tabs>
    </w:pPr>
  </w:style>
  <w:style w:type="character" w:customStyle="1" w:styleId="a4">
    <w:name w:val="כותרת עליונה תו"/>
    <w:link w:val="a3"/>
    <w:rsid w:val="00B54BF5"/>
    <w:rPr>
      <w:rFonts w:ascii="Times New Roman" w:eastAsia="Times New Roman" w:hAnsi="Times New Roman" w:cs="David"/>
      <w:sz w:val="24"/>
      <w:szCs w:val="24"/>
    </w:rPr>
  </w:style>
  <w:style w:type="paragraph" w:styleId="a5">
    <w:name w:val="footer"/>
    <w:basedOn w:val="a"/>
    <w:link w:val="a6"/>
    <w:rsid w:val="00B54BF5"/>
    <w:pPr>
      <w:tabs>
        <w:tab w:val="center" w:pos="4153"/>
        <w:tab w:val="right" w:pos="8306"/>
      </w:tabs>
    </w:pPr>
  </w:style>
  <w:style w:type="character" w:customStyle="1" w:styleId="a6">
    <w:name w:val="כותרת תחתונה תו"/>
    <w:link w:val="a5"/>
    <w:rsid w:val="00B54BF5"/>
    <w:rPr>
      <w:rFonts w:ascii="Times New Roman" w:eastAsia="Times New Roman" w:hAnsi="Times New Roman" w:cs="David"/>
      <w:sz w:val="24"/>
      <w:szCs w:val="24"/>
    </w:rPr>
  </w:style>
  <w:style w:type="table" w:styleId="a7">
    <w:name w:val="Table Grid"/>
    <w:basedOn w:val="a1"/>
    <w:rsid w:val="00B54B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4BF5"/>
  </w:style>
  <w:style w:type="character" w:customStyle="1" w:styleId="a9">
    <w:name w:val="פיסקת רשימה תו"/>
    <w:link w:val="aa"/>
    <w:locked/>
    <w:rsid w:val="00B54BF5"/>
    <w:rPr>
      <w:rFonts w:ascii="David" w:hAnsi="David" w:cs="David"/>
      <w:sz w:val="24"/>
      <w:szCs w:val="24"/>
    </w:rPr>
  </w:style>
  <w:style w:type="paragraph" w:styleId="aa">
    <w:name w:val="List Paragraph"/>
    <w:basedOn w:val="a"/>
    <w:link w:val="a9"/>
    <w:qFormat/>
    <w:rsid w:val="00B54BF5"/>
    <w:pPr>
      <w:ind w:left="720"/>
      <w:contextualSpacing/>
    </w:pPr>
    <w:rPr>
      <w:rFonts w:ascii="David" w:eastAsia="Calibri" w:hAnsi="David"/>
    </w:rPr>
  </w:style>
  <w:style w:type="character" w:styleId="Hyperlink">
    <w:name w:val="Hyperlink"/>
    <w:rsid w:val="00B54B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38.2"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5568354" TargetMode="External"/><Relationship Id="rId39" Type="http://schemas.openxmlformats.org/officeDocument/2006/relationships/header" Target="header2.xml"/><Relationship Id="rId21" Type="http://schemas.openxmlformats.org/officeDocument/2006/relationships/hyperlink" Target="http://www.nevo.co.il/law/5227" TargetMode="External"/><Relationship Id="rId34" Type="http://schemas.openxmlformats.org/officeDocument/2006/relationships/hyperlink" Target="http://www.nevo.co.il/case/27583422"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a" TargetMode="External"/><Relationship Id="rId20" Type="http://schemas.openxmlformats.org/officeDocument/2006/relationships/hyperlink" Target="http://www.nevo.co.il/law/5227/62.2.;38.2" TargetMode="External"/><Relationship Id="rId29" Type="http://schemas.openxmlformats.org/officeDocument/2006/relationships/hyperlink" Target="http://www.nevo.co.il/case/2822999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87.a" TargetMode="External"/><Relationship Id="rId24" Type="http://schemas.openxmlformats.org/officeDocument/2006/relationships/hyperlink" Target="http://www.nevo.co.il/case/28152132" TargetMode="External"/><Relationship Id="rId32" Type="http://schemas.openxmlformats.org/officeDocument/2006/relationships/hyperlink" Target="http://www.nevo.co.il/case/29390630"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7911638" TargetMode="External"/><Relationship Id="rId28" Type="http://schemas.openxmlformats.org/officeDocument/2006/relationships/hyperlink" Target="http://www.nevo.co.il/case/30024241" TargetMode="External"/><Relationship Id="rId36" Type="http://schemas.openxmlformats.org/officeDocument/2006/relationships/hyperlink" Target="http://www.nevo.co.il/case/27583422" TargetMode="External"/><Relationship Id="rId10" Type="http://schemas.openxmlformats.org/officeDocument/2006/relationships/hyperlink" Target="http://www.nevo.co.il/law/70301/275" TargetMode="External"/><Relationship Id="rId19" Type="http://schemas.openxmlformats.org/officeDocument/2006/relationships/hyperlink" Target="http://www.nevo.co.il/law/70301/287.a" TargetMode="External"/><Relationship Id="rId31" Type="http://schemas.openxmlformats.org/officeDocument/2006/relationships/hyperlink" Target="http://www.nevo.co.il/case/25528737"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5227/62.2." TargetMode="External"/><Relationship Id="rId22" Type="http://schemas.openxmlformats.org/officeDocument/2006/relationships/hyperlink" Target="http://www.nevo.co.il/case/27894608" TargetMode="External"/><Relationship Id="rId27" Type="http://schemas.openxmlformats.org/officeDocument/2006/relationships/hyperlink" Target="http://www.nevo.co.il/case/30376202" TargetMode="External"/><Relationship Id="rId30" Type="http://schemas.openxmlformats.org/officeDocument/2006/relationships/hyperlink" Target="http://www.nevo.co.il/case/28384637" TargetMode="External"/><Relationship Id="rId35" Type="http://schemas.openxmlformats.org/officeDocument/2006/relationships/hyperlink" Target="http://www.nevo.co.il/case/28268880" TargetMode="External"/><Relationship Id="rId43" Type="http://schemas.openxmlformats.org/officeDocument/2006/relationships/theme" Target="theme/theme1.xml"/><Relationship Id="rId8" Type="http://schemas.openxmlformats.org/officeDocument/2006/relationships/hyperlink" Target="http://www.nevo.co.il/law/70301/29.a" TargetMode="External"/><Relationship Id="rId3" Type="http://schemas.openxmlformats.org/officeDocument/2006/relationships/settings" Target="settings.xml"/><Relationship Id="rId12" Type="http://schemas.openxmlformats.org/officeDocument/2006/relationships/hyperlink" Target="http://www.nevo.co.il/law/5227"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452933" TargetMode="External"/><Relationship Id="rId33" Type="http://schemas.openxmlformats.org/officeDocument/2006/relationships/hyperlink" Target="http://www.nevo.co.il/case/22099017"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2431</Words>
  <Characters>12156</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14558</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3539071</vt:i4>
      </vt:variant>
      <vt:variant>
        <vt:i4>87</vt:i4>
      </vt:variant>
      <vt:variant>
        <vt:i4>0</vt:i4>
      </vt:variant>
      <vt:variant>
        <vt:i4>5</vt:i4>
      </vt:variant>
      <vt:variant>
        <vt:lpwstr>http://www.nevo.co.il/case/27583422</vt:lpwstr>
      </vt:variant>
      <vt:variant>
        <vt:lpwstr/>
      </vt:variant>
      <vt:variant>
        <vt:i4>3145842</vt:i4>
      </vt:variant>
      <vt:variant>
        <vt:i4>84</vt:i4>
      </vt:variant>
      <vt:variant>
        <vt:i4>0</vt:i4>
      </vt:variant>
      <vt:variant>
        <vt:i4>5</vt:i4>
      </vt:variant>
      <vt:variant>
        <vt:lpwstr>http://www.nevo.co.il/case/28268880</vt:lpwstr>
      </vt:variant>
      <vt:variant>
        <vt:lpwstr/>
      </vt:variant>
      <vt:variant>
        <vt:i4>3539071</vt:i4>
      </vt:variant>
      <vt:variant>
        <vt:i4>81</vt:i4>
      </vt:variant>
      <vt:variant>
        <vt:i4>0</vt:i4>
      </vt:variant>
      <vt:variant>
        <vt:i4>5</vt:i4>
      </vt:variant>
      <vt:variant>
        <vt:lpwstr>http://www.nevo.co.il/case/27583422</vt:lpwstr>
      </vt:variant>
      <vt:variant>
        <vt:lpwstr/>
      </vt:variant>
      <vt:variant>
        <vt:i4>3801215</vt:i4>
      </vt:variant>
      <vt:variant>
        <vt:i4>78</vt:i4>
      </vt:variant>
      <vt:variant>
        <vt:i4>0</vt:i4>
      </vt:variant>
      <vt:variant>
        <vt:i4>5</vt:i4>
      </vt:variant>
      <vt:variant>
        <vt:lpwstr>http://www.nevo.co.il/case/22099017</vt:lpwstr>
      </vt:variant>
      <vt:variant>
        <vt:lpwstr/>
      </vt:variant>
      <vt:variant>
        <vt:i4>3276914</vt:i4>
      </vt:variant>
      <vt:variant>
        <vt:i4>75</vt:i4>
      </vt:variant>
      <vt:variant>
        <vt:i4>0</vt:i4>
      </vt:variant>
      <vt:variant>
        <vt:i4>5</vt:i4>
      </vt:variant>
      <vt:variant>
        <vt:lpwstr>http://www.nevo.co.il/case/29390630</vt:lpwstr>
      </vt:variant>
      <vt:variant>
        <vt:lpwstr/>
      </vt:variant>
      <vt:variant>
        <vt:i4>3932276</vt:i4>
      </vt:variant>
      <vt:variant>
        <vt:i4>72</vt:i4>
      </vt:variant>
      <vt:variant>
        <vt:i4>0</vt:i4>
      </vt:variant>
      <vt:variant>
        <vt:i4>5</vt:i4>
      </vt:variant>
      <vt:variant>
        <vt:lpwstr>http://www.nevo.co.il/case/25528737</vt:lpwstr>
      </vt:variant>
      <vt:variant>
        <vt:lpwstr/>
      </vt:variant>
      <vt:variant>
        <vt:i4>3539058</vt:i4>
      </vt:variant>
      <vt:variant>
        <vt:i4>69</vt:i4>
      </vt:variant>
      <vt:variant>
        <vt:i4>0</vt:i4>
      </vt:variant>
      <vt:variant>
        <vt:i4>5</vt:i4>
      </vt:variant>
      <vt:variant>
        <vt:lpwstr>http://www.nevo.co.il/case/28384637</vt:lpwstr>
      </vt:variant>
      <vt:variant>
        <vt:lpwstr/>
      </vt:variant>
      <vt:variant>
        <vt:i4>3145847</vt:i4>
      </vt:variant>
      <vt:variant>
        <vt:i4>66</vt:i4>
      </vt:variant>
      <vt:variant>
        <vt:i4>0</vt:i4>
      </vt:variant>
      <vt:variant>
        <vt:i4>5</vt:i4>
      </vt:variant>
      <vt:variant>
        <vt:lpwstr>http://www.nevo.co.il/case/28229995</vt:lpwstr>
      </vt:variant>
      <vt:variant>
        <vt:lpwstr/>
      </vt:variant>
      <vt:variant>
        <vt:i4>3342452</vt:i4>
      </vt:variant>
      <vt:variant>
        <vt:i4>63</vt:i4>
      </vt:variant>
      <vt:variant>
        <vt:i4>0</vt:i4>
      </vt:variant>
      <vt:variant>
        <vt:i4>5</vt:i4>
      </vt:variant>
      <vt:variant>
        <vt:lpwstr>http://www.nevo.co.il/case/30024241</vt:lpwstr>
      </vt:variant>
      <vt:variant>
        <vt:lpwstr/>
      </vt:variant>
      <vt:variant>
        <vt:i4>3539057</vt:i4>
      </vt:variant>
      <vt:variant>
        <vt:i4>60</vt:i4>
      </vt:variant>
      <vt:variant>
        <vt:i4>0</vt:i4>
      </vt:variant>
      <vt:variant>
        <vt:i4>5</vt:i4>
      </vt:variant>
      <vt:variant>
        <vt:lpwstr>http://www.nevo.co.il/case/30376202</vt:lpwstr>
      </vt:variant>
      <vt:variant>
        <vt:lpwstr/>
      </vt:variant>
      <vt:variant>
        <vt:i4>3407996</vt:i4>
      </vt:variant>
      <vt:variant>
        <vt:i4>57</vt:i4>
      </vt:variant>
      <vt:variant>
        <vt:i4>0</vt:i4>
      </vt:variant>
      <vt:variant>
        <vt:i4>5</vt:i4>
      </vt:variant>
      <vt:variant>
        <vt:lpwstr>http://www.nevo.co.il/case/5568354</vt:lpwstr>
      </vt:variant>
      <vt:variant>
        <vt:lpwstr/>
      </vt:variant>
      <vt:variant>
        <vt:i4>3604592</vt:i4>
      </vt:variant>
      <vt:variant>
        <vt:i4>54</vt:i4>
      </vt:variant>
      <vt:variant>
        <vt:i4>0</vt:i4>
      </vt:variant>
      <vt:variant>
        <vt:i4>5</vt:i4>
      </vt:variant>
      <vt:variant>
        <vt:lpwstr>http://www.nevo.co.il/case/28452933</vt:lpwstr>
      </vt:variant>
      <vt:variant>
        <vt:lpwstr/>
      </vt:variant>
      <vt:variant>
        <vt:i4>3276920</vt:i4>
      </vt:variant>
      <vt:variant>
        <vt:i4>51</vt:i4>
      </vt:variant>
      <vt:variant>
        <vt:i4>0</vt:i4>
      </vt:variant>
      <vt:variant>
        <vt:i4>5</vt:i4>
      </vt:variant>
      <vt:variant>
        <vt:lpwstr>http://www.nevo.co.il/case/28152132</vt:lpwstr>
      </vt:variant>
      <vt:variant>
        <vt:lpwstr/>
      </vt:variant>
      <vt:variant>
        <vt:i4>3735668</vt:i4>
      </vt:variant>
      <vt:variant>
        <vt:i4>48</vt:i4>
      </vt:variant>
      <vt:variant>
        <vt:i4>0</vt:i4>
      </vt:variant>
      <vt:variant>
        <vt:i4>5</vt:i4>
      </vt:variant>
      <vt:variant>
        <vt:lpwstr>http://www.nevo.co.il/case/27911638</vt:lpwstr>
      </vt:variant>
      <vt:variant>
        <vt:lpwstr/>
      </vt:variant>
      <vt:variant>
        <vt:i4>4063356</vt:i4>
      </vt:variant>
      <vt:variant>
        <vt:i4>45</vt:i4>
      </vt:variant>
      <vt:variant>
        <vt:i4>0</vt:i4>
      </vt:variant>
      <vt:variant>
        <vt:i4>5</vt:i4>
      </vt:variant>
      <vt:variant>
        <vt:lpwstr>http://www.nevo.co.il/case/27894608</vt:lpwstr>
      </vt:variant>
      <vt:variant>
        <vt:lpwstr/>
      </vt:variant>
      <vt:variant>
        <vt:i4>8323175</vt:i4>
      </vt:variant>
      <vt:variant>
        <vt:i4>42</vt:i4>
      </vt:variant>
      <vt:variant>
        <vt:i4>0</vt:i4>
      </vt:variant>
      <vt:variant>
        <vt:i4>5</vt:i4>
      </vt:variant>
      <vt:variant>
        <vt:lpwstr>http://www.nevo.co.il/law/5227</vt:lpwstr>
      </vt:variant>
      <vt:variant>
        <vt:lpwstr/>
      </vt:variant>
      <vt:variant>
        <vt:i4>5505099</vt:i4>
      </vt:variant>
      <vt:variant>
        <vt:i4>39</vt:i4>
      </vt:variant>
      <vt:variant>
        <vt:i4>0</vt:i4>
      </vt:variant>
      <vt:variant>
        <vt:i4>5</vt:i4>
      </vt:variant>
      <vt:variant>
        <vt:lpwstr>http://www.nevo.co.il/law/5227/62.2.;38.2</vt:lpwstr>
      </vt:variant>
      <vt:variant>
        <vt:lpwstr/>
      </vt:variant>
      <vt:variant>
        <vt:i4>4390992</vt:i4>
      </vt:variant>
      <vt:variant>
        <vt:i4>36</vt:i4>
      </vt:variant>
      <vt:variant>
        <vt:i4>0</vt:i4>
      </vt:variant>
      <vt:variant>
        <vt:i4>5</vt:i4>
      </vt:variant>
      <vt:variant>
        <vt:lpwstr>http://www.nevo.co.il/law/70301/287.a</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852041</vt:i4>
      </vt:variant>
      <vt:variant>
        <vt:i4>27</vt:i4>
      </vt:variant>
      <vt:variant>
        <vt:i4>0</vt:i4>
      </vt:variant>
      <vt:variant>
        <vt:i4>5</vt:i4>
      </vt:variant>
      <vt:variant>
        <vt:lpwstr>http://www.nevo.co.il/law/70301/29.a</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4784200</vt:i4>
      </vt:variant>
      <vt:variant>
        <vt:i4>21</vt:i4>
      </vt:variant>
      <vt:variant>
        <vt:i4>0</vt:i4>
      </vt:variant>
      <vt:variant>
        <vt:i4>5</vt:i4>
      </vt:variant>
      <vt:variant>
        <vt:lpwstr>http://www.nevo.co.il/law/5227/62.2.</vt:lpwstr>
      </vt:variant>
      <vt:variant>
        <vt:lpwstr/>
      </vt:variant>
      <vt:variant>
        <vt:i4>6422640</vt:i4>
      </vt:variant>
      <vt:variant>
        <vt:i4>18</vt:i4>
      </vt:variant>
      <vt:variant>
        <vt:i4>0</vt:i4>
      </vt:variant>
      <vt:variant>
        <vt:i4>5</vt:i4>
      </vt:variant>
      <vt:variant>
        <vt:lpwstr>http://www.nevo.co.il/law/5227/38.2</vt:lpwstr>
      </vt:variant>
      <vt:variant>
        <vt:lpwstr/>
      </vt:variant>
      <vt:variant>
        <vt:i4>8323175</vt:i4>
      </vt:variant>
      <vt:variant>
        <vt:i4>15</vt:i4>
      </vt:variant>
      <vt:variant>
        <vt:i4>0</vt:i4>
      </vt:variant>
      <vt:variant>
        <vt:i4>5</vt:i4>
      </vt:variant>
      <vt:variant>
        <vt:lpwstr>http://www.nevo.co.il/law/5227</vt:lpwstr>
      </vt:variant>
      <vt:variant>
        <vt:lpwstr/>
      </vt:variant>
      <vt:variant>
        <vt:i4>4390992</vt:i4>
      </vt:variant>
      <vt:variant>
        <vt:i4>12</vt:i4>
      </vt:variant>
      <vt:variant>
        <vt:i4>0</vt:i4>
      </vt:variant>
      <vt:variant>
        <vt:i4>5</vt:i4>
      </vt:variant>
      <vt:variant>
        <vt:lpwstr>http://www.nevo.co.il/law/70301/287.a</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852041</vt:i4>
      </vt:variant>
      <vt:variant>
        <vt:i4>3</vt:i4>
      </vt:variant>
      <vt:variant>
        <vt:i4>0</vt:i4>
      </vt:variant>
      <vt:variant>
        <vt:i4>5</vt:i4>
      </vt:variant>
      <vt:variant>
        <vt:lpwstr>http://www.nevo.co.il/law/70301/29.a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2025-04-25T11:00:00Z</dcterms:created>
  <dcterms:modified xsi:type="dcterms:W3CDTF">2025-04-25T11:00:00Z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38550</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כארם אגמיל;אברהים גמיל</vt:lpwstr>
  </property>
  <property fmtid="{D5CDD505-2E9C-101B-9397-08002B2CF9AE}" pid="10" name="JUDGE">
    <vt:lpwstr>מרב גרינברג</vt:lpwstr>
  </property>
  <property fmtid="{D5CDD505-2E9C-101B-9397-08002B2CF9AE}" pid="11" name="CITY">
    <vt:lpwstr>מרכז</vt:lpwstr>
  </property>
  <property fmtid="{D5CDD505-2E9C-101B-9397-08002B2CF9AE}" pid="12" name="DATE">
    <vt:lpwstr>20240805</vt:lpwstr>
  </property>
  <property fmtid="{D5CDD505-2E9C-101B-9397-08002B2CF9AE}" pid="13" name="TYPE_N_DATE">
    <vt:lpwstr>39020240805</vt:lpwstr>
  </property>
  <property fmtid="{D5CDD505-2E9C-101B-9397-08002B2CF9AE}" pid="14" name="CASESLISTTMP1">
    <vt:lpwstr>27894608;27911638;28152132;28452933;5568354;30376202;30024241;28229995;28384637;25528737;29390630;22099017;27583422:2;28268880</vt:lpwstr>
  </property>
  <property fmtid="{D5CDD505-2E9C-101B-9397-08002B2CF9AE}" pid="15" name="CASENOTES1">
    <vt:lpwstr>ProcID=133;209&amp;PartA=78&amp;PartC=21</vt:lpwstr>
  </property>
  <property fmtid="{D5CDD505-2E9C-101B-9397-08002B2CF9AE}" pid="16" name="WORDNUMPAGES">
    <vt:lpwstr>8</vt:lpwstr>
  </property>
  <property fmtid="{D5CDD505-2E9C-101B-9397-08002B2CF9AE}" pid="17" name="TYPE_ABS_DATE">
    <vt:lpwstr>390020240805</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70301/144.a;029.a;275;287.a</vt:lpwstr>
  </property>
  <property fmtid="{D5CDD505-2E9C-101B-9397-08002B2CF9AE}" pid="38" name="LAWLISTTMP2">
    <vt:lpwstr>5227/062.2;038.2</vt:lpwstr>
  </property>
</Properties>
</file>