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12A90" w:rsidRPr="006E7557" w14:paraId="67F3DBF9" w14:textId="77777777" w:rsidTr="00F052F1">
        <w:trPr>
          <w:trHeight w:hRule="exact" w:val="418"/>
          <w:jc w:val="center"/>
        </w:trPr>
        <w:tc>
          <w:tcPr>
            <w:tcW w:w="8721" w:type="dxa"/>
            <w:gridSpan w:val="2"/>
          </w:tcPr>
          <w:p w14:paraId="0221DBA4" w14:textId="77777777" w:rsidR="00512A90" w:rsidRPr="006E7557" w:rsidRDefault="00512A90" w:rsidP="00BA09B2">
            <w:pPr>
              <w:pStyle w:val="a3"/>
              <w:jc w:val="center"/>
              <w:rPr>
                <w:rFonts w:ascii="Tahoma" w:hAnsi="Tahoma" w:cs="Tahoma"/>
                <w:color w:val="000080"/>
                <w:rtl/>
              </w:rPr>
            </w:pPr>
            <w:bookmarkStart w:id="0" w:name="LastJudge"/>
            <w:r w:rsidRPr="006E7557">
              <w:rPr>
                <w:rFonts w:ascii="Tahoma" w:hAnsi="Tahoma" w:cs="Tahoma"/>
                <w:b/>
                <w:bCs/>
                <w:color w:val="000080"/>
                <w:rtl/>
              </w:rPr>
              <w:t>בית המשפט המחוזי בחיפה</w:t>
            </w:r>
          </w:p>
        </w:tc>
      </w:tr>
      <w:tr w:rsidR="00512A90" w:rsidRPr="006E7557" w14:paraId="7C5924DC" w14:textId="77777777" w:rsidTr="00F052F1">
        <w:trPr>
          <w:trHeight w:val="337"/>
          <w:jc w:val="center"/>
        </w:trPr>
        <w:tc>
          <w:tcPr>
            <w:tcW w:w="5054" w:type="dxa"/>
          </w:tcPr>
          <w:p w14:paraId="114ABE8C" w14:textId="77777777" w:rsidR="00512A90" w:rsidRPr="006E7557" w:rsidRDefault="00512A90" w:rsidP="00BA09B2">
            <w:pPr>
              <w:rPr>
                <w:rFonts w:ascii="David" w:hAnsi="David"/>
                <w:b/>
                <w:bCs/>
                <w:sz w:val="26"/>
                <w:szCs w:val="26"/>
                <w:rtl/>
              </w:rPr>
            </w:pPr>
            <w:r w:rsidRPr="006E7557">
              <w:rPr>
                <w:rFonts w:ascii="David" w:hAnsi="David"/>
                <w:b/>
                <w:bCs/>
                <w:sz w:val="26"/>
                <w:szCs w:val="26"/>
                <w:rtl/>
              </w:rPr>
              <w:t>ת"פ 10189-01-24 מדינת ישראל נ' איוב (עציר)</w:t>
            </w:r>
          </w:p>
          <w:p w14:paraId="7B7CB83A" w14:textId="77777777" w:rsidR="00512A90" w:rsidRPr="006E7557" w:rsidRDefault="00512A90" w:rsidP="00BA09B2">
            <w:pPr>
              <w:pStyle w:val="a3"/>
              <w:rPr>
                <w:rFonts w:cs="FrankRuehl"/>
                <w:sz w:val="28"/>
                <w:szCs w:val="28"/>
                <w:rtl/>
              </w:rPr>
            </w:pPr>
          </w:p>
        </w:tc>
        <w:tc>
          <w:tcPr>
            <w:tcW w:w="3667" w:type="dxa"/>
          </w:tcPr>
          <w:p w14:paraId="7AB49230" w14:textId="77777777" w:rsidR="00512A90" w:rsidRPr="006E7557" w:rsidRDefault="00512A90" w:rsidP="00BA09B2">
            <w:pPr>
              <w:pStyle w:val="a3"/>
              <w:jc w:val="right"/>
              <w:rPr>
                <w:rFonts w:cs="FrankRuehl"/>
                <w:sz w:val="28"/>
                <w:szCs w:val="28"/>
                <w:rtl/>
              </w:rPr>
            </w:pPr>
          </w:p>
        </w:tc>
      </w:tr>
    </w:tbl>
    <w:p w14:paraId="02E7FBA5" w14:textId="77777777" w:rsidR="00512A90" w:rsidRPr="006E7557" w:rsidRDefault="00512A90" w:rsidP="00512A90">
      <w:pPr>
        <w:pStyle w:val="a3"/>
        <w:rPr>
          <w:rtl/>
        </w:rPr>
      </w:pPr>
      <w:r w:rsidRPr="006E7557">
        <w:rPr>
          <w:rFonts w:hint="cs"/>
          <w:rtl/>
        </w:rPr>
        <w:t xml:space="preserve"> </w:t>
      </w:r>
    </w:p>
    <w:p w14:paraId="18AD95D4" w14:textId="77777777" w:rsidR="00512A90" w:rsidRPr="006E7557" w:rsidRDefault="00512A90" w:rsidP="00512A90">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512A90" w:rsidRPr="006E7557" w14:paraId="452CC825" w14:textId="77777777" w:rsidTr="00512A90">
        <w:trPr>
          <w:gridAfter w:val="1"/>
          <w:wAfter w:w="56" w:type="dxa"/>
        </w:trPr>
        <w:tc>
          <w:tcPr>
            <w:tcW w:w="8718" w:type="dxa"/>
            <w:gridSpan w:val="2"/>
            <w:shd w:val="clear" w:color="auto" w:fill="auto"/>
          </w:tcPr>
          <w:p w14:paraId="565991ED" w14:textId="77777777" w:rsidR="00512A90" w:rsidRPr="006E7557" w:rsidRDefault="00512A90" w:rsidP="00512A90">
            <w:pPr>
              <w:jc w:val="both"/>
              <w:rPr>
                <w:b/>
                <w:bCs/>
                <w:sz w:val="26"/>
                <w:szCs w:val="26"/>
                <w:rtl/>
              </w:rPr>
            </w:pPr>
            <w:r w:rsidRPr="006E7557">
              <w:rPr>
                <w:rFonts w:hint="cs"/>
                <w:b/>
                <w:bCs/>
                <w:sz w:val="26"/>
                <w:szCs w:val="26"/>
                <w:rtl/>
              </w:rPr>
              <w:t>לפני כבוד השופט שלמה בנג'ו</w:t>
            </w:r>
          </w:p>
          <w:p w14:paraId="45400C83" w14:textId="77777777" w:rsidR="00512A90" w:rsidRPr="006E7557" w:rsidRDefault="00512A90" w:rsidP="00512A90">
            <w:pPr>
              <w:jc w:val="both"/>
              <w:rPr>
                <w:b/>
                <w:bCs/>
                <w:sz w:val="26"/>
                <w:szCs w:val="26"/>
                <w:rtl/>
              </w:rPr>
            </w:pPr>
          </w:p>
        </w:tc>
      </w:tr>
      <w:tr w:rsidR="00512A90" w:rsidRPr="006E7557" w14:paraId="5131D23A" w14:textId="77777777" w:rsidTr="00512A90">
        <w:trPr>
          <w:cantSplit/>
          <w:trHeight w:val="348"/>
        </w:trPr>
        <w:tc>
          <w:tcPr>
            <w:tcW w:w="2880" w:type="dxa"/>
            <w:shd w:val="clear" w:color="auto" w:fill="auto"/>
          </w:tcPr>
          <w:p w14:paraId="62070303" w14:textId="77777777" w:rsidR="00512A90" w:rsidRPr="006E7557" w:rsidRDefault="00512A90" w:rsidP="00512A90">
            <w:pPr>
              <w:ind w:left="26"/>
              <w:jc w:val="both"/>
              <w:rPr>
                <w:b/>
                <w:bCs/>
                <w:sz w:val="26"/>
                <w:szCs w:val="26"/>
                <w:rtl/>
              </w:rPr>
            </w:pPr>
            <w:bookmarkStart w:id="1" w:name="FirstAppellant"/>
            <w:r w:rsidRPr="006E7557">
              <w:rPr>
                <w:rFonts w:hint="cs"/>
                <w:b/>
                <w:bCs/>
                <w:sz w:val="26"/>
                <w:szCs w:val="26"/>
                <w:rtl/>
              </w:rPr>
              <w:t>המאשימה:</w:t>
            </w:r>
          </w:p>
          <w:p w14:paraId="420B868C" w14:textId="77777777" w:rsidR="00512A90" w:rsidRPr="006E7557" w:rsidRDefault="00512A90" w:rsidP="00512A90">
            <w:pPr>
              <w:jc w:val="both"/>
              <w:rPr>
                <w:b/>
                <w:bCs/>
                <w:sz w:val="26"/>
                <w:szCs w:val="26"/>
                <w:rtl/>
              </w:rPr>
            </w:pPr>
          </w:p>
        </w:tc>
        <w:tc>
          <w:tcPr>
            <w:tcW w:w="5922" w:type="dxa"/>
            <w:gridSpan w:val="2"/>
            <w:shd w:val="clear" w:color="auto" w:fill="auto"/>
          </w:tcPr>
          <w:p w14:paraId="4F357762" w14:textId="77777777" w:rsidR="00512A90" w:rsidRPr="006E7557" w:rsidRDefault="00512A90" w:rsidP="00512A90">
            <w:pPr>
              <w:jc w:val="both"/>
              <w:rPr>
                <w:b/>
                <w:bCs/>
                <w:sz w:val="26"/>
                <w:szCs w:val="26"/>
                <w:rtl/>
              </w:rPr>
            </w:pPr>
            <w:r w:rsidRPr="006E7557">
              <w:rPr>
                <w:rFonts w:hint="cs"/>
                <w:b/>
                <w:bCs/>
                <w:sz w:val="26"/>
                <w:szCs w:val="26"/>
                <w:rtl/>
              </w:rPr>
              <w:t>מדינת ישראל</w:t>
            </w:r>
          </w:p>
        </w:tc>
      </w:tr>
      <w:bookmarkEnd w:id="1"/>
      <w:tr w:rsidR="00512A90" w:rsidRPr="006E7557" w14:paraId="619AFF30" w14:textId="77777777" w:rsidTr="00512A90">
        <w:tc>
          <w:tcPr>
            <w:tcW w:w="8802" w:type="dxa"/>
            <w:gridSpan w:val="3"/>
            <w:shd w:val="clear" w:color="auto" w:fill="auto"/>
            <w:vAlign w:val="center"/>
          </w:tcPr>
          <w:p w14:paraId="7F5ADCEC" w14:textId="77777777" w:rsidR="00512A90" w:rsidRPr="006E7557" w:rsidRDefault="00512A90" w:rsidP="00512A90">
            <w:pPr>
              <w:jc w:val="center"/>
              <w:rPr>
                <w:rFonts w:ascii="Arial" w:hAnsi="Arial"/>
                <w:b/>
                <w:bCs/>
                <w:sz w:val="26"/>
                <w:szCs w:val="26"/>
                <w:rtl/>
              </w:rPr>
            </w:pPr>
            <w:r w:rsidRPr="006E7557">
              <w:rPr>
                <w:rFonts w:ascii="Arial" w:hAnsi="Arial" w:hint="cs"/>
                <w:b/>
                <w:bCs/>
                <w:sz w:val="26"/>
                <w:szCs w:val="26"/>
                <w:rtl/>
              </w:rPr>
              <w:t>- נגד -</w:t>
            </w:r>
          </w:p>
          <w:p w14:paraId="5BDA527A" w14:textId="77777777" w:rsidR="00512A90" w:rsidRPr="006E7557" w:rsidRDefault="00512A90" w:rsidP="00512A90">
            <w:pPr>
              <w:jc w:val="center"/>
              <w:rPr>
                <w:rFonts w:ascii="Arial" w:hAnsi="Arial"/>
                <w:b/>
                <w:bCs/>
                <w:sz w:val="26"/>
                <w:szCs w:val="26"/>
                <w:rtl/>
              </w:rPr>
            </w:pPr>
          </w:p>
        </w:tc>
      </w:tr>
      <w:tr w:rsidR="00512A90" w:rsidRPr="006E7557" w14:paraId="2A094AE6" w14:textId="77777777" w:rsidTr="00512A90">
        <w:tc>
          <w:tcPr>
            <w:tcW w:w="2880" w:type="dxa"/>
            <w:shd w:val="clear" w:color="auto" w:fill="auto"/>
          </w:tcPr>
          <w:p w14:paraId="123CD1B9" w14:textId="77777777" w:rsidR="00512A90" w:rsidRPr="006E7557" w:rsidRDefault="00512A90" w:rsidP="00512A90">
            <w:pPr>
              <w:ind w:left="26"/>
              <w:jc w:val="both"/>
              <w:rPr>
                <w:b/>
                <w:bCs/>
                <w:sz w:val="26"/>
                <w:szCs w:val="26"/>
                <w:rtl/>
              </w:rPr>
            </w:pPr>
            <w:bookmarkStart w:id="2" w:name="FirstLawyer"/>
            <w:r w:rsidRPr="006E7557">
              <w:rPr>
                <w:rFonts w:hint="cs"/>
                <w:b/>
                <w:bCs/>
                <w:sz w:val="26"/>
                <w:szCs w:val="26"/>
                <w:rtl/>
              </w:rPr>
              <w:t>הנאשם:</w:t>
            </w:r>
          </w:p>
        </w:tc>
        <w:tc>
          <w:tcPr>
            <w:tcW w:w="5922" w:type="dxa"/>
            <w:gridSpan w:val="2"/>
            <w:shd w:val="clear" w:color="auto" w:fill="auto"/>
          </w:tcPr>
          <w:p w14:paraId="42464E4B" w14:textId="77777777" w:rsidR="00512A90" w:rsidRPr="006E7557" w:rsidRDefault="00512A90" w:rsidP="00512A90">
            <w:pPr>
              <w:jc w:val="both"/>
              <w:rPr>
                <w:b/>
                <w:bCs/>
                <w:sz w:val="26"/>
                <w:szCs w:val="26"/>
              </w:rPr>
            </w:pPr>
            <w:r w:rsidRPr="006E7557">
              <w:rPr>
                <w:rFonts w:hint="cs"/>
                <w:b/>
                <w:bCs/>
                <w:sz w:val="26"/>
                <w:szCs w:val="26"/>
                <w:rtl/>
              </w:rPr>
              <w:t xml:space="preserve">עבדאללה איוב (עציר), ת"ז </w:t>
            </w:r>
            <w:r w:rsidR="006E7557">
              <w:rPr>
                <w:b/>
                <w:bCs/>
                <w:sz w:val="26"/>
                <w:szCs w:val="26"/>
              </w:rPr>
              <w:t>xxxxxxxxx</w:t>
            </w:r>
          </w:p>
          <w:p w14:paraId="1E3673E8" w14:textId="77777777" w:rsidR="00512A90" w:rsidRPr="006E7557" w:rsidRDefault="00512A90" w:rsidP="00512A90">
            <w:pPr>
              <w:jc w:val="both"/>
              <w:rPr>
                <w:sz w:val="26"/>
                <w:szCs w:val="26"/>
                <w:rtl/>
              </w:rPr>
            </w:pPr>
            <w:r w:rsidRPr="006E7557">
              <w:rPr>
                <w:rFonts w:hint="cs"/>
                <w:sz w:val="26"/>
                <w:szCs w:val="26"/>
                <w:rtl/>
              </w:rPr>
              <w:t>ע"י ב"כ עו"ד איתן און</w:t>
            </w:r>
          </w:p>
        </w:tc>
      </w:tr>
      <w:bookmarkEnd w:id="2"/>
    </w:tbl>
    <w:p w14:paraId="418B1533" w14:textId="77777777" w:rsidR="00512A90" w:rsidRPr="006E7557" w:rsidRDefault="00512A90" w:rsidP="00512A90">
      <w:pPr>
        <w:suppressLineNumbers/>
        <w:jc w:val="both"/>
        <w:rPr>
          <w:rFonts w:ascii="Arial" w:hAnsi="Arial"/>
          <w:szCs w:val="26"/>
          <w:rtl/>
        </w:rPr>
      </w:pPr>
    </w:p>
    <w:p w14:paraId="0FB90F7C" w14:textId="77777777" w:rsidR="006E7557" w:rsidRPr="006E7557" w:rsidRDefault="006E7557" w:rsidP="006E7557">
      <w:pPr>
        <w:spacing w:before="120" w:after="120" w:line="240" w:lineRule="exact"/>
        <w:ind w:left="283" w:hanging="283"/>
        <w:jc w:val="both"/>
        <w:rPr>
          <w:rFonts w:ascii="FrankRuehl" w:hAnsi="FrankRuehl" w:cs="FrankRuehl"/>
          <w:rtl/>
        </w:rPr>
      </w:pPr>
    </w:p>
    <w:p w14:paraId="4993C63D" w14:textId="77777777" w:rsidR="006E7557" w:rsidRPr="006E7557" w:rsidRDefault="006E7557" w:rsidP="006E7557">
      <w:pPr>
        <w:rPr>
          <w:rFonts w:ascii="Arial" w:hAnsi="Arial"/>
          <w:sz w:val="26"/>
          <w:szCs w:val="26"/>
          <w:rtl/>
        </w:rPr>
      </w:pPr>
    </w:p>
    <w:p w14:paraId="4528E2DC" w14:textId="77777777" w:rsidR="00F052F1" w:rsidRPr="00F052F1" w:rsidRDefault="00F052F1" w:rsidP="00F052F1">
      <w:pPr>
        <w:spacing w:before="120" w:after="120" w:line="240" w:lineRule="exact"/>
        <w:ind w:left="283" w:hanging="283"/>
        <w:jc w:val="both"/>
        <w:rPr>
          <w:rFonts w:ascii="FrankRuehl" w:hAnsi="FrankRuehl" w:cs="FrankRuehl"/>
          <w:rtl/>
        </w:rPr>
      </w:pPr>
      <w:bookmarkStart w:id="3" w:name="LawTable"/>
      <w:bookmarkEnd w:id="3"/>
    </w:p>
    <w:p w14:paraId="4C93DD73" w14:textId="77777777" w:rsidR="00F052F1" w:rsidRPr="00F052F1" w:rsidRDefault="00F052F1" w:rsidP="00F052F1">
      <w:pPr>
        <w:spacing w:before="120" w:after="120" w:line="240" w:lineRule="exact"/>
        <w:ind w:left="283" w:hanging="283"/>
        <w:jc w:val="both"/>
        <w:rPr>
          <w:rFonts w:ascii="FrankRuehl" w:hAnsi="FrankRuehl" w:cs="FrankRuehl"/>
          <w:rtl/>
        </w:rPr>
      </w:pPr>
      <w:r w:rsidRPr="00F052F1">
        <w:rPr>
          <w:rFonts w:ascii="FrankRuehl" w:hAnsi="FrankRuehl" w:cs="FrankRuehl"/>
          <w:rtl/>
        </w:rPr>
        <w:t xml:space="preserve">חקיקה שאוזכרה: </w:t>
      </w:r>
    </w:p>
    <w:p w14:paraId="5FA36236" w14:textId="77777777" w:rsidR="00F052F1" w:rsidRPr="00F052F1" w:rsidRDefault="00F052F1" w:rsidP="00F052F1">
      <w:pPr>
        <w:spacing w:before="120" w:after="120" w:line="240" w:lineRule="exact"/>
        <w:ind w:left="283" w:hanging="283"/>
        <w:jc w:val="both"/>
        <w:rPr>
          <w:rFonts w:ascii="FrankRuehl" w:hAnsi="FrankRuehl" w:cs="FrankRuehl"/>
          <w:color w:val="0000FF"/>
          <w:rtl/>
        </w:rPr>
      </w:pPr>
      <w:hyperlink r:id="rId7" w:history="1">
        <w:r w:rsidRPr="00F052F1">
          <w:rPr>
            <w:rStyle w:val="Hyperlink"/>
            <w:rFonts w:ascii="FrankRuehl" w:hAnsi="FrankRuehl" w:cs="FrankRuehl"/>
            <w:u w:val="none"/>
            <w:rtl/>
          </w:rPr>
          <w:t>חוק העונשין, תשל"ז-1977</w:t>
        </w:r>
      </w:hyperlink>
      <w:r w:rsidRPr="00F052F1">
        <w:rPr>
          <w:rFonts w:ascii="FrankRuehl" w:hAnsi="FrankRuehl" w:cs="FrankRuehl"/>
          <w:color w:val="0000FF"/>
          <w:rtl/>
        </w:rPr>
        <w:t xml:space="preserve">: סע'  </w:t>
      </w:r>
      <w:hyperlink r:id="rId8" w:history="1">
        <w:r w:rsidRPr="00F052F1">
          <w:rPr>
            <w:rStyle w:val="Hyperlink"/>
            <w:rFonts w:ascii="FrankRuehl" w:hAnsi="FrankRuehl" w:cs="FrankRuehl"/>
            <w:u w:val="none"/>
          </w:rPr>
          <w:t>29</w:t>
        </w:r>
      </w:hyperlink>
      <w:r w:rsidRPr="00F052F1">
        <w:rPr>
          <w:rFonts w:ascii="FrankRuehl" w:hAnsi="FrankRuehl" w:cs="FrankRuehl"/>
          <w:color w:val="0000FF"/>
          <w:rtl/>
        </w:rPr>
        <w:t xml:space="preserve">, </w:t>
      </w:r>
      <w:hyperlink r:id="rId9" w:history="1">
        <w:r w:rsidRPr="00F052F1">
          <w:rPr>
            <w:rStyle w:val="Hyperlink"/>
            <w:rFonts w:ascii="FrankRuehl" w:hAnsi="FrankRuehl" w:cs="FrankRuehl"/>
            <w:u w:val="none"/>
          </w:rPr>
          <w:t>144</w:t>
        </w:r>
      </w:hyperlink>
      <w:r w:rsidRPr="00F052F1">
        <w:rPr>
          <w:rFonts w:ascii="FrankRuehl" w:hAnsi="FrankRuehl" w:cs="FrankRuehl"/>
          <w:color w:val="0000FF"/>
          <w:rtl/>
        </w:rPr>
        <w:t xml:space="preserve">(א), </w:t>
      </w:r>
      <w:hyperlink r:id="rId10" w:history="1">
        <w:r w:rsidRPr="00F052F1">
          <w:rPr>
            <w:rStyle w:val="Hyperlink"/>
            <w:rFonts w:ascii="FrankRuehl" w:hAnsi="FrankRuehl" w:cs="FrankRuehl"/>
            <w:u w:val="none"/>
          </w:rPr>
          <w:t>144</w:t>
        </w:r>
      </w:hyperlink>
      <w:r w:rsidRPr="00F052F1">
        <w:rPr>
          <w:rFonts w:ascii="FrankRuehl" w:hAnsi="FrankRuehl" w:cs="FrankRuehl"/>
          <w:color w:val="0000FF"/>
          <w:rtl/>
        </w:rPr>
        <w:t xml:space="preserve">(ב), </w:t>
      </w:r>
      <w:hyperlink r:id="rId11" w:history="1">
        <w:r w:rsidRPr="00F052F1">
          <w:rPr>
            <w:rStyle w:val="Hyperlink"/>
            <w:rFonts w:ascii="FrankRuehl" w:hAnsi="FrankRuehl" w:cs="FrankRuehl"/>
            <w:u w:val="none"/>
          </w:rPr>
          <w:t>144</w:t>
        </w:r>
      </w:hyperlink>
      <w:r w:rsidRPr="00F052F1">
        <w:rPr>
          <w:rFonts w:ascii="FrankRuehl" w:hAnsi="FrankRuehl" w:cs="FrankRuehl"/>
          <w:color w:val="0000FF"/>
          <w:rtl/>
        </w:rPr>
        <w:t xml:space="preserve">(ג), </w:t>
      </w:r>
      <w:hyperlink r:id="rId12" w:history="1">
        <w:r w:rsidRPr="00F052F1">
          <w:rPr>
            <w:rStyle w:val="Hyperlink"/>
            <w:rFonts w:ascii="FrankRuehl" w:hAnsi="FrankRuehl" w:cs="FrankRuehl"/>
            <w:u w:val="none"/>
          </w:rPr>
          <w:t>144</w:t>
        </w:r>
      </w:hyperlink>
      <w:r w:rsidRPr="00F052F1">
        <w:rPr>
          <w:rFonts w:ascii="FrankRuehl" w:hAnsi="FrankRuehl" w:cs="FrankRuehl"/>
          <w:color w:val="0000FF"/>
          <w:rtl/>
        </w:rPr>
        <w:t>(ז)</w:t>
      </w:r>
    </w:p>
    <w:p w14:paraId="19FB9EDE" w14:textId="77777777" w:rsidR="00512A90" w:rsidRPr="00F052F1" w:rsidRDefault="00512A90" w:rsidP="00F052F1">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2A90" w14:paraId="20AE8167" w14:textId="77777777" w:rsidTr="00512A90">
        <w:trPr>
          <w:trHeight w:val="355"/>
          <w:jc w:val="center"/>
        </w:trPr>
        <w:tc>
          <w:tcPr>
            <w:tcW w:w="8820" w:type="dxa"/>
            <w:tcBorders>
              <w:top w:val="nil"/>
              <w:left w:val="nil"/>
              <w:bottom w:val="nil"/>
              <w:right w:val="nil"/>
            </w:tcBorders>
            <w:shd w:val="clear" w:color="auto" w:fill="auto"/>
          </w:tcPr>
          <w:p w14:paraId="650A57AE" w14:textId="77777777" w:rsidR="006E7557" w:rsidRPr="006E7557" w:rsidRDefault="006E7557" w:rsidP="006E7557">
            <w:pPr>
              <w:jc w:val="center"/>
              <w:rPr>
                <w:rFonts w:ascii="David" w:hAnsi="David"/>
                <w:b/>
                <w:bCs/>
                <w:sz w:val="32"/>
                <w:szCs w:val="32"/>
                <w:u w:val="single"/>
                <w:rtl/>
              </w:rPr>
            </w:pPr>
            <w:bookmarkStart w:id="5" w:name="PsakDin" w:colFirst="0" w:colLast="0"/>
            <w:bookmarkEnd w:id="0"/>
            <w:r w:rsidRPr="006E7557">
              <w:rPr>
                <w:rFonts w:ascii="David" w:hAnsi="David"/>
                <w:b/>
                <w:bCs/>
                <w:sz w:val="32"/>
                <w:szCs w:val="32"/>
                <w:u w:val="single"/>
                <w:rtl/>
              </w:rPr>
              <w:t>גזר דין</w:t>
            </w:r>
          </w:p>
          <w:p w14:paraId="58D28E6B" w14:textId="77777777" w:rsidR="00512A90" w:rsidRPr="006E7557" w:rsidRDefault="00512A90" w:rsidP="006E7557">
            <w:pPr>
              <w:jc w:val="center"/>
              <w:rPr>
                <w:rFonts w:ascii="David" w:hAnsi="David"/>
                <w:bCs/>
                <w:sz w:val="32"/>
                <w:szCs w:val="32"/>
                <w:u w:val="single"/>
                <w:rtl/>
              </w:rPr>
            </w:pPr>
          </w:p>
        </w:tc>
      </w:tr>
      <w:bookmarkEnd w:id="5"/>
    </w:tbl>
    <w:p w14:paraId="61A720C9" w14:textId="77777777" w:rsidR="00512A90" w:rsidRPr="000F2247" w:rsidRDefault="00512A90" w:rsidP="00512A90">
      <w:pPr>
        <w:rPr>
          <w:rFonts w:ascii="Arial" w:hAnsi="Arial"/>
          <w:b/>
          <w:bCs/>
          <w:sz w:val="26"/>
          <w:szCs w:val="26"/>
          <w:rtl/>
        </w:rPr>
      </w:pPr>
    </w:p>
    <w:p w14:paraId="63A1AD16" w14:textId="77777777" w:rsidR="00512A90" w:rsidRDefault="00512A90" w:rsidP="00512A90">
      <w:pPr>
        <w:rPr>
          <w:rFonts w:ascii="Arial" w:hAnsi="Arial"/>
          <w:b/>
          <w:bCs/>
          <w:sz w:val="26"/>
          <w:szCs w:val="26"/>
          <w:rtl/>
        </w:rPr>
      </w:pPr>
    </w:p>
    <w:p w14:paraId="4C7A1EAD" w14:textId="77777777" w:rsidR="00512A90" w:rsidRDefault="00512A90" w:rsidP="00512A90">
      <w:pPr>
        <w:rPr>
          <w:rFonts w:ascii="Arial" w:hAnsi="Arial"/>
          <w:b/>
          <w:bCs/>
          <w:sz w:val="26"/>
          <w:szCs w:val="26"/>
          <w:rtl/>
        </w:rPr>
      </w:pPr>
    </w:p>
    <w:p w14:paraId="03F7AC17" w14:textId="77777777" w:rsidR="00512A90" w:rsidRDefault="00512A90" w:rsidP="00512A90">
      <w:pPr>
        <w:spacing w:line="360" w:lineRule="auto"/>
        <w:ind w:firstLine="720"/>
        <w:jc w:val="both"/>
        <w:rPr>
          <w:rFonts w:ascii="David" w:hAnsi="David"/>
          <w:b/>
          <w:bCs/>
          <w:u w:val="single"/>
          <w:rtl/>
        </w:rPr>
      </w:pPr>
      <w:r>
        <w:rPr>
          <w:rFonts w:ascii="David" w:hAnsi="David"/>
          <w:b/>
          <w:bCs/>
          <w:u w:val="single"/>
          <w:rtl/>
        </w:rPr>
        <w:t xml:space="preserve">כתב האישום ורקע כללי: </w:t>
      </w:r>
    </w:p>
    <w:p w14:paraId="4F91AEA5" w14:textId="77777777" w:rsidR="00512A90" w:rsidRDefault="00512A90" w:rsidP="00512A90">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1 </w:t>
      </w:r>
      <w:r>
        <w:rPr>
          <w:rFonts w:ascii="David" w:hAnsi="David" w:cs="David"/>
          <w:b/>
          <w:bCs/>
          <w:sz w:val="24"/>
          <w:szCs w:val="24"/>
          <w:rtl/>
        </w:rPr>
        <w:t>(להלן: "הנאשם")</w:t>
      </w:r>
      <w:r>
        <w:rPr>
          <w:rFonts w:ascii="David" w:hAnsi="David" w:cs="David"/>
          <w:sz w:val="24"/>
          <w:szCs w:val="24"/>
          <w:rtl/>
        </w:rPr>
        <w:t xml:space="preserve"> הורשע על פי הודאתו בכתב אישום מתוקן במסגרת הסדר טיעון  בביצוע  עבירות בנשק (נשיאה והובלה) - עבירה לפי </w:t>
      </w:r>
      <w:hyperlink r:id="rId13" w:history="1">
        <w:r w:rsidR="00F052F1" w:rsidRPr="00F052F1">
          <w:rPr>
            <w:rStyle w:val="Hyperlink"/>
            <w:rFonts w:ascii="David" w:hAnsi="David" w:cs="David"/>
            <w:color w:val="0000FF"/>
            <w:sz w:val="24"/>
            <w:szCs w:val="24"/>
            <w:rtl/>
          </w:rPr>
          <w:t>סעיף 144(ב)</w:t>
        </w:r>
      </w:hyperlink>
      <w:r>
        <w:rPr>
          <w:rFonts w:ascii="David" w:hAnsi="David" w:cs="David"/>
          <w:sz w:val="24"/>
          <w:szCs w:val="24"/>
          <w:rtl/>
        </w:rPr>
        <w:t xml:space="preserve"> רישא וסיפא + </w:t>
      </w:r>
      <w:hyperlink r:id="rId14" w:history="1">
        <w:r w:rsidR="00F052F1" w:rsidRPr="00F052F1">
          <w:rPr>
            <w:rStyle w:val="Hyperlink"/>
            <w:rFonts w:ascii="David" w:hAnsi="David" w:cs="David"/>
            <w:color w:val="0000FF"/>
            <w:sz w:val="24"/>
            <w:szCs w:val="24"/>
            <w:rtl/>
          </w:rPr>
          <w:t>סעיף 29</w:t>
        </w:r>
      </w:hyperlink>
      <w:r>
        <w:rPr>
          <w:rFonts w:ascii="David" w:hAnsi="David" w:cs="David"/>
          <w:sz w:val="24"/>
          <w:szCs w:val="24"/>
          <w:rtl/>
        </w:rPr>
        <w:t xml:space="preserve"> ל</w:t>
      </w:r>
      <w:hyperlink r:id="rId15" w:history="1">
        <w:r w:rsidR="006E7557" w:rsidRPr="006E7557">
          <w:rPr>
            <w:rFonts w:ascii="David" w:hAnsi="David" w:cs="David"/>
            <w:color w:val="0000FF"/>
            <w:sz w:val="24"/>
            <w:szCs w:val="24"/>
            <w:u w:val="single"/>
            <w:rtl/>
          </w:rPr>
          <w:t>חוק העונשין</w:t>
        </w:r>
      </w:hyperlink>
      <w:r>
        <w:rPr>
          <w:rFonts w:ascii="David" w:hAnsi="David" w:cs="David"/>
          <w:sz w:val="24"/>
          <w:szCs w:val="24"/>
          <w:rtl/>
        </w:rPr>
        <w:t xml:space="preserve">, התשל"ז- 1977 </w:t>
      </w:r>
      <w:r>
        <w:rPr>
          <w:rFonts w:ascii="David" w:hAnsi="David" w:cs="David"/>
          <w:b/>
          <w:bCs/>
          <w:sz w:val="24"/>
          <w:szCs w:val="24"/>
          <w:rtl/>
        </w:rPr>
        <w:t>(להלן:"חוק העונשין").</w:t>
      </w:r>
      <w:r>
        <w:rPr>
          <w:rFonts w:ascii="David" w:hAnsi="David" w:cs="David"/>
          <w:sz w:val="24"/>
          <w:szCs w:val="24"/>
          <w:rtl/>
        </w:rPr>
        <w:t xml:space="preserve"> </w:t>
      </w:r>
      <w:bookmarkStart w:id="7" w:name="ABSTRACT_END"/>
      <w:bookmarkEnd w:id="7"/>
    </w:p>
    <w:p w14:paraId="22E5C3F0" w14:textId="77777777" w:rsidR="00512A90" w:rsidRDefault="00512A90" w:rsidP="00512A90">
      <w:pPr>
        <w:pStyle w:val="a9"/>
        <w:spacing w:line="360" w:lineRule="auto"/>
        <w:jc w:val="both"/>
        <w:rPr>
          <w:rFonts w:ascii="David" w:hAnsi="David" w:cs="David"/>
          <w:sz w:val="24"/>
          <w:szCs w:val="24"/>
        </w:rPr>
      </w:pPr>
    </w:p>
    <w:p w14:paraId="639A996A" w14:textId="77777777" w:rsidR="00512A90" w:rsidRDefault="00512A90" w:rsidP="00512A90">
      <w:pPr>
        <w:pStyle w:val="a9"/>
        <w:numPr>
          <w:ilvl w:val="0"/>
          <w:numId w:val="1"/>
        </w:numPr>
        <w:spacing w:line="360" w:lineRule="auto"/>
        <w:jc w:val="both"/>
        <w:rPr>
          <w:rFonts w:ascii="David" w:hAnsi="David" w:cs="David"/>
          <w:sz w:val="24"/>
          <w:szCs w:val="24"/>
          <w:u w:val="single"/>
        </w:rPr>
      </w:pPr>
      <w:r>
        <w:rPr>
          <w:rFonts w:ascii="David" w:hAnsi="David" w:cs="David"/>
          <w:sz w:val="24"/>
          <w:szCs w:val="24"/>
          <w:rtl/>
        </w:rPr>
        <w:t xml:space="preserve">על פי עובדות כתב האישום בהן הודה הנאשם, בינו לבין ודיע עוסמאן </w:t>
      </w:r>
      <w:r>
        <w:rPr>
          <w:rFonts w:ascii="David" w:hAnsi="David" w:cs="David"/>
          <w:b/>
          <w:bCs/>
          <w:sz w:val="24"/>
          <w:szCs w:val="24"/>
          <w:rtl/>
        </w:rPr>
        <w:t>(להלן: "ודיע"),</w:t>
      </w:r>
      <w:r>
        <w:rPr>
          <w:rFonts w:ascii="David" w:hAnsi="David" w:cs="David"/>
          <w:sz w:val="24"/>
          <w:szCs w:val="24"/>
          <w:rtl/>
        </w:rPr>
        <w:t xml:space="preserve"> קיים קשר חברות. הנאשם מתגורר בכפר נחף, וסמוך לביתו יש מוסך לו צמודה חצר. בתאריך 8.12.2023, החזיק הנאשם שלא כדין, אקדח שחור חצי אוטומטי מתוצרת</w:t>
      </w:r>
      <w:r>
        <w:rPr>
          <w:rFonts w:ascii="David" w:hAnsi="David" w:cs="David"/>
          <w:sz w:val="24"/>
          <w:szCs w:val="24"/>
        </w:rPr>
        <w:t xml:space="preserve">S&amp;W </w:t>
      </w:r>
      <w:r>
        <w:rPr>
          <w:rFonts w:ascii="David" w:hAnsi="David" w:cs="David"/>
          <w:sz w:val="24"/>
          <w:szCs w:val="24"/>
          <w:rtl/>
        </w:rPr>
        <w:t>בקוטר 9 מ"מ, שהוא טעון במחסנית מתאימה, ובתוכה 10 כדורים בקוטר 9 מ"מ. באותו מועד, קשרו הנאשם וודיע קשרו קשר, לפיו הם יירו על ביתו של תושב הכפר, שביתו נמצא סמוך לבית הקברות בכפר</w:t>
      </w:r>
      <w:r>
        <w:rPr>
          <w:rFonts w:ascii="David" w:hAnsi="David" w:cs="David"/>
          <w:b/>
          <w:bCs/>
          <w:sz w:val="24"/>
          <w:szCs w:val="24"/>
          <w:rtl/>
        </w:rPr>
        <w:t>.</w:t>
      </w:r>
      <w:r>
        <w:rPr>
          <w:rFonts w:ascii="David" w:hAnsi="David" w:cs="David"/>
          <w:sz w:val="24"/>
          <w:szCs w:val="24"/>
          <w:rtl/>
        </w:rPr>
        <w:t xml:space="preserve"> במסגרת התכנית ולשם קידומה, הגיע ודיע לביתו של הנאשם באותו ערב, שהוא נושא על גופו אקדח כסוף, חצי אוטומטי, מסוג </w:t>
      </w:r>
      <w:r>
        <w:rPr>
          <w:rFonts w:ascii="David" w:hAnsi="David" w:cs="David"/>
          <w:sz w:val="24"/>
          <w:szCs w:val="24"/>
        </w:rPr>
        <w:t>FN</w:t>
      </w:r>
      <w:r>
        <w:rPr>
          <w:rFonts w:ascii="David" w:hAnsi="David" w:cs="David"/>
          <w:sz w:val="24"/>
          <w:szCs w:val="24"/>
          <w:rtl/>
        </w:rPr>
        <w:t xml:space="preserve">, עם מחסנית מתאימה ובה 14 כדורים בקוטר 9 מ"מ. סמוך לשעה 23:45, באותו ערב, יצאו השניים מהמוסך, שהם נושאים עליהם את האקדחים הטעונים במחסניות, כאשר על גופו של </w:t>
      </w:r>
      <w:r>
        <w:rPr>
          <w:rFonts w:ascii="David" w:hAnsi="David" w:cs="David"/>
          <w:sz w:val="24"/>
          <w:szCs w:val="24"/>
          <w:rtl/>
        </w:rPr>
        <w:lastRenderedPageBreak/>
        <w:t xml:space="preserve">הנאשם האקדח השחור, ועל גופו של ודיע האקדח הכסוף. השניים עטו רעלות על פניהם וכפפות על ידיהם, על מנת להסתיר את זהותם. </w:t>
      </w:r>
    </w:p>
    <w:p w14:paraId="3CFC5F6F" w14:textId="77777777" w:rsidR="00512A90" w:rsidRDefault="00512A90" w:rsidP="00512A90">
      <w:pPr>
        <w:pStyle w:val="a9"/>
        <w:spacing w:line="360" w:lineRule="auto"/>
        <w:jc w:val="both"/>
        <w:rPr>
          <w:rFonts w:ascii="David" w:hAnsi="David" w:cs="David"/>
          <w:sz w:val="24"/>
          <w:szCs w:val="24"/>
          <w:u w:val="single"/>
        </w:rPr>
      </w:pPr>
    </w:p>
    <w:p w14:paraId="38E5FCB1" w14:textId="77777777" w:rsidR="00512A90" w:rsidRDefault="00512A90" w:rsidP="00512A90">
      <w:pPr>
        <w:pStyle w:val="a9"/>
        <w:numPr>
          <w:ilvl w:val="0"/>
          <w:numId w:val="1"/>
        </w:numPr>
        <w:spacing w:line="360" w:lineRule="auto"/>
        <w:jc w:val="both"/>
        <w:rPr>
          <w:rFonts w:ascii="David" w:hAnsi="David" w:cs="David"/>
          <w:sz w:val="24"/>
          <w:szCs w:val="24"/>
          <w:u w:val="single"/>
        </w:rPr>
      </w:pPr>
      <w:r>
        <w:rPr>
          <w:rFonts w:ascii="David" w:hAnsi="David" w:cs="David"/>
          <w:sz w:val="24"/>
          <w:szCs w:val="24"/>
          <w:rtl/>
        </w:rPr>
        <w:t xml:space="preserve">השניים עשו דרכם לעבר ביתו של תושב הכפר המצוי ליד בית הקברות, שהם נושאים את האקדחים על גופם ברחובות הכפר, חלק מהזמן תוך כדי ריצה, במשך כ-8 דקות. בשלב מסוים, עברה במקום ניידת משטרתית, ומשהבחינו בה, נמלטו בריצה מהמקום, וחזרו למוסך. הם הסירו מעליהם את רעלות הפנים והכפפות, והכניסו את האקדחים לתוך שקית ניילון שחורה, אשר הוכנסה לשקית ניילון שקופה. לאחר מכן, הנאשם לקח את השקית השקופה והטמין אותה בתוך האדמה בחצר ביתו. </w:t>
      </w:r>
    </w:p>
    <w:p w14:paraId="6A1BE432" w14:textId="77777777" w:rsidR="00512A90" w:rsidRDefault="00512A90" w:rsidP="00512A90">
      <w:pPr>
        <w:pStyle w:val="a9"/>
        <w:spacing w:line="360" w:lineRule="auto"/>
        <w:jc w:val="both"/>
        <w:rPr>
          <w:rFonts w:ascii="David" w:hAnsi="David" w:cs="David"/>
          <w:sz w:val="24"/>
          <w:szCs w:val="24"/>
          <w:u w:val="single"/>
        </w:rPr>
      </w:pPr>
    </w:p>
    <w:p w14:paraId="4B0E4075" w14:textId="77777777" w:rsidR="00512A90" w:rsidRDefault="00512A90" w:rsidP="00512A90">
      <w:pPr>
        <w:pStyle w:val="a9"/>
        <w:numPr>
          <w:ilvl w:val="0"/>
          <w:numId w:val="1"/>
        </w:numPr>
        <w:spacing w:line="360" w:lineRule="auto"/>
        <w:jc w:val="both"/>
        <w:rPr>
          <w:rFonts w:ascii="David" w:hAnsi="David" w:cs="David"/>
          <w:sz w:val="24"/>
          <w:szCs w:val="24"/>
        </w:rPr>
      </w:pPr>
      <w:r>
        <w:rPr>
          <w:rFonts w:ascii="David" w:hAnsi="David" w:cs="David"/>
          <w:sz w:val="24"/>
          <w:szCs w:val="24"/>
          <w:rtl/>
        </w:rPr>
        <w:t>להשלמת התמונה יצוין כי ודיע נשפט בפני מותב אחר ונגזר עונשו, בין היתר הוטלו עליו 32 חודשי מאסר בפועל לצד ענישה נלווית.</w:t>
      </w:r>
    </w:p>
    <w:p w14:paraId="7CCBB0BA" w14:textId="77777777" w:rsidR="00512A90" w:rsidRDefault="00512A90" w:rsidP="00512A90">
      <w:pPr>
        <w:pStyle w:val="a9"/>
        <w:spacing w:line="360" w:lineRule="auto"/>
        <w:jc w:val="both"/>
        <w:rPr>
          <w:rFonts w:ascii="David" w:hAnsi="David" w:cs="David"/>
          <w:b/>
          <w:bCs/>
          <w:sz w:val="24"/>
          <w:szCs w:val="24"/>
          <w:u w:val="single"/>
        </w:rPr>
      </w:pPr>
    </w:p>
    <w:p w14:paraId="2D47C2D0" w14:textId="77777777" w:rsidR="00512A90" w:rsidRDefault="00512A90" w:rsidP="00512A90">
      <w:pPr>
        <w:pStyle w:val="a9"/>
        <w:spacing w:line="360" w:lineRule="auto"/>
        <w:jc w:val="both"/>
        <w:rPr>
          <w:rFonts w:ascii="David" w:hAnsi="David" w:cs="David"/>
          <w:b/>
          <w:bCs/>
          <w:sz w:val="24"/>
          <w:szCs w:val="24"/>
          <w:u w:val="single"/>
          <w:rtl/>
        </w:rPr>
      </w:pPr>
    </w:p>
    <w:p w14:paraId="35096720" w14:textId="77777777" w:rsidR="00512A90" w:rsidRDefault="00512A90" w:rsidP="00512A90">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תסקיר שירות המבחן:</w:t>
      </w:r>
    </w:p>
    <w:p w14:paraId="44C60DFE" w14:textId="77777777" w:rsidR="00512A90" w:rsidRDefault="00512A90" w:rsidP="00512A90">
      <w:pPr>
        <w:pStyle w:val="a9"/>
        <w:spacing w:line="360" w:lineRule="auto"/>
        <w:jc w:val="both"/>
        <w:rPr>
          <w:rFonts w:ascii="David" w:hAnsi="David" w:cs="David"/>
          <w:b/>
          <w:bCs/>
          <w:sz w:val="24"/>
          <w:szCs w:val="24"/>
          <w:u w:val="single"/>
          <w:rtl/>
        </w:rPr>
      </w:pPr>
    </w:p>
    <w:p w14:paraId="7D139B2B" w14:textId="77777777" w:rsidR="00512A90" w:rsidRDefault="00512A90" w:rsidP="00512A90">
      <w:pPr>
        <w:pStyle w:val="a9"/>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בתסקיר שערך שירות המבחן אודות הנאשם, פורט רקעו האישי של הנאשם, אשר לביצוע העבירה טען הנאשם, כי ודיע, שותפו לעבירה, הפעיל עליו לחץ לבצע את העבירה. לכן, ומתוך מחויבות לחברו ודיע, והקושי לסרב לו, התרצה הנאשם, וביצע את המתואר בכתב האישום המתוקן. שירות המבחן עמד על העמדה הדוּאָלית שהפגין הנאשם, בעודו מחד גיסא, מודה בביצוע העבירה, אך מאידך גיסא, מציג עמדה קורבנית-השלכתית, ומטיל את האחריות על שותפו לעבירה. צוין, כי הנאשם התקשה להתבונן במניעיו שעמדו בבסיס ביצוע העבירה. שירות המבחן התרשם, כי קיים מיקוד שליטה חיצוני אצל הנאשם, תוך שאינו ער לדפוסי התנהגותו, וממדי הסיכון שיש בביצוע עבירות מסוג זה, הוא היה עסוק במחירים האישיים אותם משלם בגין מעורבותו בביצוע העבירה. ההתרשמות של שירות המבחן היתה כי הנאשם מתקשה להבחין בכשליו ההתנהגותיים. לכן, בהתחשב בחומרת העבירה ובאופייה, ובהעדר נטילת אחריות לעבירה, ובהעדר קיומן של התובנות הדרושות לתהליך שינוי מעמיק בדפוסי התנהגותו, הפרוגנוזה השיקומית של הנאשם הינה שלילית, ומכאן לא בא שירות המבחן בהמלצה טיפולית או שיקומית. </w:t>
      </w:r>
    </w:p>
    <w:p w14:paraId="7434AEEA" w14:textId="77777777" w:rsidR="00512A90" w:rsidRDefault="00512A90" w:rsidP="00512A90">
      <w:pPr>
        <w:pStyle w:val="a9"/>
        <w:spacing w:line="360" w:lineRule="auto"/>
        <w:jc w:val="both"/>
        <w:rPr>
          <w:rFonts w:ascii="David" w:hAnsi="David" w:cs="David"/>
          <w:sz w:val="24"/>
          <w:szCs w:val="24"/>
          <w:u w:val="single"/>
        </w:rPr>
      </w:pPr>
    </w:p>
    <w:p w14:paraId="24272F3C" w14:textId="77777777" w:rsidR="00512A90" w:rsidRDefault="00512A90" w:rsidP="00512A90">
      <w:pPr>
        <w:spacing w:line="360" w:lineRule="auto"/>
        <w:ind w:firstLine="720"/>
        <w:jc w:val="both"/>
        <w:rPr>
          <w:rFonts w:ascii="David" w:hAnsi="David"/>
          <w:b/>
          <w:bCs/>
          <w:u w:val="single"/>
        </w:rPr>
      </w:pPr>
      <w:r>
        <w:rPr>
          <w:rFonts w:ascii="David" w:hAnsi="David"/>
          <w:b/>
          <w:bCs/>
          <w:u w:val="single"/>
          <w:rtl/>
        </w:rPr>
        <w:t>טיעוני הצדדים לעונש:</w:t>
      </w:r>
    </w:p>
    <w:p w14:paraId="0E4BDDC0" w14:textId="77777777" w:rsidR="00512A90" w:rsidRDefault="00512A90" w:rsidP="00512A90">
      <w:pPr>
        <w:pStyle w:val="a9"/>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ב"כ המאשימה הגיש טיעונים בכתב (סת/1) וכן את גזר דינו של ודיע (סת/2). נטען, כי אילולא זמינות הנשק והחזקתו, לא היו מתבצעות עבירות אלימות באמצעות הנשק. הודגשה תופעת החזקת נשק בלתי חוקי וסכנותיה. נטען, כי יש להחמיר בעבירות הנשק, על כל נגזרותיה, לרבות החזקה, הובלה ונשיאה כבנדוננו, דבר אשר ישליך על ביצוע עבירות </w:t>
      </w:r>
      <w:r>
        <w:rPr>
          <w:rFonts w:ascii="David" w:hAnsi="David" w:cs="David"/>
          <w:sz w:val="24"/>
          <w:szCs w:val="24"/>
          <w:rtl/>
        </w:rPr>
        <w:lastRenderedPageBreak/>
        <w:t xml:space="preserve">אלימות באמצעות החזקת נשק בלתי חוקי ויצמצמן. עוד עמד ב"כ המאשימה על חומרת מעשיו של הנאשם, תוך שפירט את נסיבות ביצוע העבירה, וציין את חלקו של הנאשם בביצוע העבירה, כאשר לעמדתו, הנאשם נטל חלק משמעותי יותר משותפו בביצועה, הואיל והחזיק בביתו שלו את האקדח, ונשא והוביל עם שותפו את שני האקדחים. בית המשפט התבקש לקבוע מתחם שנע בין 4 שנים ל-7 שנים מאסר בפועל, ולגזור את עונשו של הנאשם ברף הנמוך בינוני של המתחם המוצע, לצד מאסר מותנה משמעותי וקנס כספי.    </w:t>
      </w:r>
    </w:p>
    <w:p w14:paraId="0F86D722" w14:textId="77777777" w:rsidR="00512A90" w:rsidRDefault="00512A90" w:rsidP="00512A90">
      <w:pPr>
        <w:pStyle w:val="a9"/>
        <w:spacing w:line="360" w:lineRule="auto"/>
        <w:jc w:val="both"/>
        <w:rPr>
          <w:rFonts w:ascii="David" w:hAnsi="David" w:cs="David"/>
          <w:sz w:val="24"/>
          <w:szCs w:val="24"/>
          <w:u w:val="single"/>
        </w:rPr>
      </w:pPr>
    </w:p>
    <w:p w14:paraId="42F7F8A9" w14:textId="77777777" w:rsidR="00512A90" w:rsidRDefault="00512A90" w:rsidP="00512A90">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ב"כ הנאשם התייחס בטיעוניו לעונש, לנסיבות הביצוע, וטען כי קיים הבדל בין הנאשם לשותפו ודיע. לעמדתו, ודיע בא במגע עם אדם שלישי, קיבל ממנו את הנשקים, כעולה מדבריו של אותו אחר. נטען, כי ניסיונו של ב"כ המאשימה לאבחן בין שני הנאשמים לחומרת הנאשם דכאן, הינו שגוי. לעמדתו, העובדה שאותו ודיע הגיע עם נשק לביתו של הנאשם דכאן, הינה נסיבה מחמירה מהעובדה שהנאשם דכאן הטמין את הנשק בחצרו. לגבי המתחם לו עתרה המאשימה, ציין כי המתחם לו עתר ב"כ המאשימה, מנוגד להנחיות של פרקליט המדינה. בפסיקה חדשה של בית המשפט העליון נפסק בגין נסיבות חמורות יותר, ענישה מקלה יותר. לעמדת הסניגור, על המתחם בעניינו של הנאשם להתחיל ב-18 חודשים מאסר בפועל, וביקש שיוטל על הנאשם עונש בתחתית המתחם בהעדר עבר פלילי. </w:t>
      </w:r>
    </w:p>
    <w:p w14:paraId="3E0B45E9" w14:textId="77777777" w:rsidR="00512A90" w:rsidRDefault="00512A90" w:rsidP="00512A90">
      <w:pPr>
        <w:pStyle w:val="a9"/>
        <w:spacing w:line="360" w:lineRule="auto"/>
        <w:jc w:val="both"/>
        <w:rPr>
          <w:rFonts w:ascii="David" w:hAnsi="David" w:cs="David"/>
          <w:b/>
          <w:bCs/>
          <w:sz w:val="24"/>
          <w:szCs w:val="24"/>
          <w:u w:val="single"/>
        </w:rPr>
      </w:pPr>
    </w:p>
    <w:p w14:paraId="5185BF4E" w14:textId="77777777" w:rsidR="00512A90" w:rsidRDefault="00512A90" w:rsidP="00512A90">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דבר הנאשם:</w:t>
      </w:r>
    </w:p>
    <w:p w14:paraId="1308EE01" w14:textId="77777777" w:rsidR="00512A90" w:rsidRDefault="00512A90" w:rsidP="00512A90">
      <w:pPr>
        <w:pStyle w:val="a9"/>
        <w:numPr>
          <w:ilvl w:val="0"/>
          <w:numId w:val="1"/>
        </w:numPr>
        <w:spacing w:line="360" w:lineRule="auto"/>
        <w:jc w:val="both"/>
        <w:rPr>
          <w:rFonts w:ascii="David" w:hAnsi="David" w:cs="David"/>
          <w:sz w:val="24"/>
          <w:szCs w:val="24"/>
          <w:u w:val="single"/>
          <w:rtl/>
        </w:rPr>
      </w:pPr>
      <w:r>
        <w:rPr>
          <w:rFonts w:ascii="David" w:hAnsi="David" w:cs="David"/>
          <w:sz w:val="24"/>
          <w:szCs w:val="24"/>
          <w:rtl/>
        </w:rPr>
        <w:t>הנאשם הביע חרטה על מעשיו, התחייב שלא לעבור שוב עבירות, אמר שבדעתו להתחתן בקרוב וביקש הקלה בעונש.</w:t>
      </w:r>
    </w:p>
    <w:p w14:paraId="589F4799" w14:textId="77777777" w:rsidR="00512A90" w:rsidRDefault="00512A90" w:rsidP="00512A90">
      <w:pPr>
        <w:pStyle w:val="a9"/>
        <w:spacing w:line="360" w:lineRule="auto"/>
        <w:jc w:val="both"/>
        <w:rPr>
          <w:rFonts w:ascii="David" w:hAnsi="David" w:cs="David"/>
          <w:b/>
          <w:bCs/>
          <w:sz w:val="24"/>
          <w:szCs w:val="24"/>
          <w:u w:val="single"/>
        </w:rPr>
      </w:pPr>
      <w:r>
        <w:rPr>
          <w:rFonts w:ascii="David" w:hAnsi="David" w:cs="David"/>
          <w:sz w:val="24"/>
          <w:szCs w:val="24"/>
          <w:rtl/>
        </w:rPr>
        <w:t xml:space="preserve"> </w:t>
      </w:r>
    </w:p>
    <w:p w14:paraId="718A8B00" w14:textId="77777777" w:rsidR="00512A90" w:rsidRDefault="00512A90" w:rsidP="00512A90">
      <w:pPr>
        <w:spacing w:line="360" w:lineRule="auto"/>
        <w:ind w:firstLine="720"/>
        <w:jc w:val="both"/>
        <w:rPr>
          <w:rFonts w:ascii="David" w:hAnsi="David"/>
          <w:b/>
          <w:bCs/>
          <w:u w:val="single"/>
          <w:rtl/>
        </w:rPr>
      </w:pPr>
      <w:r>
        <w:rPr>
          <w:rFonts w:ascii="David" w:hAnsi="David"/>
          <w:b/>
          <w:bCs/>
          <w:u w:val="single"/>
          <w:rtl/>
        </w:rPr>
        <w:t>דיון והכרעה</w:t>
      </w:r>
    </w:p>
    <w:p w14:paraId="6B0377B5" w14:textId="77777777" w:rsidR="00512A90" w:rsidRDefault="00512A90" w:rsidP="00512A90">
      <w:pPr>
        <w:spacing w:line="360" w:lineRule="auto"/>
        <w:ind w:firstLine="720"/>
        <w:jc w:val="both"/>
        <w:rPr>
          <w:rFonts w:ascii="David" w:hAnsi="David"/>
          <w:b/>
          <w:bCs/>
          <w:u w:val="single"/>
          <w:rtl/>
        </w:rPr>
      </w:pPr>
      <w:r>
        <w:rPr>
          <w:rFonts w:ascii="David" w:hAnsi="David"/>
          <w:b/>
          <w:bCs/>
          <w:u w:val="single"/>
          <w:rtl/>
        </w:rPr>
        <w:t>הערכים החברתיים שנפגעו ומידת הפגיעה בהם:</w:t>
      </w:r>
    </w:p>
    <w:p w14:paraId="7F144C91"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עבירות החזקה ונשיאת נשק בהן הורשע הנאשם, סופן לעיתים מזומנות להביא לשימוש בכלי הנשק, במטרה להביא לקטילתו או לפציעתו של אדם. מכאן שהחשש הממשי לפגיעה בחיי אדם ובשלמות גופו, הוא אימננטי גם בעבירות מהסוג הנדון, גם אם הן אינן נושאות כבנדוננו תוצאה אלימה. מעבר לכך, הן מגלמות פגיעה בשלטון החוק, שעה שיש מי שאוחזים בנשק, ומבקשים להטיל את חיתתם על אחרים בכח הזרוע ללא יראה מהחוק. יפים לענייננו דבריה של כב' השופטת י' וילנר ב</w:t>
      </w:r>
      <w:hyperlink r:id="rId16" w:history="1">
        <w:r w:rsidR="006E7557" w:rsidRPr="006E7557">
          <w:rPr>
            <w:rFonts w:ascii="David" w:hAnsi="David" w:cs="David"/>
            <w:color w:val="0000FF"/>
            <w:sz w:val="24"/>
            <w:szCs w:val="24"/>
            <w:u w:val="single"/>
            <w:rtl/>
          </w:rPr>
          <w:t>ע"פ 8617/23</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sz w:val="24"/>
          <w:szCs w:val="24"/>
          <w:rtl/>
        </w:rPr>
        <w:t xml:space="preserve">(09.07.2024): </w:t>
      </w:r>
    </w:p>
    <w:p w14:paraId="48CA5395" w14:textId="77777777" w:rsidR="00512A90" w:rsidRDefault="00512A90" w:rsidP="00512A90">
      <w:pPr>
        <w:pStyle w:val="aa"/>
        <w:spacing w:line="360" w:lineRule="auto"/>
        <w:ind w:left="1643"/>
        <w:jc w:val="both"/>
        <w:rPr>
          <w:rFonts w:ascii="Narkisim" w:hAnsi="Narkisim" w:cs="Narkisim"/>
          <w:b/>
          <w:bCs/>
          <w:i w:val="0"/>
          <w:iCs w:val="0"/>
          <w:sz w:val="24"/>
          <w:szCs w:val="24"/>
        </w:rPr>
      </w:pPr>
      <w:r>
        <w:rPr>
          <w:rFonts w:ascii="Narkisim" w:hAnsi="Narkisim" w:cs="Narkisim"/>
          <w:b/>
          <w:bCs/>
          <w:i w:val="0"/>
          <w:iCs w:val="0"/>
          <w:sz w:val="24"/>
          <w:szCs w:val="24"/>
          <w:rtl/>
        </w:rPr>
        <w:t xml:space="preserve">"בית משפט זה עמד לא אחת על חומרתן של עבירות נשק ועל הצורך הנגזר מכך לנקוט מדיניות ענישה מחמירה בעניינן...מדיניות מחמירה זו מגלמת את האינטרס הציבורי המחייב להרתיע מפני ביצוע עבירות נשק וזאת בשים לב לסיכון הרב הטמון בהן לביטחון הציבור". </w:t>
      </w:r>
    </w:p>
    <w:p w14:paraId="14F54D2E" w14:textId="77777777" w:rsidR="00512A90" w:rsidRPr="00512A90" w:rsidRDefault="00512A90" w:rsidP="00512A90">
      <w:pPr>
        <w:spacing w:line="360" w:lineRule="auto"/>
        <w:rPr>
          <w:rFonts w:ascii="Calibri" w:hAnsi="Calibri" w:cs="Arial"/>
          <w:sz w:val="22"/>
          <w:szCs w:val="22"/>
          <w:rtl/>
        </w:rPr>
      </w:pPr>
    </w:p>
    <w:p w14:paraId="219E8D38" w14:textId="77777777" w:rsidR="00512A90" w:rsidRDefault="00512A90" w:rsidP="00512A90">
      <w:pPr>
        <w:spacing w:line="360" w:lineRule="auto"/>
        <w:ind w:firstLine="720"/>
        <w:jc w:val="both"/>
        <w:rPr>
          <w:rFonts w:ascii="David" w:hAnsi="David"/>
          <w:b/>
          <w:bCs/>
          <w:u w:val="single"/>
          <w:rtl/>
        </w:rPr>
      </w:pPr>
      <w:r>
        <w:rPr>
          <w:rFonts w:ascii="David" w:hAnsi="David"/>
          <w:b/>
          <w:bCs/>
          <w:u w:val="single"/>
          <w:rtl/>
        </w:rPr>
        <w:t xml:space="preserve">מדיניות הענישה הנוהגת: </w:t>
      </w:r>
    </w:p>
    <w:p w14:paraId="5A9C56F6" w14:textId="77777777" w:rsidR="00512A90" w:rsidRDefault="00512A90" w:rsidP="00512A90">
      <w:pPr>
        <w:pStyle w:val="a9"/>
        <w:numPr>
          <w:ilvl w:val="0"/>
          <w:numId w:val="1"/>
        </w:numPr>
        <w:spacing w:line="360" w:lineRule="auto"/>
        <w:jc w:val="both"/>
        <w:rPr>
          <w:rtl/>
        </w:rPr>
      </w:pPr>
      <w:r>
        <w:rPr>
          <w:rFonts w:ascii="David" w:hAnsi="David" w:cs="David"/>
          <w:sz w:val="24"/>
          <w:szCs w:val="24"/>
          <w:rtl/>
        </w:rPr>
        <w:t>אפתח ואציין, כי לפי פסיקת בית המשפט העליון, ישנו הבדל בין הפסיקה שנהגה עד כה, טרם תיקון 140 ל</w:t>
      </w:r>
      <w:hyperlink r:id="rId17" w:history="1">
        <w:r w:rsidR="006E7557" w:rsidRPr="006E7557">
          <w:rPr>
            <w:rFonts w:ascii="David" w:hAnsi="David" w:cs="David"/>
            <w:color w:val="0000FF"/>
            <w:sz w:val="24"/>
            <w:szCs w:val="24"/>
            <w:u w:val="single"/>
            <w:rtl/>
          </w:rPr>
          <w:t>חוק העונשין</w:t>
        </w:r>
      </w:hyperlink>
      <w:r>
        <w:rPr>
          <w:rFonts w:ascii="David" w:hAnsi="David" w:cs="David"/>
          <w:sz w:val="24"/>
          <w:szCs w:val="24"/>
          <w:rtl/>
        </w:rPr>
        <w:t>, אשר קבע החמרה עונשית בדמות של עונש מזערי שלא יפחת מרבע מהעונש הקבוע בצד העבירה, לבין הפסיקה שלאחר התיקון (ראו דברי כבוד מ"מ הנשיא השופט עמית בנקודה זו ב</w:t>
      </w:r>
      <w:hyperlink r:id="rId18" w:history="1">
        <w:r w:rsidR="006E7557" w:rsidRPr="006E7557">
          <w:rPr>
            <w:rFonts w:ascii="David" w:hAnsi="David" w:cs="David"/>
            <w:color w:val="0000FF"/>
            <w:sz w:val="24"/>
            <w:szCs w:val="24"/>
            <w:u w:val="single"/>
            <w:rtl/>
          </w:rPr>
          <w:t>ע"פ 1693/23</w:t>
        </w:r>
      </w:hyperlink>
      <w:r>
        <w:rPr>
          <w:rFonts w:ascii="David" w:hAnsi="David" w:cs="David"/>
          <w:sz w:val="24"/>
          <w:szCs w:val="24"/>
          <w:rtl/>
        </w:rPr>
        <w:t xml:space="preserve"> </w:t>
      </w:r>
      <w:r>
        <w:rPr>
          <w:rFonts w:ascii="David" w:hAnsi="David" w:cs="David"/>
          <w:b/>
          <w:bCs/>
          <w:sz w:val="24"/>
          <w:szCs w:val="24"/>
          <w:rtl/>
        </w:rPr>
        <w:t xml:space="preserve">אסלאם אבו אחמד נ' מדינת ישראל, </w:t>
      </w:r>
      <w:r>
        <w:rPr>
          <w:rFonts w:ascii="David" w:hAnsi="David" w:cs="David"/>
          <w:sz w:val="24"/>
          <w:szCs w:val="24"/>
          <w:rtl/>
        </w:rPr>
        <w:t>פסקה 7 (3/12/23)). הגישה המסתמנת של בית המשפט העליון במיוחד בעת האחרונה, לאחר תיקון 140 ל</w:t>
      </w:r>
      <w:hyperlink r:id="rId19" w:history="1">
        <w:r w:rsidR="006E7557" w:rsidRPr="006E7557">
          <w:rPr>
            <w:rFonts w:ascii="David" w:hAnsi="David" w:cs="David"/>
            <w:color w:val="0000FF"/>
            <w:sz w:val="24"/>
            <w:szCs w:val="24"/>
            <w:u w:val="single"/>
            <w:rtl/>
          </w:rPr>
          <w:t>חוק העונשין</w:t>
        </w:r>
      </w:hyperlink>
      <w:r>
        <w:rPr>
          <w:rFonts w:ascii="David" w:hAnsi="David" w:cs="David"/>
          <w:sz w:val="24"/>
          <w:szCs w:val="24"/>
          <w:rtl/>
        </w:rPr>
        <w:t>, והאלימות הגואה בעבירות מסוג זה, קוראת להחמרה משמעותית בענישה הנוגעת לנשק</w:t>
      </w:r>
      <w:r>
        <w:rPr>
          <w:rtl/>
        </w:rPr>
        <w:t xml:space="preserve">. </w:t>
      </w:r>
      <w:r>
        <w:rPr>
          <w:rFonts w:ascii="David" w:hAnsi="David" w:cs="David"/>
          <w:sz w:val="24"/>
          <w:szCs w:val="24"/>
          <w:rtl/>
        </w:rPr>
        <w:t xml:space="preserve">להלן אסקור פסיקה מהעת האחרונה: </w:t>
      </w:r>
    </w:p>
    <w:p w14:paraId="3AC10F5B" w14:textId="77777777" w:rsidR="00512A90" w:rsidRDefault="00512A90" w:rsidP="00512A90">
      <w:pPr>
        <w:pStyle w:val="a9"/>
        <w:spacing w:line="360" w:lineRule="auto"/>
        <w:jc w:val="both"/>
        <w:rPr>
          <w:rFonts w:ascii="David" w:hAnsi="David" w:cs="David"/>
          <w:sz w:val="24"/>
          <w:szCs w:val="24"/>
          <w:rtl/>
        </w:rPr>
      </w:pPr>
    </w:p>
    <w:p w14:paraId="1B76F6CB" w14:textId="77777777" w:rsidR="00512A90" w:rsidRDefault="006E7557" w:rsidP="00512A90">
      <w:pPr>
        <w:pStyle w:val="a9"/>
        <w:numPr>
          <w:ilvl w:val="0"/>
          <w:numId w:val="2"/>
        </w:numPr>
        <w:spacing w:line="360" w:lineRule="auto"/>
        <w:jc w:val="both"/>
        <w:rPr>
          <w:rFonts w:ascii="David" w:hAnsi="David" w:cs="David"/>
          <w:sz w:val="24"/>
          <w:szCs w:val="24"/>
          <w:rtl/>
        </w:rPr>
      </w:pPr>
      <w:hyperlink r:id="rId20" w:history="1">
        <w:r w:rsidRPr="006E7557">
          <w:rPr>
            <w:rFonts w:ascii="David" w:hAnsi="David" w:cs="David"/>
            <w:color w:val="0000FF"/>
            <w:sz w:val="24"/>
            <w:szCs w:val="24"/>
            <w:u w:val="single"/>
            <w:rtl/>
          </w:rPr>
          <w:t>ע"פ 7971/23</w:t>
        </w:r>
      </w:hyperlink>
      <w:r w:rsidR="00512A90">
        <w:rPr>
          <w:rFonts w:ascii="David" w:hAnsi="David" w:cs="David"/>
          <w:sz w:val="24"/>
          <w:szCs w:val="24"/>
          <w:rtl/>
        </w:rPr>
        <w:t xml:space="preserve"> </w:t>
      </w:r>
      <w:r w:rsidR="00512A90">
        <w:rPr>
          <w:rFonts w:ascii="David" w:hAnsi="David" w:cs="David"/>
          <w:b/>
          <w:bCs/>
          <w:sz w:val="24"/>
          <w:szCs w:val="24"/>
          <w:rtl/>
        </w:rPr>
        <w:t xml:space="preserve">אגבריה נ' מדינת ישראל </w:t>
      </w:r>
      <w:r w:rsidR="00512A90">
        <w:rPr>
          <w:rFonts w:ascii="David" w:hAnsi="David" w:cs="David"/>
          <w:sz w:val="24"/>
          <w:szCs w:val="24"/>
          <w:rtl/>
        </w:rPr>
        <w:t xml:space="preserve">(26.5.2024) - הנאשמים הורשעו בביצוע בצוותא עבירות של נשיאת והובלת נשק. זאת, לאחר שבשעת לילה נסעו הם (יחד עם אחר) ברכב באום אל פחם. המשיב 1 נהג ברכב והמשיב 2 ישב לצדו, תוך שהם נושאים ומובילים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הנאשם 2 הייתה ישירה מזו של המשיב 1, קבע הוא מתחם עונש הנע בין 14-24 חודשי מאסר בפועל בעניינו של המשיב 1. בעניינו של המשיב 2 נקבע מתחם עונש שנע בין 24-48 חודשי מאסר. לבסוף, השית בית המשפט המחוזי עונש בתחתית המתחם שנקבע בעניינו של כל אחד מהמשיבים, לצד עונשים נלווים. </w:t>
      </w:r>
      <w:r w:rsidR="00512A90">
        <w:rPr>
          <w:rFonts w:ascii="David" w:hAnsi="David" w:cs="David"/>
          <w:sz w:val="24"/>
          <w:szCs w:val="24"/>
          <w:u w:val="single"/>
          <w:rtl/>
        </w:rPr>
        <w:t>בית המשפט העליון דחה את ערעורו של המשיב 2 על חומרת העונש וקיבל את ערעור המדינה, בין היתר, באופן שעונש המאסר של כל אחד מהמשיבים הועמד על 32 חודשי מאסר בפועל</w:t>
      </w:r>
      <w:r w:rsidR="00512A90">
        <w:rPr>
          <w:rFonts w:ascii="David" w:hAnsi="David" w:cs="David"/>
          <w:sz w:val="24"/>
          <w:szCs w:val="24"/>
          <w:rtl/>
        </w:rPr>
        <w:t xml:space="preserve">. </w:t>
      </w:r>
    </w:p>
    <w:p w14:paraId="3DE69054" w14:textId="77777777" w:rsidR="00512A90" w:rsidRDefault="00512A90" w:rsidP="00512A90">
      <w:pPr>
        <w:pStyle w:val="a9"/>
        <w:spacing w:line="360" w:lineRule="auto"/>
        <w:jc w:val="both"/>
        <w:rPr>
          <w:rFonts w:ascii="David" w:hAnsi="David" w:cs="David"/>
          <w:sz w:val="24"/>
          <w:szCs w:val="24"/>
          <w:rtl/>
        </w:rPr>
      </w:pPr>
    </w:p>
    <w:p w14:paraId="513BC466" w14:textId="77777777" w:rsidR="00512A90" w:rsidRDefault="00512A90" w:rsidP="00512A90">
      <w:pPr>
        <w:pStyle w:val="a9"/>
        <w:spacing w:line="360" w:lineRule="auto"/>
        <w:jc w:val="both"/>
        <w:rPr>
          <w:rFonts w:ascii="David" w:hAnsi="David" w:cs="David"/>
          <w:sz w:val="24"/>
          <w:szCs w:val="24"/>
          <w:rtl/>
        </w:rPr>
      </w:pPr>
    </w:p>
    <w:p w14:paraId="7CEA6DBE" w14:textId="77777777" w:rsidR="00512A90" w:rsidRDefault="006E7557" w:rsidP="00512A90">
      <w:pPr>
        <w:pStyle w:val="a9"/>
        <w:numPr>
          <w:ilvl w:val="0"/>
          <w:numId w:val="2"/>
        </w:numPr>
        <w:spacing w:line="360" w:lineRule="auto"/>
        <w:jc w:val="both"/>
        <w:rPr>
          <w:rFonts w:ascii="David" w:hAnsi="David" w:cs="David"/>
          <w:sz w:val="24"/>
          <w:szCs w:val="24"/>
          <w:rtl/>
        </w:rPr>
      </w:pPr>
      <w:hyperlink r:id="rId21" w:history="1">
        <w:r w:rsidRPr="006E7557">
          <w:rPr>
            <w:rFonts w:ascii="David" w:hAnsi="David" w:cs="David"/>
            <w:color w:val="0000FF"/>
            <w:sz w:val="24"/>
            <w:szCs w:val="24"/>
            <w:u w:val="single"/>
            <w:rtl/>
          </w:rPr>
          <w:t>ע"פ 5602/22</w:t>
        </w:r>
      </w:hyperlink>
      <w:r w:rsidR="00512A90">
        <w:rPr>
          <w:rFonts w:ascii="David" w:hAnsi="David" w:cs="David"/>
          <w:sz w:val="24"/>
          <w:szCs w:val="24"/>
          <w:rtl/>
        </w:rPr>
        <w:t xml:space="preserve"> </w:t>
      </w:r>
      <w:r w:rsidR="00512A90">
        <w:rPr>
          <w:rFonts w:ascii="David" w:hAnsi="David" w:cs="David"/>
          <w:b/>
          <w:bCs/>
          <w:sz w:val="24"/>
          <w:szCs w:val="24"/>
          <w:rtl/>
        </w:rPr>
        <w:t>מדינת ישראל נ' פלוני</w:t>
      </w:r>
      <w:r w:rsidR="00512A90">
        <w:rPr>
          <w:rFonts w:ascii="David" w:hAnsi="David" w:cs="David"/>
          <w:sz w:val="24"/>
          <w:szCs w:val="24"/>
          <w:rtl/>
        </w:rPr>
        <w:t xml:space="preserve"> (14.9.2022)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הוא נהג ברכב והתבקש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קיבל את ערעור המדינה על קולת העונש ופסק: </w:t>
      </w:r>
      <w:r w:rsidR="00512A90">
        <w:rPr>
          <w:rFonts w:ascii="David" w:hAnsi="David" w:cs="David"/>
          <w:b/>
          <w:bCs/>
          <w:sz w:val="24"/>
          <w:szCs w:val="24"/>
          <w:rtl/>
        </w:rPr>
        <w:t>"... מתחם הענישה הרגיל שראוי לקבוע לנאשם בגיר בגין נשיאה בלתי חוקית של נשק חם במרחב הציבורי נע בין 30-42 חודשי מאסר בין סורג ובריח (לצד עונשים נלווים בדמותם של מאסר על תנאי וקנס)..."</w:t>
      </w:r>
      <w:r w:rsidR="00512A90">
        <w:rPr>
          <w:rFonts w:ascii="David" w:hAnsi="David" w:cs="David"/>
          <w:sz w:val="24"/>
          <w:szCs w:val="24"/>
          <w:rtl/>
        </w:rPr>
        <w:t xml:space="preserve"> בסופו של דבר, ומשערכאת הערעור אינה ממצה את הדין עם הנאשם, העמיד בית המשפט את עונש המאסר על 28 חודשים. </w:t>
      </w:r>
    </w:p>
    <w:p w14:paraId="4881196B" w14:textId="77777777" w:rsidR="00512A90" w:rsidRDefault="00512A90" w:rsidP="00512A90">
      <w:pPr>
        <w:pStyle w:val="a9"/>
        <w:spacing w:line="360" w:lineRule="auto"/>
        <w:jc w:val="both"/>
        <w:rPr>
          <w:rFonts w:ascii="David" w:hAnsi="David" w:cs="David"/>
          <w:sz w:val="24"/>
          <w:szCs w:val="24"/>
          <w:rtl/>
        </w:rPr>
      </w:pPr>
    </w:p>
    <w:p w14:paraId="1BB90068" w14:textId="77777777" w:rsidR="00512A90" w:rsidRDefault="00512A90" w:rsidP="00512A90">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 </w:t>
      </w:r>
      <w:hyperlink r:id="rId22" w:history="1">
        <w:r w:rsidR="006E7557" w:rsidRPr="006E7557">
          <w:rPr>
            <w:rFonts w:ascii="David" w:hAnsi="David" w:cs="David"/>
            <w:color w:val="0000FF"/>
            <w:sz w:val="24"/>
            <w:szCs w:val="24"/>
            <w:u w:val="single"/>
            <w:rtl/>
          </w:rPr>
          <w:t>ע"פ 4840/23</w:t>
        </w:r>
      </w:hyperlink>
      <w:r w:rsidR="006E7557">
        <w:rPr>
          <w:rFonts w:ascii="David" w:hAnsi="David" w:cs="David"/>
          <w:sz w:val="24"/>
          <w:szCs w:val="24"/>
        </w:rPr>
        <w:t xml:space="preserve">  </w:t>
      </w:r>
      <w:r>
        <w:rPr>
          <w:rFonts w:ascii="David" w:hAnsi="David" w:cs="David"/>
          <w:b/>
          <w:bCs/>
          <w:sz w:val="24"/>
          <w:szCs w:val="24"/>
          <w:rtl/>
        </w:rPr>
        <w:t>עואד עמראן נ' מדינת ישראל</w:t>
      </w:r>
      <w:r>
        <w:rPr>
          <w:rFonts w:ascii="David" w:hAnsi="David" w:cs="David"/>
          <w:sz w:val="24"/>
          <w:szCs w:val="24"/>
          <w:rtl/>
        </w:rPr>
        <w:t xml:space="preserve"> </w:t>
      </w:r>
      <w:r>
        <w:rPr>
          <w:rFonts w:ascii="David" w:hAnsi="David" w:cs="David"/>
          <w:sz w:val="24"/>
          <w:szCs w:val="24"/>
        </w:rPr>
        <w:t>(10.07.2024)</w:t>
      </w:r>
      <w:r>
        <w:rPr>
          <w:rFonts w:ascii="David" w:hAnsi="David" w:cs="David"/>
          <w:sz w:val="24"/>
          <w:szCs w:val="24"/>
          <w:rtl/>
        </w:rPr>
        <w:t xml:space="preserve"> </w:t>
      </w:r>
      <w:r>
        <w:rPr>
          <w:rFonts w:ascii="David" w:hAnsi="David" w:cs="David" w:hint="cs"/>
          <w:sz w:val="24"/>
          <w:szCs w:val="24"/>
          <w:rtl/>
        </w:rPr>
        <w:t xml:space="preserve">- הנאשם הורשע בעבירה של החזקת נשק לפי </w:t>
      </w:r>
      <w:hyperlink r:id="rId23" w:history="1">
        <w:r w:rsidR="00F052F1" w:rsidRPr="00F052F1">
          <w:rPr>
            <w:rStyle w:val="Hyperlink"/>
            <w:rFonts w:ascii="David" w:hAnsi="David" w:cs="David" w:hint="eastAsia"/>
            <w:color w:val="0000FF"/>
            <w:sz w:val="24"/>
            <w:szCs w:val="24"/>
            <w:rtl/>
          </w:rPr>
          <w:t>סעיפים</w:t>
        </w:r>
        <w:r w:rsidR="00F052F1" w:rsidRPr="00F052F1">
          <w:rPr>
            <w:rStyle w:val="Hyperlink"/>
            <w:rFonts w:ascii="David" w:hAnsi="David" w:cs="David"/>
            <w:color w:val="0000FF"/>
            <w:sz w:val="24"/>
            <w:szCs w:val="24"/>
            <w:rtl/>
          </w:rPr>
          <w:t xml:space="preserve"> 144(א)</w:t>
        </w:r>
      </w:hyperlink>
      <w:r>
        <w:rPr>
          <w:rFonts w:ascii="David" w:hAnsi="David" w:cs="David" w:hint="cs"/>
          <w:sz w:val="24"/>
          <w:szCs w:val="24"/>
          <w:rtl/>
        </w:rPr>
        <w:t xml:space="preserve"> רישא וסיפא ו-</w:t>
      </w:r>
      <w:hyperlink r:id="rId24" w:history="1">
        <w:r w:rsidR="00F052F1" w:rsidRPr="00F052F1">
          <w:rPr>
            <w:rStyle w:val="Hyperlink"/>
            <w:rFonts w:ascii="David" w:hAnsi="David" w:cs="David"/>
            <w:color w:val="0000FF"/>
            <w:sz w:val="24"/>
            <w:szCs w:val="24"/>
            <w:rtl/>
          </w:rPr>
          <w:t>144(ג)</w:t>
        </w:r>
      </w:hyperlink>
      <w:r>
        <w:rPr>
          <w:rFonts w:ascii="David" w:hAnsi="David" w:cs="David" w:hint="cs"/>
          <w:sz w:val="24"/>
          <w:szCs w:val="24"/>
          <w:rtl/>
        </w:rPr>
        <w:t xml:space="preserve"> ל</w:t>
      </w:r>
      <w:hyperlink r:id="rId25" w:history="1">
        <w:r w:rsidR="006E7557" w:rsidRPr="006E7557">
          <w:rPr>
            <w:rFonts w:ascii="David" w:hAnsi="David" w:cs="David"/>
            <w:color w:val="0000FF"/>
            <w:sz w:val="24"/>
            <w:szCs w:val="24"/>
            <w:u w:val="single"/>
            <w:rtl/>
          </w:rPr>
          <w:t>חוק העונשין</w:t>
        </w:r>
      </w:hyperlink>
      <w:r>
        <w:rPr>
          <w:rFonts w:ascii="David" w:hAnsi="David" w:cs="David" w:hint="cs"/>
          <w:sz w:val="24"/>
          <w:szCs w:val="24"/>
          <w:rtl/>
        </w:rPr>
        <w:t>, התשל"ז-1977. בית משפט קמא קבע מתחם עונש הולם שנע בין 20-40 חודשי מאסר בפועל. בית משפט גזר על הנאשם 30 חודשי מאסר. ערעורו לבית המשפט העליון התקבל והופחת עונשו ל-22 חודשי מאסר בפועל. הטעם לכך: השפיטה היתה עובר לפסיקה הנוהגת עובר לתיקון 140 לחוק (אשר בעקבותיו חלה החמרה משמעותית בענישה), היה שנה וחצי באיזוק, ניהול המשפט גרם לזיכויו מעבירות אחרות, נעדר עבר פלילי ונורמטיבי.</w:t>
      </w:r>
    </w:p>
    <w:p w14:paraId="235143CA" w14:textId="77777777" w:rsidR="00512A90" w:rsidRDefault="00512A90" w:rsidP="00512A90">
      <w:pPr>
        <w:pStyle w:val="a9"/>
        <w:spacing w:line="360" w:lineRule="auto"/>
        <w:jc w:val="both"/>
        <w:rPr>
          <w:rFonts w:ascii="David" w:hAnsi="David" w:cs="David"/>
          <w:sz w:val="24"/>
          <w:szCs w:val="24"/>
          <w:rtl/>
        </w:rPr>
      </w:pPr>
    </w:p>
    <w:p w14:paraId="7FA26416" w14:textId="77777777" w:rsidR="00512A90" w:rsidRDefault="006E7557" w:rsidP="00512A90">
      <w:pPr>
        <w:pStyle w:val="a9"/>
        <w:numPr>
          <w:ilvl w:val="0"/>
          <w:numId w:val="2"/>
        </w:numPr>
        <w:spacing w:line="360" w:lineRule="auto"/>
        <w:jc w:val="both"/>
        <w:rPr>
          <w:rFonts w:ascii="David" w:hAnsi="David" w:cs="David"/>
          <w:sz w:val="24"/>
          <w:szCs w:val="24"/>
          <w:rtl/>
        </w:rPr>
      </w:pPr>
      <w:hyperlink r:id="rId26" w:history="1">
        <w:r w:rsidRPr="006E7557">
          <w:rPr>
            <w:rFonts w:ascii="David" w:hAnsi="David" w:cs="David"/>
            <w:color w:val="0000FF"/>
            <w:sz w:val="24"/>
            <w:szCs w:val="24"/>
            <w:u w:val="single"/>
            <w:rtl/>
          </w:rPr>
          <w:t>ע"פ 4303/22</w:t>
        </w:r>
      </w:hyperlink>
      <w:r>
        <w:rPr>
          <w:rFonts w:ascii="David" w:hAnsi="David" w:cs="David"/>
          <w:sz w:val="24"/>
          <w:szCs w:val="24"/>
        </w:rPr>
        <w:t xml:space="preserve"> </w:t>
      </w:r>
      <w:r w:rsidR="00512A90">
        <w:rPr>
          <w:rFonts w:ascii="David" w:hAnsi="David" w:cs="David"/>
          <w:sz w:val="24"/>
          <w:szCs w:val="24"/>
          <w:rtl/>
        </w:rPr>
        <w:t xml:space="preserve"> </w:t>
      </w:r>
      <w:r w:rsidR="00512A90">
        <w:rPr>
          <w:rFonts w:ascii="David" w:hAnsi="David" w:cs="David" w:hint="cs"/>
          <w:b/>
          <w:bCs/>
          <w:sz w:val="24"/>
          <w:szCs w:val="24"/>
          <w:rtl/>
        </w:rPr>
        <w:t>אמיר אבו גאנם נ' מדינת ישראל</w:t>
      </w:r>
      <w:r w:rsidR="00512A90">
        <w:rPr>
          <w:rFonts w:ascii="David" w:hAnsi="David" w:cs="David" w:hint="cs"/>
          <w:sz w:val="24"/>
          <w:szCs w:val="24"/>
          <w:rtl/>
        </w:rPr>
        <w:t xml:space="preserve"> </w:t>
      </w:r>
      <w:r>
        <w:rPr>
          <w:rFonts w:ascii="David" w:hAnsi="David" w:cs="David"/>
          <w:sz w:val="24"/>
          <w:szCs w:val="24"/>
        </w:rPr>
        <w:t xml:space="preserve"> </w:t>
      </w:r>
      <w:r w:rsidR="00512A90">
        <w:rPr>
          <w:rFonts w:ascii="David" w:hAnsi="David" w:cs="David"/>
          <w:sz w:val="24"/>
          <w:szCs w:val="24"/>
        </w:rPr>
        <w:t xml:space="preserve"> </w:t>
      </w:r>
      <w:r>
        <w:rPr>
          <w:rFonts w:ascii="David" w:hAnsi="David" w:cs="David"/>
          <w:sz w:val="24"/>
          <w:szCs w:val="24"/>
        </w:rPr>
        <w:t xml:space="preserve"> </w:t>
      </w:r>
      <w:r w:rsidR="00512A90">
        <w:rPr>
          <w:rFonts w:ascii="David" w:hAnsi="David" w:cs="David"/>
          <w:sz w:val="24"/>
          <w:szCs w:val="24"/>
        </w:rPr>
        <w:t>(06.12.2022)</w:t>
      </w:r>
      <w:r w:rsidR="00512A90">
        <w:rPr>
          <w:rFonts w:ascii="David" w:hAnsi="David" w:cs="David"/>
          <w:sz w:val="24"/>
          <w:szCs w:val="24"/>
          <w:rtl/>
        </w:rPr>
        <w:t xml:space="preserve">- הנאשם הורשע על פי הודאתו בעובדות כתב אישום מתוקן במסגרת הסדר טיעון, בעבירה של הובלה ונשיאת נשק לפי </w:t>
      </w:r>
      <w:hyperlink r:id="rId27" w:history="1">
        <w:r w:rsidR="00F052F1" w:rsidRPr="00F052F1">
          <w:rPr>
            <w:rStyle w:val="Hyperlink"/>
            <w:rFonts w:ascii="David" w:hAnsi="David" w:cs="David"/>
            <w:color w:val="0000FF"/>
            <w:sz w:val="24"/>
            <w:szCs w:val="24"/>
            <w:rtl/>
          </w:rPr>
          <w:t>סעיף 144(ב)</w:t>
        </w:r>
      </w:hyperlink>
      <w:r w:rsidR="00512A90">
        <w:rPr>
          <w:rFonts w:ascii="David" w:hAnsi="David" w:cs="David"/>
          <w:sz w:val="24"/>
          <w:szCs w:val="24"/>
          <w:rtl/>
        </w:rPr>
        <w:t xml:space="preserve"> ל</w:t>
      </w:r>
      <w:hyperlink r:id="rId28" w:history="1">
        <w:r w:rsidRPr="006E7557">
          <w:rPr>
            <w:rFonts w:ascii="David" w:hAnsi="David" w:cs="David"/>
            <w:color w:val="0000FF"/>
            <w:sz w:val="24"/>
            <w:szCs w:val="24"/>
            <w:u w:val="single"/>
            <w:rtl/>
          </w:rPr>
          <w:t>חוק העונשין</w:t>
        </w:r>
      </w:hyperlink>
      <w:r w:rsidR="00512A90">
        <w:rPr>
          <w:rFonts w:ascii="David" w:hAnsi="David" w:cs="David"/>
          <w:sz w:val="24"/>
          <w:szCs w:val="24"/>
          <w:rtl/>
        </w:rPr>
        <w:t>, התשל"ז-1977.  הנאשם נעצר על ידי המשטרה כאשר על גופו אקדח חצי אוטומטי מסוג</w:t>
      </w:r>
      <w:r>
        <w:rPr>
          <w:rFonts w:ascii="David" w:hAnsi="David" w:cs="David"/>
          <w:sz w:val="24"/>
          <w:szCs w:val="24"/>
          <w:rtl/>
        </w:rPr>
        <w:t xml:space="preserve"> </w:t>
      </w:r>
      <w:r w:rsidR="00512A90">
        <w:rPr>
          <w:rFonts w:ascii="David" w:hAnsi="David" w:cs="David"/>
          <w:sz w:val="24"/>
          <w:szCs w:val="24"/>
        </w:rPr>
        <w:t>D.D.G</w:t>
      </w:r>
      <w:r>
        <w:rPr>
          <w:rFonts w:ascii="David" w:hAnsi="David" w:cs="David"/>
          <w:sz w:val="24"/>
          <w:szCs w:val="24"/>
        </w:rPr>
        <w:t xml:space="preserve"> </w:t>
      </w:r>
      <w:r w:rsidR="00512A90">
        <w:rPr>
          <w:rFonts w:ascii="David" w:hAnsi="David" w:cs="David"/>
          <w:sz w:val="24"/>
          <w:szCs w:val="24"/>
          <w:rtl/>
        </w:rPr>
        <w:t xml:space="preserve"> </w:t>
      </w:r>
      <w:r w:rsidR="00512A90">
        <w:rPr>
          <w:rFonts w:ascii="David" w:hAnsi="David" w:cs="David" w:hint="cs"/>
          <w:sz w:val="24"/>
          <w:szCs w:val="24"/>
          <w:rtl/>
        </w:rPr>
        <w:t xml:space="preserve">9 מ"מ פרבלום, ובתוכו מחסנית ריקה המתאימה לאקדח, מוסלקים בבד תקרת הרכב, מעל מושב הנוסע. בית משפט ציין בגזר דינו כי משעה שקיימת הסכמה עונשית חלקית בין הצדדים בה נקבע טווח ענישה מוסכם, גזר על הנאשם 31 חודשי מאסר בפועל וענישה נלווית. ערעורו של הנאשם לבית המשפט העליון נדחה. </w:t>
      </w:r>
    </w:p>
    <w:p w14:paraId="13E699AE" w14:textId="77777777" w:rsidR="00512A90" w:rsidRDefault="00512A90" w:rsidP="00512A90">
      <w:pPr>
        <w:pStyle w:val="a9"/>
        <w:spacing w:line="360" w:lineRule="auto"/>
        <w:jc w:val="both"/>
        <w:rPr>
          <w:rFonts w:ascii="David" w:hAnsi="David" w:cs="David"/>
          <w:b/>
          <w:bCs/>
          <w:sz w:val="24"/>
          <w:szCs w:val="24"/>
          <w:u w:val="single"/>
        </w:rPr>
      </w:pPr>
    </w:p>
    <w:p w14:paraId="10A25B17" w14:textId="77777777" w:rsidR="00512A90" w:rsidRDefault="00512A90" w:rsidP="00512A90">
      <w:pPr>
        <w:pStyle w:val="a9"/>
        <w:spacing w:line="360" w:lineRule="auto"/>
        <w:jc w:val="both"/>
        <w:rPr>
          <w:rFonts w:ascii="David" w:hAnsi="David" w:cs="David"/>
          <w:b/>
          <w:bCs/>
          <w:sz w:val="24"/>
          <w:szCs w:val="24"/>
          <w:u w:val="single"/>
          <w:rtl/>
        </w:rPr>
      </w:pPr>
    </w:p>
    <w:p w14:paraId="3F8D41A5" w14:textId="77777777" w:rsidR="00512A90" w:rsidRDefault="00512A90" w:rsidP="00512A90">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נסיבות ביצוע העבירה:</w:t>
      </w:r>
    </w:p>
    <w:p w14:paraId="291C2AF0" w14:textId="77777777" w:rsidR="00512A90" w:rsidRDefault="00512A90" w:rsidP="00512A90">
      <w:pPr>
        <w:pStyle w:val="a9"/>
        <w:spacing w:line="360" w:lineRule="auto"/>
        <w:jc w:val="both"/>
        <w:rPr>
          <w:rFonts w:ascii="David" w:hAnsi="David" w:cs="David"/>
          <w:b/>
          <w:bCs/>
          <w:sz w:val="24"/>
          <w:szCs w:val="24"/>
          <w:u w:val="single"/>
          <w:rtl/>
        </w:rPr>
      </w:pPr>
    </w:p>
    <w:p w14:paraId="38A8046B" w14:textId="77777777" w:rsidR="00512A90" w:rsidRDefault="00512A90" w:rsidP="00512A90">
      <w:pPr>
        <w:pStyle w:val="a9"/>
        <w:numPr>
          <w:ilvl w:val="0"/>
          <w:numId w:val="1"/>
        </w:numPr>
        <w:spacing w:line="360" w:lineRule="auto"/>
        <w:jc w:val="both"/>
        <w:rPr>
          <w:rtl/>
        </w:rPr>
      </w:pPr>
      <w:r>
        <w:rPr>
          <w:rFonts w:ascii="David" w:hAnsi="David" w:cs="David"/>
          <w:sz w:val="24"/>
          <w:szCs w:val="24"/>
          <w:rtl/>
        </w:rPr>
        <w:t xml:space="preserve">לפי נסיבות המקרה, הנאשם ושותפו וודיע, הגו יחד כיצד לירות על ביתו של תושב הכפר. הם הצטיידו באקדחים טעונים. הם עטו רעלות על פניהם וכפפות על ידיהם, על מנת להסתיר את זהותם, ועשו פעמיהם לעבר ביתו של אותו אחד, על מנת להוציא מן הכוח אל הפועל את תוכניתם העבריינית. אלא שיד הגורל התערבה וסיכלה את תוכניתם - בעודם עושים דרכם ליעדם, עברה במקום ניידת משטרה, ומשהבחינו בה נבהלו ונמלטו מהמקום. </w:t>
      </w:r>
    </w:p>
    <w:p w14:paraId="20BE3E70" w14:textId="77777777" w:rsidR="00512A90" w:rsidRDefault="00512A90" w:rsidP="00512A90">
      <w:pPr>
        <w:pStyle w:val="a9"/>
        <w:spacing w:line="360" w:lineRule="auto"/>
        <w:jc w:val="both"/>
      </w:pPr>
    </w:p>
    <w:p w14:paraId="3D6DFFB1" w14:textId="77777777" w:rsidR="00512A90" w:rsidRDefault="00512A90" w:rsidP="00512A90">
      <w:pPr>
        <w:pStyle w:val="a9"/>
        <w:numPr>
          <w:ilvl w:val="0"/>
          <w:numId w:val="1"/>
        </w:numPr>
        <w:spacing w:line="360" w:lineRule="auto"/>
        <w:jc w:val="both"/>
        <w:rPr>
          <w:rFonts w:ascii="David" w:hAnsi="David" w:cs="David"/>
          <w:sz w:val="24"/>
          <w:szCs w:val="24"/>
        </w:rPr>
      </w:pPr>
      <w:r>
        <w:rPr>
          <w:rFonts w:ascii="David" w:hAnsi="David" w:cs="David"/>
          <w:sz w:val="24"/>
          <w:szCs w:val="24"/>
          <w:rtl/>
        </w:rPr>
        <w:t>מידת האשם של הנאשם גבוהה למדי בהיותו שותף מלא לתכנון המעשה העברייני על מרכיביו והוצאתו מן הכח אל הפועל. יתרה מזאת, כאשר נס מהמקום יחד עם שותפו, הטמין הנאשם את שני הנשקים הטעונים, בחצר ביתו "לעת מצוא", מה שמרמז על הדומיננטיות שלו מבין השניים נוכח השגת שליטה מלאה על שני הנשקים, וזאת מבלי להמעיט מחומרת חלקו של ודיע שהגיע אל הנאשם כשעל גופו נשא אקדח. הנזק הפוטנציאלי שנמנע עקב יד המקרה וסיכול תוכניתם העבריינית של השניים, הוא ירי על ביתו של אותו תושב, שבנקל יכול היה לגלוש לקיפוד חיי אדם או פגיעה אנושה בו.</w:t>
      </w:r>
    </w:p>
    <w:p w14:paraId="3FF6FB33" w14:textId="77777777" w:rsidR="00512A90" w:rsidRDefault="00512A90" w:rsidP="00512A90">
      <w:pPr>
        <w:pStyle w:val="a9"/>
        <w:spacing w:line="360" w:lineRule="auto"/>
        <w:jc w:val="both"/>
        <w:rPr>
          <w:rFonts w:ascii="David" w:hAnsi="David" w:cs="David"/>
          <w:b/>
          <w:bCs/>
          <w:u w:val="single"/>
          <w:rtl/>
        </w:rPr>
      </w:pPr>
    </w:p>
    <w:p w14:paraId="010F9B76" w14:textId="77777777" w:rsidR="00512A90" w:rsidRDefault="00512A90" w:rsidP="00512A90">
      <w:pPr>
        <w:pStyle w:val="a9"/>
        <w:spacing w:line="360" w:lineRule="auto"/>
        <w:jc w:val="both"/>
        <w:rPr>
          <w:rFonts w:ascii="David" w:hAnsi="David" w:cs="David"/>
          <w:b/>
          <w:bCs/>
          <w:u w:val="single"/>
          <w:rtl/>
        </w:rPr>
      </w:pPr>
    </w:p>
    <w:p w14:paraId="4ECBBFBB" w14:textId="77777777" w:rsidR="00512A90" w:rsidRDefault="00512A90" w:rsidP="00512A90">
      <w:pPr>
        <w:pStyle w:val="a9"/>
        <w:spacing w:line="360" w:lineRule="auto"/>
        <w:jc w:val="both"/>
        <w:rPr>
          <w:rFonts w:ascii="David" w:hAnsi="David" w:cs="David"/>
          <w:b/>
          <w:bCs/>
          <w:u w:val="single"/>
          <w:rtl/>
        </w:rPr>
      </w:pPr>
      <w:r>
        <w:rPr>
          <w:rFonts w:ascii="David" w:hAnsi="David" w:cs="David"/>
          <w:b/>
          <w:bCs/>
          <w:u w:val="single"/>
          <w:rtl/>
        </w:rPr>
        <w:t xml:space="preserve">מתחם העונש ההולם: </w:t>
      </w:r>
    </w:p>
    <w:p w14:paraId="798735CF" w14:textId="77777777" w:rsidR="00512A90" w:rsidRDefault="00512A90" w:rsidP="00512A90">
      <w:pPr>
        <w:pStyle w:val="a9"/>
        <w:spacing w:line="360" w:lineRule="auto"/>
        <w:jc w:val="both"/>
        <w:rPr>
          <w:rFonts w:ascii="David" w:hAnsi="David" w:cs="David"/>
          <w:b/>
          <w:bCs/>
          <w:u w:val="single"/>
          <w:rtl/>
        </w:rPr>
      </w:pPr>
    </w:p>
    <w:p w14:paraId="53283970"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לאחר שנתתי דעתי לנסיבות מעשי הנאשם, מידת הפגיעה בערכים המוגנים הערכים, מדיניות הענישה הנוהגת, נסיבות ביצוע העבירה, בדגש על הנסיבות לחומרה המאפיינות את המעשה, מצאתי לקבוע מתחם שנע בין 32 לבין 48 חודשי מאסר בפועל, לצד מאסר מותנה וקנס כספי. </w:t>
      </w:r>
    </w:p>
    <w:p w14:paraId="4930659D" w14:textId="77777777" w:rsidR="00512A90" w:rsidRDefault="00512A90" w:rsidP="00512A90">
      <w:pPr>
        <w:pStyle w:val="a9"/>
        <w:spacing w:line="360" w:lineRule="auto"/>
        <w:jc w:val="both"/>
        <w:rPr>
          <w:rFonts w:ascii="David" w:hAnsi="David" w:cs="David"/>
          <w:sz w:val="24"/>
          <w:szCs w:val="24"/>
        </w:rPr>
      </w:pPr>
    </w:p>
    <w:p w14:paraId="60B70F66" w14:textId="77777777" w:rsidR="00512A90" w:rsidRDefault="00512A90" w:rsidP="00512A90">
      <w:pPr>
        <w:pStyle w:val="a9"/>
        <w:numPr>
          <w:ilvl w:val="0"/>
          <w:numId w:val="1"/>
        </w:numPr>
        <w:spacing w:line="360" w:lineRule="auto"/>
        <w:jc w:val="both"/>
        <w:rPr>
          <w:rFonts w:ascii="David" w:hAnsi="David" w:cs="David"/>
          <w:sz w:val="24"/>
          <w:szCs w:val="24"/>
        </w:rPr>
      </w:pPr>
      <w:r>
        <w:rPr>
          <w:rFonts w:ascii="David" w:hAnsi="David" w:cs="David"/>
          <w:sz w:val="24"/>
          <w:szCs w:val="24"/>
          <w:rtl/>
        </w:rPr>
        <w:t>אין תשתית ובסיס לחרוג מהמתחם לחומרה או לקולא, מה גם שהתסקיר שהוגש לא מלמד על אופק שיקומי ומחדד את המסוכנות הנשקפת מפני הנאשם.</w:t>
      </w:r>
    </w:p>
    <w:p w14:paraId="69D6B450" w14:textId="77777777" w:rsidR="00512A90" w:rsidRDefault="00512A90" w:rsidP="00512A90">
      <w:pPr>
        <w:pStyle w:val="a9"/>
        <w:spacing w:line="360" w:lineRule="auto"/>
        <w:jc w:val="both"/>
        <w:rPr>
          <w:rFonts w:ascii="David" w:hAnsi="David" w:cs="David"/>
          <w:sz w:val="24"/>
          <w:szCs w:val="24"/>
        </w:rPr>
      </w:pPr>
    </w:p>
    <w:p w14:paraId="6CD04F5B" w14:textId="77777777" w:rsidR="00512A90" w:rsidRDefault="00512A90" w:rsidP="00512A90">
      <w:pPr>
        <w:spacing w:line="360" w:lineRule="auto"/>
        <w:ind w:firstLine="720"/>
        <w:jc w:val="both"/>
        <w:rPr>
          <w:rFonts w:ascii="David" w:hAnsi="David"/>
          <w:b/>
          <w:bCs/>
          <w:u w:val="single"/>
        </w:rPr>
      </w:pPr>
      <w:r>
        <w:rPr>
          <w:rFonts w:ascii="David" w:hAnsi="David"/>
          <w:b/>
          <w:bCs/>
          <w:u w:val="single"/>
          <w:rtl/>
        </w:rPr>
        <w:t>נסיבות שאינן קשורות בביצוע העבירה:</w:t>
      </w:r>
    </w:p>
    <w:p w14:paraId="0E813E4A"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יליד שנת 2003, אין לו הרשעות קודמות, הוא הודה בכתב האישום המתוקן, חסך זמן שיפוטי והביע חרטה על מעשיו. </w:t>
      </w:r>
    </w:p>
    <w:p w14:paraId="0F3F4379" w14:textId="77777777" w:rsidR="00512A90" w:rsidRDefault="00512A90" w:rsidP="00512A90">
      <w:pPr>
        <w:pStyle w:val="a9"/>
        <w:spacing w:line="360" w:lineRule="auto"/>
        <w:jc w:val="both"/>
        <w:rPr>
          <w:rFonts w:ascii="David" w:hAnsi="David" w:cs="David"/>
          <w:sz w:val="24"/>
          <w:szCs w:val="24"/>
        </w:rPr>
      </w:pPr>
    </w:p>
    <w:p w14:paraId="090C4157" w14:textId="77777777" w:rsidR="00512A90" w:rsidRDefault="00512A90" w:rsidP="00512A90">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נתתי דעתי לנסיבותיו האישיות כפי שפורטו בתסקיר, אך יחד עם זאת, גם לעמדת שירות המבחן אודות העדר תובנות מצידו דבר המשליך על מסוכנותו. </w:t>
      </w:r>
    </w:p>
    <w:p w14:paraId="36336BEA" w14:textId="77777777" w:rsidR="00512A90" w:rsidRDefault="00512A90" w:rsidP="00512A90">
      <w:pPr>
        <w:spacing w:line="360" w:lineRule="auto"/>
        <w:jc w:val="both"/>
        <w:rPr>
          <w:rFonts w:ascii="David" w:hAnsi="David"/>
          <w:b/>
          <w:bCs/>
          <w:u w:val="single"/>
        </w:rPr>
      </w:pPr>
    </w:p>
    <w:p w14:paraId="6DBFCA85" w14:textId="77777777" w:rsidR="00512A90" w:rsidRDefault="00512A90" w:rsidP="00512A90">
      <w:pPr>
        <w:spacing w:line="360" w:lineRule="auto"/>
        <w:ind w:firstLine="720"/>
        <w:jc w:val="both"/>
        <w:rPr>
          <w:rFonts w:ascii="David" w:hAnsi="David"/>
          <w:rtl/>
        </w:rPr>
      </w:pPr>
      <w:r>
        <w:rPr>
          <w:rFonts w:ascii="David" w:hAnsi="David"/>
          <w:b/>
          <w:bCs/>
          <w:u w:val="single"/>
          <w:rtl/>
        </w:rPr>
        <w:t>העונש המתאים :</w:t>
      </w:r>
    </w:p>
    <w:p w14:paraId="71C93A56"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לפי פסיקת בית המשפט העליון והוראת המחוקק, צו השעה הוא להחמיר בענישה בגין עבירות נשק תוך מתן משקל בכורה לשיקולי הרתעת היחיד והרבים (</w:t>
      </w:r>
      <w:hyperlink r:id="rId29" w:history="1">
        <w:r w:rsidR="006E7557" w:rsidRPr="006E7557">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מדינת ישראל נ' קדורה</w:t>
      </w:r>
      <w:r>
        <w:rPr>
          <w:rFonts w:ascii="David" w:hAnsi="David" w:cs="David"/>
          <w:sz w:val="24"/>
          <w:szCs w:val="24"/>
          <w:rtl/>
        </w:rPr>
        <w:t xml:space="preserve">, פסקאות 5-6 (14.4.2022); </w:t>
      </w:r>
      <w:hyperlink r:id="rId30" w:history="1">
        <w:r w:rsidR="006E7557" w:rsidRPr="006E7557">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15 (14.9.2022); </w:t>
      </w:r>
      <w:hyperlink r:id="rId31" w:history="1">
        <w:r w:rsidR="006E7557" w:rsidRPr="006E7557">
          <w:rPr>
            <w:rFonts w:ascii="David" w:hAnsi="David" w:cs="David"/>
            <w:color w:val="0000FF"/>
            <w:sz w:val="24"/>
            <w:szCs w:val="24"/>
            <w:u w:val="single"/>
            <w:rtl/>
          </w:rPr>
          <w:t>ע"פ 5813/21</w:t>
        </w:r>
      </w:hyperlink>
      <w:r>
        <w:rPr>
          <w:rFonts w:ascii="David" w:hAnsi="David" w:cs="David"/>
          <w:sz w:val="24"/>
          <w:szCs w:val="24"/>
          <w:rtl/>
        </w:rPr>
        <w:t xml:space="preserve"> </w:t>
      </w:r>
      <w:r>
        <w:rPr>
          <w:rFonts w:ascii="David" w:hAnsi="David" w:cs="David"/>
          <w:b/>
          <w:bCs/>
          <w:sz w:val="24"/>
          <w:szCs w:val="24"/>
          <w:rtl/>
        </w:rPr>
        <w:t xml:space="preserve">ג'בארין נ' מדינת ישראל, </w:t>
      </w:r>
      <w:r>
        <w:rPr>
          <w:rFonts w:ascii="David" w:hAnsi="David" w:cs="David"/>
          <w:sz w:val="24"/>
          <w:szCs w:val="24"/>
          <w:rtl/>
        </w:rPr>
        <w:t>פסקה 14 (31.5.2022)). אשוב ואזכיר כי לפי תיקון 140 ל</w:t>
      </w:r>
      <w:hyperlink r:id="rId32" w:history="1">
        <w:r w:rsidR="006E7557" w:rsidRPr="006E7557">
          <w:rPr>
            <w:rFonts w:ascii="David" w:hAnsi="David" w:cs="David"/>
            <w:color w:val="0000FF"/>
            <w:sz w:val="24"/>
            <w:szCs w:val="24"/>
            <w:u w:val="single"/>
            <w:rtl/>
          </w:rPr>
          <w:t>חוק העונשין</w:t>
        </w:r>
      </w:hyperlink>
      <w:r>
        <w:rPr>
          <w:rFonts w:ascii="David" w:hAnsi="David" w:cs="David"/>
          <w:sz w:val="24"/>
          <w:szCs w:val="24"/>
          <w:rtl/>
        </w:rPr>
        <w:t>, מצוות המחוקק היא כי העונש המזערי לעבירה מסוג זה, לא יפחת מרבע העונש הקבוע בצידה, ובכללם עונש צופה פני עתיד, אלא אם קיימים טעמים מיוחדים שיירשמו (</w:t>
      </w:r>
      <w:hyperlink r:id="rId33" w:history="1">
        <w:r w:rsidR="00F052F1" w:rsidRPr="00F052F1">
          <w:rPr>
            <w:rStyle w:val="Hyperlink"/>
            <w:rFonts w:ascii="David" w:hAnsi="David" w:cs="David"/>
            <w:color w:val="0000FF"/>
            <w:sz w:val="24"/>
            <w:szCs w:val="24"/>
            <w:rtl/>
          </w:rPr>
          <w:t>סעיף 144(ז)</w:t>
        </w:r>
      </w:hyperlink>
      <w:r>
        <w:rPr>
          <w:rFonts w:ascii="David" w:hAnsi="David" w:cs="David"/>
          <w:sz w:val="24"/>
          <w:szCs w:val="24"/>
          <w:rtl/>
        </w:rPr>
        <w:t xml:space="preserve"> לחוק העונשין). לפי הפסיקה, עונשים אלה באים לבטא את רמת הענישה הראויה בעבירות מסוג זה, ממנה יש לגזור את העונש הראוי במקרה הפרטני, תוך זיקה עניינית לחומרת העבירה (ראו </w:t>
      </w:r>
      <w:hyperlink r:id="rId34" w:history="1">
        <w:r w:rsidR="006E7557" w:rsidRPr="006E7557">
          <w:rPr>
            <w:rFonts w:ascii="David" w:hAnsi="David" w:cs="David"/>
            <w:color w:val="0000FF"/>
            <w:sz w:val="24"/>
            <w:szCs w:val="24"/>
            <w:u w:val="single"/>
            <w:rtl/>
          </w:rPr>
          <w:t>ע"פ 147/21</w:t>
        </w:r>
      </w:hyperlink>
      <w:r>
        <w:rPr>
          <w:rFonts w:ascii="David" w:hAnsi="David" w:cs="David"/>
          <w:sz w:val="24"/>
          <w:szCs w:val="24"/>
          <w:rtl/>
        </w:rPr>
        <w:t xml:space="preserve"> </w:t>
      </w:r>
      <w:r>
        <w:rPr>
          <w:rFonts w:ascii="David" w:hAnsi="David" w:cs="David"/>
          <w:b/>
          <w:bCs/>
          <w:sz w:val="24"/>
          <w:szCs w:val="24"/>
          <w:rtl/>
        </w:rPr>
        <w:t>מדינת ישראל נ' ביטון</w:t>
      </w:r>
      <w:r>
        <w:rPr>
          <w:rFonts w:ascii="David" w:hAnsi="David" w:cs="David"/>
          <w:sz w:val="24"/>
          <w:szCs w:val="24"/>
          <w:rtl/>
        </w:rPr>
        <w:t>, שם בפסקה 8, (2021)), ותוך מתן משקל לנסיבותיו האישיות של הנאשם, בקביעת העונש בתוך מתחם העונש ההולם.</w:t>
      </w:r>
    </w:p>
    <w:p w14:paraId="4FCFF658" w14:textId="77777777" w:rsidR="00512A90" w:rsidRDefault="00512A90" w:rsidP="00512A90">
      <w:pPr>
        <w:pStyle w:val="a9"/>
        <w:spacing w:line="360" w:lineRule="auto"/>
        <w:rPr>
          <w:rFonts w:ascii="David" w:hAnsi="David" w:cs="David"/>
          <w:sz w:val="24"/>
          <w:szCs w:val="24"/>
        </w:rPr>
      </w:pPr>
    </w:p>
    <w:p w14:paraId="782A669B"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המעשה שעשה הנאשם חמור ביותר היה בו כדי לסכן חיים ודרש תעוזה רבה. נסיבות הביצוע מעידות על דרגת אשם גבוהה למדי, המחייבת הלימה עונשית ראויה. אמנם, תוצאת המעשה, הסתכמה "רק" בהובלה ונשיאת הנשקים בצוותא, אך היה זה בשל עיתוי סיור הניידת המשטרה ולא בשל יוזמת הנאשם. כאמור, לפי הפסיקה יש להתחשב בפוטנציאל הנזק, החזקה ונשיאת נשק במרחב הציבורי מובילה לא אחת לעבירות אלימות מהחמורות שיש. יש להפגין אפס סבלנות כלפי החזקה ונשיאת נשק במרחב הציבורי, ולתת דגש מיוחד בסוג זה של עבירות לשיקולי הרתעת היחיד והרבים. </w:t>
      </w:r>
    </w:p>
    <w:p w14:paraId="0DAF43F2" w14:textId="77777777" w:rsidR="00512A90" w:rsidRDefault="00512A90" w:rsidP="00512A90">
      <w:pPr>
        <w:pStyle w:val="a9"/>
        <w:spacing w:line="360" w:lineRule="auto"/>
        <w:rPr>
          <w:rFonts w:ascii="David" w:hAnsi="David" w:cs="David"/>
          <w:sz w:val="24"/>
          <w:szCs w:val="24"/>
        </w:rPr>
      </w:pPr>
    </w:p>
    <w:p w14:paraId="17CE434E"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לצד כל אלה עומדים לימין הנאשם הודאתו המיידית בכתב האישום המתוקן, חרטתו שנשמעה הכנה, גילו והעדר עבר פלילי. </w:t>
      </w:r>
    </w:p>
    <w:p w14:paraId="5EF8B723" w14:textId="77777777" w:rsidR="00512A90" w:rsidRDefault="00512A90" w:rsidP="00512A90">
      <w:pPr>
        <w:pStyle w:val="a9"/>
        <w:spacing w:line="360" w:lineRule="auto"/>
        <w:jc w:val="both"/>
        <w:rPr>
          <w:rFonts w:ascii="David" w:hAnsi="David" w:cs="David"/>
          <w:sz w:val="24"/>
          <w:szCs w:val="24"/>
        </w:rPr>
      </w:pPr>
    </w:p>
    <w:p w14:paraId="0696B593" w14:textId="77777777" w:rsidR="00512A90" w:rsidRDefault="00512A90" w:rsidP="00512A90">
      <w:pPr>
        <w:pStyle w:val="a9"/>
        <w:numPr>
          <w:ilvl w:val="0"/>
          <w:numId w:val="1"/>
        </w:numPr>
        <w:spacing w:line="360" w:lineRule="auto"/>
        <w:jc w:val="both"/>
        <w:rPr>
          <w:rFonts w:ascii="David" w:hAnsi="David" w:cs="David"/>
          <w:sz w:val="24"/>
          <w:szCs w:val="24"/>
        </w:rPr>
      </w:pPr>
      <w:r>
        <w:rPr>
          <w:rFonts w:ascii="David" w:hAnsi="David" w:cs="David"/>
          <w:sz w:val="24"/>
          <w:szCs w:val="24"/>
          <w:rtl/>
        </w:rPr>
        <w:t>כמו כן, יש לתת משקל לעונש שנגזר על ודיע שותפו של הנאשם, לאור כלל אחידות הענישה, במיוחד כאשר מדובר בנסיבות ונתונים כמעט זהים. לפי עיקרון זה, במצבים דומים מבחינת אופי העבירות, עובדותיהן ונסיבותיהם האישיות של הנאשמים, ראוי להחיל, שיקולי ענישה דומים (</w:t>
      </w:r>
      <w:hyperlink r:id="rId35" w:history="1">
        <w:r w:rsidR="006E7557" w:rsidRPr="006E7557">
          <w:rPr>
            <w:rFonts w:ascii="David" w:hAnsi="David" w:cs="David"/>
            <w:color w:val="0000FF"/>
            <w:sz w:val="24"/>
            <w:szCs w:val="24"/>
            <w:u w:val="single"/>
            <w:rtl/>
          </w:rPr>
          <w:t>ע"פ 3065/15</w:t>
        </w:r>
      </w:hyperlink>
      <w:r>
        <w:rPr>
          <w:rFonts w:ascii="David" w:hAnsi="David" w:cs="David"/>
          <w:sz w:val="24"/>
          <w:szCs w:val="24"/>
          <w:rtl/>
        </w:rPr>
        <w:t xml:space="preserve"> </w:t>
      </w:r>
      <w:r>
        <w:rPr>
          <w:rFonts w:ascii="David" w:hAnsi="David" w:cs="David"/>
          <w:b/>
          <w:bCs/>
          <w:sz w:val="24"/>
          <w:szCs w:val="24"/>
          <w:rtl/>
        </w:rPr>
        <w:t>חסין נ' מדינת ישראל</w:t>
      </w:r>
      <w:r>
        <w:rPr>
          <w:rFonts w:ascii="David" w:hAnsi="David" w:cs="David"/>
          <w:sz w:val="24"/>
          <w:szCs w:val="24"/>
          <w:rtl/>
        </w:rPr>
        <w:t>, [פורסם בנבו] פסקה 11 (26.6.2016)). במיוחד שעה שמדובר בנאשמים המורשעים במסגרת אותה פרשה, שאז מקבל עיקרון זה משנה תוקף (</w:t>
      </w:r>
      <w:hyperlink r:id="rId36" w:history="1">
        <w:r w:rsidR="006E7557" w:rsidRPr="006E7557">
          <w:rPr>
            <w:rFonts w:ascii="David" w:hAnsi="David" w:cs="David"/>
            <w:color w:val="0000FF"/>
            <w:sz w:val="24"/>
            <w:szCs w:val="24"/>
            <w:u w:val="single"/>
            <w:rtl/>
          </w:rPr>
          <w:t>ע"פ 5769/14</w:t>
        </w:r>
      </w:hyperlink>
      <w:r>
        <w:rPr>
          <w:rFonts w:ascii="David" w:hAnsi="David" w:cs="David"/>
          <w:sz w:val="24"/>
          <w:szCs w:val="24"/>
          <w:rtl/>
        </w:rPr>
        <w:t xml:space="preserve"> </w:t>
      </w:r>
      <w:r>
        <w:rPr>
          <w:rFonts w:ascii="David" w:hAnsi="David" w:cs="David"/>
          <w:b/>
          <w:bCs/>
          <w:sz w:val="24"/>
          <w:szCs w:val="24"/>
          <w:rtl/>
        </w:rPr>
        <w:t>אלרואי נ' מדינת ישראל</w:t>
      </w:r>
      <w:r>
        <w:rPr>
          <w:rFonts w:ascii="David" w:hAnsi="David" w:cs="David"/>
          <w:sz w:val="24"/>
          <w:szCs w:val="24"/>
          <w:rtl/>
        </w:rPr>
        <w:t>, [פורסם בנבו] פסקה 16 (20.9.2015)). אמנם, מדובר בשיקול אחד מבין מכלול השיקולים העונשיים הרלוונטיים לגזירת העונש, אך בנסיבות כמו הנסיבות דנן, יש לו משקל ממשי (</w:t>
      </w:r>
      <w:hyperlink r:id="rId37" w:history="1">
        <w:r w:rsidR="006E7557" w:rsidRPr="006E7557">
          <w:rPr>
            <w:rFonts w:ascii="David" w:hAnsi="David" w:cs="David"/>
            <w:color w:val="0000FF"/>
            <w:sz w:val="24"/>
            <w:szCs w:val="24"/>
            <w:u w:val="single"/>
            <w:rtl/>
          </w:rPr>
          <w:t>ע"פ 5080/15</w:t>
        </w:r>
      </w:hyperlink>
      <w:r>
        <w:rPr>
          <w:rFonts w:ascii="David" w:hAnsi="David" w:cs="David"/>
          <w:sz w:val="24"/>
          <w:szCs w:val="24"/>
          <w:rtl/>
        </w:rPr>
        <w:t xml:space="preserve"> </w:t>
      </w:r>
      <w:r>
        <w:rPr>
          <w:rFonts w:ascii="David" w:hAnsi="David" w:cs="David"/>
          <w:b/>
          <w:bCs/>
          <w:sz w:val="24"/>
          <w:szCs w:val="24"/>
          <w:rtl/>
        </w:rPr>
        <w:t>עביד נ' מדינת ישראל</w:t>
      </w:r>
      <w:r>
        <w:rPr>
          <w:rFonts w:ascii="David" w:hAnsi="David" w:cs="David"/>
          <w:sz w:val="24"/>
          <w:szCs w:val="24"/>
          <w:rtl/>
        </w:rPr>
        <w:t>, [פורסם בנבו] פסקה 15 (10.3.2016)).</w:t>
      </w:r>
    </w:p>
    <w:p w14:paraId="5EC0858B" w14:textId="77777777" w:rsidR="00512A90" w:rsidRDefault="00512A90" w:rsidP="00512A90">
      <w:pPr>
        <w:pStyle w:val="a9"/>
        <w:spacing w:line="360" w:lineRule="auto"/>
        <w:rPr>
          <w:rFonts w:ascii="David" w:hAnsi="David" w:cs="David"/>
          <w:sz w:val="24"/>
          <w:szCs w:val="24"/>
        </w:rPr>
      </w:pPr>
    </w:p>
    <w:p w14:paraId="1AD007BB" w14:textId="77777777" w:rsidR="00512A90" w:rsidRDefault="00512A90" w:rsidP="00512A9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אשר על כן, בהינתן מכלול השיקולים העונשיים הרלבנטיים לנדוננו לחומרה ולקולא, נמצא למקם את עונש המאסר שיוטל על הנאשם בחלק התחתון של מתחם העונש ההולם, אם כי לא בתחתיתו, נוכח חומרת התופעה ונפיצותה, לצד מאסר מותנה וקנס הולמים. </w:t>
      </w:r>
    </w:p>
    <w:p w14:paraId="39C5496E" w14:textId="77777777" w:rsidR="00512A90" w:rsidRDefault="00512A90" w:rsidP="00512A90">
      <w:pPr>
        <w:pStyle w:val="a9"/>
        <w:spacing w:line="360" w:lineRule="auto"/>
        <w:rPr>
          <w:rFonts w:ascii="David" w:hAnsi="David" w:cs="David"/>
          <w:sz w:val="24"/>
          <w:szCs w:val="24"/>
        </w:rPr>
      </w:pPr>
    </w:p>
    <w:p w14:paraId="609ED926" w14:textId="77777777" w:rsidR="00512A90" w:rsidRDefault="00512A90" w:rsidP="00512A90">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 xml:space="preserve">אשר על כן, אני גוזר על הנאשם את העונשים הבאים : </w:t>
      </w:r>
    </w:p>
    <w:p w14:paraId="48FD7EFD" w14:textId="77777777" w:rsidR="00512A90" w:rsidRPr="006B16D9" w:rsidRDefault="00512A90" w:rsidP="00512A90">
      <w:pPr>
        <w:pStyle w:val="a9"/>
        <w:spacing w:line="360" w:lineRule="auto"/>
        <w:jc w:val="both"/>
        <w:rPr>
          <w:rFonts w:ascii="David" w:hAnsi="David" w:cs="David"/>
          <w:sz w:val="24"/>
          <w:szCs w:val="24"/>
          <w:u w:val="single"/>
          <w:rtl/>
        </w:rPr>
      </w:pPr>
    </w:p>
    <w:p w14:paraId="3FFD973D" w14:textId="77777777" w:rsidR="00512A90" w:rsidRPr="006B16D9" w:rsidRDefault="00512A90" w:rsidP="00512A90">
      <w:pPr>
        <w:pStyle w:val="a9"/>
        <w:numPr>
          <w:ilvl w:val="0"/>
          <w:numId w:val="3"/>
        </w:numPr>
        <w:spacing w:line="360" w:lineRule="auto"/>
        <w:jc w:val="both"/>
        <w:rPr>
          <w:rFonts w:ascii="David" w:hAnsi="David" w:cs="David"/>
          <w:sz w:val="24"/>
          <w:szCs w:val="24"/>
        </w:rPr>
      </w:pPr>
      <w:r w:rsidRPr="006B16D9">
        <w:rPr>
          <w:rFonts w:ascii="David" w:hAnsi="David" w:cs="David"/>
          <w:sz w:val="24"/>
          <w:szCs w:val="24"/>
          <w:rtl/>
        </w:rPr>
        <w:t xml:space="preserve">שלושים ושתיים (32) חודשי מאסר בפועל שימנו מיום מעצרו של  -  9.12.2023. </w:t>
      </w:r>
    </w:p>
    <w:p w14:paraId="7E9FC524" w14:textId="77777777" w:rsidR="00512A90" w:rsidRPr="006B16D9" w:rsidRDefault="00512A90" w:rsidP="00512A90">
      <w:pPr>
        <w:pStyle w:val="a9"/>
        <w:spacing w:line="360" w:lineRule="auto"/>
        <w:jc w:val="both"/>
        <w:rPr>
          <w:rFonts w:ascii="David" w:hAnsi="David" w:cs="David"/>
          <w:sz w:val="24"/>
          <w:szCs w:val="24"/>
        </w:rPr>
      </w:pPr>
    </w:p>
    <w:p w14:paraId="525AE8F1" w14:textId="77777777" w:rsidR="00512A90" w:rsidRPr="006B16D9" w:rsidRDefault="00512A90" w:rsidP="00512A90">
      <w:pPr>
        <w:pStyle w:val="a9"/>
        <w:numPr>
          <w:ilvl w:val="0"/>
          <w:numId w:val="3"/>
        </w:numPr>
        <w:spacing w:line="360" w:lineRule="auto"/>
        <w:jc w:val="both"/>
        <w:rPr>
          <w:rFonts w:ascii="David" w:hAnsi="David" w:cs="David"/>
          <w:sz w:val="24"/>
          <w:szCs w:val="24"/>
          <w:u w:val="single"/>
          <w:rtl/>
        </w:rPr>
      </w:pPr>
      <w:r w:rsidRPr="006B16D9">
        <w:rPr>
          <w:rFonts w:ascii="David" w:hAnsi="David" w:cs="David"/>
          <w:sz w:val="24"/>
          <w:szCs w:val="24"/>
          <w:rtl/>
        </w:rPr>
        <w:t xml:space="preserve">שניים עשר (12) חודשי מאסר על תנאי למשך שלוש שנים מיום שחרורו, שלא יעבור כל עבירת נשק מסוג פשע. </w:t>
      </w:r>
    </w:p>
    <w:p w14:paraId="04A750ED" w14:textId="77777777" w:rsidR="00512A90" w:rsidRPr="006B16D9" w:rsidRDefault="00512A90" w:rsidP="00512A90">
      <w:pPr>
        <w:pStyle w:val="a9"/>
        <w:spacing w:line="360" w:lineRule="auto"/>
        <w:ind w:left="1080"/>
        <w:jc w:val="both"/>
        <w:rPr>
          <w:rFonts w:ascii="David" w:hAnsi="David" w:cs="David"/>
          <w:sz w:val="24"/>
          <w:szCs w:val="24"/>
          <w:u w:val="single"/>
        </w:rPr>
      </w:pPr>
    </w:p>
    <w:p w14:paraId="21D852BD" w14:textId="77777777" w:rsidR="00512A90" w:rsidRPr="006B16D9" w:rsidRDefault="00512A90" w:rsidP="00512A90">
      <w:pPr>
        <w:pStyle w:val="a9"/>
        <w:numPr>
          <w:ilvl w:val="0"/>
          <w:numId w:val="3"/>
        </w:numPr>
        <w:spacing w:line="360" w:lineRule="auto"/>
        <w:jc w:val="both"/>
        <w:rPr>
          <w:rFonts w:ascii="David" w:hAnsi="David" w:cs="David"/>
          <w:sz w:val="24"/>
          <w:szCs w:val="24"/>
          <w:u w:val="single"/>
        </w:rPr>
      </w:pPr>
      <w:r w:rsidRPr="006B16D9">
        <w:rPr>
          <w:rFonts w:ascii="David" w:hAnsi="David" w:cs="David"/>
          <w:sz w:val="24"/>
          <w:szCs w:val="24"/>
          <w:rtl/>
        </w:rPr>
        <w:t xml:space="preserve">6 חודשי מאסר על תנאי למשך שלוש שנים מיום שחרורו, שלא יעבור כל עבירת נשק מסוג עוון. </w:t>
      </w:r>
    </w:p>
    <w:p w14:paraId="02EAF0CF" w14:textId="77777777" w:rsidR="00512A90" w:rsidRPr="006B16D9" w:rsidRDefault="00512A90" w:rsidP="00512A90">
      <w:pPr>
        <w:pStyle w:val="a9"/>
        <w:rPr>
          <w:rFonts w:ascii="David" w:hAnsi="David" w:cs="David"/>
          <w:sz w:val="24"/>
          <w:szCs w:val="24"/>
          <w:u w:val="single"/>
        </w:rPr>
      </w:pPr>
    </w:p>
    <w:p w14:paraId="0A24E801" w14:textId="77777777" w:rsidR="00512A90" w:rsidRPr="006B16D9" w:rsidRDefault="00512A90" w:rsidP="00512A90">
      <w:pPr>
        <w:pStyle w:val="a9"/>
        <w:numPr>
          <w:ilvl w:val="0"/>
          <w:numId w:val="3"/>
        </w:numPr>
        <w:spacing w:line="360" w:lineRule="auto"/>
        <w:jc w:val="both"/>
        <w:rPr>
          <w:rFonts w:ascii="David" w:hAnsi="David" w:cs="David"/>
          <w:sz w:val="24"/>
          <w:szCs w:val="24"/>
          <w:rtl/>
        </w:rPr>
      </w:pPr>
      <w:r w:rsidRPr="006B16D9">
        <w:rPr>
          <w:rFonts w:ascii="David" w:hAnsi="David" w:cs="David"/>
          <w:sz w:val="24"/>
          <w:szCs w:val="24"/>
          <w:rtl/>
        </w:rPr>
        <w:t xml:space="preserve">קנס בסך של - 3,500 ₪ אשר ישולם תוך 60 ימים מהיום. ניתן לשלם את הקנס כעבור שלושה ימים מים גזר הדין, באחת מן הדרכים הבאות: באתר המרכז לגביית קנסות </w:t>
      </w:r>
      <w:hyperlink r:id="rId38" w:history="1">
        <w:r w:rsidRPr="006B16D9">
          <w:rPr>
            <w:rStyle w:val="Hyperlink"/>
            <w:rFonts w:ascii="David" w:hAnsi="David" w:cs="David"/>
            <w:sz w:val="24"/>
            <w:szCs w:val="24"/>
          </w:rPr>
          <w:t>WWW.ECA.GOV.IL</w:t>
        </w:r>
      </w:hyperlink>
      <w:r w:rsidRPr="006B16D9">
        <w:rPr>
          <w:rFonts w:ascii="David" w:hAnsi="David" w:cs="David"/>
          <w:sz w:val="24"/>
          <w:szCs w:val="24"/>
          <w:rtl/>
        </w:rPr>
        <w:t xml:space="preserve"> או בטל' 073-2055000 באמצעות כרטיס אשראי או במזומן בבנק הדואר בהצגת תעודת זהות בלבד (אין צורך בשובר תשלום).</w:t>
      </w:r>
    </w:p>
    <w:p w14:paraId="44E527B0" w14:textId="77777777" w:rsidR="00512A90" w:rsidRPr="006B16D9" w:rsidRDefault="00512A90" w:rsidP="00512A90">
      <w:pPr>
        <w:pStyle w:val="a9"/>
        <w:spacing w:line="360" w:lineRule="auto"/>
        <w:jc w:val="both"/>
        <w:rPr>
          <w:rFonts w:ascii="David" w:hAnsi="David" w:cs="David"/>
          <w:sz w:val="24"/>
          <w:szCs w:val="24"/>
          <w:u w:val="single"/>
        </w:rPr>
      </w:pPr>
    </w:p>
    <w:p w14:paraId="263053AF" w14:textId="77777777" w:rsidR="00512A90" w:rsidRPr="006B16D9" w:rsidRDefault="00512A90" w:rsidP="00512A90">
      <w:pPr>
        <w:pStyle w:val="a9"/>
        <w:numPr>
          <w:ilvl w:val="0"/>
          <w:numId w:val="3"/>
        </w:numPr>
        <w:spacing w:line="360" w:lineRule="auto"/>
        <w:jc w:val="both"/>
        <w:rPr>
          <w:rFonts w:ascii="David" w:hAnsi="David" w:cs="David"/>
          <w:sz w:val="24"/>
          <w:szCs w:val="24"/>
        </w:rPr>
      </w:pPr>
      <w:r w:rsidRPr="006B16D9">
        <w:rPr>
          <w:rFonts w:ascii="David" w:hAnsi="David" w:cs="David"/>
          <w:sz w:val="24"/>
          <w:szCs w:val="24"/>
          <w:rtl/>
        </w:rPr>
        <w:t>צו חילוט – הנשקים מושא כתב האישום יחולטו לכשגזר הדין יהפוך חלוט.</w:t>
      </w:r>
    </w:p>
    <w:p w14:paraId="27073971" w14:textId="77777777" w:rsidR="00512A90" w:rsidRDefault="00512A90" w:rsidP="00512A90">
      <w:pPr>
        <w:spacing w:line="360" w:lineRule="auto"/>
        <w:jc w:val="both"/>
        <w:rPr>
          <w:rFonts w:ascii="David" w:hAnsi="David"/>
          <w:b/>
          <w:bCs/>
          <w:u w:val="single"/>
        </w:rPr>
      </w:pPr>
    </w:p>
    <w:p w14:paraId="5B3367DC" w14:textId="77777777" w:rsidR="00512A90" w:rsidRDefault="00512A90" w:rsidP="00512A90">
      <w:pPr>
        <w:spacing w:line="360" w:lineRule="auto"/>
        <w:ind w:firstLine="720"/>
        <w:jc w:val="both"/>
        <w:rPr>
          <w:rFonts w:ascii="David" w:hAnsi="David"/>
          <w:b/>
          <w:bCs/>
          <w:rtl/>
        </w:rPr>
      </w:pPr>
      <w:r>
        <w:rPr>
          <w:rFonts w:ascii="David" w:hAnsi="David"/>
          <w:b/>
          <w:bCs/>
          <w:rtl/>
        </w:rPr>
        <w:t>זכות ערעור לבית המשפט העליון בתוך 45 יום.</w:t>
      </w:r>
    </w:p>
    <w:p w14:paraId="5E244B85" w14:textId="77777777" w:rsidR="00512A90" w:rsidRPr="006E7557" w:rsidRDefault="006E7557" w:rsidP="00512A90">
      <w:pPr>
        <w:rPr>
          <w:rFonts w:ascii="Arial" w:hAnsi="Arial"/>
          <w:b/>
          <w:bCs/>
          <w:color w:val="FFFFFF"/>
          <w:sz w:val="2"/>
          <w:szCs w:val="2"/>
          <w:rtl/>
        </w:rPr>
      </w:pPr>
      <w:r w:rsidRPr="006E7557">
        <w:rPr>
          <w:rFonts w:ascii="Arial" w:hAnsi="Arial"/>
          <w:b/>
          <w:bCs/>
          <w:color w:val="FFFFFF"/>
          <w:sz w:val="2"/>
          <w:szCs w:val="2"/>
          <w:rtl/>
        </w:rPr>
        <w:t>5129371</w:t>
      </w:r>
    </w:p>
    <w:p w14:paraId="31721D09" w14:textId="77777777" w:rsidR="00512A90" w:rsidRPr="006E7557" w:rsidRDefault="006E7557" w:rsidP="00512A90">
      <w:pPr>
        <w:rPr>
          <w:rFonts w:ascii="Arial" w:hAnsi="Arial"/>
          <w:b/>
          <w:bCs/>
          <w:color w:val="FFFFFF"/>
          <w:sz w:val="2"/>
          <w:szCs w:val="2"/>
          <w:rtl/>
        </w:rPr>
      </w:pPr>
      <w:r w:rsidRPr="006E7557">
        <w:rPr>
          <w:rFonts w:ascii="Arial" w:hAnsi="Arial"/>
          <w:b/>
          <w:bCs/>
          <w:color w:val="FFFFFF"/>
          <w:sz w:val="2"/>
          <w:szCs w:val="2"/>
          <w:rtl/>
        </w:rPr>
        <w:t>54678313</w:t>
      </w:r>
    </w:p>
    <w:p w14:paraId="01D0B572" w14:textId="77777777" w:rsidR="00512A90" w:rsidRPr="000F2247" w:rsidRDefault="00512A90" w:rsidP="00512A90">
      <w:pPr>
        <w:rPr>
          <w:rFonts w:ascii="Arial" w:hAnsi="Arial"/>
          <w:b/>
          <w:bCs/>
          <w:sz w:val="26"/>
          <w:szCs w:val="26"/>
          <w:rtl/>
        </w:rPr>
      </w:pPr>
    </w:p>
    <w:p w14:paraId="3ECD7B5B" w14:textId="77777777" w:rsidR="00512A90" w:rsidRPr="000F2247" w:rsidRDefault="006E7557" w:rsidP="00512A9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כסלו תשפ"ה, 10 דצמבר 2024, בהעדר הצדדים. </w:t>
      </w:r>
      <w:bookmarkEnd w:id="8"/>
      <w:r w:rsidR="00512A90">
        <w:rPr>
          <w:rFonts w:ascii="Arial" w:hAnsi="Arial"/>
          <w:b/>
          <w:bCs/>
          <w:sz w:val="26"/>
          <w:szCs w:val="26"/>
          <w:rtl/>
        </w:rPr>
        <w:tab/>
      </w:r>
      <w:r w:rsidR="00512A90">
        <w:rPr>
          <w:rFonts w:ascii="Arial" w:hAnsi="Arial"/>
          <w:b/>
          <w:bCs/>
          <w:sz w:val="26"/>
          <w:szCs w:val="26"/>
          <w:rtl/>
        </w:rPr>
        <w:tab/>
      </w:r>
      <w:r w:rsidR="00512A90">
        <w:rPr>
          <w:rFonts w:ascii="Arial" w:hAnsi="Arial"/>
          <w:b/>
          <w:bCs/>
          <w:sz w:val="26"/>
          <w:szCs w:val="26"/>
          <w:rtl/>
        </w:rPr>
        <w:tab/>
      </w:r>
      <w:r w:rsidR="00512A90">
        <w:rPr>
          <w:rFonts w:ascii="Arial" w:hAnsi="Arial"/>
          <w:b/>
          <w:bCs/>
          <w:sz w:val="26"/>
          <w:szCs w:val="26"/>
          <w:rtl/>
        </w:rPr>
        <w:tab/>
      </w:r>
      <w:r w:rsidR="00512A90">
        <w:rPr>
          <w:rFonts w:ascii="Arial" w:hAnsi="Arial"/>
          <w:b/>
          <w:bCs/>
          <w:sz w:val="26"/>
          <w:szCs w:val="26"/>
          <w:rtl/>
        </w:rPr>
        <w:tab/>
      </w:r>
      <w:r w:rsidR="00512A90">
        <w:rPr>
          <w:rFonts w:ascii="Arial" w:hAnsi="Arial"/>
          <w:b/>
          <w:bCs/>
          <w:sz w:val="26"/>
          <w:szCs w:val="26"/>
          <w:rtl/>
        </w:rPr>
        <w:tab/>
      </w:r>
      <w:r w:rsidR="00512A90">
        <w:rPr>
          <w:rFonts w:ascii="Arial" w:hAnsi="Arial"/>
          <w:b/>
          <w:bCs/>
          <w:sz w:val="26"/>
          <w:szCs w:val="26"/>
          <w:rtl/>
        </w:rPr>
        <w:tab/>
      </w:r>
      <w:r w:rsidR="00512A90">
        <w:rPr>
          <w:rFonts w:ascii="Arial" w:hAnsi="Arial" w:hint="cs"/>
          <w:b/>
          <w:bCs/>
          <w:sz w:val="26"/>
          <w:szCs w:val="26"/>
          <w:rtl/>
        </w:rPr>
        <w:t xml:space="preserve">         </w:t>
      </w:r>
    </w:p>
    <w:p w14:paraId="6C021A97" w14:textId="77777777" w:rsidR="00512A90" w:rsidRPr="000F2247" w:rsidRDefault="00512A90" w:rsidP="006E755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7C2FD1B" w14:textId="77777777" w:rsidR="00512A90" w:rsidRPr="00F052F1" w:rsidRDefault="00F052F1" w:rsidP="00512A90">
      <w:pPr>
        <w:jc w:val="center"/>
        <w:rPr>
          <w:rFonts w:ascii="Arial" w:hAnsi="Arial"/>
          <w:b/>
          <w:bCs/>
          <w:color w:val="FFFFFF"/>
          <w:sz w:val="2"/>
          <w:szCs w:val="2"/>
          <w:rtl/>
        </w:rPr>
      </w:pPr>
      <w:r w:rsidRPr="00F052F1">
        <w:rPr>
          <w:rFonts w:ascii="Arial" w:hAnsi="Arial"/>
          <w:b/>
          <w:bCs/>
          <w:color w:val="FFFFFF"/>
          <w:sz w:val="2"/>
          <w:szCs w:val="2"/>
          <w:rtl/>
        </w:rPr>
        <w:t>5129371</w:t>
      </w:r>
    </w:p>
    <w:p w14:paraId="7E74BE29" w14:textId="77777777" w:rsidR="006E7557" w:rsidRDefault="00F052F1" w:rsidP="006E7557">
      <w:r w:rsidRPr="00F052F1">
        <w:rPr>
          <w:rFonts w:ascii="David" w:hAnsi="David"/>
          <w:color w:val="FFFFFF"/>
          <w:sz w:val="2"/>
          <w:szCs w:val="2"/>
          <w:rtl/>
        </w:rPr>
        <w:t>54678313</w:t>
      </w:r>
    </w:p>
    <w:p w14:paraId="5FB0246D" w14:textId="77777777" w:rsidR="006E7557" w:rsidRDefault="006E7557" w:rsidP="006E7557">
      <w:pPr>
        <w:rPr>
          <w:rtl/>
        </w:rPr>
      </w:pPr>
    </w:p>
    <w:p w14:paraId="03725B6B" w14:textId="77777777" w:rsidR="006E7557" w:rsidRDefault="006E7557" w:rsidP="006E755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529C7F9" w14:textId="77777777" w:rsidR="00F052F1" w:rsidRPr="00F052F1" w:rsidRDefault="00F052F1" w:rsidP="00F052F1">
      <w:pPr>
        <w:keepNext/>
        <w:rPr>
          <w:rFonts w:ascii="David" w:hAnsi="David"/>
          <w:color w:val="000000"/>
          <w:sz w:val="22"/>
          <w:szCs w:val="22"/>
          <w:rtl/>
        </w:rPr>
      </w:pPr>
    </w:p>
    <w:p w14:paraId="3EE98CD3" w14:textId="77777777" w:rsidR="00F052F1" w:rsidRPr="00F052F1" w:rsidRDefault="00F052F1" w:rsidP="00F052F1">
      <w:pPr>
        <w:keepNext/>
        <w:rPr>
          <w:rFonts w:ascii="David" w:hAnsi="David"/>
          <w:color w:val="000000"/>
          <w:sz w:val="22"/>
          <w:szCs w:val="22"/>
          <w:rtl/>
        </w:rPr>
      </w:pPr>
      <w:r w:rsidRPr="00F052F1">
        <w:rPr>
          <w:rFonts w:ascii="David" w:hAnsi="David"/>
          <w:color w:val="000000"/>
          <w:sz w:val="22"/>
          <w:szCs w:val="22"/>
          <w:rtl/>
        </w:rPr>
        <w:t>שלמה בנג'ו 54678313</w:t>
      </w:r>
    </w:p>
    <w:p w14:paraId="20CC4DAD" w14:textId="77777777" w:rsidR="006E7557" w:rsidRPr="006E7557" w:rsidRDefault="00F052F1" w:rsidP="00F052F1">
      <w:pPr>
        <w:rPr>
          <w:color w:val="0000FF"/>
          <w:u w:val="single"/>
        </w:rPr>
      </w:pPr>
      <w:r w:rsidRPr="00F052F1">
        <w:rPr>
          <w:color w:val="000000"/>
          <w:u w:val="single"/>
          <w:rtl/>
        </w:rPr>
        <w:t>נוסח מסמך זה כפוף לשינויי ניסוח ועריכה</w:t>
      </w:r>
    </w:p>
    <w:sectPr w:rsidR="006E7557" w:rsidRPr="006E7557" w:rsidSect="00F052F1">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35A7E" w14:textId="77777777" w:rsidR="00BF11DF" w:rsidRDefault="00BF11DF" w:rsidP="002E0261">
      <w:r>
        <w:separator/>
      </w:r>
    </w:p>
  </w:endnote>
  <w:endnote w:type="continuationSeparator" w:id="0">
    <w:p w14:paraId="6EA447E1" w14:textId="77777777" w:rsidR="00BF11DF" w:rsidRDefault="00BF11DF" w:rsidP="002E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8E843" w14:textId="77777777" w:rsidR="00F052F1" w:rsidRDefault="00F052F1" w:rsidP="00F052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E33564" w14:textId="77777777" w:rsidR="00BA09B2" w:rsidRPr="00F052F1" w:rsidRDefault="00F052F1" w:rsidP="00F052F1">
    <w:pPr>
      <w:pStyle w:val="a5"/>
      <w:pBdr>
        <w:top w:val="single" w:sz="4" w:space="1" w:color="auto"/>
        <w:between w:val="single" w:sz="4" w:space="0" w:color="auto"/>
      </w:pBdr>
      <w:spacing w:after="60"/>
      <w:jc w:val="center"/>
      <w:rPr>
        <w:rFonts w:ascii="FrankRuehl" w:hAnsi="FrankRuehl" w:cs="FrankRuehl"/>
        <w:color w:val="000000"/>
      </w:rPr>
    </w:pPr>
    <w:r w:rsidRPr="00F052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7139F" w14:textId="77777777" w:rsidR="00F052F1" w:rsidRDefault="00F052F1" w:rsidP="00F052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43DC">
      <w:rPr>
        <w:rFonts w:ascii="FrankRuehl" w:hAnsi="FrankRuehl" w:cs="FrankRuehl"/>
        <w:noProof/>
        <w:rtl/>
      </w:rPr>
      <w:t>1</w:t>
    </w:r>
    <w:r>
      <w:rPr>
        <w:rFonts w:ascii="FrankRuehl" w:hAnsi="FrankRuehl" w:cs="FrankRuehl"/>
        <w:rtl/>
      </w:rPr>
      <w:fldChar w:fldCharType="end"/>
    </w:r>
  </w:p>
  <w:p w14:paraId="59B8714F" w14:textId="77777777" w:rsidR="00BA09B2" w:rsidRPr="00F052F1" w:rsidRDefault="00F052F1" w:rsidP="00F052F1">
    <w:pPr>
      <w:pStyle w:val="a5"/>
      <w:pBdr>
        <w:top w:val="single" w:sz="4" w:space="1" w:color="auto"/>
        <w:between w:val="single" w:sz="4" w:space="0" w:color="auto"/>
      </w:pBdr>
      <w:spacing w:after="60"/>
      <w:jc w:val="center"/>
      <w:rPr>
        <w:rFonts w:ascii="FrankRuehl" w:hAnsi="FrankRuehl" w:cs="FrankRuehl"/>
        <w:color w:val="000000"/>
      </w:rPr>
    </w:pPr>
    <w:r w:rsidRPr="00F052F1">
      <w:rPr>
        <w:rFonts w:ascii="FrankRuehl" w:hAnsi="FrankRuehl" w:cs="FrankRuehl"/>
        <w:color w:val="000000"/>
      </w:rPr>
      <w:pict w14:anchorId="6C66E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E45C1" w14:textId="77777777" w:rsidR="00BF11DF" w:rsidRDefault="00BF11DF" w:rsidP="002E0261">
      <w:r>
        <w:separator/>
      </w:r>
    </w:p>
  </w:footnote>
  <w:footnote w:type="continuationSeparator" w:id="0">
    <w:p w14:paraId="60B76CFC" w14:textId="77777777" w:rsidR="00BF11DF" w:rsidRDefault="00BF11DF" w:rsidP="002E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3F368" w14:textId="77777777" w:rsidR="006E7557" w:rsidRPr="00F052F1" w:rsidRDefault="00F052F1" w:rsidP="00F052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10189-01-24</w:t>
    </w:r>
    <w:r>
      <w:rPr>
        <w:rFonts w:ascii="David" w:hAnsi="David"/>
        <w:color w:val="000000"/>
        <w:sz w:val="22"/>
        <w:szCs w:val="22"/>
        <w:rtl/>
      </w:rPr>
      <w:tab/>
      <w:t xml:space="preserve"> מדינת ישראל נ' עבדאללה איוב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81431" w14:textId="77777777" w:rsidR="006E7557" w:rsidRPr="00F052F1" w:rsidRDefault="00F052F1" w:rsidP="00F052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10189-01-24</w:t>
    </w:r>
    <w:r>
      <w:rPr>
        <w:rFonts w:ascii="David" w:hAnsi="David"/>
        <w:color w:val="000000"/>
        <w:sz w:val="22"/>
        <w:szCs w:val="22"/>
        <w:rtl/>
      </w:rPr>
      <w:tab/>
      <w:t xml:space="preserve"> מדינת ישראל נ' עבדאללה איוב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4530"/>
    <w:multiLevelType w:val="hybridMultilevel"/>
    <w:tmpl w:val="B94AD7A4"/>
    <w:lvl w:ilvl="0" w:tplc="064C14A8">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A47CEC"/>
    <w:multiLevelType w:val="hybridMultilevel"/>
    <w:tmpl w:val="3704E6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5CD55AD"/>
    <w:multiLevelType w:val="hybridMultilevel"/>
    <w:tmpl w:val="46326CD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32115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6834554">
    <w:abstractNumId w:val="1"/>
  </w:num>
  <w:num w:numId="3" w16cid:durableId="103113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2A90"/>
    <w:rsid w:val="002E0261"/>
    <w:rsid w:val="00512A90"/>
    <w:rsid w:val="006843DC"/>
    <w:rsid w:val="006E7557"/>
    <w:rsid w:val="00BA09B2"/>
    <w:rsid w:val="00BD0173"/>
    <w:rsid w:val="00BF11DF"/>
    <w:rsid w:val="00C76613"/>
    <w:rsid w:val="00E95426"/>
    <w:rsid w:val="00F05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E586A4"/>
  <w15:chartTrackingRefBased/>
  <w15:docId w15:val="{8878A841-2A0D-4C89-85B6-A17735DC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2A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2A90"/>
    <w:pPr>
      <w:tabs>
        <w:tab w:val="center" w:pos="4153"/>
        <w:tab w:val="right" w:pos="8306"/>
      </w:tabs>
    </w:pPr>
  </w:style>
  <w:style w:type="character" w:customStyle="1" w:styleId="a4">
    <w:name w:val="כותרת עליונה תו"/>
    <w:link w:val="a3"/>
    <w:rsid w:val="00512A90"/>
    <w:rPr>
      <w:rFonts w:ascii="Times New Roman" w:eastAsia="Times New Roman" w:hAnsi="Times New Roman" w:cs="David"/>
      <w:sz w:val="24"/>
      <w:szCs w:val="24"/>
    </w:rPr>
  </w:style>
  <w:style w:type="paragraph" w:styleId="a5">
    <w:name w:val="footer"/>
    <w:basedOn w:val="a"/>
    <w:link w:val="a6"/>
    <w:rsid w:val="00512A90"/>
    <w:pPr>
      <w:tabs>
        <w:tab w:val="center" w:pos="4153"/>
        <w:tab w:val="right" w:pos="8306"/>
      </w:tabs>
    </w:pPr>
  </w:style>
  <w:style w:type="character" w:customStyle="1" w:styleId="a6">
    <w:name w:val="כותרת תחתונה תו"/>
    <w:link w:val="a5"/>
    <w:rsid w:val="00512A90"/>
    <w:rPr>
      <w:rFonts w:ascii="Times New Roman" w:eastAsia="Times New Roman" w:hAnsi="Times New Roman" w:cs="David"/>
      <w:sz w:val="24"/>
      <w:szCs w:val="24"/>
    </w:rPr>
  </w:style>
  <w:style w:type="table" w:styleId="a7">
    <w:name w:val="Table Grid"/>
    <w:basedOn w:val="a1"/>
    <w:rsid w:val="00512A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2A90"/>
  </w:style>
  <w:style w:type="character" w:styleId="Hyperlink">
    <w:name w:val="Hyperlink"/>
    <w:rsid w:val="00512A90"/>
    <w:rPr>
      <w:color w:val="0563C1"/>
      <w:u w:val="single"/>
    </w:rPr>
  </w:style>
  <w:style w:type="paragraph" w:styleId="a9">
    <w:name w:val="List Paragraph"/>
    <w:basedOn w:val="a"/>
    <w:qFormat/>
    <w:rsid w:val="00512A90"/>
    <w:pPr>
      <w:spacing w:after="160" w:line="256" w:lineRule="auto"/>
      <w:ind w:left="720"/>
      <w:contextualSpacing/>
    </w:pPr>
    <w:rPr>
      <w:rFonts w:ascii="Calibri" w:eastAsia="Calibri" w:hAnsi="Calibri" w:cs="Arial"/>
      <w:sz w:val="22"/>
      <w:szCs w:val="22"/>
    </w:rPr>
  </w:style>
  <w:style w:type="paragraph" w:styleId="aa">
    <w:name w:val="Quote"/>
    <w:basedOn w:val="a"/>
    <w:next w:val="a"/>
    <w:link w:val="ab"/>
    <w:qFormat/>
    <w:rsid w:val="00512A90"/>
    <w:pPr>
      <w:spacing w:before="200" w:after="160" w:line="256" w:lineRule="auto"/>
      <w:ind w:left="864" w:right="864"/>
      <w:jc w:val="center"/>
    </w:pPr>
    <w:rPr>
      <w:rFonts w:ascii="Calibri" w:eastAsia="Calibri" w:hAnsi="Calibri" w:cs="Arial"/>
      <w:i/>
      <w:iCs/>
      <w:color w:val="404040"/>
      <w:sz w:val="22"/>
      <w:szCs w:val="22"/>
    </w:rPr>
  </w:style>
  <w:style w:type="character" w:customStyle="1" w:styleId="ab">
    <w:name w:val="ציטוט תו"/>
    <w:link w:val="aa"/>
    <w:rsid w:val="00512A90"/>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9445473" TargetMode="External"/><Relationship Id="rId26" Type="http://schemas.openxmlformats.org/officeDocument/2006/relationships/hyperlink" Target="http://www.nevo.co.il/case/2872269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883087" TargetMode="External"/><Relationship Id="rId34" Type="http://schemas.openxmlformats.org/officeDocument/2006/relationships/hyperlink" Target="http://www.nevo.co.il/case/27309272"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30252057" TargetMode="External"/><Relationship Id="rId29" Type="http://schemas.openxmlformats.org/officeDocument/2006/relationships/hyperlink" Target="http://www.nevo.co.il/case/285138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 TargetMode="External"/><Relationship Id="rId24" Type="http://schemas.openxmlformats.org/officeDocument/2006/relationships/hyperlink" Target="http://www.nevo.co.il/law/70301/144.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455789"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48153"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89460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978137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0253096"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g" TargetMode="External"/><Relationship Id="rId38" Type="http://schemas.openxmlformats.org/officeDocument/2006/relationships/hyperlink" Target="http://WWW.ECA.GOV.IL" TargetMode="External"/><Relationship Id="rId20" Type="http://schemas.openxmlformats.org/officeDocument/2006/relationships/hyperlink" Target="http://www.nevo.co.il/case/3016834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12545</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15023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3866742</vt:i4>
      </vt:variant>
      <vt:variant>
        <vt:i4>90</vt:i4>
      </vt:variant>
      <vt:variant>
        <vt:i4>0</vt:i4>
      </vt:variant>
      <vt:variant>
        <vt:i4>5</vt:i4>
      </vt:variant>
      <vt:variant>
        <vt:lpwstr>http://www.nevo.co.il/case/20455789</vt:lpwstr>
      </vt:variant>
      <vt:variant>
        <vt:lpwstr/>
      </vt:variant>
      <vt:variant>
        <vt:i4>3473526</vt:i4>
      </vt:variant>
      <vt:variant>
        <vt:i4>87</vt:i4>
      </vt:variant>
      <vt:variant>
        <vt:i4>0</vt:i4>
      </vt:variant>
      <vt:variant>
        <vt:i4>5</vt:i4>
      </vt:variant>
      <vt:variant>
        <vt:lpwstr>http://www.nevo.co.il/case/17948153</vt:lpwstr>
      </vt:variant>
      <vt:variant>
        <vt:lpwstr/>
      </vt:variant>
      <vt:variant>
        <vt:i4>3801201</vt:i4>
      </vt:variant>
      <vt:variant>
        <vt:i4>84</vt:i4>
      </vt:variant>
      <vt:variant>
        <vt:i4>0</vt:i4>
      </vt:variant>
      <vt:variant>
        <vt:i4>5</vt:i4>
      </vt:variant>
      <vt:variant>
        <vt:lpwstr>http://www.nevo.co.il/case/20253096</vt:lpwstr>
      </vt:variant>
      <vt:variant>
        <vt:lpwstr/>
      </vt:variant>
      <vt:variant>
        <vt:i4>4128881</vt:i4>
      </vt:variant>
      <vt:variant>
        <vt:i4>81</vt:i4>
      </vt:variant>
      <vt:variant>
        <vt:i4>0</vt:i4>
      </vt:variant>
      <vt:variant>
        <vt:i4>5</vt:i4>
      </vt:variant>
      <vt:variant>
        <vt:lpwstr>http://www.nevo.co.il/case/27309272</vt:lpwstr>
      </vt:variant>
      <vt:variant>
        <vt:lpwstr/>
      </vt:variant>
      <vt:variant>
        <vt:i4>5177424</vt:i4>
      </vt:variant>
      <vt:variant>
        <vt:i4>78</vt:i4>
      </vt:variant>
      <vt:variant>
        <vt:i4>0</vt:i4>
      </vt:variant>
      <vt:variant>
        <vt:i4>5</vt:i4>
      </vt:variant>
      <vt:variant>
        <vt:lpwstr>http://www.nevo.co.il/law/70301/144.g</vt:lpwstr>
      </vt:variant>
      <vt:variant>
        <vt:lpwstr/>
      </vt:variant>
      <vt:variant>
        <vt:i4>7995492</vt:i4>
      </vt:variant>
      <vt:variant>
        <vt:i4>75</vt:i4>
      </vt:variant>
      <vt:variant>
        <vt:i4>0</vt:i4>
      </vt:variant>
      <vt:variant>
        <vt:i4>5</vt:i4>
      </vt:variant>
      <vt:variant>
        <vt:lpwstr>http://www.nevo.co.il/law/70301</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3539061</vt:i4>
      </vt:variant>
      <vt:variant>
        <vt:i4>66</vt:i4>
      </vt:variant>
      <vt:variant>
        <vt:i4>0</vt:i4>
      </vt:variant>
      <vt:variant>
        <vt:i4>5</vt:i4>
      </vt:variant>
      <vt:variant>
        <vt:lpwstr>http://www.nevo.co.il/case/28513828</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4063352</vt:i4>
      </vt:variant>
      <vt:variant>
        <vt:i4>57</vt:i4>
      </vt:variant>
      <vt:variant>
        <vt:i4>0</vt:i4>
      </vt:variant>
      <vt:variant>
        <vt:i4>5</vt:i4>
      </vt:variant>
      <vt:variant>
        <vt:lpwstr>http://www.nevo.co.il/case/28722692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http://www.nevo.co.il/law/70301/144.c</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3342454</vt:i4>
      </vt:variant>
      <vt:variant>
        <vt:i4>45</vt:i4>
      </vt:variant>
      <vt:variant>
        <vt:i4>0</vt:i4>
      </vt:variant>
      <vt:variant>
        <vt:i4>5</vt:i4>
      </vt:variant>
      <vt:variant>
        <vt:lpwstr>http://www.nevo.co.il/case/29781377</vt:lpwstr>
      </vt:variant>
      <vt:variant>
        <vt:lpwstr/>
      </vt:variant>
      <vt:variant>
        <vt:i4>3211380</vt:i4>
      </vt:variant>
      <vt:variant>
        <vt:i4>42</vt:i4>
      </vt:variant>
      <vt:variant>
        <vt:i4>0</vt:i4>
      </vt:variant>
      <vt:variant>
        <vt:i4>5</vt:i4>
      </vt:variant>
      <vt:variant>
        <vt:lpwstr>http://www.nevo.co.il/case/28883087</vt:lpwstr>
      </vt:variant>
      <vt:variant>
        <vt:lpwstr/>
      </vt:variant>
      <vt:variant>
        <vt:i4>4063345</vt:i4>
      </vt:variant>
      <vt:variant>
        <vt:i4>39</vt:i4>
      </vt:variant>
      <vt:variant>
        <vt:i4>0</vt:i4>
      </vt:variant>
      <vt:variant>
        <vt:i4>5</vt:i4>
      </vt:variant>
      <vt:variant>
        <vt:lpwstr>http://www.nevo.co.il/case/30168342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3407997</vt:i4>
      </vt:variant>
      <vt:variant>
        <vt:i4>33</vt:i4>
      </vt:variant>
      <vt:variant>
        <vt:i4>0</vt:i4>
      </vt:variant>
      <vt:variant>
        <vt:i4>5</vt:i4>
      </vt:variant>
      <vt:variant>
        <vt:lpwstr>http://www.nevo.co.il/case/29445473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3539057</vt:i4>
      </vt:variant>
      <vt:variant>
        <vt:i4>27</vt:i4>
      </vt:variant>
      <vt:variant>
        <vt:i4>0</vt:i4>
      </vt:variant>
      <vt:variant>
        <vt:i4>5</vt:i4>
      </vt:variant>
      <vt:variant>
        <vt:lpwstr>http://www.nevo.co.il/case/30252057</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10189</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עבדאללה איוב</vt:lpwstr>
  </property>
  <property fmtid="{D5CDD505-2E9C-101B-9397-08002B2CF9AE}" pid="10" name="LAWYER">
    <vt:lpwstr>איתן און</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20241210</vt:lpwstr>
  </property>
  <property fmtid="{D5CDD505-2E9C-101B-9397-08002B2CF9AE}" pid="14" name="TYPE_N_DATE">
    <vt:lpwstr>39020241210</vt:lpwstr>
  </property>
  <property fmtid="{D5CDD505-2E9C-101B-9397-08002B2CF9AE}" pid="15" name="CASESLISTTMP1">
    <vt:lpwstr>30252057;29445473;30168342;28883087:2;29781377;28722692;28513828;27894608;27309272;20253096;17948153;20455789</vt:lpwstr>
  </property>
  <property fmtid="{D5CDD505-2E9C-101B-9397-08002B2CF9AE}" pid="16" name="WORDNUMPAGES">
    <vt:lpwstr>8</vt:lpwstr>
  </property>
  <property fmtid="{D5CDD505-2E9C-101B-9397-08002B2CF9AE}" pid="17" name="TYPE_ABS_DATE">
    <vt:lpwstr>390020241210</vt:lpwstr>
  </property>
  <property fmtid="{D5CDD505-2E9C-101B-9397-08002B2CF9AE}" pid="18" name="LAWLISTTMP1">
    <vt:lpwstr>70301/144.b:2;029;144.a;144.c;144.g</vt:lpwstr>
  </property>
  <property fmtid="{D5CDD505-2E9C-101B-9397-08002B2CF9AE}" pid="19" name="ISABSTRACT">
    <vt:lpwstr>Y</vt:lpwstr>
  </property>
</Properties>
</file>