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85E2B" w:rsidRPr="002F0CAD" w14:paraId="2BA29027" w14:textId="77777777" w:rsidTr="002117E3">
        <w:trPr>
          <w:trHeight w:hRule="exact" w:val="418"/>
          <w:jc w:val="center"/>
        </w:trPr>
        <w:tc>
          <w:tcPr>
            <w:tcW w:w="8721" w:type="dxa"/>
            <w:gridSpan w:val="2"/>
          </w:tcPr>
          <w:p w14:paraId="2431F577" w14:textId="77777777" w:rsidR="00085E2B" w:rsidRPr="002F0CAD" w:rsidRDefault="00085E2B" w:rsidP="003C6A16">
            <w:pPr>
              <w:pStyle w:val="a3"/>
              <w:jc w:val="center"/>
              <w:rPr>
                <w:rFonts w:ascii="Tahoma" w:hAnsi="Tahoma" w:cs="Tahoma"/>
                <w:color w:val="000080"/>
                <w:rtl/>
              </w:rPr>
            </w:pPr>
            <w:bookmarkStart w:id="0" w:name="FirstLawyer"/>
            <w:bookmarkStart w:id="1" w:name="LastJudge"/>
            <w:r w:rsidRPr="002F0CAD">
              <w:rPr>
                <w:rFonts w:ascii="Tahoma" w:hAnsi="Tahoma" w:cs="Tahoma"/>
                <w:b/>
                <w:bCs/>
                <w:color w:val="000080"/>
                <w:rtl/>
              </w:rPr>
              <w:t>בית המשפט המחוזי מרכז-לוד</w:t>
            </w:r>
          </w:p>
        </w:tc>
      </w:tr>
      <w:tr w:rsidR="00085E2B" w:rsidRPr="002F0CAD" w14:paraId="6896E859" w14:textId="77777777" w:rsidTr="002117E3">
        <w:trPr>
          <w:trHeight w:val="337"/>
          <w:jc w:val="center"/>
        </w:trPr>
        <w:tc>
          <w:tcPr>
            <w:tcW w:w="5057" w:type="dxa"/>
          </w:tcPr>
          <w:p w14:paraId="1680EB4E" w14:textId="77777777" w:rsidR="00085E2B" w:rsidRPr="002F0CAD" w:rsidRDefault="00085E2B" w:rsidP="003C6A16">
            <w:pPr>
              <w:rPr>
                <w:rFonts w:cs="FrankRuehl"/>
                <w:sz w:val="28"/>
                <w:szCs w:val="28"/>
                <w:rtl/>
              </w:rPr>
            </w:pPr>
            <w:r w:rsidRPr="002F0CAD">
              <w:rPr>
                <w:rFonts w:cs="FrankRuehl"/>
                <w:sz w:val="28"/>
                <w:szCs w:val="28"/>
                <w:rtl/>
              </w:rPr>
              <w:t>ת"פ</w:t>
            </w:r>
            <w:r w:rsidRPr="002F0CAD">
              <w:rPr>
                <w:rFonts w:cs="FrankRuehl" w:hint="cs"/>
                <w:sz w:val="28"/>
                <w:szCs w:val="28"/>
                <w:rtl/>
              </w:rPr>
              <w:t xml:space="preserve"> </w:t>
            </w:r>
            <w:r w:rsidRPr="002F0CAD">
              <w:rPr>
                <w:rFonts w:cs="FrankRuehl"/>
                <w:sz w:val="28"/>
                <w:szCs w:val="28"/>
                <w:rtl/>
              </w:rPr>
              <w:t>17002-01-24</w:t>
            </w:r>
            <w:r w:rsidRPr="002F0CAD">
              <w:rPr>
                <w:rFonts w:cs="FrankRuehl" w:hint="cs"/>
                <w:sz w:val="28"/>
                <w:szCs w:val="28"/>
                <w:rtl/>
              </w:rPr>
              <w:t xml:space="preserve"> </w:t>
            </w:r>
            <w:r w:rsidRPr="002F0CAD">
              <w:rPr>
                <w:rFonts w:cs="FrankRuehl"/>
                <w:sz w:val="28"/>
                <w:szCs w:val="28"/>
                <w:rtl/>
              </w:rPr>
              <w:t>מדינת ישראל נ' אבו גאבר(עציר) ואח'</w:t>
            </w:r>
          </w:p>
          <w:p w14:paraId="6ACFDF95" w14:textId="77777777" w:rsidR="00085E2B" w:rsidRPr="002F0CAD" w:rsidRDefault="00085E2B" w:rsidP="003C6A16">
            <w:pPr>
              <w:pStyle w:val="a3"/>
              <w:rPr>
                <w:rFonts w:cs="FrankRuehl"/>
                <w:sz w:val="28"/>
                <w:szCs w:val="28"/>
                <w:rtl/>
              </w:rPr>
            </w:pPr>
          </w:p>
        </w:tc>
        <w:tc>
          <w:tcPr>
            <w:tcW w:w="3664" w:type="dxa"/>
          </w:tcPr>
          <w:p w14:paraId="43C14593" w14:textId="77777777" w:rsidR="00085E2B" w:rsidRPr="002F0CAD" w:rsidRDefault="00085E2B" w:rsidP="003C6A16">
            <w:pPr>
              <w:pStyle w:val="a3"/>
              <w:jc w:val="right"/>
              <w:rPr>
                <w:rFonts w:cs="FrankRuehl"/>
                <w:sz w:val="28"/>
                <w:szCs w:val="28"/>
                <w:rtl/>
              </w:rPr>
            </w:pPr>
          </w:p>
        </w:tc>
      </w:tr>
    </w:tbl>
    <w:p w14:paraId="005C9745" w14:textId="77777777" w:rsidR="00085E2B" w:rsidRPr="002F0CAD" w:rsidRDefault="00085E2B" w:rsidP="00085E2B">
      <w:pPr>
        <w:pStyle w:val="a3"/>
        <w:rPr>
          <w:rtl/>
        </w:rPr>
      </w:pPr>
      <w:r w:rsidRPr="002F0CAD">
        <w:rPr>
          <w:rFonts w:hint="cs"/>
          <w:rtl/>
        </w:rPr>
        <w:t xml:space="preserve"> </w:t>
      </w:r>
    </w:p>
    <w:p w14:paraId="7B23EBFC" w14:textId="77777777" w:rsidR="00085E2B" w:rsidRPr="002F0CAD" w:rsidRDefault="00085E2B" w:rsidP="00085E2B">
      <w:pPr>
        <w:rPr>
          <w:sz w:val="26"/>
          <w:szCs w:val="26"/>
          <w:rtl/>
        </w:rPr>
      </w:pPr>
    </w:p>
    <w:p w14:paraId="2C210C0D" w14:textId="77777777" w:rsidR="00085E2B" w:rsidRPr="002F0CAD" w:rsidRDefault="00085E2B" w:rsidP="00085E2B">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85E2B" w:rsidRPr="002F0CAD" w14:paraId="33A676F4" w14:textId="77777777" w:rsidTr="00085E2B">
        <w:trPr>
          <w:trHeight w:val="295"/>
          <w:jc w:val="center"/>
        </w:trPr>
        <w:tc>
          <w:tcPr>
            <w:tcW w:w="923" w:type="dxa"/>
            <w:tcBorders>
              <w:top w:val="nil"/>
              <w:left w:val="nil"/>
              <w:bottom w:val="nil"/>
              <w:right w:val="nil"/>
            </w:tcBorders>
            <w:shd w:val="clear" w:color="auto" w:fill="auto"/>
          </w:tcPr>
          <w:p w14:paraId="0AD806FF" w14:textId="77777777" w:rsidR="00085E2B" w:rsidRPr="002F0CAD" w:rsidRDefault="00085E2B" w:rsidP="00085E2B">
            <w:pPr>
              <w:jc w:val="both"/>
              <w:rPr>
                <w:rFonts w:ascii="David" w:hAnsi="David"/>
                <w:sz w:val="26"/>
                <w:szCs w:val="26"/>
              </w:rPr>
            </w:pPr>
            <w:r w:rsidRPr="002F0CAD">
              <w:rPr>
                <w:rFonts w:ascii="David" w:hAnsi="David" w:hint="cs"/>
                <w:sz w:val="26"/>
                <w:szCs w:val="26"/>
                <w:rtl/>
              </w:rPr>
              <w:t>ל</w:t>
            </w:r>
            <w:r w:rsidRPr="002F0CA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C9127ED" w14:textId="77777777" w:rsidR="00085E2B" w:rsidRPr="002F0CAD" w:rsidRDefault="00085E2B" w:rsidP="003C6A16">
            <w:pPr>
              <w:rPr>
                <w:rFonts w:ascii="David" w:hAnsi="David"/>
                <w:b/>
                <w:bCs/>
                <w:sz w:val="26"/>
                <w:szCs w:val="26"/>
                <w:rtl/>
              </w:rPr>
            </w:pPr>
            <w:r w:rsidRPr="002F0CAD">
              <w:rPr>
                <w:rFonts w:ascii="David" w:hAnsi="David"/>
                <w:b/>
                <w:bCs/>
                <w:sz w:val="26"/>
                <w:szCs w:val="26"/>
                <w:rtl/>
              </w:rPr>
              <w:t>כבוד השופטת  מרב גרינברג</w:t>
            </w:r>
          </w:p>
          <w:p w14:paraId="07B566EC" w14:textId="77777777" w:rsidR="00085E2B" w:rsidRPr="002F0CAD" w:rsidRDefault="00085E2B" w:rsidP="003C6A16">
            <w:pPr>
              <w:rPr>
                <w:rFonts w:ascii="David" w:hAnsi="David"/>
                <w:sz w:val="26"/>
                <w:szCs w:val="26"/>
                <w:rtl/>
              </w:rPr>
            </w:pPr>
          </w:p>
          <w:p w14:paraId="553A2B93" w14:textId="77777777" w:rsidR="00085E2B" w:rsidRPr="002F0CAD" w:rsidRDefault="00085E2B" w:rsidP="00085E2B">
            <w:pPr>
              <w:jc w:val="both"/>
              <w:rPr>
                <w:rFonts w:ascii="David" w:hAnsi="David"/>
                <w:sz w:val="26"/>
                <w:szCs w:val="26"/>
              </w:rPr>
            </w:pPr>
          </w:p>
        </w:tc>
      </w:tr>
      <w:tr w:rsidR="00085E2B" w:rsidRPr="002F0CAD" w14:paraId="17DA7BEC" w14:textId="77777777" w:rsidTr="00085E2B">
        <w:trPr>
          <w:trHeight w:val="355"/>
          <w:jc w:val="center"/>
        </w:trPr>
        <w:tc>
          <w:tcPr>
            <w:tcW w:w="923" w:type="dxa"/>
            <w:tcBorders>
              <w:top w:val="nil"/>
              <w:left w:val="nil"/>
              <w:bottom w:val="nil"/>
              <w:right w:val="nil"/>
            </w:tcBorders>
            <w:shd w:val="clear" w:color="auto" w:fill="auto"/>
          </w:tcPr>
          <w:p w14:paraId="142E2C3C" w14:textId="77777777" w:rsidR="00085E2B" w:rsidRPr="002F0CAD" w:rsidRDefault="00085E2B" w:rsidP="00085E2B">
            <w:pPr>
              <w:jc w:val="both"/>
              <w:rPr>
                <w:rFonts w:ascii="David" w:hAnsi="David"/>
                <w:sz w:val="26"/>
                <w:szCs w:val="26"/>
              </w:rPr>
            </w:pPr>
            <w:bookmarkStart w:id="2" w:name="FirstAppellant"/>
            <w:r w:rsidRPr="002F0CAD">
              <w:rPr>
                <w:rFonts w:ascii="David" w:hAnsi="David"/>
                <w:sz w:val="26"/>
                <w:szCs w:val="26"/>
                <w:rtl/>
              </w:rPr>
              <w:t>בעניין:</w:t>
            </w:r>
          </w:p>
        </w:tc>
        <w:tc>
          <w:tcPr>
            <w:tcW w:w="3219" w:type="dxa"/>
            <w:tcBorders>
              <w:top w:val="nil"/>
              <w:left w:val="nil"/>
              <w:bottom w:val="nil"/>
              <w:right w:val="nil"/>
            </w:tcBorders>
            <w:shd w:val="clear" w:color="auto" w:fill="auto"/>
          </w:tcPr>
          <w:p w14:paraId="4A63B91C" w14:textId="77777777" w:rsidR="00085E2B" w:rsidRPr="002F0CAD" w:rsidRDefault="00085E2B" w:rsidP="00085E2B">
            <w:pPr>
              <w:suppressLineNumbers/>
            </w:pPr>
            <w:r w:rsidRPr="002F0CAD">
              <w:rPr>
                <w:rFonts w:ascii="Arial" w:hAnsi="Arial" w:hint="cs"/>
                <w:b/>
                <w:bCs/>
                <w:sz w:val="26"/>
                <w:szCs w:val="26"/>
                <w:rtl/>
              </w:rPr>
              <w:t>ה</w:t>
            </w:r>
            <w:r w:rsidRPr="002F0CAD">
              <w:rPr>
                <w:rFonts w:ascii="Arial" w:hAnsi="Arial"/>
                <w:b/>
                <w:bCs/>
                <w:sz w:val="26"/>
                <w:szCs w:val="26"/>
                <w:rtl/>
              </w:rPr>
              <w:t>מאשימה</w:t>
            </w:r>
          </w:p>
          <w:p w14:paraId="6EC153AA" w14:textId="77777777" w:rsidR="00085E2B" w:rsidRPr="002F0CAD" w:rsidRDefault="00085E2B" w:rsidP="003C6A16">
            <w:pPr>
              <w:rPr>
                <w:rFonts w:ascii="David" w:hAnsi="David"/>
                <w:sz w:val="26"/>
                <w:szCs w:val="26"/>
              </w:rPr>
            </w:pPr>
          </w:p>
        </w:tc>
        <w:tc>
          <w:tcPr>
            <w:tcW w:w="4678" w:type="dxa"/>
            <w:tcBorders>
              <w:top w:val="nil"/>
              <w:left w:val="nil"/>
              <w:bottom w:val="nil"/>
              <w:right w:val="nil"/>
            </w:tcBorders>
            <w:shd w:val="clear" w:color="auto" w:fill="auto"/>
            <w:vAlign w:val="center"/>
          </w:tcPr>
          <w:p w14:paraId="09B3A190" w14:textId="77777777" w:rsidR="00085E2B" w:rsidRPr="002F0CAD" w:rsidRDefault="00085E2B" w:rsidP="00085E2B">
            <w:pPr>
              <w:suppressLineNumbers/>
              <w:rPr>
                <w:rtl/>
              </w:rPr>
            </w:pPr>
            <w:r w:rsidRPr="002F0CAD">
              <w:rPr>
                <w:rFonts w:ascii="Arial" w:hAnsi="Arial"/>
                <w:b/>
                <w:bCs/>
                <w:sz w:val="26"/>
                <w:szCs w:val="26"/>
                <w:rtl/>
              </w:rPr>
              <w:t>מדינת ישראל</w:t>
            </w:r>
            <w:r w:rsidRPr="002F0CAD">
              <w:rPr>
                <w:rFonts w:ascii="Arial" w:hAnsi="Arial" w:hint="cs"/>
                <w:b/>
                <w:bCs/>
                <w:sz w:val="26"/>
                <w:szCs w:val="26"/>
                <w:rtl/>
              </w:rPr>
              <w:t xml:space="preserve"> </w:t>
            </w:r>
          </w:p>
          <w:p w14:paraId="4B49CE14" w14:textId="77777777" w:rsidR="00085E2B" w:rsidRPr="002F0CAD" w:rsidRDefault="00085E2B" w:rsidP="00085E2B">
            <w:pPr>
              <w:suppressLineNumbers/>
              <w:rPr>
                <w:b/>
                <w:bCs/>
              </w:rPr>
            </w:pPr>
            <w:r w:rsidRPr="002F0CAD">
              <w:rPr>
                <w:rFonts w:hint="cs"/>
                <w:b/>
                <w:bCs/>
                <w:rtl/>
              </w:rPr>
              <w:t>באמצעות עו"ד יעל תרם, פמ"מ (פלילי)</w:t>
            </w:r>
          </w:p>
          <w:p w14:paraId="6973BB04" w14:textId="77777777" w:rsidR="00085E2B" w:rsidRPr="002F0CAD" w:rsidRDefault="00085E2B" w:rsidP="003C6A16">
            <w:pPr>
              <w:rPr>
                <w:rFonts w:ascii="David" w:hAnsi="David"/>
                <w:sz w:val="26"/>
                <w:szCs w:val="26"/>
              </w:rPr>
            </w:pPr>
          </w:p>
        </w:tc>
      </w:tr>
      <w:bookmarkEnd w:id="2"/>
      <w:tr w:rsidR="00085E2B" w:rsidRPr="002F0CAD" w14:paraId="48EA7320" w14:textId="77777777" w:rsidTr="00085E2B">
        <w:trPr>
          <w:trHeight w:val="355"/>
          <w:jc w:val="center"/>
        </w:trPr>
        <w:tc>
          <w:tcPr>
            <w:tcW w:w="923" w:type="dxa"/>
            <w:tcBorders>
              <w:top w:val="nil"/>
              <w:left w:val="nil"/>
              <w:bottom w:val="nil"/>
              <w:right w:val="nil"/>
            </w:tcBorders>
            <w:shd w:val="clear" w:color="auto" w:fill="auto"/>
          </w:tcPr>
          <w:p w14:paraId="33D0BCB1" w14:textId="77777777" w:rsidR="00085E2B" w:rsidRPr="002F0CAD" w:rsidRDefault="00085E2B" w:rsidP="00085E2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9E38F5D" w14:textId="77777777" w:rsidR="00085E2B" w:rsidRPr="002F0CAD" w:rsidRDefault="00085E2B" w:rsidP="00085E2B">
            <w:pPr>
              <w:jc w:val="center"/>
              <w:rPr>
                <w:rFonts w:ascii="David" w:hAnsi="David"/>
                <w:b/>
                <w:bCs/>
                <w:sz w:val="26"/>
                <w:szCs w:val="26"/>
                <w:rtl/>
              </w:rPr>
            </w:pPr>
            <w:r w:rsidRPr="002F0CAD">
              <w:rPr>
                <w:rFonts w:ascii="David" w:hAnsi="David"/>
                <w:b/>
                <w:bCs/>
                <w:sz w:val="26"/>
                <w:szCs w:val="26"/>
                <w:rtl/>
              </w:rPr>
              <w:t>נגד</w:t>
            </w:r>
          </w:p>
          <w:p w14:paraId="59FFE469" w14:textId="77777777" w:rsidR="00085E2B" w:rsidRPr="002F0CAD" w:rsidRDefault="00085E2B" w:rsidP="00085E2B">
            <w:pPr>
              <w:jc w:val="both"/>
              <w:rPr>
                <w:rFonts w:ascii="David" w:hAnsi="David"/>
                <w:sz w:val="26"/>
                <w:szCs w:val="26"/>
              </w:rPr>
            </w:pPr>
          </w:p>
        </w:tc>
      </w:tr>
      <w:tr w:rsidR="00085E2B" w:rsidRPr="002F0CAD" w14:paraId="0A3905E4" w14:textId="77777777" w:rsidTr="00085E2B">
        <w:trPr>
          <w:trHeight w:val="355"/>
          <w:jc w:val="center"/>
        </w:trPr>
        <w:tc>
          <w:tcPr>
            <w:tcW w:w="923" w:type="dxa"/>
            <w:tcBorders>
              <w:top w:val="nil"/>
              <w:left w:val="nil"/>
              <w:bottom w:val="nil"/>
              <w:right w:val="nil"/>
            </w:tcBorders>
            <w:shd w:val="clear" w:color="auto" w:fill="auto"/>
          </w:tcPr>
          <w:p w14:paraId="654F6A70" w14:textId="77777777" w:rsidR="00085E2B" w:rsidRPr="002F0CAD" w:rsidRDefault="00085E2B" w:rsidP="003C6A16">
            <w:pPr>
              <w:rPr>
                <w:rFonts w:ascii="David" w:hAnsi="David"/>
                <w:sz w:val="26"/>
                <w:szCs w:val="26"/>
                <w:rtl/>
              </w:rPr>
            </w:pPr>
          </w:p>
        </w:tc>
        <w:tc>
          <w:tcPr>
            <w:tcW w:w="3219" w:type="dxa"/>
            <w:tcBorders>
              <w:top w:val="nil"/>
              <w:left w:val="nil"/>
              <w:bottom w:val="nil"/>
              <w:right w:val="nil"/>
            </w:tcBorders>
            <w:shd w:val="clear" w:color="auto" w:fill="auto"/>
          </w:tcPr>
          <w:p w14:paraId="32B34665" w14:textId="77777777" w:rsidR="00085E2B" w:rsidRPr="002F0CAD" w:rsidRDefault="00085E2B" w:rsidP="003C6A16">
            <w:pPr>
              <w:rPr>
                <w:rFonts w:ascii="Arial" w:hAnsi="Arial"/>
                <w:b/>
                <w:bCs/>
                <w:sz w:val="26"/>
                <w:szCs w:val="26"/>
                <w:rtl/>
              </w:rPr>
            </w:pPr>
            <w:r w:rsidRPr="002F0CAD">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22A06643" w14:textId="77777777" w:rsidR="00085E2B" w:rsidRPr="002F0CAD" w:rsidRDefault="00085E2B" w:rsidP="00085E2B">
            <w:pPr>
              <w:suppressLineNumbers/>
            </w:pPr>
            <w:r w:rsidRPr="002F0CAD">
              <w:rPr>
                <w:rFonts w:ascii="Arial" w:hAnsi="Arial"/>
                <w:b/>
                <w:bCs/>
                <w:sz w:val="26"/>
                <w:szCs w:val="26"/>
                <w:rtl/>
              </w:rPr>
              <w:t>1. סאבר אבו גאבר (עציר)</w:t>
            </w:r>
            <w:r w:rsidRPr="002F0CAD">
              <w:rPr>
                <w:rFonts w:ascii="Arial" w:hAnsi="Arial"/>
                <w:b/>
                <w:bCs/>
                <w:sz w:val="26"/>
                <w:szCs w:val="26"/>
                <w:rtl/>
              </w:rPr>
              <w:br/>
            </w:r>
            <w:r w:rsidRPr="002F0CAD">
              <w:rPr>
                <w:rFonts w:ascii="Arial" w:hAnsi="Arial" w:hint="cs"/>
                <w:b/>
                <w:bCs/>
                <w:sz w:val="26"/>
                <w:szCs w:val="26"/>
                <w:rtl/>
              </w:rPr>
              <w:t>ע"י ב"כ עו"ד ששון בר עוז ועו"ד חאג'</w:t>
            </w:r>
          </w:p>
          <w:p w14:paraId="7E7FDC72" w14:textId="77777777" w:rsidR="00085E2B" w:rsidRPr="002F0CAD" w:rsidRDefault="00085E2B" w:rsidP="00085E2B">
            <w:pPr>
              <w:suppressLineNumbers/>
            </w:pPr>
            <w:r w:rsidRPr="002F0CAD">
              <w:rPr>
                <w:rFonts w:ascii="Arial" w:hAnsi="Arial"/>
                <w:b/>
                <w:bCs/>
                <w:sz w:val="26"/>
                <w:szCs w:val="26"/>
                <w:rtl/>
              </w:rPr>
              <w:t>2. איה מסעוד</w:t>
            </w:r>
          </w:p>
        </w:tc>
      </w:tr>
    </w:tbl>
    <w:p w14:paraId="48A3B4B3" w14:textId="77777777" w:rsidR="002117E3" w:rsidRPr="002117E3" w:rsidRDefault="002117E3" w:rsidP="002117E3">
      <w:pPr>
        <w:spacing w:before="120" w:after="120" w:line="240" w:lineRule="exact"/>
        <w:ind w:left="283" w:hanging="283"/>
        <w:jc w:val="both"/>
        <w:rPr>
          <w:rFonts w:ascii="FrankRuehl" w:hAnsi="FrankRuehl" w:cs="FrankRuehl"/>
          <w:rtl/>
        </w:rPr>
      </w:pPr>
      <w:r w:rsidRPr="002117E3">
        <w:rPr>
          <w:rFonts w:ascii="FrankRuehl" w:hAnsi="FrankRuehl" w:cs="FrankRuehl"/>
          <w:rtl/>
        </w:rPr>
        <w:t xml:space="preserve">חקיקה שאוזכרה: </w:t>
      </w:r>
    </w:p>
    <w:p w14:paraId="4B580BB2" w14:textId="77777777" w:rsidR="002117E3" w:rsidRPr="002117E3" w:rsidRDefault="002117E3" w:rsidP="002117E3">
      <w:pPr>
        <w:spacing w:before="120" w:after="120" w:line="240" w:lineRule="exact"/>
        <w:ind w:left="283" w:hanging="283"/>
        <w:jc w:val="both"/>
        <w:rPr>
          <w:rFonts w:ascii="FrankRuehl" w:hAnsi="FrankRuehl" w:cs="FrankRuehl"/>
          <w:color w:val="0000FF"/>
          <w:rtl/>
        </w:rPr>
      </w:pPr>
      <w:hyperlink r:id="rId7" w:history="1">
        <w:r w:rsidRPr="002117E3">
          <w:rPr>
            <w:rStyle w:val="Hyperlink"/>
            <w:rFonts w:ascii="FrankRuehl" w:hAnsi="FrankRuehl" w:cs="FrankRuehl"/>
            <w:u w:val="none"/>
            <w:rtl/>
          </w:rPr>
          <w:t>חוק העונשין, תשל"ז-1977</w:t>
        </w:r>
      </w:hyperlink>
      <w:r w:rsidRPr="002117E3">
        <w:rPr>
          <w:rFonts w:ascii="FrankRuehl" w:hAnsi="FrankRuehl" w:cs="FrankRuehl"/>
          <w:color w:val="0000FF"/>
          <w:rtl/>
        </w:rPr>
        <w:t xml:space="preserve">: סע'  </w:t>
      </w:r>
      <w:hyperlink r:id="rId8" w:history="1">
        <w:r w:rsidRPr="002117E3">
          <w:rPr>
            <w:rStyle w:val="Hyperlink"/>
            <w:rFonts w:ascii="FrankRuehl" w:hAnsi="FrankRuehl" w:cs="FrankRuehl"/>
            <w:u w:val="none"/>
          </w:rPr>
          <w:t>144</w:t>
        </w:r>
      </w:hyperlink>
      <w:r w:rsidRPr="002117E3">
        <w:rPr>
          <w:rFonts w:ascii="FrankRuehl" w:hAnsi="FrankRuehl" w:cs="FrankRuehl"/>
          <w:color w:val="0000FF"/>
          <w:rtl/>
        </w:rPr>
        <w:t xml:space="preserve">(ב), </w:t>
      </w:r>
      <w:hyperlink r:id="rId9" w:history="1">
        <w:r w:rsidRPr="002117E3">
          <w:rPr>
            <w:rStyle w:val="Hyperlink"/>
            <w:rFonts w:ascii="FrankRuehl" w:hAnsi="FrankRuehl" w:cs="FrankRuehl"/>
            <w:u w:val="none"/>
          </w:rPr>
          <w:t>244</w:t>
        </w:r>
      </w:hyperlink>
    </w:p>
    <w:p w14:paraId="0BC58F3F" w14:textId="77777777" w:rsidR="00085E2B" w:rsidRPr="002117E3" w:rsidRDefault="00085E2B" w:rsidP="002117E3">
      <w:pPr>
        <w:rPr>
          <w:rFonts w:ascii="Arial" w:hAnsi="Arial"/>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5E2B" w14:paraId="2369597B" w14:textId="77777777" w:rsidTr="00085E2B">
        <w:trPr>
          <w:trHeight w:val="355"/>
          <w:jc w:val="center"/>
        </w:trPr>
        <w:tc>
          <w:tcPr>
            <w:tcW w:w="8820" w:type="dxa"/>
            <w:tcBorders>
              <w:top w:val="nil"/>
              <w:left w:val="nil"/>
              <w:bottom w:val="nil"/>
              <w:right w:val="nil"/>
            </w:tcBorders>
            <w:shd w:val="clear" w:color="auto" w:fill="auto"/>
          </w:tcPr>
          <w:p w14:paraId="351526B9" w14:textId="77777777" w:rsidR="002F0CAD" w:rsidRPr="002F0CAD" w:rsidRDefault="002F0CAD" w:rsidP="002F0CAD">
            <w:pPr>
              <w:jc w:val="center"/>
              <w:rPr>
                <w:rFonts w:ascii="David" w:hAnsi="David"/>
                <w:b/>
                <w:bCs/>
                <w:sz w:val="32"/>
                <w:szCs w:val="32"/>
                <w:u w:val="single"/>
                <w:rtl/>
              </w:rPr>
            </w:pPr>
            <w:bookmarkStart w:id="4" w:name="PsakDin" w:colFirst="0" w:colLast="0"/>
            <w:bookmarkEnd w:id="0"/>
            <w:bookmarkEnd w:id="1"/>
            <w:r w:rsidRPr="002F0CAD">
              <w:rPr>
                <w:rFonts w:ascii="David" w:hAnsi="David"/>
                <w:b/>
                <w:bCs/>
                <w:sz w:val="32"/>
                <w:szCs w:val="32"/>
                <w:u w:val="single"/>
                <w:rtl/>
              </w:rPr>
              <w:t>גזר דין בעניין נאשם 1</w:t>
            </w:r>
          </w:p>
          <w:p w14:paraId="077B61F3" w14:textId="77777777" w:rsidR="00085E2B" w:rsidRPr="002F0CAD" w:rsidRDefault="00085E2B" w:rsidP="002F0CAD">
            <w:pPr>
              <w:jc w:val="center"/>
              <w:rPr>
                <w:rFonts w:ascii="David" w:hAnsi="David"/>
                <w:bCs/>
                <w:sz w:val="32"/>
                <w:szCs w:val="32"/>
                <w:u w:val="single"/>
                <w:rtl/>
              </w:rPr>
            </w:pPr>
          </w:p>
        </w:tc>
      </w:tr>
      <w:bookmarkEnd w:id="4"/>
    </w:tbl>
    <w:p w14:paraId="1B9A91FC" w14:textId="77777777" w:rsidR="00085E2B" w:rsidRDefault="00085E2B" w:rsidP="00085E2B">
      <w:pPr>
        <w:rPr>
          <w:rFonts w:ascii="Arial" w:hAnsi="Arial"/>
          <w:b/>
          <w:bCs/>
          <w:sz w:val="26"/>
          <w:szCs w:val="26"/>
          <w:rtl/>
        </w:rPr>
      </w:pPr>
    </w:p>
    <w:p w14:paraId="13DF4345" w14:textId="77777777" w:rsidR="00085E2B" w:rsidRDefault="00085E2B" w:rsidP="00085E2B">
      <w:pPr>
        <w:numPr>
          <w:ilvl w:val="0"/>
          <w:numId w:val="1"/>
        </w:numPr>
        <w:spacing w:line="360" w:lineRule="auto"/>
        <w:contextualSpacing/>
        <w:jc w:val="both"/>
      </w:pPr>
      <w:bookmarkStart w:id="5" w:name="ABSTRACT_START"/>
      <w:bookmarkEnd w:id="5"/>
      <w:r>
        <w:rPr>
          <w:rFonts w:hint="cs"/>
          <w:rtl/>
        </w:rPr>
        <w:t xml:space="preserve">הנאשם הורשע במסגרת הסדר טיעון בעובדות כתב אישום מתוקן (בשנית)  </w:t>
      </w:r>
      <w:r>
        <w:rPr>
          <w:rFonts w:hint="cs"/>
          <w:b/>
          <w:bCs/>
          <w:rtl/>
        </w:rPr>
        <w:t xml:space="preserve">בריבוי עבירות נשיאה והובלת נשק ותחמושת לפי </w:t>
      </w:r>
      <w:hyperlink r:id="rId10" w:history="1">
        <w:r w:rsidR="002117E3" w:rsidRPr="002117E3">
          <w:rPr>
            <w:rStyle w:val="Hyperlink"/>
            <w:rFonts w:hint="eastAsia"/>
            <w:b/>
            <w:bCs/>
            <w:color w:val="0000FF"/>
            <w:rtl/>
          </w:rPr>
          <w:t>סעיף</w:t>
        </w:r>
        <w:r w:rsidR="002117E3" w:rsidRPr="002117E3">
          <w:rPr>
            <w:rStyle w:val="Hyperlink"/>
            <w:b/>
            <w:bCs/>
            <w:color w:val="0000FF"/>
            <w:rtl/>
          </w:rPr>
          <w:t xml:space="preserve"> 144(ב)</w:t>
        </w:r>
      </w:hyperlink>
      <w:r>
        <w:rPr>
          <w:rFonts w:hint="cs"/>
          <w:b/>
          <w:bCs/>
          <w:rtl/>
        </w:rPr>
        <w:t xml:space="preserve"> רישא וסיפא </w:t>
      </w:r>
      <w:r>
        <w:rPr>
          <w:rFonts w:hint="cs"/>
          <w:rtl/>
        </w:rPr>
        <w:t>ל</w:t>
      </w:r>
      <w:hyperlink r:id="rId11" w:history="1">
        <w:r w:rsidR="002F0CAD" w:rsidRPr="002F0CAD">
          <w:rPr>
            <w:color w:val="0000FF"/>
            <w:u w:val="single"/>
            <w:rtl/>
          </w:rPr>
          <w:t>חוק העונשין</w:t>
        </w:r>
      </w:hyperlink>
      <w:r>
        <w:rPr>
          <w:rFonts w:hint="cs"/>
          <w:rtl/>
        </w:rPr>
        <w:t xml:space="preserve">, תשל"ז-1977 (להלן: "החוק"), </w:t>
      </w:r>
      <w:r>
        <w:rPr>
          <w:rFonts w:hint="cs"/>
          <w:b/>
          <w:bCs/>
          <w:rtl/>
        </w:rPr>
        <w:t xml:space="preserve">ועבירה של שיבוש מהלכי משפט לפי </w:t>
      </w:r>
      <w:hyperlink r:id="rId12" w:history="1">
        <w:r w:rsidR="002117E3" w:rsidRPr="002117E3">
          <w:rPr>
            <w:rStyle w:val="Hyperlink"/>
            <w:rFonts w:hint="eastAsia"/>
            <w:b/>
            <w:bCs/>
            <w:color w:val="0000FF"/>
            <w:rtl/>
          </w:rPr>
          <w:t>סעיף</w:t>
        </w:r>
        <w:r w:rsidR="002117E3" w:rsidRPr="002117E3">
          <w:rPr>
            <w:rStyle w:val="Hyperlink"/>
            <w:b/>
            <w:bCs/>
            <w:color w:val="0000FF"/>
            <w:rtl/>
          </w:rPr>
          <w:t xml:space="preserve"> 244</w:t>
        </w:r>
      </w:hyperlink>
      <w:r>
        <w:rPr>
          <w:rFonts w:hint="cs"/>
          <w:b/>
          <w:bCs/>
          <w:rtl/>
        </w:rPr>
        <w:t xml:space="preserve"> לחוק.</w:t>
      </w:r>
      <w:r>
        <w:rPr>
          <w:rFonts w:hint="cs"/>
          <w:rtl/>
        </w:rPr>
        <w:t xml:space="preserve"> </w:t>
      </w:r>
    </w:p>
    <w:p w14:paraId="772475EB" w14:textId="77777777" w:rsidR="00085E2B" w:rsidRDefault="00085E2B" w:rsidP="00085E2B">
      <w:pPr>
        <w:spacing w:line="360" w:lineRule="auto"/>
        <w:ind w:left="720"/>
        <w:contextualSpacing/>
        <w:jc w:val="both"/>
      </w:pPr>
      <w:bookmarkStart w:id="6" w:name="ABSTRACT_END"/>
      <w:bookmarkEnd w:id="6"/>
    </w:p>
    <w:p w14:paraId="4CCCBFFE" w14:textId="77777777" w:rsidR="00085E2B" w:rsidRDefault="00085E2B" w:rsidP="00085E2B">
      <w:pPr>
        <w:numPr>
          <w:ilvl w:val="0"/>
          <w:numId w:val="1"/>
        </w:numPr>
        <w:spacing w:line="360" w:lineRule="auto"/>
        <w:contextualSpacing/>
        <w:jc w:val="both"/>
        <w:rPr>
          <w:rtl/>
        </w:rPr>
      </w:pPr>
      <w:r>
        <w:rPr>
          <w:rFonts w:hint="cs"/>
          <w:rtl/>
        </w:rPr>
        <w:t xml:space="preserve">כמפורט בעובדות כתב האישום המתוקן, הנאשמים 1 ו-2 הם בני זוג ומתגוררים בכפר קאסם. ביום 26.12.23 הגיע כח משטרתי לביתם של הנאשמים, כשהבחין בהם הנאשם החל להימלט לכיוון הגג בעודו אוחז באקדח מסוג </w:t>
      </w:r>
      <w:r>
        <w:t>FN</w:t>
      </w:r>
      <w:r>
        <w:rPr>
          <w:rFonts w:hint="cs"/>
          <w:rtl/>
        </w:rPr>
        <w:t xml:space="preserve"> ובתוכו מחסנית ובה 4 כדורים בתוך גרב ותיק שהכיל את החפצים הבאים: אקדח גלוק ומחסנית ריקה תואמת, קנה לאקדח גלוק, ציין לייזר לאקדח ומשקפת צה"לית חד עינית. הנאשם המשיך במנוסתו והשליך את התיק והאקדח על גג ביתם של השכנים, נאשמת 2 הואשמה בכך שסייעה לנאשם להחזיק באקדח ה-</w:t>
      </w:r>
      <w:r>
        <w:t>FN</w:t>
      </w:r>
      <w:r>
        <w:rPr>
          <w:rFonts w:hint="cs"/>
          <w:rtl/>
        </w:rPr>
        <w:t xml:space="preserve"> ובמשקפת במהלך שנת 2023. </w:t>
      </w:r>
    </w:p>
    <w:p w14:paraId="65EE446B" w14:textId="77777777" w:rsidR="00085E2B" w:rsidRDefault="00085E2B" w:rsidP="00085E2B">
      <w:pPr>
        <w:pStyle w:val="a9"/>
      </w:pPr>
    </w:p>
    <w:p w14:paraId="00C3B237" w14:textId="77777777" w:rsidR="00085E2B" w:rsidRDefault="00085E2B" w:rsidP="00085E2B">
      <w:pPr>
        <w:numPr>
          <w:ilvl w:val="0"/>
          <w:numId w:val="1"/>
        </w:numPr>
        <w:spacing w:line="360" w:lineRule="auto"/>
        <w:contextualSpacing/>
        <w:jc w:val="both"/>
        <w:rPr>
          <w:rtl/>
        </w:rPr>
      </w:pPr>
      <w:r>
        <w:rPr>
          <w:rFonts w:hint="cs"/>
          <w:rtl/>
        </w:rPr>
        <w:t xml:space="preserve">הצדדים הגיעו להסדר דיוני ביחס לנאשם ללא הסכמה עונשית, אשר לנאשמת 2 הוסכם כי תופנה לתסקירו והמאשימה תעתור בעניינה לעונש ראוי של 9 חודשי מאסר בדרך עבודות שירות, מאסר על תנאי וקנס. הדיון בעניינה נדחה. </w:t>
      </w:r>
    </w:p>
    <w:p w14:paraId="6E988653" w14:textId="77777777" w:rsidR="00085E2B" w:rsidRDefault="00085E2B" w:rsidP="00085E2B">
      <w:pPr>
        <w:spacing w:line="360" w:lineRule="auto"/>
        <w:ind w:left="720"/>
        <w:contextualSpacing/>
        <w:jc w:val="both"/>
        <w:rPr>
          <w:rtl/>
        </w:rPr>
      </w:pPr>
    </w:p>
    <w:p w14:paraId="6C660DA5" w14:textId="77777777" w:rsidR="00085E2B" w:rsidRDefault="00085E2B" w:rsidP="00085E2B">
      <w:pPr>
        <w:spacing w:line="360" w:lineRule="auto"/>
        <w:jc w:val="both"/>
        <w:rPr>
          <w:b/>
          <w:bCs/>
          <w:u w:val="single"/>
        </w:rPr>
      </w:pPr>
      <w:r>
        <w:rPr>
          <w:rFonts w:hint="cs"/>
          <w:b/>
          <w:bCs/>
          <w:u w:val="single"/>
          <w:rtl/>
        </w:rPr>
        <w:lastRenderedPageBreak/>
        <w:t>תמצית הטיעונים לעונש</w:t>
      </w:r>
    </w:p>
    <w:p w14:paraId="2226631C" w14:textId="77777777" w:rsidR="00085E2B" w:rsidRDefault="00085E2B" w:rsidP="00085E2B">
      <w:pPr>
        <w:numPr>
          <w:ilvl w:val="0"/>
          <w:numId w:val="1"/>
        </w:numPr>
        <w:spacing w:line="360" w:lineRule="auto"/>
        <w:contextualSpacing/>
        <w:jc w:val="both"/>
        <w:rPr>
          <w:rtl/>
        </w:rPr>
      </w:pPr>
      <w:r>
        <w:rPr>
          <w:rFonts w:hint="cs"/>
          <w:b/>
          <w:bCs/>
          <w:rtl/>
        </w:rPr>
        <w:t>ב"כ המאשימה</w:t>
      </w:r>
      <w:r>
        <w:rPr>
          <w:rFonts w:hint="cs"/>
          <w:rtl/>
        </w:rPr>
        <w:t xml:space="preserve">, עו"ד תרם, עמדה על חומרת המעשים, הערכים המוגנים והחומרה בנשיאת הנשק והתחמושת והסיכון הגלום בו. עוד נטען כי נסיבות מעשי הנאשם חמורות, הנאשם החזיק בשני אקדחים, תחמושת, כננת ומשקפת, מדובר בארסנל נשק בעל פוטנציאל נזק רב. עוד הפנתה לכך שהנאשם ניסה לשבש מהלכי משפט ולמלט את הנשק מהשוטרים שהגיעו לביתו. לשיטתה, מעשי הנאשם פגעו בערכים המוגנים פגיעה ברף בינוני. אשר לעונש, עתרה המאשימה למתחם כולל הנע בין 45-65 חודשי מאסר ולעונש ראוי בן 50 חודשי מאסר, לפי הפירוט הבא: בגין נשיאת האקדח </w:t>
      </w:r>
      <w:r>
        <w:t>FN</w:t>
      </w:r>
      <w:r>
        <w:rPr>
          <w:rFonts w:hint="cs"/>
          <w:rtl/>
        </w:rPr>
        <w:t xml:space="preserve"> עתרה למתחם הנע בין 24-48 חודשי מאסר, בגין האקדח הנוסף למתחם הנע בין 12-24 ובנוסף באשר לתחמושת ולאביזרים הנלווים למאסר בן 9 חודשים, סה"כ יתחיל מתחם הענישה ב-45 חודשי מאסר. עוד עמדה המאשימה על מגמת ההחמרה בעבירות נשק והנסיבות המלמדות על התכנות שימוש בנשק. מידת הפגיעה בערכים היא ברף בינוני. אשר לנאשם, נטען כי לחובתו ארבע הרשעות בעבירות אלימות וסמים, ריצה בעבר שני מאסרים, הודה וחסך בזמן שיפוטי, לפיכך מבקשת למקם את עונשו בחלק התחתון של המתחם אך לא בתחתיתו לצד מאסר על תנאי וקנס. הוגשה אסופת פסיקה. </w:t>
      </w:r>
    </w:p>
    <w:p w14:paraId="35B4FFDD" w14:textId="77777777" w:rsidR="00085E2B" w:rsidRDefault="00085E2B" w:rsidP="00085E2B">
      <w:pPr>
        <w:spacing w:line="360" w:lineRule="auto"/>
        <w:ind w:left="720"/>
        <w:contextualSpacing/>
        <w:jc w:val="both"/>
      </w:pPr>
    </w:p>
    <w:p w14:paraId="7BC8A131" w14:textId="77777777" w:rsidR="00085E2B" w:rsidRDefault="00085E2B" w:rsidP="00085E2B">
      <w:pPr>
        <w:numPr>
          <w:ilvl w:val="0"/>
          <w:numId w:val="1"/>
        </w:numPr>
        <w:spacing w:line="360" w:lineRule="auto"/>
        <w:contextualSpacing/>
        <w:jc w:val="both"/>
        <w:rPr>
          <w:rtl/>
        </w:rPr>
      </w:pPr>
      <w:r>
        <w:rPr>
          <w:rFonts w:hint="cs"/>
          <w:b/>
          <w:bCs/>
          <w:rtl/>
        </w:rPr>
        <w:t>ב"כ הנאשם</w:t>
      </w:r>
      <w:r>
        <w:rPr>
          <w:rFonts w:hint="cs"/>
          <w:rtl/>
        </w:rPr>
        <w:t xml:space="preserve">, עו"ד ששון בר עוז, הפנה לנסיבותיו האישיות של הנאשם, אב לילדה בת הסובלת מאוטיזם (הוגשו מסמכים רפואיים) שקשורה מאד לאביה, לדבריו עברו הפלילי של הנאשם ישן ואינו רלוונטי. באשר לנסיבות מעשי הנאשם נטען כי הן גובלות בעבירת החזקה, הנשיאה הייתה לזמן קצר בסמוך למתחם ביתו ולא במרחב הציבורי, לפיכך עתר למתחם מתון ולהסתפק בעונש מאסר בן 24 חודשים. הנאשם עצור חודשים רבים, משמש אסיר תומך ועוזר הוראה. </w:t>
      </w:r>
      <w:r>
        <w:rPr>
          <w:rFonts w:hint="cs"/>
          <w:b/>
          <w:bCs/>
          <w:rtl/>
        </w:rPr>
        <w:t xml:space="preserve">הנאשם </w:t>
      </w:r>
      <w:r>
        <w:rPr>
          <w:rFonts w:hint="cs"/>
          <w:rtl/>
        </w:rPr>
        <w:t xml:space="preserve">הביע צער על מעשיו והתחייב שלא לחזור עליהם. </w:t>
      </w:r>
    </w:p>
    <w:p w14:paraId="5ADCC1D2" w14:textId="77777777" w:rsidR="00085E2B" w:rsidRDefault="00085E2B" w:rsidP="00085E2B">
      <w:pPr>
        <w:pStyle w:val="a9"/>
      </w:pPr>
    </w:p>
    <w:p w14:paraId="62047A37" w14:textId="77777777" w:rsidR="00085E2B" w:rsidRDefault="00085E2B" w:rsidP="00085E2B">
      <w:pPr>
        <w:pStyle w:val="a9"/>
        <w:rPr>
          <w:rtl/>
        </w:rPr>
      </w:pPr>
    </w:p>
    <w:p w14:paraId="60D18385" w14:textId="77777777" w:rsidR="00085E2B" w:rsidRDefault="00085E2B" w:rsidP="00085E2B">
      <w:pPr>
        <w:spacing w:line="360" w:lineRule="auto"/>
        <w:jc w:val="both"/>
        <w:rPr>
          <w:b/>
          <w:bCs/>
          <w:u w:val="single"/>
          <w:rtl/>
        </w:rPr>
      </w:pPr>
      <w:r>
        <w:rPr>
          <w:rFonts w:hint="cs"/>
          <w:b/>
          <w:bCs/>
          <w:u w:val="single"/>
          <w:rtl/>
        </w:rPr>
        <w:t>דיון והכרעה</w:t>
      </w:r>
    </w:p>
    <w:p w14:paraId="60AF629A" w14:textId="77777777" w:rsidR="00085E2B" w:rsidRDefault="00085E2B" w:rsidP="00085E2B">
      <w:pPr>
        <w:spacing w:line="360" w:lineRule="auto"/>
        <w:jc w:val="both"/>
        <w:rPr>
          <w:b/>
          <w:bCs/>
          <w:u w:val="single"/>
          <w:rtl/>
        </w:rPr>
      </w:pPr>
      <w:r>
        <w:rPr>
          <w:rFonts w:hint="cs"/>
          <w:b/>
          <w:bCs/>
          <w:u w:val="single"/>
          <w:rtl/>
        </w:rPr>
        <w:t>מתחם העונש ההולם</w:t>
      </w:r>
    </w:p>
    <w:p w14:paraId="43668D41" w14:textId="77777777" w:rsidR="00085E2B" w:rsidRDefault="00085E2B" w:rsidP="00085E2B">
      <w:pPr>
        <w:numPr>
          <w:ilvl w:val="0"/>
          <w:numId w:val="1"/>
        </w:numPr>
        <w:spacing w:line="360" w:lineRule="auto"/>
        <w:contextualSpacing/>
        <w:jc w:val="both"/>
        <w:rPr>
          <w:rtl/>
        </w:rPr>
      </w:pPr>
      <w:r>
        <w:rPr>
          <w:rFonts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5045D240" w14:textId="77777777" w:rsidR="00085E2B" w:rsidRDefault="00085E2B" w:rsidP="00085E2B">
      <w:pPr>
        <w:spacing w:line="360" w:lineRule="auto"/>
        <w:ind w:left="720"/>
        <w:contextualSpacing/>
        <w:jc w:val="both"/>
      </w:pPr>
    </w:p>
    <w:p w14:paraId="219FC0B6" w14:textId="77777777" w:rsidR="00085E2B" w:rsidRDefault="00085E2B" w:rsidP="00085E2B">
      <w:pPr>
        <w:numPr>
          <w:ilvl w:val="0"/>
          <w:numId w:val="1"/>
        </w:numPr>
        <w:spacing w:after="160" w:line="360" w:lineRule="auto"/>
        <w:contextualSpacing/>
        <w:jc w:val="both"/>
        <w:rPr>
          <w:rFonts w:ascii="David" w:eastAsia="David" w:hAnsi="David"/>
        </w:rPr>
      </w:pPr>
      <w:r>
        <w:rPr>
          <w:rFonts w:hint="cs"/>
          <w:rtl/>
        </w:rPr>
        <w:lastRenderedPageBreak/>
        <w:t>עבירות הנשק הפכו זה מכבר למכת מדינה ומגלמות סכנה ממשית לשלום הציבור ולביטחונו.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ועיקבית ביחס לכלל עברייני הנשק, אף כשהם צעירים ונעדרי עבר פלילי, והאירוע הוא בגדר חריג בנוף חייהם הנורמטיבי (</w:t>
      </w:r>
      <w:hyperlink r:id="rId13" w:history="1">
        <w:r w:rsidR="002F0CAD" w:rsidRPr="002F0CAD">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4" w:history="1">
        <w:r w:rsidR="002F0CAD" w:rsidRPr="002F0CAD">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5" w:history="1">
        <w:r w:rsidR="002F0CAD" w:rsidRPr="002F0CAD">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6" w:history="1">
        <w:r w:rsidR="002F0CAD" w:rsidRPr="002F0CAD">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17" w:history="1">
        <w:r w:rsidR="002F0CAD" w:rsidRPr="002F0CAD">
          <w:rPr>
            <w:color w:val="0000FF"/>
            <w:u w:val="single"/>
            <w:rtl/>
          </w:rPr>
          <w:t>ע"פ 116/13</w:t>
        </w:r>
      </w:hyperlink>
      <w:r w:rsidR="002F0CAD">
        <w:rPr>
          <w:rFonts w:hint="cs"/>
          <w:rtl/>
        </w:rPr>
        <w:t xml:space="preserve"> </w:t>
      </w:r>
      <w:r>
        <w:rPr>
          <w:rFonts w:hint="cs"/>
          <w:b/>
          <w:bCs/>
          <w:rtl/>
        </w:rPr>
        <w:t>וקנין נ' מדינת ישראל</w:t>
      </w:r>
      <w:r>
        <w:rPr>
          <w:rFonts w:hint="cs"/>
          <w:rtl/>
        </w:rPr>
        <w:t>,</w:t>
      </w:r>
      <w:r w:rsidR="002F0CAD">
        <w:rPr>
          <w:rFonts w:hint="cs"/>
          <w:rtl/>
        </w:rPr>
        <w:t xml:space="preserve"> </w:t>
      </w:r>
      <w:r>
        <w:rPr>
          <w:rFonts w:hint="cs"/>
          <w:rtl/>
        </w:rPr>
        <w:t xml:space="preserve">פס' 7 (31.7.2013)). מגמה זו קיבלה ביטוי גם בחקיקה, במסגרת תיקון 140 לחוק, בו נקבעו עונשי מינימום לעבירות נשק באשר הן, באופן שככלל, העונש שיושת בגין עבירות אלו, לא יפחת מרבע העונש המרבי שנקבע לעבירה. </w:t>
      </w:r>
    </w:p>
    <w:p w14:paraId="08B0C955" w14:textId="77777777" w:rsidR="00085E2B" w:rsidRDefault="00085E2B" w:rsidP="00085E2B">
      <w:pPr>
        <w:ind w:left="720"/>
        <w:contextualSpacing/>
        <w:rPr>
          <w:rtl/>
        </w:rPr>
      </w:pPr>
    </w:p>
    <w:p w14:paraId="012872BC" w14:textId="77777777" w:rsidR="00085E2B" w:rsidRDefault="00085E2B" w:rsidP="00085E2B">
      <w:pPr>
        <w:numPr>
          <w:ilvl w:val="0"/>
          <w:numId w:val="1"/>
        </w:numPr>
        <w:spacing w:after="120" w:line="360" w:lineRule="auto"/>
        <w:contextualSpacing/>
        <w:jc w:val="both"/>
        <w:rPr>
          <w:rFonts w:eastAsia="David"/>
          <w:b/>
          <w:bCs/>
          <w:u w:val="single"/>
          <w:rtl/>
        </w:rPr>
      </w:pPr>
      <w:r>
        <w:rPr>
          <w:rFonts w:hint="cs"/>
          <w:rtl/>
        </w:rPr>
        <w:t xml:space="preserve">הנאשם החזיק בביתו ארסנל נשק (ראו אישום שני), הסיבה להחזקת הנשק לא הובהרה. ביום האירוע כשהבחין בשוטרים נכנסים לביתו נשא את הנשק מחוץ לביתו כדי למלטו מהשוטרים. מדובר בנשק שכלל שני אקדחים, מחסניות תואמות, קנה וציין לייזר לאקדח ומשקפת צה"לית. אקבל את טענת ההגנה, לפיה הנאשם נשא את הנשק שהחזיק בביתו, שלא על מנת לעשות בו שימוש אלא כדי לשבש הליכי משפט. הסיכון הנובע ממעשיו אינו מבוטל אך יצויין כי לא בחר להתעמת עם השוטרים או לעשות חלילה שימוש בנשק אלא השליכו. בחינת מידת פגיעת מעשי הנאשם בערכים המוגנים מובילה למסקנה כי היא </w:t>
      </w:r>
      <w:r>
        <w:rPr>
          <w:rFonts w:hint="cs"/>
          <w:b/>
          <w:bCs/>
          <w:rtl/>
        </w:rPr>
        <w:t>ברף הבינוני</w:t>
      </w:r>
      <w:r>
        <w:rPr>
          <w:rFonts w:hint="cs"/>
          <w:rtl/>
        </w:rPr>
        <w:t xml:space="preserve">. </w:t>
      </w:r>
    </w:p>
    <w:p w14:paraId="07C65A43" w14:textId="77777777" w:rsidR="00085E2B" w:rsidRDefault="00085E2B" w:rsidP="00085E2B">
      <w:pPr>
        <w:spacing w:after="120" w:line="360" w:lineRule="auto"/>
        <w:ind w:left="720"/>
        <w:contextualSpacing/>
        <w:jc w:val="both"/>
        <w:rPr>
          <w:b/>
          <w:bCs/>
          <w:u w:val="single"/>
        </w:rPr>
      </w:pPr>
    </w:p>
    <w:p w14:paraId="5F816626" w14:textId="77777777" w:rsidR="00085E2B" w:rsidRDefault="00085E2B" w:rsidP="00085E2B">
      <w:pPr>
        <w:spacing w:line="360" w:lineRule="auto"/>
        <w:ind w:firstLine="360"/>
        <w:rPr>
          <w:rtl/>
        </w:rPr>
      </w:pPr>
      <w:r>
        <w:rPr>
          <w:rFonts w:hint="cs"/>
          <w:b/>
          <w:bCs/>
          <w:u w:val="single"/>
          <w:rtl/>
        </w:rPr>
        <w:t>מדיניות הענישה הנוהגת</w:t>
      </w:r>
    </w:p>
    <w:p w14:paraId="0238B2C9" w14:textId="77777777" w:rsidR="00085E2B" w:rsidRDefault="00085E2B" w:rsidP="00085E2B">
      <w:pPr>
        <w:numPr>
          <w:ilvl w:val="0"/>
          <w:numId w:val="1"/>
        </w:numPr>
        <w:spacing w:after="160" w:line="360" w:lineRule="auto"/>
        <w:contextualSpacing/>
        <w:jc w:val="both"/>
        <w:rPr>
          <w:rFonts w:ascii="David" w:eastAsia="David" w:hAnsi="David"/>
          <w:rtl/>
        </w:rPr>
      </w:pPr>
      <w:r>
        <w:rPr>
          <w:rFonts w:hint="cs"/>
          <w:rtl/>
        </w:rPr>
        <w:t xml:space="preserve">בפסיקה ענפה הושתו על נושאי נשק עונשי מאסר מאחורי סורג ובריח לתקופות לא קצרות, </w:t>
      </w:r>
      <w:r>
        <w:rPr>
          <w:rFonts w:hint="cs"/>
          <w:b/>
          <w:bCs/>
          <w:rtl/>
        </w:rPr>
        <w:t xml:space="preserve">"המסר העונשי הנגזר ממדיניות הענישה האמורה הוא כי שומר נפשו ושלומו – ירחק מעבירות הנשק באשר הן, קלות כחמורות" </w:t>
      </w:r>
      <w:r>
        <w:rPr>
          <w:rFonts w:hint="cs"/>
          <w:rtl/>
        </w:rPr>
        <w:t>(ע"פ 78/21</w:t>
      </w:r>
      <w:r>
        <w:rPr>
          <w:rFonts w:hint="cs"/>
          <w:b/>
          <w:bCs/>
          <w:rtl/>
        </w:rPr>
        <w:t xml:space="preserve"> פלוני נ' מדינת ישראל </w:t>
      </w:r>
      <w:r>
        <w:rPr>
          <w:rFonts w:hint="cs"/>
          <w:rtl/>
        </w:rPr>
        <w:t>פסקה 10</w:t>
      </w:r>
      <w:r>
        <w:rPr>
          <w:rFonts w:hint="cs"/>
          <w:b/>
          <w:bCs/>
          <w:rtl/>
        </w:rPr>
        <w:t xml:space="preserve"> </w:t>
      </w:r>
      <w:r>
        <w:rPr>
          <w:rFonts w:hint="cs"/>
          <w:rtl/>
        </w:rPr>
        <w:t>(26.7.22) (להלן: "עניין פלוני</w:t>
      </w:r>
      <w:r>
        <w:rPr>
          <w:rFonts w:hint="cs"/>
          <w:b/>
          <w:bCs/>
          <w:rtl/>
        </w:rPr>
        <w:t>"</w:t>
      </w:r>
      <w:r>
        <w:rPr>
          <w:rFonts w:hint="cs"/>
          <w:rtl/>
        </w:rPr>
        <w:t xml:space="preserve">)). </w:t>
      </w:r>
    </w:p>
    <w:p w14:paraId="542F8543" w14:textId="77777777" w:rsidR="00085E2B" w:rsidRDefault="00085E2B" w:rsidP="00085E2B">
      <w:pPr>
        <w:spacing w:after="160" w:line="360" w:lineRule="auto"/>
        <w:ind w:left="720"/>
        <w:contextualSpacing/>
        <w:jc w:val="both"/>
      </w:pPr>
    </w:p>
    <w:p w14:paraId="3E1836AE" w14:textId="77777777" w:rsidR="00085E2B" w:rsidRDefault="00085E2B" w:rsidP="00085E2B">
      <w:pPr>
        <w:spacing w:after="160" w:line="360" w:lineRule="auto"/>
        <w:ind w:left="720"/>
        <w:contextualSpacing/>
        <w:jc w:val="both"/>
      </w:pPr>
      <w:r>
        <w:rPr>
          <w:rFonts w:hint="cs"/>
          <w:rtl/>
        </w:rPr>
        <w:t>רמת הענישה בעבירות נשק מחמירה. כך ב</w:t>
      </w:r>
      <w:hyperlink r:id="rId18" w:history="1">
        <w:r w:rsidR="002F0CAD" w:rsidRPr="002F0CAD">
          <w:rPr>
            <w:color w:val="0000FF"/>
            <w:u w:val="single"/>
            <w:rtl/>
          </w:rPr>
          <w:t>ע"פ 5602/22</w:t>
        </w:r>
      </w:hyperlink>
      <w:r>
        <w:rPr>
          <w:rFonts w:hint="cs"/>
          <w:rtl/>
        </w:rPr>
        <w:t xml:space="preserve"> </w:t>
      </w:r>
      <w:r>
        <w:rPr>
          <w:rFonts w:hint="cs"/>
          <w:b/>
          <w:bCs/>
          <w:rtl/>
        </w:rPr>
        <w:t xml:space="preserve">מדינת ישראל נ' פלוני </w:t>
      </w:r>
      <w:r>
        <w:rPr>
          <w:rFonts w:hint="cs"/>
          <w:rtl/>
        </w:rPr>
        <w:t xml:space="preserve">(14.9.22), שאליו הפנה הצדדים, התקבל ערעור מדינה בעניינו של תושב האזור, שנשא אקדח טעון ברכב ונגזרו עליו 18 חודשי מאסר. בית המשפט (כב' השופט שטיין) קבע מתחם ענישה ראוי שנע בין 30-42 חודשי מאסר. עונשו של המשיב, ללא עבר פלילי, הוחמר, מבלי למצות את הדין, למאסר בן 28 חודשים. אכן כטענת ההגנה נסיבות העבירה במקרה זה חמורות יותר, הנשיאה הייתה ברכב בעיבורה של עיר באופן המלמד על כוונה לעשות בו שימוש, עם זאת במקרה שבפנינו מדובר בשני אקדחים ואביזרים נלווים. </w:t>
      </w:r>
    </w:p>
    <w:p w14:paraId="41F68BCD" w14:textId="77777777" w:rsidR="00085E2B" w:rsidRDefault="00085E2B" w:rsidP="00085E2B">
      <w:pPr>
        <w:spacing w:after="160" w:line="360" w:lineRule="auto"/>
        <w:ind w:left="720"/>
        <w:contextualSpacing/>
        <w:jc w:val="both"/>
      </w:pPr>
    </w:p>
    <w:p w14:paraId="2A5E021A" w14:textId="77777777" w:rsidR="00085E2B" w:rsidRDefault="00085E2B" w:rsidP="00085E2B">
      <w:pPr>
        <w:spacing w:after="160" w:line="360" w:lineRule="auto"/>
        <w:ind w:left="720"/>
        <w:contextualSpacing/>
        <w:jc w:val="both"/>
        <w:rPr>
          <w:rtl/>
        </w:rPr>
      </w:pPr>
      <w:r>
        <w:rPr>
          <w:rFonts w:hint="cs"/>
          <w:rtl/>
        </w:rPr>
        <w:t>ב</w:t>
      </w:r>
      <w:hyperlink r:id="rId19" w:history="1">
        <w:r w:rsidR="002F0CAD" w:rsidRPr="002F0CAD">
          <w:rPr>
            <w:color w:val="0000FF"/>
            <w:u w:val="single"/>
            <w:rtl/>
          </w:rPr>
          <w:t>ע"פ 3186/22</w:t>
        </w:r>
      </w:hyperlink>
      <w:r>
        <w:rPr>
          <w:rFonts w:hint="cs"/>
          <w:rtl/>
        </w:rPr>
        <w:t xml:space="preserve"> </w:t>
      </w:r>
      <w:r>
        <w:rPr>
          <w:rFonts w:hint="cs"/>
          <w:b/>
          <w:bCs/>
          <w:rtl/>
        </w:rPr>
        <w:t>בר נ' מדינת ישראל</w:t>
      </w:r>
      <w:r>
        <w:rPr>
          <w:rFonts w:hint="cs"/>
          <w:rtl/>
        </w:rPr>
        <w:t xml:space="preserve"> (23.2.23) נדון עניינו של נאשם שנשא והוביל בקטנוע אקדח טעון גנוב, בחזקתו נמצא סם קנביס לצריכה עצמית. בית המשפט המחוזי קבע מתחם הנע בין 48-24 חודשי מאסר בפועל, והשית על הנאשם, צעיר בעל עבר פלילי משמעותי, 30 חודשי מאסר בפועל. הנאשם חזר בו מערעורו לאחר שנשמעו הערות בית המשפט העליון;</w:t>
      </w:r>
    </w:p>
    <w:p w14:paraId="738375FC" w14:textId="77777777" w:rsidR="00085E2B" w:rsidRDefault="00085E2B" w:rsidP="00085E2B">
      <w:pPr>
        <w:spacing w:after="160" w:line="360" w:lineRule="auto"/>
        <w:ind w:left="720"/>
        <w:contextualSpacing/>
        <w:jc w:val="both"/>
        <w:rPr>
          <w:rtl/>
        </w:rPr>
      </w:pPr>
    </w:p>
    <w:p w14:paraId="15523CE2" w14:textId="77777777" w:rsidR="00085E2B" w:rsidRDefault="00085E2B" w:rsidP="00085E2B">
      <w:pPr>
        <w:spacing w:after="160" w:line="360" w:lineRule="auto"/>
        <w:ind w:left="720"/>
        <w:contextualSpacing/>
        <w:jc w:val="both"/>
        <w:rPr>
          <w:rtl/>
        </w:rPr>
      </w:pPr>
      <w:r>
        <w:rPr>
          <w:rFonts w:hint="cs"/>
          <w:rtl/>
        </w:rPr>
        <w:t>ב</w:t>
      </w:r>
      <w:hyperlink r:id="rId20" w:history="1">
        <w:r w:rsidR="002F0CAD" w:rsidRPr="002F0CAD">
          <w:rPr>
            <w:color w:val="0000FF"/>
            <w:u w:val="single"/>
            <w:rtl/>
          </w:rPr>
          <w:t>ע"פ 5856/22</w:t>
        </w:r>
      </w:hyperlink>
      <w:r>
        <w:rPr>
          <w:rFonts w:hint="cs"/>
          <w:rtl/>
        </w:rPr>
        <w:t xml:space="preserve"> </w:t>
      </w:r>
      <w:r>
        <w:rPr>
          <w:rFonts w:hint="cs"/>
          <w:b/>
          <w:bCs/>
          <w:rtl/>
        </w:rPr>
        <w:t>סויטאת נ' מדינת ישראל</w:t>
      </w:r>
      <w:r>
        <w:rPr>
          <w:rFonts w:hint="cs"/>
          <w:rtl/>
        </w:rPr>
        <w:t xml:space="preserve"> (21.3.23) הורשע נאשם בנשיאת אקדח </w:t>
      </w:r>
      <w:r>
        <w:t>FN</w:t>
      </w:r>
      <w:r>
        <w:rPr>
          <w:rFonts w:hint="cs"/>
          <w:rtl/>
        </w:rPr>
        <w:t xml:space="preserve"> ובו מחסנית ריקה, ברכב. כשהגיע למחסום משטרתי, נמלט מהרכב והשליך את האקדח. על הנאשם נגזרו 28 חודשי מאסר. הנאשם ניהל הוכחות בתיק, וטען כי מדובר באקדח "תקול" שהחזיק ללא תחמושת לצרכי הרתעה. ערעורו נדחה;</w:t>
      </w:r>
    </w:p>
    <w:p w14:paraId="0EF67927" w14:textId="77777777" w:rsidR="00085E2B" w:rsidRDefault="00085E2B" w:rsidP="00085E2B">
      <w:pPr>
        <w:spacing w:after="160" w:line="360" w:lineRule="auto"/>
        <w:ind w:left="720"/>
        <w:contextualSpacing/>
        <w:jc w:val="both"/>
        <w:rPr>
          <w:rtl/>
        </w:rPr>
      </w:pPr>
    </w:p>
    <w:p w14:paraId="209298D9" w14:textId="77777777" w:rsidR="00085E2B" w:rsidRDefault="00085E2B" w:rsidP="00085E2B">
      <w:pPr>
        <w:spacing w:line="360" w:lineRule="auto"/>
        <w:ind w:left="720"/>
        <w:contextualSpacing/>
        <w:jc w:val="both"/>
        <w:rPr>
          <w:rtl/>
        </w:rPr>
      </w:pPr>
      <w:r>
        <w:rPr>
          <w:rFonts w:hint="cs"/>
          <w:rtl/>
        </w:rPr>
        <w:t>ב</w:t>
      </w:r>
      <w:hyperlink r:id="rId21" w:history="1">
        <w:r w:rsidR="002F0CAD" w:rsidRPr="002F0CAD">
          <w:rPr>
            <w:color w:val="0000FF"/>
            <w:u w:val="single"/>
            <w:rtl/>
          </w:rPr>
          <w:t>ע"פ 2141/21</w:t>
        </w:r>
      </w:hyperlink>
      <w:r>
        <w:rPr>
          <w:rtl/>
        </w:rPr>
        <w:t xml:space="preserve"> </w:t>
      </w:r>
      <w:r>
        <w:rPr>
          <w:rFonts w:hint="cs"/>
          <w:b/>
          <w:bCs/>
          <w:rtl/>
        </w:rPr>
        <w:t>חניני נ' מדינת ישראל</w:t>
      </w:r>
      <w:r>
        <w:rPr>
          <w:rFonts w:hint="cs"/>
          <w:rtl/>
        </w:rPr>
        <w:t xml:space="preserve"> ((27.5.21) נדחה ערעורו של נאשם שהצטייד באקדח אוויר שבוצעו בו שינויים שמאפשרים ירי של תחמושת. הוא נתפס בחצר קרובה לביתו בשעת לילה מאוחרת, כשהוא נושא את האקדח על גופו ובתוכו ארבעה כדורים. נדון למאסר בן 20 חודשים;</w:t>
      </w:r>
    </w:p>
    <w:p w14:paraId="32FE81D8" w14:textId="77777777" w:rsidR="00085E2B" w:rsidRDefault="00085E2B" w:rsidP="00085E2B">
      <w:pPr>
        <w:spacing w:line="360" w:lineRule="auto"/>
        <w:ind w:left="720"/>
        <w:contextualSpacing/>
        <w:jc w:val="both"/>
        <w:rPr>
          <w:rtl/>
        </w:rPr>
      </w:pPr>
    </w:p>
    <w:p w14:paraId="68C7FA1B" w14:textId="77777777" w:rsidR="00085E2B" w:rsidRDefault="00085E2B" w:rsidP="00085E2B">
      <w:pPr>
        <w:spacing w:line="360" w:lineRule="auto"/>
        <w:ind w:left="720"/>
        <w:contextualSpacing/>
        <w:jc w:val="both"/>
        <w:rPr>
          <w:rFonts w:ascii="David" w:hAnsi="David"/>
          <w:rtl/>
        </w:rPr>
      </w:pPr>
      <w:r>
        <w:rPr>
          <w:rFonts w:hint="cs"/>
          <w:rtl/>
        </w:rPr>
        <w:t>ב</w:t>
      </w:r>
      <w:hyperlink r:id="rId22" w:history="1">
        <w:r w:rsidR="002F0CAD" w:rsidRPr="002F0CAD">
          <w:rPr>
            <w:color w:val="0000FF"/>
            <w:u w:val="single"/>
            <w:rtl/>
          </w:rPr>
          <w:t>ע"פ 2033/21</w:t>
        </w:r>
      </w:hyperlink>
      <w:r>
        <w:rPr>
          <w:rFonts w:hint="cs"/>
          <w:rtl/>
        </w:rPr>
        <w:t xml:space="preserve"> </w:t>
      </w:r>
      <w:r>
        <w:rPr>
          <w:rFonts w:hint="cs"/>
          <w:b/>
          <w:bCs/>
          <w:rtl/>
        </w:rPr>
        <w:t>זועבי נ' מדינת ישראל</w:t>
      </w:r>
      <w:r>
        <w:rPr>
          <w:rFonts w:hint="cs"/>
          <w:rtl/>
        </w:rPr>
        <w:t xml:space="preserve"> ((30.8.21) נדחה ערעורו המערער, בן 51, ללא עבר, חולה טרשת נפוצה שנדון בגין נשיאת שני אקדחים על רקע סכסוך פעיל למאסר בן 24 חודשים. נקבע כי סולחה שנערכה בין המשפחות ומצבו הרפואי לא מצדיקים חריגה מהמתחם;  </w:t>
      </w:r>
    </w:p>
    <w:p w14:paraId="5AD2D851" w14:textId="77777777" w:rsidR="00085E2B" w:rsidRDefault="00085E2B" w:rsidP="00085E2B">
      <w:pPr>
        <w:spacing w:line="360" w:lineRule="auto"/>
        <w:ind w:left="720"/>
        <w:contextualSpacing/>
        <w:jc w:val="both"/>
        <w:rPr>
          <w:rtl/>
        </w:rPr>
      </w:pPr>
    </w:p>
    <w:p w14:paraId="65C17497" w14:textId="77777777" w:rsidR="00085E2B" w:rsidRDefault="00085E2B" w:rsidP="00085E2B">
      <w:pPr>
        <w:spacing w:line="360" w:lineRule="auto"/>
        <w:ind w:left="720"/>
        <w:contextualSpacing/>
        <w:jc w:val="both"/>
        <w:rPr>
          <w:rtl/>
        </w:rPr>
      </w:pPr>
      <w:r>
        <w:rPr>
          <w:rFonts w:hint="cs"/>
          <w:rtl/>
        </w:rPr>
        <w:t>ב</w:t>
      </w:r>
      <w:hyperlink r:id="rId23" w:history="1">
        <w:r w:rsidR="002F0CAD" w:rsidRPr="002F0CAD">
          <w:rPr>
            <w:color w:val="0000FF"/>
            <w:u w:val="single"/>
            <w:rtl/>
          </w:rPr>
          <w:t>ע"פ 1658/22</w:t>
        </w:r>
      </w:hyperlink>
      <w:r>
        <w:rPr>
          <w:rFonts w:hint="cs"/>
          <w:rtl/>
        </w:rPr>
        <w:t xml:space="preserve"> </w:t>
      </w:r>
      <w:r>
        <w:rPr>
          <w:rFonts w:hint="cs"/>
          <w:b/>
          <w:bCs/>
          <w:rtl/>
        </w:rPr>
        <w:t>נח'אש נ' מדינת ישראל</w:t>
      </w:r>
      <w:r>
        <w:rPr>
          <w:rFonts w:hint="cs"/>
          <w:rtl/>
        </w:rPr>
        <w:t xml:space="preserve"> (19.6.22) נדחה ערעור המערער שהורשע בעבירת נשיאה והובלה של תת מקלע "עוזי" ומחסנית למאסר בן 26 חודשים. המערער, ללא עבר פלילי, רכש לטענתו את הנשק לשם הגנה עצמית ועבר הליך טיפולי; </w:t>
      </w:r>
    </w:p>
    <w:p w14:paraId="49A2A48A" w14:textId="77777777" w:rsidR="00085E2B" w:rsidRDefault="00085E2B" w:rsidP="00085E2B">
      <w:pPr>
        <w:spacing w:line="360" w:lineRule="auto"/>
        <w:ind w:left="720"/>
        <w:contextualSpacing/>
        <w:jc w:val="both"/>
        <w:rPr>
          <w:rtl/>
        </w:rPr>
      </w:pPr>
    </w:p>
    <w:p w14:paraId="7F8F1A3F" w14:textId="77777777" w:rsidR="00085E2B" w:rsidRDefault="002F0CAD" w:rsidP="00085E2B">
      <w:pPr>
        <w:spacing w:line="360" w:lineRule="auto"/>
        <w:ind w:left="720"/>
        <w:contextualSpacing/>
        <w:jc w:val="both"/>
        <w:rPr>
          <w:rtl/>
        </w:rPr>
      </w:pPr>
      <w:hyperlink r:id="rId24" w:history="1">
        <w:r w:rsidRPr="002F0CAD">
          <w:rPr>
            <w:color w:val="0000FF"/>
            <w:u w:val="single"/>
            <w:rtl/>
          </w:rPr>
          <w:t>ת"פ (מחוזי מר') 2049-11-22</w:t>
        </w:r>
      </w:hyperlink>
      <w:r w:rsidR="00085E2B">
        <w:rPr>
          <w:rFonts w:hint="cs"/>
          <w:rtl/>
        </w:rPr>
        <w:t xml:space="preserve"> </w:t>
      </w:r>
      <w:r w:rsidR="00085E2B">
        <w:rPr>
          <w:rFonts w:hint="cs"/>
          <w:b/>
          <w:bCs/>
          <w:rtl/>
        </w:rPr>
        <w:t>מדינת ישראל נ' אלווהארי</w:t>
      </w:r>
      <w:r w:rsidR="00085E2B">
        <w:rPr>
          <w:rFonts w:hint="cs"/>
          <w:rtl/>
        </w:rPr>
        <w:t xml:space="preserve"> (19.6.23) הנאשם הורשע בכך שנשא רובה מסוג קלצ'ניקוב ומחסנית טעונה שהחזיק במתחם ביתו לאחר שהבחין בשוטרים והחביאו בבית שכנו. נקבע מתחם הנע בין 22-44 חודשי מאסר, על הנאשם נגזר עונש בתחתית המתחם.  </w:t>
      </w:r>
    </w:p>
    <w:p w14:paraId="2FEED41B" w14:textId="77777777" w:rsidR="00085E2B" w:rsidRDefault="00085E2B" w:rsidP="00085E2B">
      <w:pPr>
        <w:spacing w:line="360" w:lineRule="auto"/>
        <w:ind w:left="720"/>
        <w:contextualSpacing/>
        <w:jc w:val="both"/>
        <w:rPr>
          <w:rtl/>
        </w:rPr>
      </w:pPr>
    </w:p>
    <w:p w14:paraId="784BD4F7" w14:textId="77777777" w:rsidR="00085E2B" w:rsidRDefault="002F0CAD" w:rsidP="00085E2B">
      <w:pPr>
        <w:spacing w:line="360" w:lineRule="auto"/>
        <w:ind w:left="720"/>
        <w:contextualSpacing/>
        <w:jc w:val="both"/>
        <w:rPr>
          <w:rtl/>
        </w:rPr>
      </w:pPr>
      <w:hyperlink r:id="rId25" w:history="1">
        <w:r w:rsidRPr="002F0CAD">
          <w:rPr>
            <w:color w:val="0000FF"/>
            <w:u w:val="single"/>
            <w:rtl/>
          </w:rPr>
          <w:t>ת"פ (מחוזי מר')  25009-02-23</w:t>
        </w:r>
      </w:hyperlink>
      <w:r w:rsidR="00085E2B">
        <w:rPr>
          <w:rFonts w:hint="cs"/>
          <w:rtl/>
        </w:rPr>
        <w:t xml:space="preserve"> </w:t>
      </w:r>
      <w:r w:rsidR="00085E2B">
        <w:rPr>
          <w:rFonts w:hint="cs"/>
          <w:b/>
          <w:bCs/>
          <w:rtl/>
        </w:rPr>
        <w:t xml:space="preserve">מדינת ישראל נ' אלדראג'ה </w:t>
      </w:r>
      <w:r w:rsidR="00085E2B">
        <w:rPr>
          <w:rFonts w:hint="cs"/>
          <w:rtl/>
        </w:rPr>
        <w:t xml:space="preserve">(19.2.24), שם נשא הנאשם ברכב אקדח גלוק ומחסנית, מדובר בצעיר ללא עבר, תסקירו טוב. נקבע מתחם הנע בין 20-40 חודשי מאסר, על הנאשם נגזר עונש מאסר בתחתית המתחם. </w:t>
      </w:r>
    </w:p>
    <w:p w14:paraId="1035FAAC" w14:textId="77777777" w:rsidR="00085E2B" w:rsidRDefault="00085E2B" w:rsidP="00085E2B">
      <w:pPr>
        <w:spacing w:line="360" w:lineRule="auto"/>
        <w:ind w:left="720"/>
        <w:contextualSpacing/>
        <w:jc w:val="both"/>
        <w:rPr>
          <w:rtl/>
        </w:rPr>
      </w:pPr>
    </w:p>
    <w:p w14:paraId="01DE648A" w14:textId="77777777" w:rsidR="00085E2B" w:rsidRDefault="00085E2B" w:rsidP="00085E2B">
      <w:pPr>
        <w:spacing w:line="360" w:lineRule="auto"/>
        <w:ind w:left="720"/>
        <w:contextualSpacing/>
        <w:jc w:val="both"/>
        <w:rPr>
          <w:rtl/>
        </w:rPr>
      </w:pPr>
      <w:r>
        <w:rPr>
          <w:rFonts w:hint="cs"/>
          <w:rtl/>
        </w:rPr>
        <w:t xml:space="preserve">ת"פ (מחוזי מר') 46340-07-23 </w:t>
      </w:r>
      <w:r>
        <w:rPr>
          <w:rFonts w:hint="cs"/>
          <w:b/>
          <w:bCs/>
          <w:rtl/>
        </w:rPr>
        <w:t>מדינת ישראל נ' אלקנאווי</w:t>
      </w:r>
      <w:r>
        <w:rPr>
          <w:rFonts w:hint="cs"/>
          <w:rtl/>
        </w:rPr>
        <w:t xml:space="preserve"> (5.2.24), במקרה זה, המזכיר את נסיבות ענייננו, נשא הנאשם אקדח מסוג גלוק טעון במחסנית במתחם ביתו, כשהבחין בשוטרים נשא את הנשק והשליכו. נקבע מתחם שנע בין 21-45 חודשי מאסר, ניתן משקל מסויים לסיבת הנשיאה. על הנאשם, בעל עבר פלילי ישן, נגזר עונש בתחתית המתחם. </w:t>
      </w:r>
    </w:p>
    <w:p w14:paraId="4BC3C39F" w14:textId="77777777" w:rsidR="00085E2B" w:rsidRDefault="00085E2B" w:rsidP="00085E2B">
      <w:pPr>
        <w:spacing w:line="360" w:lineRule="auto"/>
        <w:ind w:left="720"/>
        <w:contextualSpacing/>
        <w:jc w:val="both"/>
        <w:rPr>
          <w:rtl/>
        </w:rPr>
      </w:pPr>
    </w:p>
    <w:p w14:paraId="30347B2A" w14:textId="77777777" w:rsidR="00085E2B" w:rsidRDefault="00085E2B" w:rsidP="00085E2B">
      <w:pPr>
        <w:pStyle w:val="a9"/>
        <w:numPr>
          <w:ilvl w:val="0"/>
          <w:numId w:val="1"/>
        </w:numPr>
        <w:spacing w:line="360" w:lineRule="auto"/>
        <w:jc w:val="both"/>
        <w:rPr>
          <w:rFonts w:ascii="Times New Roman" w:eastAsia="Times New Roman" w:hAnsi="Times New Roman"/>
          <w:b/>
          <w:bCs/>
          <w:u w:val="single"/>
          <w:rtl/>
        </w:rPr>
      </w:pPr>
      <w:r>
        <w:rPr>
          <w:rFonts w:ascii="Times New Roman" w:hAnsi="Times New Roman" w:hint="cs"/>
          <w:rtl/>
        </w:rPr>
        <w:t xml:space="preserve">בהתחשב במידת הפגיעה בערכים המוגנים, מדיניות הענישה הנוהגת, החזקת שני אקדחים, ולאחר שבחנתי את נסיבות ביצוע העבירה, מצאתי לקבוע </w:t>
      </w:r>
      <w:r>
        <w:rPr>
          <w:rFonts w:ascii="Times New Roman" w:hAnsi="Times New Roman" w:hint="cs"/>
          <w:b/>
          <w:bCs/>
          <w:rtl/>
        </w:rPr>
        <w:t>מתחם ענישה הנע בין 32-54 חודשי מאסר בפועל</w:t>
      </w:r>
      <w:r>
        <w:rPr>
          <w:rFonts w:ascii="Times New Roman" w:hAnsi="Times New Roman" w:hint="cs"/>
          <w:rtl/>
        </w:rPr>
        <w:t xml:space="preserve">. </w:t>
      </w:r>
    </w:p>
    <w:p w14:paraId="6865C0EA" w14:textId="77777777" w:rsidR="00085E2B" w:rsidRDefault="00085E2B" w:rsidP="00085E2B">
      <w:pPr>
        <w:spacing w:after="160" w:line="360" w:lineRule="auto"/>
        <w:ind w:left="720"/>
        <w:jc w:val="both"/>
        <w:rPr>
          <w:b/>
          <w:bCs/>
          <w:u w:val="single"/>
        </w:rPr>
      </w:pPr>
    </w:p>
    <w:p w14:paraId="22A6B5DD" w14:textId="77777777" w:rsidR="00085E2B" w:rsidRDefault="00085E2B" w:rsidP="00085E2B">
      <w:pPr>
        <w:spacing w:after="160" w:line="360" w:lineRule="auto"/>
        <w:ind w:firstLine="360"/>
        <w:jc w:val="both"/>
        <w:rPr>
          <w:rFonts w:ascii="David" w:eastAsia="David" w:hAnsi="David"/>
          <w:rtl/>
        </w:rPr>
      </w:pPr>
      <w:r>
        <w:rPr>
          <w:rFonts w:hint="cs"/>
          <w:b/>
          <w:bCs/>
          <w:u w:val="single"/>
          <w:rtl/>
        </w:rPr>
        <w:t>גזירת העונש המתאים לנאשם</w:t>
      </w:r>
    </w:p>
    <w:p w14:paraId="709BA57E" w14:textId="77777777" w:rsidR="00085E2B" w:rsidRDefault="00085E2B" w:rsidP="00085E2B">
      <w:pPr>
        <w:numPr>
          <w:ilvl w:val="0"/>
          <w:numId w:val="1"/>
        </w:numPr>
        <w:spacing w:after="160" w:line="360" w:lineRule="auto"/>
        <w:ind w:left="720"/>
        <w:contextualSpacing/>
        <w:jc w:val="both"/>
      </w:pPr>
      <w:r>
        <w:rPr>
          <w:rFonts w:hint="cs"/>
          <w:rtl/>
        </w:rPr>
        <w:t xml:space="preserve">הנאשם נשוי, אב לילדה בת 3 הסובלת מאוטיזם כעולה ממסמכים רפואיים נוספים שהוגשו. לנאשם עבר פלילי בעבירות סמים, ריצה מאסרים, הרשעתו האחרונה היא משנת 2014. הנאשם הודה וחסך בזמן שיפוטי, מאסרו עלול לפגוע במשפחתו. </w:t>
      </w:r>
    </w:p>
    <w:p w14:paraId="1E28B42F" w14:textId="77777777" w:rsidR="00085E2B" w:rsidRDefault="00085E2B" w:rsidP="00085E2B">
      <w:pPr>
        <w:spacing w:after="160" w:line="360" w:lineRule="auto"/>
        <w:ind w:left="720"/>
        <w:contextualSpacing/>
        <w:jc w:val="both"/>
        <w:rPr>
          <w:rtl/>
        </w:rPr>
      </w:pPr>
    </w:p>
    <w:p w14:paraId="1A9527A6" w14:textId="77777777" w:rsidR="00085E2B" w:rsidRDefault="00085E2B" w:rsidP="00085E2B">
      <w:pPr>
        <w:numPr>
          <w:ilvl w:val="0"/>
          <w:numId w:val="1"/>
        </w:numPr>
        <w:spacing w:before="120" w:after="160" w:line="360" w:lineRule="auto"/>
        <w:contextualSpacing/>
        <w:jc w:val="both"/>
        <w:rPr>
          <w:rtl/>
        </w:rPr>
      </w:pPr>
      <w:r>
        <w:rPr>
          <w:rFonts w:hint="cs"/>
          <w:rtl/>
        </w:rPr>
        <w:t xml:space="preserve">לאחר שבחנתי את נסיבות הנאשם, מצאתי למקם את עונשו, חרף עברו הפלילי, בתחתית המתחם. </w:t>
      </w:r>
    </w:p>
    <w:p w14:paraId="671EC419" w14:textId="77777777" w:rsidR="00085E2B" w:rsidRDefault="00085E2B" w:rsidP="00085E2B">
      <w:pPr>
        <w:spacing w:line="360" w:lineRule="auto"/>
        <w:jc w:val="both"/>
        <w:rPr>
          <w:b/>
          <w:bCs/>
          <w:u w:val="single"/>
          <w:rtl/>
        </w:rPr>
      </w:pPr>
    </w:p>
    <w:p w14:paraId="2255E726" w14:textId="77777777" w:rsidR="00085E2B" w:rsidRDefault="00085E2B" w:rsidP="00085E2B">
      <w:pPr>
        <w:spacing w:line="360" w:lineRule="auto"/>
        <w:jc w:val="both"/>
        <w:rPr>
          <w:rtl/>
        </w:rPr>
      </w:pPr>
      <w:r>
        <w:rPr>
          <w:rFonts w:hint="cs"/>
          <w:b/>
          <w:bCs/>
          <w:u w:val="single"/>
          <w:rtl/>
        </w:rPr>
        <w:t>סוף דבר</w:t>
      </w:r>
    </w:p>
    <w:p w14:paraId="54915E24" w14:textId="77777777" w:rsidR="00085E2B" w:rsidRDefault="00085E2B" w:rsidP="00085E2B">
      <w:pPr>
        <w:numPr>
          <w:ilvl w:val="0"/>
          <w:numId w:val="1"/>
        </w:numPr>
        <w:spacing w:after="160" w:line="360" w:lineRule="auto"/>
        <w:contextualSpacing/>
        <w:jc w:val="both"/>
        <w:rPr>
          <w:b/>
          <w:bCs/>
          <w:rtl/>
        </w:rPr>
      </w:pPr>
      <w:r>
        <w:rPr>
          <w:rFonts w:hint="cs"/>
          <w:b/>
          <w:bCs/>
          <w:rtl/>
        </w:rPr>
        <w:t>אני גוזרת, איפוא,  על הנאשם את העונשים הבאים:</w:t>
      </w:r>
    </w:p>
    <w:p w14:paraId="67D573E7" w14:textId="77777777" w:rsidR="00085E2B" w:rsidRDefault="00085E2B" w:rsidP="00085E2B">
      <w:pPr>
        <w:ind w:left="720"/>
        <w:contextualSpacing/>
      </w:pPr>
    </w:p>
    <w:p w14:paraId="02CC432F" w14:textId="77777777" w:rsidR="00085E2B" w:rsidRDefault="00085E2B" w:rsidP="00085E2B">
      <w:pPr>
        <w:numPr>
          <w:ilvl w:val="0"/>
          <w:numId w:val="2"/>
        </w:numPr>
        <w:spacing w:line="360" w:lineRule="auto"/>
        <w:ind w:left="992"/>
        <w:contextualSpacing/>
        <w:jc w:val="both"/>
        <w:rPr>
          <w:rtl/>
        </w:rPr>
      </w:pPr>
      <w:r>
        <w:rPr>
          <w:rFonts w:hint="cs"/>
          <w:b/>
          <w:bCs/>
          <w:rtl/>
        </w:rPr>
        <w:t xml:space="preserve">33 חודשי מאסר </w:t>
      </w:r>
      <w:r>
        <w:rPr>
          <w:rFonts w:hint="cs"/>
          <w:rtl/>
        </w:rPr>
        <w:t xml:space="preserve">מיום מעצרו, 26.12.23. </w:t>
      </w:r>
    </w:p>
    <w:p w14:paraId="713A0284" w14:textId="77777777" w:rsidR="00085E2B" w:rsidRDefault="00085E2B" w:rsidP="00085E2B">
      <w:pPr>
        <w:numPr>
          <w:ilvl w:val="0"/>
          <w:numId w:val="2"/>
        </w:numPr>
        <w:spacing w:line="360" w:lineRule="auto"/>
        <w:ind w:left="992"/>
        <w:contextualSpacing/>
        <w:jc w:val="both"/>
      </w:pPr>
      <w:r>
        <w:rPr>
          <w:rFonts w:hint="cs"/>
          <w:rtl/>
        </w:rPr>
        <w:t xml:space="preserve">מאסר על תנאי בן 12 חודשים לבל יעבור הנאשם עבירת נשק תוך 3 שנים מיום שחרורו ממאסר. </w:t>
      </w:r>
    </w:p>
    <w:p w14:paraId="597F74BF" w14:textId="77777777" w:rsidR="00085E2B" w:rsidRDefault="00085E2B" w:rsidP="00085E2B">
      <w:pPr>
        <w:numPr>
          <w:ilvl w:val="0"/>
          <w:numId w:val="2"/>
        </w:numPr>
        <w:spacing w:line="360" w:lineRule="auto"/>
        <w:ind w:left="992"/>
        <w:contextualSpacing/>
        <w:jc w:val="both"/>
      </w:pPr>
      <w:r>
        <w:rPr>
          <w:rFonts w:hint="cs"/>
          <w:rtl/>
        </w:rPr>
        <w:t xml:space="preserve">מאסר על תנאי בן 6 חודשים לבל יעבור עבירה של שיבוש מהלכי משפט במשך שנתיים מיום שחרורו ממאסר. </w:t>
      </w:r>
    </w:p>
    <w:p w14:paraId="09AE986F" w14:textId="77777777" w:rsidR="00085E2B" w:rsidRDefault="00085E2B" w:rsidP="00085E2B">
      <w:pPr>
        <w:numPr>
          <w:ilvl w:val="0"/>
          <w:numId w:val="2"/>
        </w:numPr>
        <w:spacing w:line="360" w:lineRule="auto"/>
        <w:ind w:left="992"/>
        <w:contextualSpacing/>
        <w:jc w:val="both"/>
      </w:pPr>
      <w:r>
        <w:rPr>
          <w:rFonts w:hint="cs"/>
          <w:rtl/>
        </w:rPr>
        <w:t xml:space="preserve">קנס בסך 2,000 ₪ או 40 ימי מאסר. הקנס ישולם בארבעה תשלומים שווים ורצופים החל מיום 10.12.24. </w:t>
      </w:r>
    </w:p>
    <w:p w14:paraId="0A1A9406" w14:textId="77777777" w:rsidR="00085E2B" w:rsidRDefault="00085E2B" w:rsidP="00085E2B">
      <w:pPr>
        <w:spacing w:line="360" w:lineRule="auto"/>
        <w:jc w:val="both"/>
        <w:rPr>
          <w:b/>
          <w:bCs/>
          <w:rtl/>
        </w:rPr>
      </w:pPr>
    </w:p>
    <w:p w14:paraId="38AD5869" w14:textId="77777777" w:rsidR="00085E2B" w:rsidRPr="00283DB2" w:rsidRDefault="00085E2B" w:rsidP="00085E2B">
      <w:pPr>
        <w:spacing w:line="360" w:lineRule="auto"/>
        <w:jc w:val="both"/>
        <w:rPr>
          <w:rtl/>
        </w:rPr>
      </w:pPr>
      <w:r w:rsidRPr="00283DB2">
        <w:rPr>
          <w:rFonts w:hint="cs"/>
          <w:rtl/>
        </w:rPr>
        <w:t xml:space="preserve">הנשק והתחמושת יושמדו. צו כללי למוצגים </w:t>
      </w:r>
    </w:p>
    <w:p w14:paraId="6D2590C1" w14:textId="77777777" w:rsidR="00085E2B" w:rsidRPr="00283DB2" w:rsidRDefault="00085E2B" w:rsidP="00085E2B">
      <w:pPr>
        <w:spacing w:line="360" w:lineRule="auto"/>
        <w:jc w:val="both"/>
      </w:pPr>
      <w:r w:rsidRPr="00283DB2">
        <w:rPr>
          <w:rFonts w:hint="cs"/>
          <w:rtl/>
        </w:rPr>
        <w:t xml:space="preserve">מתירה לנאשם לחבק את בתו. </w:t>
      </w:r>
    </w:p>
    <w:p w14:paraId="552F296F" w14:textId="77777777" w:rsidR="00085E2B" w:rsidRDefault="002F0CAD" w:rsidP="00085E2B">
      <w:pPr>
        <w:spacing w:line="360" w:lineRule="auto"/>
        <w:jc w:val="both"/>
        <w:rPr>
          <w:b/>
          <w:bCs/>
          <w:rtl/>
        </w:rPr>
      </w:pPr>
      <w:r w:rsidRPr="002F0CAD">
        <w:rPr>
          <w:b/>
          <w:bCs/>
          <w:color w:val="FFFFFF"/>
          <w:sz w:val="2"/>
          <w:szCs w:val="2"/>
          <w:rtl/>
        </w:rPr>
        <w:t>5129371</w:t>
      </w:r>
      <w:r w:rsidR="00085E2B">
        <w:rPr>
          <w:rFonts w:hint="cs"/>
          <w:b/>
          <w:bCs/>
          <w:rtl/>
        </w:rPr>
        <w:t xml:space="preserve">זכות ערעור לבית המשפט העליון תוך 45 יום. </w:t>
      </w:r>
    </w:p>
    <w:p w14:paraId="0D5561C4" w14:textId="77777777" w:rsidR="00085E2B" w:rsidRPr="002F0CAD" w:rsidRDefault="002F0CAD" w:rsidP="00085E2B">
      <w:pPr>
        <w:rPr>
          <w:rFonts w:ascii="Arial" w:hAnsi="Arial"/>
          <w:b/>
          <w:bCs/>
          <w:color w:val="FFFFFF"/>
          <w:sz w:val="2"/>
          <w:szCs w:val="2"/>
          <w:rtl/>
        </w:rPr>
      </w:pPr>
      <w:r w:rsidRPr="002F0CAD">
        <w:rPr>
          <w:rFonts w:ascii="Arial" w:hAnsi="Arial"/>
          <w:b/>
          <w:bCs/>
          <w:color w:val="FFFFFF"/>
          <w:sz w:val="2"/>
          <w:szCs w:val="2"/>
          <w:rtl/>
        </w:rPr>
        <w:t>54678313</w:t>
      </w:r>
    </w:p>
    <w:p w14:paraId="1F9458E6" w14:textId="77777777" w:rsidR="00085E2B" w:rsidRPr="000F2247" w:rsidRDefault="00085E2B" w:rsidP="00085E2B">
      <w:pPr>
        <w:rPr>
          <w:rFonts w:ascii="Arial" w:hAnsi="Arial"/>
          <w:b/>
          <w:bCs/>
          <w:sz w:val="26"/>
          <w:szCs w:val="26"/>
          <w:rtl/>
        </w:rPr>
      </w:pPr>
    </w:p>
    <w:p w14:paraId="192327FA" w14:textId="77777777" w:rsidR="00085E2B" w:rsidRPr="000F2247" w:rsidRDefault="002F0CAD" w:rsidP="00085E2B">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י"ב תשרי תשפ"ה, 14 אוקטובר 2024, במעמד הצדדים. </w:t>
      </w:r>
      <w:bookmarkEnd w:id="7"/>
      <w:r w:rsidR="00085E2B">
        <w:rPr>
          <w:rFonts w:ascii="Arial" w:hAnsi="Arial"/>
          <w:b/>
          <w:bCs/>
          <w:sz w:val="26"/>
          <w:szCs w:val="26"/>
          <w:rtl/>
        </w:rPr>
        <w:tab/>
      </w:r>
      <w:r w:rsidR="00085E2B">
        <w:rPr>
          <w:rFonts w:ascii="Arial" w:hAnsi="Arial"/>
          <w:b/>
          <w:bCs/>
          <w:sz w:val="26"/>
          <w:szCs w:val="26"/>
          <w:rtl/>
        </w:rPr>
        <w:tab/>
      </w:r>
      <w:r w:rsidR="00085E2B">
        <w:rPr>
          <w:rFonts w:ascii="Arial" w:hAnsi="Arial"/>
          <w:b/>
          <w:bCs/>
          <w:sz w:val="26"/>
          <w:szCs w:val="26"/>
          <w:rtl/>
        </w:rPr>
        <w:tab/>
      </w:r>
      <w:r w:rsidR="00085E2B">
        <w:rPr>
          <w:rFonts w:ascii="Arial" w:hAnsi="Arial"/>
          <w:b/>
          <w:bCs/>
          <w:sz w:val="26"/>
          <w:szCs w:val="26"/>
          <w:rtl/>
        </w:rPr>
        <w:tab/>
      </w:r>
      <w:r w:rsidR="00085E2B">
        <w:rPr>
          <w:rFonts w:ascii="Arial" w:hAnsi="Arial"/>
          <w:b/>
          <w:bCs/>
          <w:sz w:val="26"/>
          <w:szCs w:val="26"/>
          <w:rtl/>
        </w:rPr>
        <w:tab/>
      </w:r>
      <w:r w:rsidR="00085E2B">
        <w:rPr>
          <w:rFonts w:ascii="Arial" w:hAnsi="Arial"/>
          <w:b/>
          <w:bCs/>
          <w:sz w:val="26"/>
          <w:szCs w:val="26"/>
          <w:rtl/>
        </w:rPr>
        <w:tab/>
      </w:r>
      <w:r w:rsidR="00085E2B">
        <w:rPr>
          <w:rFonts w:ascii="Arial" w:hAnsi="Arial"/>
          <w:b/>
          <w:bCs/>
          <w:sz w:val="26"/>
          <w:szCs w:val="26"/>
          <w:rtl/>
        </w:rPr>
        <w:tab/>
      </w:r>
      <w:r w:rsidR="00085E2B">
        <w:rPr>
          <w:rFonts w:ascii="Arial" w:hAnsi="Arial" w:hint="cs"/>
          <w:b/>
          <w:bCs/>
          <w:sz w:val="26"/>
          <w:szCs w:val="26"/>
          <w:rtl/>
        </w:rPr>
        <w:t xml:space="preserve">         </w:t>
      </w:r>
    </w:p>
    <w:p w14:paraId="74C1730A" w14:textId="77777777" w:rsidR="00085E2B" w:rsidRPr="000F2247" w:rsidRDefault="00085E2B" w:rsidP="002F0CA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C6742F0" w14:textId="77777777" w:rsidR="00085E2B" w:rsidRPr="002117E3" w:rsidRDefault="002117E3" w:rsidP="00085E2B">
      <w:pPr>
        <w:jc w:val="center"/>
        <w:rPr>
          <w:rFonts w:ascii="Arial" w:hAnsi="Arial"/>
          <w:b/>
          <w:bCs/>
          <w:color w:val="FFFFFF"/>
          <w:sz w:val="2"/>
          <w:szCs w:val="2"/>
          <w:rtl/>
        </w:rPr>
      </w:pPr>
      <w:r w:rsidRPr="002117E3">
        <w:rPr>
          <w:rFonts w:ascii="Arial" w:hAnsi="Arial"/>
          <w:b/>
          <w:bCs/>
          <w:color w:val="FFFFFF"/>
          <w:sz w:val="2"/>
          <w:szCs w:val="2"/>
          <w:rtl/>
        </w:rPr>
        <w:t>5129371</w:t>
      </w:r>
    </w:p>
    <w:p w14:paraId="607FD836" w14:textId="77777777" w:rsidR="003C6A16" w:rsidRPr="002117E3" w:rsidRDefault="002117E3" w:rsidP="002F0CAD">
      <w:pPr>
        <w:keepNext/>
        <w:rPr>
          <w:rFonts w:ascii="David" w:hAnsi="David"/>
          <w:color w:val="FFFFFF"/>
          <w:sz w:val="2"/>
          <w:szCs w:val="2"/>
          <w:rtl/>
        </w:rPr>
      </w:pPr>
      <w:r w:rsidRPr="002117E3">
        <w:rPr>
          <w:rFonts w:ascii="David" w:hAnsi="David"/>
          <w:color w:val="FFFFFF"/>
          <w:sz w:val="2"/>
          <w:szCs w:val="2"/>
          <w:rtl/>
        </w:rPr>
        <w:t>54678313</w:t>
      </w:r>
    </w:p>
    <w:p w14:paraId="23968675" w14:textId="77777777" w:rsidR="002F0CAD" w:rsidRPr="002F0CAD" w:rsidRDefault="002F0CAD" w:rsidP="002F0CAD">
      <w:pPr>
        <w:keepNext/>
        <w:rPr>
          <w:rFonts w:ascii="David" w:hAnsi="David"/>
          <w:color w:val="000000"/>
          <w:sz w:val="22"/>
          <w:szCs w:val="22"/>
          <w:rtl/>
        </w:rPr>
      </w:pPr>
      <w:r w:rsidRPr="002F0CAD">
        <w:rPr>
          <w:rFonts w:ascii="David" w:hAnsi="David"/>
          <w:color w:val="000000"/>
          <w:sz w:val="22"/>
          <w:szCs w:val="22"/>
          <w:rtl/>
        </w:rPr>
        <w:t>מרב גרינברג 54678313</w:t>
      </w:r>
    </w:p>
    <w:p w14:paraId="60B0ED20" w14:textId="77777777" w:rsidR="002F0CAD" w:rsidRDefault="002F0CAD" w:rsidP="002F0CAD">
      <w:r w:rsidRPr="002F0CAD">
        <w:rPr>
          <w:color w:val="000000"/>
          <w:rtl/>
        </w:rPr>
        <w:t>נוסח מסמך זה כפוף לשינויי ניסוח ועריכה</w:t>
      </w:r>
    </w:p>
    <w:p w14:paraId="7E85CE6C" w14:textId="77777777" w:rsidR="002F0CAD" w:rsidRDefault="002F0CAD" w:rsidP="002F0CAD">
      <w:pPr>
        <w:rPr>
          <w:rtl/>
        </w:rPr>
      </w:pPr>
    </w:p>
    <w:p w14:paraId="6E4CF15A" w14:textId="77777777" w:rsidR="002F0CAD" w:rsidRDefault="002F0CAD" w:rsidP="002F0CAD">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sectPr w:rsidR="002F0CAD" w:rsidSect="002117E3">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18111" w14:textId="77777777" w:rsidR="00097139" w:rsidRDefault="00097139" w:rsidP="00B04E18">
      <w:r>
        <w:separator/>
      </w:r>
    </w:p>
  </w:endnote>
  <w:endnote w:type="continuationSeparator" w:id="0">
    <w:p w14:paraId="01E86AFF" w14:textId="77777777" w:rsidR="00097139" w:rsidRDefault="00097139" w:rsidP="00B0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95ED0" w14:textId="77777777" w:rsidR="002117E3" w:rsidRDefault="002117E3" w:rsidP="002117E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F7519D" w14:textId="77777777" w:rsidR="003C6A16" w:rsidRPr="002117E3" w:rsidRDefault="002117E3" w:rsidP="002117E3">
    <w:pPr>
      <w:pStyle w:val="a5"/>
      <w:pBdr>
        <w:top w:val="single" w:sz="4" w:space="1" w:color="auto"/>
        <w:between w:val="single" w:sz="4" w:space="0" w:color="auto"/>
      </w:pBdr>
      <w:spacing w:after="60"/>
      <w:jc w:val="center"/>
      <w:rPr>
        <w:rFonts w:ascii="FrankRuehl" w:hAnsi="FrankRuehl" w:cs="FrankRuehl"/>
        <w:color w:val="000000"/>
      </w:rPr>
    </w:pPr>
    <w:r w:rsidRPr="002117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37FDA" w14:textId="77777777" w:rsidR="002117E3" w:rsidRDefault="002117E3" w:rsidP="002117E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3202">
      <w:rPr>
        <w:rFonts w:ascii="FrankRuehl" w:hAnsi="FrankRuehl" w:cs="FrankRuehl"/>
        <w:noProof/>
        <w:rtl/>
      </w:rPr>
      <w:t>1</w:t>
    </w:r>
    <w:r>
      <w:rPr>
        <w:rFonts w:ascii="FrankRuehl" w:hAnsi="FrankRuehl" w:cs="FrankRuehl"/>
        <w:rtl/>
      </w:rPr>
      <w:fldChar w:fldCharType="end"/>
    </w:r>
  </w:p>
  <w:p w14:paraId="7E1CBDE9" w14:textId="77777777" w:rsidR="003C6A16" w:rsidRPr="002117E3" w:rsidRDefault="002117E3" w:rsidP="002117E3">
    <w:pPr>
      <w:pStyle w:val="a5"/>
      <w:pBdr>
        <w:top w:val="single" w:sz="4" w:space="1" w:color="auto"/>
        <w:between w:val="single" w:sz="4" w:space="0" w:color="auto"/>
      </w:pBdr>
      <w:spacing w:after="60"/>
      <w:jc w:val="center"/>
      <w:rPr>
        <w:rFonts w:ascii="FrankRuehl" w:hAnsi="FrankRuehl" w:cs="FrankRuehl"/>
        <w:color w:val="000000"/>
      </w:rPr>
    </w:pPr>
    <w:r w:rsidRPr="002117E3">
      <w:rPr>
        <w:rFonts w:ascii="FrankRuehl" w:hAnsi="FrankRuehl" w:cs="FrankRuehl"/>
        <w:color w:val="000000"/>
      </w:rPr>
      <w:pict w14:anchorId="5E7FC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D8710" w14:textId="77777777" w:rsidR="00097139" w:rsidRDefault="00097139" w:rsidP="00B04E18">
      <w:r>
        <w:separator/>
      </w:r>
    </w:p>
  </w:footnote>
  <w:footnote w:type="continuationSeparator" w:id="0">
    <w:p w14:paraId="11971257" w14:textId="77777777" w:rsidR="00097139" w:rsidRDefault="00097139" w:rsidP="00B0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7C19A" w14:textId="77777777" w:rsidR="002F0CAD" w:rsidRPr="002117E3" w:rsidRDefault="002117E3" w:rsidP="002117E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17002-01-24</w:t>
    </w:r>
    <w:r>
      <w:rPr>
        <w:rFonts w:ascii="David" w:hAnsi="David"/>
        <w:color w:val="000000"/>
        <w:sz w:val="22"/>
        <w:szCs w:val="22"/>
        <w:rtl/>
      </w:rPr>
      <w:tab/>
      <w:t xml:space="preserve"> מדינת ישראל נ' סאבר אבו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7651E" w14:textId="77777777" w:rsidR="002F0CAD" w:rsidRPr="002117E3" w:rsidRDefault="002117E3" w:rsidP="002117E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17002-01-24</w:t>
    </w:r>
    <w:r>
      <w:rPr>
        <w:rFonts w:ascii="David" w:hAnsi="David"/>
        <w:color w:val="000000"/>
        <w:sz w:val="22"/>
        <w:szCs w:val="22"/>
        <w:rtl/>
      </w:rPr>
      <w:tab/>
      <w:t xml:space="preserve"> מדינת ישראל נ' סאבר אבו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6ABE6A52"/>
    <w:lvl w:ilvl="0" w:tplc="3E76A852">
      <w:start w:val="1"/>
      <w:numFmt w:val="decimal"/>
      <w:lvlText w:val="%1."/>
      <w:lvlJc w:val="left"/>
      <w:pPr>
        <w:ind w:left="644"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33441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17578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5E2B"/>
    <w:rsid w:val="00085E2B"/>
    <w:rsid w:val="00097139"/>
    <w:rsid w:val="0018641C"/>
    <w:rsid w:val="002117E3"/>
    <w:rsid w:val="002F0CAD"/>
    <w:rsid w:val="003C6A16"/>
    <w:rsid w:val="00676B76"/>
    <w:rsid w:val="006A3E33"/>
    <w:rsid w:val="00A55584"/>
    <w:rsid w:val="00B04E18"/>
    <w:rsid w:val="00F532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A5126C"/>
  <w15:chartTrackingRefBased/>
  <w15:docId w15:val="{E54084BF-C791-4F3B-9C94-796D9935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5E2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5E2B"/>
    <w:pPr>
      <w:tabs>
        <w:tab w:val="center" w:pos="4153"/>
        <w:tab w:val="right" w:pos="8306"/>
      </w:tabs>
    </w:pPr>
  </w:style>
  <w:style w:type="character" w:customStyle="1" w:styleId="a4">
    <w:name w:val="כותרת עליונה תו"/>
    <w:link w:val="a3"/>
    <w:rsid w:val="00085E2B"/>
    <w:rPr>
      <w:rFonts w:ascii="Times New Roman" w:eastAsia="Times New Roman" w:hAnsi="Times New Roman" w:cs="David"/>
      <w:sz w:val="24"/>
      <w:szCs w:val="24"/>
    </w:rPr>
  </w:style>
  <w:style w:type="paragraph" w:styleId="a5">
    <w:name w:val="footer"/>
    <w:basedOn w:val="a"/>
    <w:link w:val="a6"/>
    <w:rsid w:val="00085E2B"/>
    <w:pPr>
      <w:tabs>
        <w:tab w:val="center" w:pos="4153"/>
        <w:tab w:val="right" w:pos="8306"/>
      </w:tabs>
    </w:pPr>
  </w:style>
  <w:style w:type="character" w:customStyle="1" w:styleId="a6">
    <w:name w:val="כותרת תחתונה תו"/>
    <w:link w:val="a5"/>
    <w:rsid w:val="00085E2B"/>
    <w:rPr>
      <w:rFonts w:ascii="Times New Roman" w:eastAsia="Times New Roman" w:hAnsi="Times New Roman" w:cs="David"/>
      <w:sz w:val="24"/>
      <w:szCs w:val="24"/>
    </w:rPr>
  </w:style>
  <w:style w:type="table" w:styleId="a7">
    <w:name w:val="Table Grid"/>
    <w:basedOn w:val="a1"/>
    <w:rsid w:val="00085E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5E2B"/>
  </w:style>
  <w:style w:type="paragraph" w:styleId="a9">
    <w:name w:val="List Paragraph"/>
    <w:basedOn w:val="a"/>
    <w:qFormat/>
    <w:rsid w:val="00085E2B"/>
    <w:pPr>
      <w:ind w:left="720"/>
      <w:contextualSpacing/>
    </w:pPr>
    <w:rPr>
      <w:rFonts w:ascii="David" w:eastAsia="David" w:hAnsi="David"/>
    </w:rPr>
  </w:style>
  <w:style w:type="character" w:styleId="Hyperlink">
    <w:name w:val="Hyperlink"/>
    <w:rsid w:val="002F0CA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7894608" TargetMode="External"/><Relationship Id="rId18" Type="http://schemas.openxmlformats.org/officeDocument/2006/relationships/hyperlink" Target="http://www.nevo.co.il/case/2888308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7502726"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44" TargetMode="External"/><Relationship Id="rId17" Type="http://schemas.openxmlformats.org/officeDocument/2006/relationships/hyperlink" Target="http://www.nevo.co.il/case/5568354" TargetMode="External"/><Relationship Id="rId25" Type="http://schemas.openxmlformats.org/officeDocument/2006/relationships/hyperlink" Target="http://www.nevo.co.il/case/29390630" TargetMode="External"/><Relationship Id="rId2" Type="http://schemas.openxmlformats.org/officeDocument/2006/relationships/styles" Target="styles.xml"/><Relationship Id="rId16" Type="http://schemas.openxmlformats.org/officeDocument/2006/relationships/hyperlink" Target="http://www.nevo.co.il/case/28452933" TargetMode="External"/><Relationship Id="rId20" Type="http://schemas.openxmlformats.org/officeDocument/2006/relationships/hyperlink" Target="http://www.nevo.co.il/case/2891608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909853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8152132" TargetMode="External"/><Relationship Id="rId23" Type="http://schemas.openxmlformats.org/officeDocument/2006/relationships/hyperlink" Target="http://www.nevo.co.il/case/28380863" TargetMode="External"/><Relationship Id="rId28"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2860115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44" TargetMode="External"/><Relationship Id="rId14" Type="http://schemas.openxmlformats.org/officeDocument/2006/relationships/hyperlink" Target="http://www.nevo.co.il/case/27911638" TargetMode="External"/><Relationship Id="rId22" Type="http://schemas.openxmlformats.org/officeDocument/2006/relationships/hyperlink" Target="http://www.nevo.co.il/case/2749482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1642</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9834</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3276914</vt:i4>
      </vt:variant>
      <vt:variant>
        <vt:i4>54</vt:i4>
      </vt:variant>
      <vt:variant>
        <vt:i4>0</vt:i4>
      </vt:variant>
      <vt:variant>
        <vt:i4>5</vt:i4>
      </vt:variant>
      <vt:variant>
        <vt:lpwstr>http://www.nevo.co.il/case/29390630</vt:lpwstr>
      </vt:variant>
      <vt:variant>
        <vt:lpwstr/>
      </vt:variant>
      <vt:variant>
        <vt:i4>3735665</vt:i4>
      </vt:variant>
      <vt:variant>
        <vt:i4>51</vt:i4>
      </vt:variant>
      <vt:variant>
        <vt:i4>0</vt:i4>
      </vt:variant>
      <vt:variant>
        <vt:i4>5</vt:i4>
      </vt:variant>
      <vt:variant>
        <vt:lpwstr>http://www.nevo.co.il/case/29098539</vt:lpwstr>
      </vt:variant>
      <vt:variant>
        <vt:lpwstr/>
      </vt:variant>
      <vt:variant>
        <vt:i4>3604604</vt:i4>
      </vt:variant>
      <vt:variant>
        <vt:i4>48</vt:i4>
      </vt:variant>
      <vt:variant>
        <vt:i4>0</vt:i4>
      </vt:variant>
      <vt:variant>
        <vt:i4>5</vt:i4>
      </vt:variant>
      <vt:variant>
        <vt:lpwstr>http://www.nevo.co.il/case/28380863</vt:lpwstr>
      </vt:variant>
      <vt:variant>
        <vt:lpwstr/>
      </vt:variant>
      <vt:variant>
        <vt:i4>3145842</vt:i4>
      </vt:variant>
      <vt:variant>
        <vt:i4>45</vt:i4>
      </vt:variant>
      <vt:variant>
        <vt:i4>0</vt:i4>
      </vt:variant>
      <vt:variant>
        <vt:i4>5</vt:i4>
      </vt:variant>
      <vt:variant>
        <vt:lpwstr>http://www.nevo.co.il/case/27494821</vt:lpwstr>
      </vt:variant>
      <vt:variant>
        <vt:lpwstr/>
      </vt:variant>
      <vt:variant>
        <vt:i4>3604596</vt:i4>
      </vt:variant>
      <vt:variant>
        <vt:i4>42</vt:i4>
      </vt:variant>
      <vt:variant>
        <vt:i4>0</vt:i4>
      </vt:variant>
      <vt:variant>
        <vt:i4>5</vt:i4>
      </vt:variant>
      <vt:variant>
        <vt:lpwstr>http://www.nevo.co.il/case/27502726</vt:lpwstr>
      </vt:variant>
      <vt:variant>
        <vt:lpwstr/>
      </vt:variant>
      <vt:variant>
        <vt:i4>3473533</vt:i4>
      </vt:variant>
      <vt:variant>
        <vt:i4>39</vt:i4>
      </vt:variant>
      <vt:variant>
        <vt:i4>0</vt:i4>
      </vt:variant>
      <vt:variant>
        <vt:i4>5</vt:i4>
      </vt:variant>
      <vt:variant>
        <vt:lpwstr>http://www.nevo.co.il/case/28916087</vt:lpwstr>
      </vt:variant>
      <vt:variant>
        <vt:lpwstr/>
      </vt:variant>
      <vt:variant>
        <vt:i4>3145853</vt:i4>
      </vt:variant>
      <vt:variant>
        <vt:i4>36</vt:i4>
      </vt:variant>
      <vt:variant>
        <vt:i4>0</vt:i4>
      </vt:variant>
      <vt:variant>
        <vt:i4>5</vt:i4>
      </vt:variant>
      <vt:variant>
        <vt:lpwstr>http://www.nevo.co.il/case/28601157</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3407996</vt:i4>
      </vt:variant>
      <vt:variant>
        <vt:i4>30</vt:i4>
      </vt:variant>
      <vt:variant>
        <vt:i4>0</vt:i4>
      </vt:variant>
      <vt:variant>
        <vt:i4>5</vt:i4>
      </vt:variant>
      <vt:variant>
        <vt:lpwstr>http://www.nevo.co.il/case/5568354</vt:lpwstr>
      </vt:variant>
      <vt:variant>
        <vt:lpwstr/>
      </vt:variant>
      <vt:variant>
        <vt:i4>3604592</vt:i4>
      </vt:variant>
      <vt:variant>
        <vt:i4>27</vt:i4>
      </vt:variant>
      <vt:variant>
        <vt:i4>0</vt:i4>
      </vt:variant>
      <vt:variant>
        <vt:i4>5</vt:i4>
      </vt:variant>
      <vt:variant>
        <vt:lpwstr>http://www.nevo.co.il/case/28452933</vt:lpwstr>
      </vt:variant>
      <vt:variant>
        <vt:lpwstr/>
      </vt:variant>
      <vt:variant>
        <vt:i4>3276920</vt:i4>
      </vt:variant>
      <vt:variant>
        <vt:i4>24</vt:i4>
      </vt:variant>
      <vt:variant>
        <vt:i4>0</vt:i4>
      </vt:variant>
      <vt:variant>
        <vt:i4>5</vt:i4>
      </vt:variant>
      <vt:variant>
        <vt:lpwstr>http://www.nevo.co.il/case/28152132</vt:lpwstr>
      </vt:variant>
      <vt:variant>
        <vt:lpwstr/>
      </vt:variant>
      <vt:variant>
        <vt:i4>3735668</vt:i4>
      </vt:variant>
      <vt:variant>
        <vt:i4>21</vt:i4>
      </vt:variant>
      <vt:variant>
        <vt:i4>0</vt:i4>
      </vt:variant>
      <vt:variant>
        <vt:i4>5</vt:i4>
      </vt:variant>
      <vt:variant>
        <vt:lpwstr>http://www.nevo.co.il/case/27911638</vt:lpwstr>
      </vt:variant>
      <vt:variant>
        <vt:lpwstr/>
      </vt:variant>
      <vt:variant>
        <vt:i4>4063356</vt:i4>
      </vt:variant>
      <vt:variant>
        <vt:i4>18</vt:i4>
      </vt:variant>
      <vt:variant>
        <vt:i4>0</vt:i4>
      </vt:variant>
      <vt:variant>
        <vt:i4>5</vt:i4>
      </vt:variant>
      <vt:variant>
        <vt:lpwstr>http://www.nevo.co.il/case/27894608</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2025-04-25T11:00:00Z</dcterms:created>
  <dcterms:modified xsi:type="dcterms:W3CDTF">2025-04-25T11:00:00Z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17002</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סאבר אבו גאבר;איה מסעוד</vt:lpwstr>
  </property>
  <property fmtid="{D5CDD505-2E9C-101B-9397-08002B2CF9AE}" pid="10" name="LAWYER">
    <vt:lpwstr>יעל תרם;ששון בר עוז;חאג'</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20241014</vt:lpwstr>
  </property>
  <property fmtid="{D5CDD505-2E9C-101B-9397-08002B2CF9AE}" pid="14" name="TYPE_N_DATE">
    <vt:lpwstr>39020241014</vt:lpwstr>
  </property>
  <property fmtid="{D5CDD505-2E9C-101B-9397-08002B2CF9AE}" pid="15" name="CASESLISTTMP1">
    <vt:lpwstr>27894608;27911638;28152132;28452933;5568354;28883087;28601157;28916087;27502726;27494821;28380863;29098539;29390630</vt:lpwstr>
  </property>
  <property fmtid="{D5CDD505-2E9C-101B-9397-08002B2CF9AE}" pid="16" name="CASENOTES1">
    <vt:lpwstr>ProcID=209&amp;PartA=46340&amp;PartB=07&amp;PartC=23</vt:lpwstr>
  </property>
  <property fmtid="{D5CDD505-2E9C-101B-9397-08002B2CF9AE}" pid="17" name="CASENOTES2">
    <vt:lpwstr>ProcID=133;209&amp;PartA=78&amp;PartC=21</vt:lpwstr>
  </property>
  <property fmtid="{D5CDD505-2E9C-101B-9397-08002B2CF9AE}" pid="18" name="WORDNUMPAGES">
    <vt:lpwstr>6</vt:lpwstr>
  </property>
  <property fmtid="{D5CDD505-2E9C-101B-9397-08002B2CF9AE}" pid="19" name="TYPE_ABS_DATE">
    <vt:lpwstr>390020241014</vt:lpwstr>
  </property>
  <property fmtid="{D5CDD505-2E9C-101B-9397-08002B2CF9AE}" pid="20" name="ISABSTRACT">
    <vt:lpwstr>Y</vt:lpwstr>
  </property>
  <property fmtid="{D5CDD505-2E9C-101B-9397-08002B2CF9AE}" pid="21" name="LAWLISTTMP1">
    <vt:lpwstr>70301/144.b;244</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