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4580D" w:rsidRPr="00AF7947" w14:paraId="6B01E838" w14:textId="77777777" w:rsidTr="00911966">
        <w:trPr>
          <w:trHeight w:hRule="exact" w:val="418"/>
          <w:jc w:val="center"/>
        </w:trPr>
        <w:tc>
          <w:tcPr>
            <w:tcW w:w="8721" w:type="dxa"/>
            <w:gridSpan w:val="2"/>
          </w:tcPr>
          <w:p w14:paraId="698D40F5" w14:textId="77777777" w:rsidR="0094580D" w:rsidRPr="00AF7947" w:rsidRDefault="0094580D" w:rsidP="00A80E0B">
            <w:pPr>
              <w:pStyle w:val="a3"/>
              <w:jc w:val="center"/>
              <w:rPr>
                <w:rFonts w:ascii="Tahoma" w:hAnsi="Tahoma" w:cs="Tahoma"/>
                <w:color w:val="000080"/>
                <w:rtl/>
              </w:rPr>
            </w:pPr>
            <w:bookmarkStart w:id="0" w:name="LastJudge"/>
            <w:r w:rsidRPr="00AF7947">
              <w:rPr>
                <w:rFonts w:ascii="Tahoma" w:hAnsi="Tahoma" w:cs="Tahoma"/>
                <w:b/>
                <w:bCs/>
                <w:color w:val="000080"/>
                <w:rtl/>
              </w:rPr>
              <w:t>בית המשפט המחוזי בחיפה</w:t>
            </w:r>
          </w:p>
        </w:tc>
      </w:tr>
      <w:tr w:rsidR="0094580D" w:rsidRPr="00AF7947" w14:paraId="6F6A05F2" w14:textId="77777777" w:rsidTr="00911966">
        <w:trPr>
          <w:trHeight w:val="337"/>
          <w:jc w:val="center"/>
        </w:trPr>
        <w:tc>
          <w:tcPr>
            <w:tcW w:w="5054" w:type="dxa"/>
          </w:tcPr>
          <w:p w14:paraId="433697CB" w14:textId="77777777" w:rsidR="0094580D" w:rsidRPr="00AF7947" w:rsidRDefault="0094580D" w:rsidP="00A80E0B">
            <w:pPr>
              <w:rPr>
                <w:rFonts w:cs="FrankRuehl"/>
                <w:sz w:val="28"/>
                <w:szCs w:val="28"/>
                <w:rtl/>
              </w:rPr>
            </w:pPr>
            <w:r w:rsidRPr="00AF7947">
              <w:rPr>
                <w:rFonts w:cs="FrankRuehl"/>
                <w:sz w:val="28"/>
                <w:szCs w:val="28"/>
                <w:rtl/>
              </w:rPr>
              <w:t>ת"פ</w:t>
            </w:r>
            <w:r w:rsidRPr="00AF7947">
              <w:rPr>
                <w:rFonts w:cs="FrankRuehl" w:hint="cs"/>
                <w:sz w:val="28"/>
                <w:szCs w:val="28"/>
                <w:rtl/>
              </w:rPr>
              <w:t xml:space="preserve"> </w:t>
            </w:r>
            <w:r w:rsidRPr="00AF7947">
              <w:rPr>
                <w:rFonts w:cs="FrankRuehl"/>
                <w:sz w:val="28"/>
                <w:szCs w:val="28"/>
                <w:rtl/>
              </w:rPr>
              <w:t>6968-01-24</w:t>
            </w:r>
            <w:r w:rsidRPr="00AF7947">
              <w:rPr>
                <w:rFonts w:cs="FrankRuehl" w:hint="cs"/>
                <w:sz w:val="28"/>
                <w:szCs w:val="28"/>
                <w:rtl/>
              </w:rPr>
              <w:t xml:space="preserve"> </w:t>
            </w:r>
            <w:r w:rsidRPr="00AF7947">
              <w:rPr>
                <w:rFonts w:cs="FrankRuehl"/>
                <w:sz w:val="28"/>
                <w:szCs w:val="28"/>
                <w:rtl/>
              </w:rPr>
              <w:t>מדינת ישראל נ' אבו עיאש</w:t>
            </w:r>
            <w:r w:rsidRPr="00AF7947">
              <w:rPr>
                <w:rFonts w:cs="FrankRuehl" w:hint="cs"/>
                <w:sz w:val="28"/>
                <w:szCs w:val="28"/>
                <w:rtl/>
              </w:rPr>
              <w:t xml:space="preserve"> </w:t>
            </w:r>
            <w:r w:rsidRPr="00AF7947">
              <w:rPr>
                <w:rFonts w:cs="FrankRuehl"/>
                <w:sz w:val="28"/>
                <w:szCs w:val="28"/>
                <w:rtl/>
              </w:rPr>
              <w:t>(עציר)</w:t>
            </w:r>
          </w:p>
          <w:p w14:paraId="206A0C82" w14:textId="77777777" w:rsidR="0094580D" w:rsidRPr="00AF7947" w:rsidRDefault="0094580D" w:rsidP="00A80E0B">
            <w:pPr>
              <w:pStyle w:val="a3"/>
              <w:rPr>
                <w:rFonts w:cs="FrankRuehl"/>
                <w:sz w:val="28"/>
                <w:szCs w:val="28"/>
                <w:rtl/>
              </w:rPr>
            </w:pPr>
          </w:p>
        </w:tc>
        <w:tc>
          <w:tcPr>
            <w:tcW w:w="3667" w:type="dxa"/>
          </w:tcPr>
          <w:p w14:paraId="1F6E8ED3" w14:textId="77777777" w:rsidR="0094580D" w:rsidRPr="00AF7947" w:rsidRDefault="0094580D" w:rsidP="00A80E0B">
            <w:pPr>
              <w:pStyle w:val="a3"/>
              <w:jc w:val="right"/>
              <w:rPr>
                <w:rFonts w:cs="FrankRuehl"/>
                <w:sz w:val="28"/>
                <w:szCs w:val="28"/>
                <w:rtl/>
              </w:rPr>
            </w:pPr>
          </w:p>
        </w:tc>
      </w:tr>
    </w:tbl>
    <w:p w14:paraId="51731830" w14:textId="77777777" w:rsidR="0094580D" w:rsidRPr="00AF7947" w:rsidRDefault="0094580D" w:rsidP="0094580D">
      <w:pPr>
        <w:pStyle w:val="a3"/>
        <w:rPr>
          <w:rtl/>
        </w:rPr>
      </w:pPr>
      <w:r w:rsidRPr="00AF7947">
        <w:rPr>
          <w:rFonts w:hint="cs"/>
          <w:rtl/>
        </w:rPr>
        <w:t xml:space="preserve"> </w:t>
      </w:r>
    </w:p>
    <w:p w14:paraId="4773CC45" w14:textId="77777777" w:rsidR="0094580D" w:rsidRPr="00AF7947" w:rsidRDefault="0094580D" w:rsidP="0094580D">
      <w:pPr>
        <w:rPr>
          <w:sz w:val="26"/>
          <w:szCs w:val="26"/>
          <w:rtl/>
        </w:rPr>
      </w:pPr>
    </w:p>
    <w:p w14:paraId="40703CF2" w14:textId="77777777" w:rsidR="0094580D" w:rsidRPr="00AF7947" w:rsidRDefault="0094580D" w:rsidP="0094580D">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4580D" w:rsidRPr="00AF7947" w14:paraId="592D40F1" w14:textId="77777777" w:rsidTr="0094580D">
        <w:trPr>
          <w:trHeight w:val="295"/>
          <w:jc w:val="center"/>
        </w:trPr>
        <w:tc>
          <w:tcPr>
            <w:tcW w:w="923" w:type="dxa"/>
            <w:tcBorders>
              <w:top w:val="nil"/>
              <w:left w:val="nil"/>
              <w:bottom w:val="nil"/>
              <w:right w:val="nil"/>
            </w:tcBorders>
            <w:shd w:val="clear" w:color="auto" w:fill="auto"/>
          </w:tcPr>
          <w:p w14:paraId="2CDEED80" w14:textId="77777777" w:rsidR="0094580D" w:rsidRPr="00AF7947" w:rsidRDefault="0094580D" w:rsidP="0094580D">
            <w:pPr>
              <w:jc w:val="both"/>
              <w:rPr>
                <w:rFonts w:ascii="David" w:hAnsi="David"/>
                <w:sz w:val="26"/>
                <w:szCs w:val="26"/>
              </w:rPr>
            </w:pPr>
            <w:r w:rsidRPr="00AF7947">
              <w:rPr>
                <w:rFonts w:ascii="David" w:hAnsi="David" w:hint="cs"/>
                <w:sz w:val="26"/>
                <w:szCs w:val="26"/>
                <w:rtl/>
              </w:rPr>
              <w:t>ל</w:t>
            </w:r>
            <w:r w:rsidRPr="00AF794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F4A1C51" w14:textId="77777777" w:rsidR="0094580D" w:rsidRPr="00AF7947" w:rsidRDefault="0094580D" w:rsidP="00A80E0B">
            <w:pPr>
              <w:rPr>
                <w:rFonts w:ascii="David" w:hAnsi="David"/>
                <w:b/>
                <w:bCs/>
                <w:sz w:val="26"/>
                <w:szCs w:val="26"/>
              </w:rPr>
            </w:pPr>
            <w:r w:rsidRPr="00AF7947">
              <w:rPr>
                <w:rFonts w:ascii="David" w:hAnsi="David"/>
                <w:b/>
                <w:bCs/>
                <w:sz w:val="26"/>
                <w:szCs w:val="26"/>
                <w:rtl/>
              </w:rPr>
              <w:t>כבוד השופט נתנאל בנישו</w:t>
            </w:r>
          </w:p>
        </w:tc>
      </w:tr>
      <w:tr w:rsidR="0094580D" w:rsidRPr="00AF7947" w14:paraId="57612D7E" w14:textId="77777777" w:rsidTr="0094580D">
        <w:trPr>
          <w:trHeight w:val="355"/>
          <w:jc w:val="center"/>
        </w:trPr>
        <w:tc>
          <w:tcPr>
            <w:tcW w:w="923" w:type="dxa"/>
            <w:tcBorders>
              <w:top w:val="nil"/>
              <w:left w:val="nil"/>
              <w:bottom w:val="nil"/>
              <w:right w:val="nil"/>
            </w:tcBorders>
            <w:shd w:val="clear" w:color="auto" w:fill="auto"/>
          </w:tcPr>
          <w:p w14:paraId="38213E95" w14:textId="77777777" w:rsidR="0094580D" w:rsidRPr="00AF7947" w:rsidRDefault="0094580D" w:rsidP="0094580D">
            <w:pPr>
              <w:jc w:val="both"/>
              <w:rPr>
                <w:rFonts w:ascii="David" w:hAnsi="David"/>
                <w:sz w:val="26"/>
                <w:szCs w:val="26"/>
              </w:rPr>
            </w:pPr>
            <w:bookmarkStart w:id="1" w:name="FirstAppellant"/>
            <w:bookmarkStart w:id="2" w:name="FirstLawyer"/>
            <w:r w:rsidRPr="00AF7947">
              <w:rPr>
                <w:rFonts w:ascii="David" w:hAnsi="David"/>
                <w:sz w:val="26"/>
                <w:szCs w:val="26"/>
                <w:rtl/>
              </w:rPr>
              <w:t>בעניין:</w:t>
            </w:r>
          </w:p>
        </w:tc>
        <w:tc>
          <w:tcPr>
            <w:tcW w:w="3219" w:type="dxa"/>
            <w:tcBorders>
              <w:top w:val="nil"/>
              <w:left w:val="nil"/>
              <w:bottom w:val="nil"/>
              <w:right w:val="nil"/>
            </w:tcBorders>
            <w:shd w:val="clear" w:color="auto" w:fill="auto"/>
          </w:tcPr>
          <w:p w14:paraId="6E6ABC95" w14:textId="77777777" w:rsidR="0094580D" w:rsidRPr="00AF7947" w:rsidRDefault="0094580D" w:rsidP="0094580D">
            <w:pPr>
              <w:suppressLineNumbers/>
            </w:pPr>
            <w:r w:rsidRPr="00AF7947">
              <w:rPr>
                <w:rFonts w:ascii="Arial" w:hAnsi="Arial" w:hint="cs"/>
                <w:b/>
                <w:bCs/>
                <w:sz w:val="26"/>
                <w:szCs w:val="26"/>
                <w:rtl/>
              </w:rPr>
              <w:t>ה</w:t>
            </w:r>
            <w:r w:rsidRPr="00AF7947">
              <w:rPr>
                <w:rFonts w:ascii="Arial" w:hAnsi="Arial"/>
                <w:b/>
                <w:bCs/>
                <w:sz w:val="26"/>
                <w:szCs w:val="26"/>
                <w:rtl/>
              </w:rPr>
              <w:t>מאשימה</w:t>
            </w:r>
          </w:p>
          <w:p w14:paraId="0FD193E5" w14:textId="77777777" w:rsidR="0094580D" w:rsidRPr="00AF7947" w:rsidRDefault="0094580D" w:rsidP="00A80E0B">
            <w:pPr>
              <w:rPr>
                <w:rFonts w:ascii="David" w:hAnsi="David"/>
                <w:sz w:val="26"/>
                <w:szCs w:val="26"/>
              </w:rPr>
            </w:pPr>
          </w:p>
        </w:tc>
        <w:tc>
          <w:tcPr>
            <w:tcW w:w="4678" w:type="dxa"/>
            <w:tcBorders>
              <w:top w:val="nil"/>
              <w:left w:val="nil"/>
              <w:bottom w:val="nil"/>
              <w:right w:val="nil"/>
            </w:tcBorders>
            <w:shd w:val="clear" w:color="auto" w:fill="auto"/>
            <w:vAlign w:val="center"/>
          </w:tcPr>
          <w:p w14:paraId="76238417" w14:textId="77777777" w:rsidR="0094580D" w:rsidRPr="00AF7947" w:rsidRDefault="0094580D" w:rsidP="0094580D">
            <w:pPr>
              <w:suppressLineNumbers/>
              <w:rPr>
                <w:rFonts w:ascii="Arial" w:hAnsi="Arial"/>
                <w:b/>
                <w:bCs/>
                <w:sz w:val="26"/>
                <w:szCs w:val="26"/>
                <w:rtl/>
              </w:rPr>
            </w:pPr>
            <w:r w:rsidRPr="00AF7947">
              <w:rPr>
                <w:rFonts w:ascii="Arial" w:hAnsi="Arial"/>
                <w:b/>
                <w:bCs/>
                <w:sz w:val="26"/>
                <w:szCs w:val="26"/>
                <w:rtl/>
              </w:rPr>
              <w:t>מדינת ישראל</w:t>
            </w:r>
            <w:r w:rsidRPr="00AF7947">
              <w:rPr>
                <w:rFonts w:ascii="Arial" w:hAnsi="Arial" w:hint="cs"/>
                <w:b/>
                <w:bCs/>
                <w:sz w:val="26"/>
                <w:szCs w:val="26"/>
                <w:rtl/>
              </w:rPr>
              <w:t xml:space="preserve"> </w:t>
            </w:r>
          </w:p>
          <w:p w14:paraId="4B8F66A2" w14:textId="77777777" w:rsidR="0094580D" w:rsidRPr="00AF7947" w:rsidRDefault="0094580D" w:rsidP="0094580D">
            <w:pPr>
              <w:suppressLineNumbers/>
              <w:rPr>
                <w:rFonts w:ascii="David" w:hAnsi="David"/>
                <w:sz w:val="26"/>
                <w:szCs w:val="26"/>
              </w:rPr>
            </w:pPr>
            <w:r w:rsidRPr="00AF7947">
              <w:rPr>
                <w:rFonts w:ascii="Arial" w:hAnsi="Arial"/>
                <w:sz w:val="26"/>
                <w:szCs w:val="26"/>
                <w:rtl/>
              </w:rPr>
              <w:t>ע"י</w:t>
            </w:r>
            <w:r w:rsidRPr="00AF7947">
              <w:rPr>
                <w:rFonts w:ascii="Arial" w:hAnsi="Arial" w:hint="cs"/>
                <w:sz w:val="26"/>
                <w:szCs w:val="26"/>
                <w:rtl/>
              </w:rPr>
              <w:t xml:space="preserve"> פרקליטות מחוז חיפה</w:t>
            </w:r>
          </w:p>
        </w:tc>
      </w:tr>
      <w:bookmarkEnd w:id="1"/>
      <w:bookmarkEnd w:id="2"/>
      <w:tr w:rsidR="0094580D" w:rsidRPr="00AF7947" w14:paraId="4787FC5D" w14:textId="77777777" w:rsidTr="0094580D">
        <w:trPr>
          <w:trHeight w:val="355"/>
          <w:jc w:val="center"/>
        </w:trPr>
        <w:tc>
          <w:tcPr>
            <w:tcW w:w="923" w:type="dxa"/>
            <w:tcBorders>
              <w:top w:val="nil"/>
              <w:left w:val="nil"/>
              <w:bottom w:val="nil"/>
              <w:right w:val="nil"/>
            </w:tcBorders>
            <w:shd w:val="clear" w:color="auto" w:fill="auto"/>
          </w:tcPr>
          <w:p w14:paraId="461B100B" w14:textId="77777777" w:rsidR="0094580D" w:rsidRPr="00AF7947" w:rsidRDefault="0094580D" w:rsidP="0094580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7434499" w14:textId="77777777" w:rsidR="0094580D" w:rsidRPr="00AF7947" w:rsidRDefault="0094580D" w:rsidP="0094580D">
            <w:pPr>
              <w:jc w:val="center"/>
              <w:rPr>
                <w:rFonts w:ascii="David" w:hAnsi="David"/>
                <w:b/>
                <w:bCs/>
                <w:sz w:val="26"/>
                <w:szCs w:val="26"/>
                <w:rtl/>
              </w:rPr>
            </w:pPr>
          </w:p>
          <w:p w14:paraId="0AAB69D1" w14:textId="77777777" w:rsidR="0094580D" w:rsidRPr="00AF7947" w:rsidRDefault="0094580D" w:rsidP="0094580D">
            <w:pPr>
              <w:jc w:val="center"/>
              <w:rPr>
                <w:rFonts w:ascii="David" w:hAnsi="David"/>
                <w:b/>
                <w:bCs/>
                <w:sz w:val="26"/>
                <w:szCs w:val="26"/>
                <w:rtl/>
              </w:rPr>
            </w:pPr>
            <w:r w:rsidRPr="00AF7947">
              <w:rPr>
                <w:rFonts w:ascii="David" w:hAnsi="David"/>
                <w:b/>
                <w:bCs/>
                <w:sz w:val="26"/>
                <w:szCs w:val="26"/>
                <w:rtl/>
              </w:rPr>
              <w:t>נגד</w:t>
            </w:r>
          </w:p>
          <w:p w14:paraId="6D072E4C" w14:textId="77777777" w:rsidR="0094580D" w:rsidRPr="00AF7947" w:rsidRDefault="0094580D" w:rsidP="0094580D">
            <w:pPr>
              <w:jc w:val="both"/>
              <w:rPr>
                <w:rFonts w:ascii="David" w:hAnsi="David"/>
                <w:sz w:val="26"/>
                <w:szCs w:val="26"/>
              </w:rPr>
            </w:pPr>
          </w:p>
        </w:tc>
      </w:tr>
      <w:tr w:rsidR="0094580D" w:rsidRPr="00AF7947" w14:paraId="4CF5AA14" w14:textId="77777777" w:rsidTr="0094580D">
        <w:trPr>
          <w:trHeight w:val="355"/>
          <w:jc w:val="center"/>
        </w:trPr>
        <w:tc>
          <w:tcPr>
            <w:tcW w:w="923" w:type="dxa"/>
            <w:tcBorders>
              <w:top w:val="nil"/>
              <w:left w:val="nil"/>
              <w:bottom w:val="nil"/>
              <w:right w:val="nil"/>
            </w:tcBorders>
            <w:shd w:val="clear" w:color="auto" w:fill="auto"/>
          </w:tcPr>
          <w:p w14:paraId="46E96536" w14:textId="77777777" w:rsidR="0094580D" w:rsidRPr="00AF7947" w:rsidRDefault="0094580D" w:rsidP="00A80E0B">
            <w:pPr>
              <w:rPr>
                <w:rFonts w:ascii="David" w:hAnsi="David"/>
                <w:sz w:val="26"/>
                <w:szCs w:val="26"/>
                <w:rtl/>
              </w:rPr>
            </w:pPr>
          </w:p>
        </w:tc>
        <w:tc>
          <w:tcPr>
            <w:tcW w:w="3219" w:type="dxa"/>
            <w:tcBorders>
              <w:top w:val="nil"/>
              <w:left w:val="nil"/>
              <w:bottom w:val="nil"/>
              <w:right w:val="nil"/>
            </w:tcBorders>
            <w:shd w:val="clear" w:color="auto" w:fill="auto"/>
          </w:tcPr>
          <w:p w14:paraId="02DC91E7" w14:textId="77777777" w:rsidR="0094580D" w:rsidRPr="00AF7947" w:rsidRDefault="0094580D" w:rsidP="00A80E0B">
            <w:pPr>
              <w:rPr>
                <w:rFonts w:ascii="Arial" w:hAnsi="Arial"/>
                <w:b/>
                <w:bCs/>
                <w:sz w:val="26"/>
                <w:szCs w:val="26"/>
                <w:rtl/>
              </w:rPr>
            </w:pPr>
            <w:r w:rsidRPr="00AF794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2D5F0C1" w14:textId="77777777" w:rsidR="0094580D" w:rsidRPr="00AF7947" w:rsidRDefault="0094580D" w:rsidP="0094580D">
            <w:pPr>
              <w:suppressLineNumbers/>
              <w:rPr>
                <w:rFonts w:ascii="Arial" w:hAnsi="Arial"/>
                <w:b/>
                <w:bCs/>
                <w:sz w:val="26"/>
                <w:szCs w:val="26"/>
                <w:rtl/>
              </w:rPr>
            </w:pPr>
            <w:r w:rsidRPr="00AF7947">
              <w:rPr>
                <w:rFonts w:ascii="Arial" w:hAnsi="Arial"/>
                <w:b/>
                <w:bCs/>
                <w:sz w:val="26"/>
                <w:szCs w:val="26"/>
                <w:rtl/>
              </w:rPr>
              <w:t>אחמד אבו עיאש (עציר)</w:t>
            </w:r>
            <w:r w:rsidRPr="00AF7947">
              <w:rPr>
                <w:rFonts w:ascii="Arial" w:hAnsi="Arial" w:hint="cs"/>
                <w:b/>
                <w:bCs/>
                <w:sz w:val="26"/>
                <w:szCs w:val="26"/>
                <w:rtl/>
              </w:rPr>
              <w:t xml:space="preserve"> </w:t>
            </w:r>
          </w:p>
          <w:p w14:paraId="448211E7" w14:textId="77777777" w:rsidR="0094580D" w:rsidRPr="00AF7947" w:rsidRDefault="0094580D" w:rsidP="0094580D">
            <w:pPr>
              <w:suppressLineNumbers/>
              <w:rPr>
                <w:rFonts w:ascii="David" w:hAnsi="David"/>
                <w:sz w:val="26"/>
                <w:szCs w:val="26"/>
              </w:rPr>
            </w:pPr>
            <w:r w:rsidRPr="00AF7947">
              <w:rPr>
                <w:rFonts w:ascii="Arial" w:hAnsi="Arial"/>
                <w:sz w:val="26"/>
                <w:szCs w:val="26"/>
                <w:rtl/>
              </w:rPr>
              <w:t>ע"י עוה"</w:t>
            </w:r>
            <w:r w:rsidRPr="00AF7947">
              <w:rPr>
                <w:rFonts w:ascii="Arial" w:hAnsi="Arial" w:hint="cs"/>
                <w:sz w:val="26"/>
                <w:szCs w:val="26"/>
                <w:rtl/>
              </w:rPr>
              <w:t>ד בדר אלדין אגבאריה</w:t>
            </w:r>
          </w:p>
        </w:tc>
      </w:tr>
    </w:tbl>
    <w:p w14:paraId="078A8EF8" w14:textId="77777777" w:rsidR="0094580D" w:rsidRPr="00AF7947" w:rsidRDefault="0094580D" w:rsidP="0094580D">
      <w:pPr>
        <w:rPr>
          <w:sz w:val="26"/>
          <w:szCs w:val="26"/>
          <w:rtl/>
        </w:rPr>
      </w:pPr>
    </w:p>
    <w:p w14:paraId="699B816E" w14:textId="77777777" w:rsidR="00911966" w:rsidRPr="00911966" w:rsidRDefault="00911966" w:rsidP="00911966">
      <w:pPr>
        <w:spacing w:before="120" w:after="120" w:line="240" w:lineRule="exact"/>
        <w:ind w:left="283" w:hanging="283"/>
        <w:jc w:val="both"/>
        <w:rPr>
          <w:rFonts w:ascii="FrankRuehl" w:hAnsi="FrankRuehl" w:cs="FrankRuehl"/>
          <w:rtl/>
        </w:rPr>
      </w:pPr>
      <w:bookmarkStart w:id="3" w:name="LawTable"/>
      <w:bookmarkEnd w:id="3"/>
      <w:r w:rsidRPr="00911966">
        <w:rPr>
          <w:rFonts w:ascii="FrankRuehl" w:hAnsi="FrankRuehl" w:cs="FrankRuehl"/>
          <w:rtl/>
        </w:rPr>
        <w:t xml:space="preserve">חקיקה שאוזכרה: </w:t>
      </w:r>
    </w:p>
    <w:p w14:paraId="0DC141CA" w14:textId="77777777" w:rsidR="00911966" w:rsidRPr="00911966" w:rsidRDefault="00911966" w:rsidP="00911966">
      <w:pPr>
        <w:spacing w:before="120" w:after="120" w:line="240" w:lineRule="exact"/>
        <w:ind w:left="283" w:hanging="283"/>
        <w:jc w:val="both"/>
        <w:rPr>
          <w:rFonts w:ascii="FrankRuehl" w:hAnsi="FrankRuehl" w:cs="FrankRuehl"/>
          <w:color w:val="0000FF"/>
          <w:rtl/>
        </w:rPr>
      </w:pPr>
      <w:hyperlink r:id="rId7" w:history="1">
        <w:r w:rsidRPr="00911966">
          <w:rPr>
            <w:rStyle w:val="Hyperlink"/>
            <w:rFonts w:ascii="FrankRuehl" w:hAnsi="FrankRuehl" w:cs="FrankRuehl"/>
            <w:u w:val="none"/>
            <w:rtl/>
          </w:rPr>
          <w:t>חוק העונשין, תשל"ז-1977</w:t>
        </w:r>
      </w:hyperlink>
      <w:r w:rsidRPr="00911966">
        <w:rPr>
          <w:rFonts w:ascii="FrankRuehl" w:hAnsi="FrankRuehl" w:cs="FrankRuehl"/>
          <w:color w:val="0000FF"/>
          <w:rtl/>
        </w:rPr>
        <w:t xml:space="preserve">: סע'  </w:t>
      </w:r>
      <w:hyperlink r:id="rId8" w:history="1">
        <w:r w:rsidRPr="00911966">
          <w:rPr>
            <w:rStyle w:val="Hyperlink"/>
            <w:rFonts w:ascii="FrankRuehl" w:hAnsi="FrankRuehl" w:cs="FrankRuehl"/>
            <w:u w:val="none"/>
          </w:rPr>
          <w:t>144</w:t>
        </w:r>
      </w:hyperlink>
      <w:r w:rsidRPr="00911966">
        <w:rPr>
          <w:rFonts w:ascii="FrankRuehl" w:hAnsi="FrankRuehl" w:cs="FrankRuehl"/>
          <w:color w:val="0000FF"/>
          <w:rtl/>
        </w:rPr>
        <w:t xml:space="preserve">, </w:t>
      </w:r>
      <w:hyperlink r:id="rId9" w:history="1">
        <w:r w:rsidRPr="00911966">
          <w:rPr>
            <w:rStyle w:val="Hyperlink"/>
            <w:rFonts w:ascii="FrankRuehl" w:hAnsi="FrankRuehl" w:cs="FrankRuehl"/>
            <w:u w:val="none"/>
          </w:rPr>
          <w:t xml:space="preserve">144 </w:t>
        </w:r>
      </w:hyperlink>
      <w:r w:rsidRPr="00911966">
        <w:rPr>
          <w:rFonts w:ascii="FrankRuehl" w:hAnsi="FrankRuehl" w:cs="FrankRuehl"/>
          <w:color w:val="0000FF"/>
          <w:rtl/>
        </w:rPr>
        <w:t xml:space="preserve">(א), </w:t>
      </w:r>
      <w:hyperlink r:id="rId10" w:history="1">
        <w:r w:rsidRPr="00911966">
          <w:rPr>
            <w:rStyle w:val="Hyperlink"/>
            <w:rFonts w:ascii="FrankRuehl" w:hAnsi="FrankRuehl" w:cs="FrankRuehl"/>
            <w:u w:val="none"/>
          </w:rPr>
          <w:t>144</w:t>
        </w:r>
      </w:hyperlink>
      <w:r w:rsidRPr="00911966">
        <w:rPr>
          <w:rFonts w:ascii="FrankRuehl" w:hAnsi="FrankRuehl" w:cs="FrankRuehl"/>
          <w:color w:val="0000FF"/>
          <w:rtl/>
        </w:rPr>
        <w:t xml:space="preserve">(ב), </w:t>
      </w:r>
      <w:hyperlink r:id="rId11" w:history="1">
        <w:r w:rsidRPr="00911966">
          <w:rPr>
            <w:rStyle w:val="Hyperlink"/>
            <w:rFonts w:ascii="FrankRuehl" w:hAnsi="FrankRuehl" w:cs="FrankRuehl"/>
            <w:u w:val="none"/>
          </w:rPr>
          <w:t>(</w:t>
        </w:r>
        <w:r w:rsidRPr="00911966">
          <w:rPr>
            <w:rStyle w:val="Hyperlink"/>
            <w:rFonts w:ascii="FrankRuehl" w:hAnsi="FrankRuehl" w:cs="FrankRuehl"/>
            <w:u w:val="none"/>
            <w:rtl/>
          </w:rPr>
          <w:t>ב2</w:t>
        </w:r>
        <w:r w:rsidRPr="00911966">
          <w:rPr>
            <w:rStyle w:val="Hyperlink"/>
            <w:rFonts w:ascii="FrankRuehl" w:hAnsi="FrankRuehl" w:cs="FrankRuehl"/>
            <w:u w:val="none"/>
          </w:rPr>
          <w:t>)</w:t>
        </w:r>
      </w:hyperlink>
      <w:r w:rsidRPr="00911966">
        <w:rPr>
          <w:rFonts w:ascii="FrankRuehl" w:hAnsi="FrankRuehl" w:cs="FrankRuehl"/>
          <w:color w:val="0000FF"/>
          <w:rtl/>
        </w:rPr>
        <w:t xml:space="preserve">, </w:t>
      </w:r>
      <w:hyperlink r:id="rId12" w:history="1">
        <w:r w:rsidRPr="00911966">
          <w:rPr>
            <w:rStyle w:val="Hyperlink"/>
            <w:rFonts w:ascii="FrankRuehl" w:hAnsi="FrankRuehl" w:cs="FrankRuehl"/>
            <w:u w:val="none"/>
          </w:rPr>
          <w:t xml:space="preserve">144 </w:t>
        </w:r>
      </w:hyperlink>
      <w:r w:rsidRPr="00911966">
        <w:rPr>
          <w:rFonts w:ascii="FrankRuehl" w:hAnsi="FrankRuehl" w:cs="FrankRuehl"/>
          <w:color w:val="0000FF"/>
          <w:rtl/>
        </w:rPr>
        <w:t>(ז)</w:t>
      </w:r>
    </w:p>
    <w:p w14:paraId="4A059A47" w14:textId="77777777" w:rsidR="00911966" w:rsidRPr="00911966" w:rsidRDefault="00911966" w:rsidP="00911966">
      <w:pPr>
        <w:spacing w:before="120" w:after="120" w:line="240" w:lineRule="exact"/>
        <w:ind w:left="283" w:hanging="283"/>
        <w:jc w:val="both"/>
        <w:rPr>
          <w:rFonts w:ascii="FrankRuehl" w:hAnsi="FrankRuehl" w:cs="FrankRuehl"/>
          <w:color w:val="0000FF"/>
          <w:rtl/>
        </w:rPr>
      </w:pPr>
      <w:hyperlink r:id="rId13" w:history="1">
        <w:r w:rsidRPr="00911966">
          <w:rPr>
            <w:rStyle w:val="Hyperlink"/>
            <w:rFonts w:ascii="FrankRuehl" w:hAnsi="FrankRuehl" w:cs="FrankRuehl"/>
            <w:u w:val="none"/>
            <w:rtl/>
          </w:rPr>
          <w:t>פקודת התעבורה [נוסח חדש</w:t>
        </w:r>
        <w:r w:rsidRPr="00911966">
          <w:rPr>
            <w:rStyle w:val="Hyperlink"/>
            <w:rFonts w:ascii="FrankRuehl" w:hAnsi="FrankRuehl" w:cs="FrankRuehl"/>
            <w:u w:val="none"/>
          </w:rPr>
          <w:t>]</w:t>
        </w:r>
      </w:hyperlink>
      <w:r w:rsidRPr="00911966">
        <w:rPr>
          <w:rFonts w:ascii="FrankRuehl" w:hAnsi="FrankRuehl" w:cs="FrankRuehl"/>
          <w:color w:val="0000FF"/>
          <w:rtl/>
        </w:rPr>
        <w:t xml:space="preserve">: סע'  </w:t>
      </w:r>
      <w:hyperlink r:id="rId14" w:history="1">
        <w:r w:rsidRPr="00911966">
          <w:rPr>
            <w:rStyle w:val="Hyperlink"/>
            <w:rFonts w:ascii="FrankRuehl" w:hAnsi="FrankRuehl" w:cs="FrankRuehl"/>
            <w:u w:val="none"/>
          </w:rPr>
          <w:t>43</w:t>
        </w:r>
      </w:hyperlink>
    </w:p>
    <w:p w14:paraId="53FC82F6" w14:textId="77777777" w:rsidR="0094580D" w:rsidRPr="00911966" w:rsidRDefault="0094580D" w:rsidP="00911966">
      <w:pPr>
        <w:spacing w:line="360" w:lineRule="auto"/>
        <w:jc w:val="both"/>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4580D" w14:paraId="1EC0CE15" w14:textId="77777777" w:rsidTr="0094580D">
        <w:trPr>
          <w:trHeight w:val="355"/>
          <w:jc w:val="center"/>
        </w:trPr>
        <w:tc>
          <w:tcPr>
            <w:tcW w:w="8820" w:type="dxa"/>
            <w:tcBorders>
              <w:top w:val="nil"/>
              <w:left w:val="nil"/>
              <w:bottom w:val="nil"/>
              <w:right w:val="nil"/>
            </w:tcBorders>
            <w:shd w:val="clear" w:color="auto" w:fill="auto"/>
          </w:tcPr>
          <w:p w14:paraId="19390A29" w14:textId="77777777" w:rsidR="00AF7947" w:rsidRPr="00AF7947" w:rsidRDefault="00AF7947" w:rsidP="00AF7947">
            <w:pPr>
              <w:spacing w:line="480" w:lineRule="auto"/>
              <w:jc w:val="center"/>
              <w:rPr>
                <w:rFonts w:ascii="David" w:hAnsi="David"/>
                <w:b/>
                <w:bCs/>
                <w:sz w:val="32"/>
                <w:szCs w:val="32"/>
                <w:u w:val="single"/>
                <w:rtl/>
              </w:rPr>
            </w:pPr>
            <w:bookmarkStart w:id="5" w:name="PsakDin" w:colFirst="0" w:colLast="0"/>
            <w:bookmarkEnd w:id="0"/>
            <w:r w:rsidRPr="00AF7947">
              <w:rPr>
                <w:rFonts w:ascii="David" w:hAnsi="David"/>
                <w:b/>
                <w:bCs/>
                <w:sz w:val="32"/>
                <w:szCs w:val="32"/>
                <w:u w:val="single"/>
                <w:rtl/>
              </w:rPr>
              <w:t>גזר דין</w:t>
            </w:r>
          </w:p>
          <w:p w14:paraId="3C4784DC" w14:textId="77777777" w:rsidR="0094580D" w:rsidRPr="00AF7947" w:rsidRDefault="0094580D" w:rsidP="00AF7947">
            <w:pPr>
              <w:spacing w:line="480" w:lineRule="auto"/>
              <w:jc w:val="center"/>
              <w:rPr>
                <w:rFonts w:ascii="David" w:hAnsi="David"/>
                <w:bCs/>
                <w:sz w:val="32"/>
                <w:szCs w:val="32"/>
                <w:u w:val="single"/>
                <w:rtl/>
              </w:rPr>
            </w:pPr>
          </w:p>
        </w:tc>
      </w:tr>
    </w:tbl>
    <w:bookmarkEnd w:id="5"/>
    <w:p w14:paraId="65AEAD28" w14:textId="77777777" w:rsidR="0094580D" w:rsidRPr="00AC7701" w:rsidRDefault="0094580D" w:rsidP="0094580D">
      <w:pPr>
        <w:spacing w:line="360" w:lineRule="auto"/>
        <w:jc w:val="both"/>
        <w:rPr>
          <w:rFonts w:ascii="Arial" w:hAnsi="Arial"/>
          <w:b/>
          <w:bCs/>
          <w:sz w:val="26"/>
          <w:szCs w:val="26"/>
          <w:u w:val="single"/>
          <w:rtl/>
        </w:rPr>
      </w:pPr>
      <w:r w:rsidRPr="00AC7701">
        <w:rPr>
          <w:rFonts w:ascii="Arial" w:hAnsi="Arial" w:hint="cs"/>
          <w:b/>
          <w:bCs/>
          <w:sz w:val="26"/>
          <w:szCs w:val="26"/>
          <w:u w:val="single"/>
          <w:rtl/>
        </w:rPr>
        <w:t>ההרשעה</w:t>
      </w:r>
    </w:p>
    <w:p w14:paraId="7935B3D7" w14:textId="77777777" w:rsidR="0094580D" w:rsidRDefault="0094580D" w:rsidP="0094580D">
      <w:pPr>
        <w:spacing w:line="360" w:lineRule="auto"/>
        <w:jc w:val="both"/>
        <w:rPr>
          <w:rFonts w:ascii="Arial" w:hAnsi="Arial"/>
          <w:sz w:val="26"/>
          <w:szCs w:val="26"/>
          <w:rtl/>
        </w:rPr>
      </w:pPr>
      <w:bookmarkStart w:id="6" w:name="ABSTRACT_START"/>
      <w:bookmarkEnd w:id="6"/>
      <w:r w:rsidRPr="000B67FA">
        <w:rPr>
          <w:rFonts w:ascii="Arial" w:hAnsi="Arial" w:hint="cs"/>
          <w:sz w:val="26"/>
          <w:szCs w:val="26"/>
          <w:rtl/>
        </w:rPr>
        <w:t xml:space="preserve">הנאשם </w:t>
      </w:r>
      <w:r>
        <w:rPr>
          <w:rFonts w:ascii="Arial" w:hAnsi="Arial" w:hint="cs"/>
          <w:sz w:val="26"/>
          <w:szCs w:val="26"/>
          <w:rtl/>
        </w:rPr>
        <w:t xml:space="preserve">הורשע על פי הודאתו, במסגרת הסדר טיעון, בכתב אישום מתוקן המייחס לו עבירה של נשיאת נשק, לפי </w:t>
      </w:r>
      <w:hyperlink r:id="rId15" w:history="1">
        <w:r w:rsidR="00911966" w:rsidRPr="00911966">
          <w:rPr>
            <w:rStyle w:val="Hyperlink"/>
            <w:rFonts w:ascii="Arial" w:hAnsi="Arial" w:hint="eastAsia"/>
            <w:sz w:val="26"/>
            <w:szCs w:val="26"/>
            <w:rtl/>
          </w:rPr>
          <w:t>סעיף</w:t>
        </w:r>
        <w:r w:rsidR="00911966" w:rsidRPr="00911966">
          <w:rPr>
            <w:rStyle w:val="Hyperlink"/>
            <w:rFonts w:ascii="Arial" w:hAnsi="Arial"/>
            <w:sz w:val="26"/>
            <w:szCs w:val="26"/>
            <w:rtl/>
          </w:rPr>
          <w:t xml:space="preserve"> 144(ב)</w:t>
        </w:r>
      </w:hyperlink>
      <w:r>
        <w:rPr>
          <w:rFonts w:ascii="Arial" w:hAnsi="Arial" w:hint="cs"/>
          <w:sz w:val="26"/>
          <w:szCs w:val="26"/>
          <w:rtl/>
        </w:rPr>
        <w:t xml:space="preserve"> רישא ל</w:t>
      </w:r>
      <w:hyperlink r:id="rId16" w:history="1">
        <w:r w:rsidR="00AF7947" w:rsidRPr="00AF7947">
          <w:rPr>
            <w:rFonts w:ascii="Arial" w:hAnsi="Arial"/>
            <w:color w:val="0000FF"/>
            <w:sz w:val="26"/>
            <w:szCs w:val="26"/>
            <w:u w:val="single"/>
            <w:rtl/>
          </w:rPr>
          <w:t>חוק העונשין</w:t>
        </w:r>
      </w:hyperlink>
      <w:r>
        <w:rPr>
          <w:rFonts w:ascii="Arial" w:hAnsi="Arial" w:hint="cs"/>
          <w:sz w:val="26"/>
          <w:szCs w:val="26"/>
          <w:rtl/>
        </w:rPr>
        <w:t>, תשל"ז-1977.</w:t>
      </w:r>
    </w:p>
    <w:p w14:paraId="1C4136EB" w14:textId="77777777" w:rsidR="0094580D" w:rsidRDefault="0094580D" w:rsidP="0094580D">
      <w:pPr>
        <w:spacing w:line="360" w:lineRule="auto"/>
        <w:jc w:val="both"/>
        <w:rPr>
          <w:rFonts w:ascii="Arial" w:hAnsi="Arial"/>
          <w:sz w:val="26"/>
          <w:szCs w:val="26"/>
          <w:rtl/>
        </w:rPr>
      </w:pPr>
    </w:p>
    <w:p w14:paraId="0CE499EF"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על פי המתואר בכתב האישום המתוקן, ביום 19.12.23, באום אל פחם, נהג הנאשם ברכב הנמצא ברשותו, כאשר הוא נושא על גופו, בלא רשות על פי דין, אקדח חצי אוטומטי מסוג גלוק ובתוכו מחסנית ריקה. בכתב האישום צוין כי האקדח שייך לאחר.</w:t>
      </w:r>
    </w:p>
    <w:p w14:paraId="38F22105" w14:textId="77777777" w:rsidR="0094580D" w:rsidRDefault="0094580D" w:rsidP="0094580D">
      <w:pPr>
        <w:spacing w:line="360" w:lineRule="auto"/>
        <w:jc w:val="both"/>
        <w:rPr>
          <w:rFonts w:ascii="Arial" w:hAnsi="Arial"/>
          <w:sz w:val="26"/>
          <w:szCs w:val="26"/>
          <w:rtl/>
        </w:rPr>
      </w:pPr>
      <w:bookmarkStart w:id="7" w:name="ABSTRACT_END"/>
      <w:bookmarkEnd w:id="7"/>
    </w:p>
    <w:p w14:paraId="3BE98353"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נתיב נסיעתו של הנאשם נחסם ע"י כוח משטרתי והשוטרים שהיו במקום הורו לו לעצור. בחיפוש שנערך על הנאשם נתפסו האקדח והמחסנית הריקה.</w:t>
      </w:r>
    </w:p>
    <w:p w14:paraId="085FDE13" w14:textId="77777777" w:rsidR="0094580D" w:rsidRDefault="0094580D" w:rsidP="0094580D">
      <w:pPr>
        <w:spacing w:line="360" w:lineRule="auto"/>
        <w:jc w:val="both"/>
        <w:rPr>
          <w:rFonts w:ascii="Arial" w:hAnsi="Arial"/>
          <w:sz w:val="26"/>
          <w:szCs w:val="26"/>
          <w:rtl/>
        </w:rPr>
      </w:pPr>
    </w:p>
    <w:p w14:paraId="60D726FD" w14:textId="77777777" w:rsidR="0094580D" w:rsidRPr="00AC7701" w:rsidRDefault="0094580D" w:rsidP="0094580D">
      <w:pPr>
        <w:spacing w:line="360" w:lineRule="auto"/>
        <w:jc w:val="both"/>
        <w:rPr>
          <w:rFonts w:ascii="Arial" w:hAnsi="Arial"/>
          <w:b/>
          <w:bCs/>
          <w:sz w:val="26"/>
          <w:szCs w:val="26"/>
          <w:u w:val="single"/>
          <w:rtl/>
        </w:rPr>
      </w:pPr>
      <w:r w:rsidRPr="00AC7701">
        <w:rPr>
          <w:rFonts w:ascii="Arial" w:hAnsi="Arial" w:hint="cs"/>
          <w:b/>
          <w:bCs/>
          <w:sz w:val="26"/>
          <w:szCs w:val="26"/>
          <w:u w:val="single"/>
          <w:rtl/>
        </w:rPr>
        <w:t>טיעוני הצדדים לעונש</w:t>
      </w:r>
    </w:p>
    <w:p w14:paraId="38FF9892" w14:textId="77777777" w:rsidR="0094580D" w:rsidRDefault="0094580D" w:rsidP="0094580D">
      <w:pPr>
        <w:spacing w:line="360" w:lineRule="auto"/>
        <w:jc w:val="both"/>
        <w:rPr>
          <w:rFonts w:ascii="Arial" w:hAnsi="Arial"/>
          <w:sz w:val="26"/>
          <w:szCs w:val="26"/>
          <w:rtl/>
        </w:rPr>
      </w:pPr>
    </w:p>
    <w:p w14:paraId="408CD8A7"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בטיעוניו לעונש, ב"כ המאשימה עומד על הערכים המוגנים בעבירה של נשיאת נשק. כן הוא מדגיש את העובדה כי עסקינן במעשה מתוכנן, בעל פוטנציאל נזק חמור. לדבריו, מאחר שנשיאת הנשק נפסקה עקב היתקלות הנאשם עם השוטרים, אין מקום לטענה המבקשת לזקוף לזכותו כי ההחזקה הייתה קצרה וחד פעמית. יתרה מזו, טוען התובע כי איננו יודעים מי מסר את הנשק לנאשם, נסיבה העומדת לחובתו. </w:t>
      </w:r>
    </w:p>
    <w:p w14:paraId="766060AC" w14:textId="77777777" w:rsidR="0094580D" w:rsidRDefault="0094580D" w:rsidP="0094580D">
      <w:pPr>
        <w:spacing w:line="360" w:lineRule="auto"/>
        <w:jc w:val="both"/>
        <w:rPr>
          <w:rFonts w:ascii="Arial" w:hAnsi="Arial"/>
          <w:sz w:val="26"/>
          <w:szCs w:val="26"/>
          <w:rtl/>
        </w:rPr>
      </w:pPr>
    </w:p>
    <w:p w14:paraId="6A6996CD"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באשר למתחם הענישה ההולם, מפנה ב"כ המאשימה לפסיקת בית המשפט העליון, בה נקבע מתחם הנע בין 30-42 חודשי מאסר בגין עבירה יחידה של נשיאת נשק. עוד מציין ב"כ המאשימה את קביעתו של בית המשפט העליון, לפיה עונש של שלוש שנות מאסר הוא עונש סביר בגין עבירה זו. </w:t>
      </w:r>
    </w:p>
    <w:p w14:paraId="6FCB1B19" w14:textId="77777777" w:rsidR="0094580D" w:rsidRDefault="0094580D" w:rsidP="0094580D">
      <w:pPr>
        <w:spacing w:line="360" w:lineRule="auto"/>
        <w:jc w:val="both"/>
        <w:rPr>
          <w:rFonts w:ascii="Arial" w:hAnsi="Arial"/>
          <w:sz w:val="26"/>
          <w:szCs w:val="26"/>
          <w:rtl/>
        </w:rPr>
      </w:pPr>
    </w:p>
    <w:p w14:paraId="5DDB8C1C"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כמו כן, מדגיש ב"כ המאשימה את הנחייתו החוזרת והנשנית של בית המשפט להחמרה עונשית בעבירות נשק, על רקע תפוצתם הנרחבת והפגיעה הקשה במרחב הציבורי בעקבותיהם. לאור זאת, סבור ב"כ המאשימה כי בעבירות האמורות, שיקולי ההרתעה גוברים, גם במקרים של עבריינים צעירים, ללא עבר פלילי.</w:t>
      </w:r>
    </w:p>
    <w:p w14:paraId="4A9AFC17" w14:textId="77777777" w:rsidR="0094580D" w:rsidRDefault="0094580D" w:rsidP="0094580D">
      <w:pPr>
        <w:spacing w:line="360" w:lineRule="auto"/>
        <w:jc w:val="both"/>
        <w:rPr>
          <w:rFonts w:ascii="Arial" w:hAnsi="Arial"/>
          <w:sz w:val="26"/>
          <w:szCs w:val="26"/>
          <w:rtl/>
        </w:rPr>
      </w:pPr>
    </w:p>
    <w:p w14:paraId="36C5EA1A"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בנוסף, מפנה ב"כ המאשימה להנחיית פרקליט המדינה, המייצגת את האינטרס הציבורי בהחמרה בעבירת נשיאת נשק וכן לתיקון 140 ל</w:t>
      </w:r>
      <w:hyperlink r:id="rId17" w:history="1">
        <w:r w:rsidR="00AF7947" w:rsidRPr="00AF7947">
          <w:rPr>
            <w:rFonts w:ascii="Arial" w:hAnsi="Arial"/>
            <w:color w:val="0000FF"/>
            <w:sz w:val="26"/>
            <w:szCs w:val="26"/>
            <w:u w:val="single"/>
            <w:rtl/>
          </w:rPr>
          <w:t>חוק העונשין</w:t>
        </w:r>
      </w:hyperlink>
      <w:r>
        <w:rPr>
          <w:rFonts w:ascii="Arial" w:hAnsi="Arial" w:hint="cs"/>
          <w:sz w:val="26"/>
          <w:szCs w:val="26"/>
          <w:rtl/>
        </w:rPr>
        <w:t>, הקובע עונש מאסר מזערי של 30 חודשים.</w:t>
      </w:r>
    </w:p>
    <w:p w14:paraId="61B2C8ED" w14:textId="77777777" w:rsidR="0094580D" w:rsidRDefault="0094580D" w:rsidP="0094580D">
      <w:pPr>
        <w:spacing w:line="360" w:lineRule="auto"/>
        <w:jc w:val="both"/>
        <w:rPr>
          <w:rFonts w:ascii="Arial" w:hAnsi="Arial"/>
          <w:sz w:val="26"/>
          <w:szCs w:val="26"/>
          <w:rtl/>
        </w:rPr>
      </w:pPr>
    </w:p>
    <w:p w14:paraId="22D31201"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בהתאם לכלל האמור, סבור ב"כ המאשימה כי בענייננו יש לקבוע מתחם עונשי בן 30 לבין 48 חודשי מאסר. בתוך המתחם הוא מבקש להתחשב בהודאת הנאשם ובהעדר עבר, ומאידך גיסא בשיקולי הרתעת היחיד והרבים.</w:t>
      </w:r>
    </w:p>
    <w:p w14:paraId="1666650A" w14:textId="77777777" w:rsidR="0094580D" w:rsidRDefault="0094580D" w:rsidP="0094580D">
      <w:pPr>
        <w:spacing w:line="360" w:lineRule="auto"/>
        <w:jc w:val="both"/>
        <w:rPr>
          <w:rFonts w:ascii="Arial" w:hAnsi="Arial"/>
          <w:sz w:val="26"/>
          <w:szCs w:val="26"/>
          <w:rtl/>
        </w:rPr>
      </w:pPr>
    </w:p>
    <w:p w14:paraId="713EFEB5"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מעבר לעונש מאסר בפועל, עותר ב"כ המאשימה למאסר מותנה, לקנס ולפסילת רישיון נהיגה. לטעמו, עונש אחרון זה מתחייב, מאחר שהנאשם הסתייע ברכב לצורך ביצוע העבירה. בעניין זה, מפנה ב"כ המאשימה </w:t>
      </w:r>
      <w:hyperlink r:id="rId18" w:history="1">
        <w:r w:rsidR="00911966" w:rsidRPr="00911966">
          <w:rPr>
            <w:rStyle w:val="Hyperlink"/>
            <w:rFonts w:ascii="Arial" w:hAnsi="Arial" w:hint="eastAsia"/>
            <w:sz w:val="26"/>
            <w:szCs w:val="26"/>
            <w:rtl/>
          </w:rPr>
          <w:t>לסעיף</w:t>
        </w:r>
        <w:r w:rsidR="00911966" w:rsidRPr="00911966">
          <w:rPr>
            <w:rStyle w:val="Hyperlink"/>
            <w:rFonts w:ascii="Arial" w:hAnsi="Arial"/>
            <w:sz w:val="26"/>
            <w:szCs w:val="26"/>
            <w:rtl/>
          </w:rPr>
          <w:t xml:space="preserve"> 43</w:t>
        </w:r>
      </w:hyperlink>
      <w:r>
        <w:rPr>
          <w:rFonts w:ascii="Arial" w:hAnsi="Arial" w:hint="cs"/>
          <w:sz w:val="26"/>
          <w:szCs w:val="26"/>
          <w:rtl/>
        </w:rPr>
        <w:t xml:space="preserve"> ל</w:t>
      </w:r>
      <w:hyperlink r:id="rId19" w:history="1">
        <w:r w:rsidR="00AF7947" w:rsidRPr="00AF7947">
          <w:rPr>
            <w:rFonts w:ascii="Arial" w:hAnsi="Arial"/>
            <w:color w:val="0000FF"/>
            <w:sz w:val="26"/>
            <w:szCs w:val="26"/>
            <w:u w:val="single"/>
            <w:rtl/>
          </w:rPr>
          <w:t>פקודת התעבורה</w:t>
        </w:r>
      </w:hyperlink>
      <w:r>
        <w:rPr>
          <w:rFonts w:ascii="Arial" w:hAnsi="Arial" w:hint="cs"/>
          <w:sz w:val="26"/>
          <w:szCs w:val="26"/>
          <w:rtl/>
        </w:rPr>
        <w:t>, תשכ"א-1961.</w:t>
      </w:r>
    </w:p>
    <w:p w14:paraId="18BE49F0" w14:textId="77777777" w:rsidR="0094580D" w:rsidRDefault="0094580D" w:rsidP="0094580D">
      <w:pPr>
        <w:spacing w:line="360" w:lineRule="auto"/>
        <w:jc w:val="both"/>
        <w:rPr>
          <w:rFonts w:ascii="Arial" w:hAnsi="Arial"/>
          <w:sz w:val="26"/>
          <w:szCs w:val="26"/>
          <w:rtl/>
        </w:rPr>
      </w:pPr>
    </w:p>
    <w:p w14:paraId="57272A1E"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ב"כ הנאשם סבור כי עתירת המאשימה מתעלמת לחלוטין מהנסיבות הקונקרטיות של הנאשם. לדבריו, תיקון כתב האישום, שכלל מחיקת עבירה של החזקה והובלה, וכן תיקון העובדות  המגבשות את העבירה, במסגרתו צוין כי הנשק שייך לאחר, מצדיקים הקלה בעונש.  לאור מאחר שלשיטתו, קיים הבדל מהותי בין נשיאת אקדח השייך לנאשם לבין נשיאת אקדח השייך לאחר. </w:t>
      </w:r>
    </w:p>
    <w:p w14:paraId="1487A801" w14:textId="77777777" w:rsidR="0094580D" w:rsidRDefault="0094580D" w:rsidP="0094580D">
      <w:pPr>
        <w:spacing w:line="360" w:lineRule="auto"/>
        <w:jc w:val="both"/>
        <w:rPr>
          <w:rFonts w:ascii="Arial" w:hAnsi="Arial"/>
          <w:sz w:val="26"/>
          <w:szCs w:val="26"/>
          <w:rtl/>
        </w:rPr>
      </w:pPr>
    </w:p>
    <w:p w14:paraId="3344DF71"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באופן דומה, מדגיש ב"כ הנאשם את העובדה כי המחסנית הייתה ריקה. במצב דברים זה, לא היה ניתן לעשות שימוש מידי בנשק, דבר המהווה נסיבה מהותית להקלה. בדומה, מציין הסנגור כי האקדח נתפס ולא נעשה בו שום שימוש, עובדות המבססות העדר נזק בעבר ובעתיד. </w:t>
      </w:r>
    </w:p>
    <w:p w14:paraId="743CCAEA" w14:textId="77777777" w:rsidR="0094580D" w:rsidRDefault="0094580D" w:rsidP="0094580D">
      <w:pPr>
        <w:spacing w:line="360" w:lineRule="auto"/>
        <w:jc w:val="both"/>
        <w:rPr>
          <w:rFonts w:ascii="Arial" w:hAnsi="Arial"/>
          <w:sz w:val="26"/>
          <w:szCs w:val="26"/>
          <w:rtl/>
        </w:rPr>
      </w:pPr>
    </w:p>
    <w:p w14:paraId="5B415D2E"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במישור האישי, מדגיש הסנגור כי הנאשם יליד 2002, כך שבזמן ביצוע העבירה היה כבן 21 שנים בלבד, וימים ספורים הבדילו בינו לבין נאשם לגביו קיימת חובת תסקיר עקב גיל צעיר. </w:t>
      </w:r>
    </w:p>
    <w:p w14:paraId="75A09662" w14:textId="77777777" w:rsidR="0094580D" w:rsidRDefault="0094580D" w:rsidP="0094580D">
      <w:pPr>
        <w:spacing w:line="360" w:lineRule="auto"/>
        <w:jc w:val="both"/>
        <w:rPr>
          <w:rFonts w:ascii="Arial" w:hAnsi="Arial"/>
          <w:sz w:val="26"/>
          <w:szCs w:val="26"/>
          <w:rtl/>
        </w:rPr>
      </w:pPr>
    </w:p>
    <w:p w14:paraId="2CB6244A"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הסנגור מבקש לזקוף לזכות הנאשם אף את עברו הנקי ואת הודאתו באשמה, הכוללת חרטה כנה ואמיתית. </w:t>
      </w:r>
    </w:p>
    <w:p w14:paraId="629AF9EE" w14:textId="77777777" w:rsidR="0094580D" w:rsidRDefault="0094580D" w:rsidP="0094580D">
      <w:pPr>
        <w:spacing w:line="360" w:lineRule="auto"/>
        <w:jc w:val="both"/>
        <w:rPr>
          <w:rFonts w:ascii="Arial" w:hAnsi="Arial"/>
          <w:sz w:val="26"/>
          <w:szCs w:val="26"/>
          <w:rtl/>
        </w:rPr>
      </w:pPr>
    </w:p>
    <w:p w14:paraId="6E731180"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הסנגור מוסיף ומציין כי טרם מעצרו עבד הנאשם לפרנסתו ועזר לפרנסת משפחתו. </w:t>
      </w:r>
    </w:p>
    <w:p w14:paraId="4F7346DF" w14:textId="77777777" w:rsidR="0094580D" w:rsidRDefault="0094580D" w:rsidP="0094580D">
      <w:pPr>
        <w:spacing w:line="360" w:lineRule="auto"/>
        <w:jc w:val="both"/>
        <w:rPr>
          <w:rFonts w:ascii="Arial" w:hAnsi="Arial"/>
          <w:sz w:val="26"/>
          <w:szCs w:val="26"/>
          <w:rtl/>
        </w:rPr>
      </w:pPr>
    </w:p>
    <w:p w14:paraId="1472BE18"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בהמשך דבריו, סוקר ב"כ הנאשם שורה ארוכה של פסקי דין, מהם עולה רמת ענישה נמוכה הרבה יותר מזו אליה כיוון ב"כ המאשימה (יצוין כי התרתי לסנגור להגיש פסיקה נוספת לאחר שמיעת הטיעונים לעונש. במסגרת זו, הופניתי לשלושה פסקי דין נוספים בהם מצה הסנגור תמיכה בגישתו העונשית). </w:t>
      </w:r>
    </w:p>
    <w:p w14:paraId="10F35379" w14:textId="77777777" w:rsidR="0094580D" w:rsidRDefault="0094580D" w:rsidP="0094580D">
      <w:pPr>
        <w:spacing w:line="360" w:lineRule="auto"/>
        <w:jc w:val="both"/>
        <w:rPr>
          <w:rFonts w:ascii="Arial" w:hAnsi="Arial"/>
          <w:sz w:val="26"/>
          <w:szCs w:val="26"/>
          <w:rtl/>
        </w:rPr>
      </w:pPr>
    </w:p>
    <w:p w14:paraId="61D5F7A3"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על רקע כל אלה, סבור הסנגור כי יש לקבוע מתחם עונש הולם הנע בין 12 לבין 18 חודשי מאסר בפועל. לאור נסיבותיו של הנאשם כאמור, מבקש הסנגור להעמיד את העונש ברף התחתון של המתחם, זאת תוך קביעת מאסר מותנה שיהווה חרב מעל ראשו וירתיע אותו מלבצע עבירות נוספות.   </w:t>
      </w:r>
    </w:p>
    <w:p w14:paraId="688A0845" w14:textId="77777777" w:rsidR="0094580D" w:rsidRDefault="0094580D" w:rsidP="0094580D">
      <w:pPr>
        <w:spacing w:line="360" w:lineRule="auto"/>
        <w:jc w:val="both"/>
        <w:rPr>
          <w:rFonts w:ascii="Arial" w:hAnsi="Arial"/>
          <w:sz w:val="26"/>
          <w:szCs w:val="26"/>
          <w:rtl/>
        </w:rPr>
      </w:pPr>
    </w:p>
    <w:p w14:paraId="126C3A07"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באשר לבקשה לפסול את רישיונו של הנאשם, סבור הסנגור כי זו מיותרת ונעדרת תשתית ראויה, מאחר שלא צוין בכתב האישום כי הנאשם הסתייע ברכב לביצוע העבירה ואף לא הוזכרה הוראת החוק הרלוונטית בכתב האישום. </w:t>
      </w:r>
    </w:p>
    <w:p w14:paraId="5CFAD4CA" w14:textId="77777777" w:rsidR="0094580D" w:rsidRDefault="0094580D" w:rsidP="0094580D">
      <w:pPr>
        <w:spacing w:line="360" w:lineRule="auto"/>
        <w:jc w:val="both"/>
        <w:rPr>
          <w:rFonts w:ascii="Arial" w:hAnsi="Arial"/>
          <w:sz w:val="26"/>
          <w:szCs w:val="26"/>
          <w:rtl/>
        </w:rPr>
      </w:pPr>
    </w:p>
    <w:p w14:paraId="1DC236B5"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סיכומם של דברים, כי ב"כ הנאשם מבקש שלא להכביד עמו בשל מעידתו החד פעמית, ולתת לו הזדמנות לחזור למוטב, לשקם את חייו ולסייע בפרנסת משפחתו. </w:t>
      </w:r>
    </w:p>
    <w:p w14:paraId="3EB971C1" w14:textId="77777777" w:rsidR="0094580D" w:rsidRDefault="0094580D" w:rsidP="0094580D">
      <w:pPr>
        <w:spacing w:line="360" w:lineRule="auto"/>
        <w:jc w:val="both"/>
        <w:rPr>
          <w:rFonts w:ascii="Arial" w:hAnsi="Arial"/>
          <w:sz w:val="26"/>
          <w:szCs w:val="26"/>
          <w:rtl/>
        </w:rPr>
      </w:pPr>
    </w:p>
    <w:p w14:paraId="6B4DD533"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הנאשם בדברו האחרון מסר כי הוא מצטער ולא יחזור על מעשיו. </w:t>
      </w:r>
    </w:p>
    <w:p w14:paraId="23F8E86F" w14:textId="77777777" w:rsidR="0094580D" w:rsidRDefault="0094580D" w:rsidP="0094580D">
      <w:pPr>
        <w:spacing w:line="360" w:lineRule="auto"/>
        <w:jc w:val="both"/>
        <w:rPr>
          <w:rFonts w:ascii="Arial" w:hAnsi="Arial"/>
          <w:b/>
          <w:bCs/>
          <w:sz w:val="26"/>
          <w:szCs w:val="26"/>
          <w:u w:val="single"/>
          <w:rtl/>
        </w:rPr>
      </w:pPr>
    </w:p>
    <w:p w14:paraId="1EF9BB2D" w14:textId="77777777" w:rsidR="0094580D" w:rsidRDefault="0094580D" w:rsidP="0094580D">
      <w:pPr>
        <w:spacing w:line="360" w:lineRule="auto"/>
        <w:jc w:val="both"/>
        <w:rPr>
          <w:rFonts w:ascii="Arial" w:hAnsi="Arial"/>
          <w:b/>
          <w:bCs/>
          <w:sz w:val="26"/>
          <w:szCs w:val="26"/>
          <w:u w:val="single"/>
          <w:rtl/>
        </w:rPr>
      </w:pPr>
      <w:r w:rsidRPr="002F7BAA">
        <w:rPr>
          <w:rFonts w:ascii="Arial" w:hAnsi="Arial" w:hint="cs"/>
          <w:b/>
          <w:bCs/>
          <w:sz w:val="26"/>
          <w:szCs w:val="26"/>
          <w:u w:val="single"/>
          <w:rtl/>
        </w:rPr>
        <w:t>דיון והכרעה</w:t>
      </w:r>
    </w:p>
    <w:p w14:paraId="6D8E6072" w14:textId="77777777" w:rsidR="0094580D" w:rsidRDefault="0094580D" w:rsidP="0094580D">
      <w:pPr>
        <w:spacing w:line="360" w:lineRule="auto"/>
        <w:jc w:val="both"/>
        <w:rPr>
          <w:rFonts w:ascii="Arial" w:hAnsi="Arial"/>
          <w:b/>
          <w:bCs/>
          <w:sz w:val="26"/>
          <w:szCs w:val="26"/>
          <w:u w:val="single"/>
          <w:rtl/>
        </w:rPr>
      </w:pPr>
    </w:p>
    <w:p w14:paraId="0A16F0F9" w14:textId="77777777" w:rsidR="0094580D" w:rsidRDefault="0094580D" w:rsidP="0094580D">
      <w:pPr>
        <w:spacing w:line="360" w:lineRule="auto"/>
        <w:jc w:val="both"/>
        <w:rPr>
          <w:rFonts w:ascii="Arial" w:hAnsi="Arial"/>
          <w:b/>
          <w:bCs/>
          <w:sz w:val="26"/>
          <w:szCs w:val="26"/>
        </w:rPr>
      </w:pPr>
      <w:r>
        <w:rPr>
          <w:rFonts w:ascii="Arial" w:hAnsi="Arial"/>
          <w:b/>
          <w:bCs/>
          <w:sz w:val="26"/>
          <w:szCs w:val="26"/>
          <w:rtl/>
        </w:rPr>
        <w:t xml:space="preserve">הערכים </w:t>
      </w:r>
      <w:r>
        <w:rPr>
          <w:rFonts w:ascii="Arial" w:hAnsi="Arial" w:hint="cs"/>
          <w:b/>
          <w:bCs/>
          <w:sz w:val="26"/>
          <w:szCs w:val="26"/>
          <w:rtl/>
        </w:rPr>
        <w:t xml:space="preserve">החברתיים </w:t>
      </w:r>
      <w:r>
        <w:rPr>
          <w:rFonts w:ascii="Arial" w:hAnsi="Arial"/>
          <w:b/>
          <w:bCs/>
          <w:sz w:val="26"/>
          <w:szCs w:val="26"/>
          <w:rtl/>
        </w:rPr>
        <w:t>המוגנים</w:t>
      </w:r>
    </w:p>
    <w:p w14:paraId="2D27482A" w14:textId="77777777" w:rsidR="0094580D" w:rsidRDefault="00911966" w:rsidP="0094580D">
      <w:pPr>
        <w:spacing w:line="360" w:lineRule="auto"/>
        <w:jc w:val="both"/>
        <w:rPr>
          <w:rFonts w:ascii="Arial" w:hAnsi="Arial"/>
          <w:sz w:val="26"/>
          <w:szCs w:val="26"/>
          <w:rtl/>
        </w:rPr>
      </w:pPr>
      <w:hyperlink r:id="rId20" w:history="1">
        <w:r w:rsidRPr="00911966">
          <w:rPr>
            <w:rStyle w:val="Hyperlink"/>
            <w:rFonts w:ascii="Arial" w:hAnsi="Arial"/>
            <w:sz w:val="26"/>
            <w:szCs w:val="26"/>
            <w:rtl/>
          </w:rPr>
          <w:t>סעיף 144</w:t>
        </w:r>
      </w:hyperlink>
      <w:r w:rsidR="0094580D">
        <w:rPr>
          <w:rFonts w:ascii="Arial" w:hAnsi="Arial"/>
          <w:sz w:val="26"/>
          <w:szCs w:val="26"/>
          <w:rtl/>
        </w:rPr>
        <w:t xml:space="preserve"> ל</w:t>
      </w:r>
      <w:hyperlink r:id="rId21" w:history="1">
        <w:r w:rsidR="00AF7947" w:rsidRPr="00AF7947">
          <w:rPr>
            <w:rFonts w:ascii="Arial" w:hAnsi="Arial"/>
            <w:color w:val="0000FF"/>
            <w:sz w:val="26"/>
            <w:szCs w:val="26"/>
            <w:u w:val="single"/>
            <w:rtl/>
          </w:rPr>
          <w:t>חוק העונשין</w:t>
        </w:r>
      </w:hyperlink>
      <w:r w:rsidR="0094580D">
        <w:rPr>
          <w:rFonts w:ascii="Arial" w:hAnsi="Arial"/>
          <w:sz w:val="26"/>
          <w:szCs w:val="26"/>
          <w:rtl/>
        </w:rPr>
        <w:t xml:space="preserve"> מגלם בחובו תכליות של הגנה על חיי האדם, שלום הציבור וביטחונו (ראו מיני רבים </w:t>
      </w:r>
      <w:hyperlink r:id="rId22" w:history="1">
        <w:r w:rsidR="00AF7947" w:rsidRPr="00AF7947">
          <w:rPr>
            <w:rFonts w:ascii="Arial" w:hAnsi="Arial"/>
            <w:color w:val="0000FF"/>
            <w:sz w:val="26"/>
            <w:szCs w:val="26"/>
            <w:u w:val="single"/>
            <w:rtl/>
          </w:rPr>
          <w:t>ע"פ 7971/23</w:t>
        </w:r>
      </w:hyperlink>
      <w:r w:rsidR="0094580D">
        <w:rPr>
          <w:rFonts w:ascii="Arial" w:hAnsi="Arial"/>
          <w:sz w:val="26"/>
          <w:szCs w:val="26"/>
          <w:rtl/>
        </w:rPr>
        <w:t xml:space="preserve"> </w:t>
      </w:r>
      <w:r w:rsidR="0094580D">
        <w:rPr>
          <w:rFonts w:ascii="Arial" w:hAnsi="Arial"/>
          <w:b/>
          <w:bCs/>
          <w:sz w:val="26"/>
          <w:szCs w:val="26"/>
          <w:rtl/>
        </w:rPr>
        <w:t>אגבאריה</w:t>
      </w:r>
      <w:r w:rsidR="0094580D">
        <w:rPr>
          <w:rFonts w:ascii="Arial" w:hAnsi="Arial"/>
          <w:sz w:val="26"/>
          <w:szCs w:val="26"/>
          <w:rtl/>
        </w:rPr>
        <w:t xml:space="preserve"> נ' </w:t>
      </w:r>
      <w:r w:rsidR="0094580D">
        <w:rPr>
          <w:rFonts w:ascii="Arial" w:hAnsi="Arial"/>
          <w:b/>
          <w:bCs/>
          <w:sz w:val="26"/>
          <w:szCs w:val="26"/>
          <w:rtl/>
        </w:rPr>
        <w:t>מדינת ישראל</w:t>
      </w:r>
      <w:r w:rsidR="0094580D">
        <w:rPr>
          <w:rFonts w:ascii="Arial" w:hAnsi="Arial"/>
          <w:sz w:val="26"/>
          <w:szCs w:val="26"/>
          <w:rtl/>
        </w:rPr>
        <w:t xml:space="preserve"> (פורסם בנבו, 26.5.24)). </w:t>
      </w:r>
    </w:p>
    <w:p w14:paraId="57084694" w14:textId="77777777" w:rsidR="0094580D" w:rsidRDefault="0094580D" w:rsidP="0094580D">
      <w:pPr>
        <w:spacing w:line="360" w:lineRule="auto"/>
        <w:jc w:val="both"/>
        <w:rPr>
          <w:rFonts w:ascii="Arial" w:hAnsi="Arial"/>
          <w:sz w:val="26"/>
          <w:szCs w:val="26"/>
          <w:rtl/>
        </w:rPr>
      </w:pPr>
    </w:p>
    <w:p w14:paraId="73887501" w14:textId="77777777" w:rsidR="0094580D" w:rsidRDefault="0094580D" w:rsidP="0094580D">
      <w:pPr>
        <w:spacing w:line="360" w:lineRule="auto"/>
        <w:jc w:val="both"/>
        <w:rPr>
          <w:rFonts w:ascii="Arial" w:hAnsi="Arial"/>
          <w:sz w:val="26"/>
          <w:szCs w:val="26"/>
          <w:rtl/>
        </w:rPr>
      </w:pPr>
      <w:r>
        <w:rPr>
          <w:rFonts w:ascii="Arial" w:hAnsi="Arial"/>
          <w:sz w:val="26"/>
          <w:szCs w:val="26"/>
          <w:rtl/>
        </w:rPr>
        <w:t>הסיכון הכרוך ב</w:t>
      </w:r>
      <w:r>
        <w:rPr>
          <w:rFonts w:ascii="Arial" w:hAnsi="Arial" w:hint="cs"/>
          <w:sz w:val="26"/>
          <w:szCs w:val="26"/>
          <w:rtl/>
        </w:rPr>
        <w:t>נשיאת</w:t>
      </w:r>
      <w:r>
        <w:rPr>
          <w:rFonts w:ascii="Arial" w:hAnsi="Arial"/>
          <w:sz w:val="26"/>
          <w:szCs w:val="26"/>
          <w:rtl/>
        </w:rPr>
        <w:t xml:space="preserve"> נשק שלא כדין מתבטא בחשש שה</w:t>
      </w:r>
      <w:r>
        <w:rPr>
          <w:rFonts w:ascii="Arial" w:hAnsi="Arial" w:hint="cs"/>
          <w:sz w:val="26"/>
          <w:szCs w:val="26"/>
          <w:rtl/>
        </w:rPr>
        <w:t>נושא</w:t>
      </w:r>
      <w:r>
        <w:rPr>
          <w:rFonts w:ascii="Arial" w:hAnsi="Arial"/>
          <w:sz w:val="26"/>
          <w:szCs w:val="26"/>
          <w:rtl/>
        </w:rPr>
        <w:t xml:space="preserve"> נשק יעשה בו שימוש וכן באפשרות כי נשק זה יגיע לידיים אחרות (</w:t>
      </w:r>
      <w:hyperlink r:id="rId23" w:history="1">
        <w:r w:rsidR="00AF7947" w:rsidRPr="00AF7947">
          <w:rPr>
            <w:rFonts w:ascii="Arial" w:hAnsi="Arial"/>
            <w:color w:val="0000FF"/>
            <w:sz w:val="26"/>
            <w:szCs w:val="26"/>
            <w:u w:val="single"/>
            <w:rtl/>
          </w:rPr>
          <w:t>ע"פ 4945/14</w:t>
        </w:r>
      </w:hyperlink>
      <w:r>
        <w:rPr>
          <w:rFonts w:ascii="Arial" w:hAnsi="Arial"/>
          <w:sz w:val="26"/>
          <w:szCs w:val="26"/>
          <w:rtl/>
        </w:rPr>
        <w:t xml:space="preserve"> </w:t>
      </w:r>
      <w:r>
        <w:rPr>
          <w:rFonts w:ascii="Arial" w:hAnsi="Arial"/>
          <w:b/>
          <w:bCs/>
          <w:sz w:val="26"/>
          <w:szCs w:val="26"/>
          <w:rtl/>
        </w:rPr>
        <w:t>מדינת ישראל</w:t>
      </w:r>
      <w:r>
        <w:rPr>
          <w:rFonts w:ascii="Arial" w:hAnsi="Arial"/>
          <w:sz w:val="26"/>
          <w:szCs w:val="26"/>
          <w:rtl/>
        </w:rPr>
        <w:t xml:space="preserve"> נ' </w:t>
      </w:r>
      <w:r>
        <w:rPr>
          <w:rFonts w:ascii="Arial" w:hAnsi="Arial"/>
          <w:b/>
          <w:bCs/>
          <w:sz w:val="26"/>
          <w:szCs w:val="26"/>
          <w:rtl/>
        </w:rPr>
        <w:t>סלימאן</w:t>
      </w:r>
      <w:r>
        <w:rPr>
          <w:rFonts w:ascii="Arial" w:hAnsi="Arial"/>
          <w:sz w:val="26"/>
          <w:szCs w:val="26"/>
          <w:rtl/>
        </w:rPr>
        <w:t xml:space="preserve"> (פורסם בנבו, 19.1.14). הוא משליך על הביטחון במרחב הציבורי והפרטי, על תחושת הביטחון, ולא פחות מכך על שלטון החוק, בשל הכרסום המתמיד בייחוד הפעלת הכוח על ידי מי שהוסמך לכך על פי דין. </w:t>
      </w:r>
    </w:p>
    <w:p w14:paraId="54FD8E04" w14:textId="77777777" w:rsidR="0094580D" w:rsidRDefault="0094580D" w:rsidP="0094580D">
      <w:pPr>
        <w:spacing w:line="360" w:lineRule="auto"/>
        <w:jc w:val="both"/>
        <w:rPr>
          <w:rFonts w:ascii="Arial" w:hAnsi="Arial"/>
          <w:b/>
          <w:bCs/>
          <w:sz w:val="26"/>
          <w:szCs w:val="26"/>
          <w:u w:val="single"/>
          <w:rtl/>
        </w:rPr>
      </w:pPr>
    </w:p>
    <w:p w14:paraId="1E3E039A" w14:textId="77777777" w:rsidR="0094580D" w:rsidRPr="00A37BDC" w:rsidRDefault="0094580D" w:rsidP="0094580D">
      <w:pPr>
        <w:spacing w:line="360" w:lineRule="auto"/>
        <w:jc w:val="both"/>
        <w:rPr>
          <w:rFonts w:ascii="Arial" w:hAnsi="Arial"/>
          <w:b/>
          <w:bCs/>
          <w:sz w:val="26"/>
          <w:szCs w:val="26"/>
          <w:rtl/>
        </w:rPr>
      </w:pPr>
      <w:r w:rsidRPr="00A37BDC">
        <w:rPr>
          <w:rFonts w:ascii="Arial" w:hAnsi="Arial" w:hint="cs"/>
          <w:b/>
          <w:bCs/>
          <w:sz w:val="26"/>
          <w:szCs w:val="26"/>
          <w:rtl/>
        </w:rPr>
        <w:t xml:space="preserve">נסיבות ביצוע העבירה </w:t>
      </w:r>
    </w:p>
    <w:p w14:paraId="4C1CDDBF"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במקרה דנן הנאשם נשא אקדח תקני, כלי נשק אשר בכוחו להמית אדם, ומכאן מסוכנות וחומרת העבירה. האקדח והמחסנית הריקה הוחזקו על גופו של הנאשם, מעשה המחייב תכנון כלשהו. </w:t>
      </w:r>
    </w:p>
    <w:p w14:paraId="0A73C813" w14:textId="77777777" w:rsidR="0094580D" w:rsidRDefault="0094580D" w:rsidP="0094580D">
      <w:pPr>
        <w:spacing w:line="360" w:lineRule="auto"/>
        <w:jc w:val="both"/>
        <w:rPr>
          <w:rFonts w:ascii="Arial" w:hAnsi="Arial"/>
          <w:sz w:val="26"/>
          <w:szCs w:val="26"/>
          <w:rtl/>
        </w:rPr>
      </w:pPr>
    </w:p>
    <w:p w14:paraId="16CF32A8"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העובדה כי הנשק נישא במרחב הציבורי, בעת שהנאשם נוסע ברכב ברחבי עיר מיושבת, ממחיש היטב את הסיכון הכרוך בנשיאת נשק כאמור. </w:t>
      </w:r>
    </w:p>
    <w:p w14:paraId="25D721E3"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מאידך גיסא, יש לזכור כי לא התקיים סיכון מיידי, שכן המחסנית שהייתה בתוך האקדח הייתה ריקה מתחמושת. </w:t>
      </w:r>
    </w:p>
    <w:p w14:paraId="493BC68C" w14:textId="77777777" w:rsidR="0094580D" w:rsidRDefault="0094580D" w:rsidP="0094580D">
      <w:pPr>
        <w:spacing w:line="360" w:lineRule="auto"/>
        <w:jc w:val="both"/>
        <w:rPr>
          <w:rFonts w:ascii="Arial" w:hAnsi="Arial"/>
          <w:sz w:val="26"/>
          <w:szCs w:val="26"/>
          <w:rtl/>
        </w:rPr>
      </w:pPr>
    </w:p>
    <w:p w14:paraId="153CD4D5"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עוד יש להתחשב בעובדה כי הנשק שייך לאחר ולא לנאשם. עם זאת, אין בעובדה זו לשלול את פוטנציאל הנזק הטמון בנשיאת הנשק על ידי הנאשם. בהעדר ראיות באשר למשך הזמן בו נישא הנשק, אין להניח לחובת הנאשם כי הוא נשא והחזיק באקדח לפרק זמן ממושך. עם זאת, כאמור, די בהחזקה רגעית על מנת ליצור פוטנציאל נזק משמעותי. פוטנציאל זה נגדע עקב התערבות חיצונית, במקרה זה החיפוש נערך על ידי שוטרים, ולא ביוזמת הנאשם. </w:t>
      </w:r>
    </w:p>
    <w:p w14:paraId="59BDBF67" w14:textId="77777777" w:rsidR="0094580D" w:rsidRDefault="0094580D" w:rsidP="0094580D">
      <w:pPr>
        <w:spacing w:line="360" w:lineRule="auto"/>
        <w:jc w:val="both"/>
        <w:rPr>
          <w:rFonts w:ascii="Arial" w:hAnsi="Arial"/>
          <w:sz w:val="26"/>
          <w:szCs w:val="26"/>
          <w:rtl/>
        </w:rPr>
      </w:pPr>
    </w:p>
    <w:p w14:paraId="5F64ABF5"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לבסוף, יש להביא בחשבון כי הנשק נתפס כאמור, נסיבה אשר גם לה משמעות בהיבט צמצום הנזק העתידי. </w:t>
      </w:r>
    </w:p>
    <w:p w14:paraId="3425B22B" w14:textId="77777777" w:rsidR="0094580D" w:rsidRDefault="0094580D" w:rsidP="0094580D">
      <w:pPr>
        <w:spacing w:line="360" w:lineRule="auto"/>
        <w:jc w:val="both"/>
        <w:rPr>
          <w:rFonts w:ascii="Arial" w:hAnsi="Arial"/>
          <w:sz w:val="26"/>
          <w:szCs w:val="26"/>
          <w:rtl/>
        </w:rPr>
      </w:pPr>
    </w:p>
    <w:p w14:paraId="2530DF22" w14:textId="77777777" w:rsidR="0094580D" w:rsidRPr="007400A5" w:rsidRDefault="0094580D" w:rsidP="0094580D">
      <w:pPr>
        <w:spacing w:line="360" w:lineRule="auto"/>
        <w:jc w:val="both"/>
        <w:rPr>
          <w:rFonts w:ascii="Arial" w:hAnsi="Arial"/>
          <w:b/>
          <w:bCs/>
          <w:sz w:val="26"/>
          <w:szCs w:val="26"/>
          <w:rtl/>
        </w:rPr>
      </w:pPr>
      <w:r w:rsidRPr="007400A5">
        <w:rPr>
          <w:rFonts w:ascii="Arial" w:hAnsi="Arial" w:hint="cs"/>
          <w:b/>
          <w:bCs/>
          <w:sz w:val="26"/>
          <w:szCs w:val="26"/>
          <w:rtl/>
        </w:rPr>
        <w:t xml:space="preserve">מדיניות הענישה </w:t>
      </w:r>
    </w:p>
    <w:p w14:paraId="5EECE814" w14:textId="77777777" w:rsidR="0094580D" w:rsidRDefault="0094580D" w:rsidP="0094580D">
      <w:pPr>
        <w:spacing w:line="360" w:lineRule="auto"/>
        <w:jc w:val="both"/>
        <w:rPr>
          <w:rFonts w:ascii="Arial" w:hAnsi="Arial"/>
          <w:sz w:val="26"/>
          <w:szCs w:val="26"/>
        </w:rPr>
      </w:pPr>
      <w:r>
        <w:rPr>
          <w:rFonts w:ascii="Arial" w:hAnsi="Arial"/>
          <w:sz w:val="26"/>
          <w:szCs w:val="26"/>
          <w:rtl/>
        </w:rPr>
        <w:t xml:space="preserve">על רקע פגיעתן הקשה של עבירות הנשק בערכים מרכזיים כהגנה על חי האדם, הביטחון, הסדר הציבורי והמשילות השלטונית, ולאור נפוצות </w:t>
      </w:r>
      <w:r>
        <w:rPr>
          <w:rFonts w:ascii="Arial" w:hAnsi="Arial" w:hint="cs"/>
          <w:sz w:val="26"/>
          <w:szCs w:val="26"/>
          <w:rtl/>
        </w:rPr>
        <w:t>עבירות הקשורות להחזקת</w:t>
      </w:r>
      <w:r>
        <w:rPr>
          <w:rFonts w:ascii="Arial" w:hAnsi="Arial"/>
          <w:sz w:val="26"/>
          <w:szCs w:val="26"/>
          <w:rtl/>
        </w:rPr>
        <w:t xml:space="preserve"> נשק שלא כדין</w:t>
      </w:r>
      <w:r>
        <w:rPr>
          <w:rFonts w:ascii="Arial" w:hAnsi="Arial" w:hint="cs"/>
          <w:sz w:val="26"/>
          <w:szCs w:val="26"/>
          <w:rtl/>
        </w:rPr>
        <w:t xml:space="preserve"> ונשיאתו</w:t>
      </w:r>
      <w:r>
        <w:rPr>
          <w:rFonts w:ascii="Arial" w:hAnsi="Arial"/>
          <w:sz w:val="26"/>
          <w:szCs w:val="26"/>
          <w:rtl/>
        </w:rPr>
        <w:t xml:space="preserve">, שהוגדרה כ"מכת מדינה" </w:t>
      </w:r>
      <w:r w:rsidRPr="007E5411">
        <w:rPr>
          <w:rFonts w:ascii="Arial" w:hAnsi="Arial"/>
          <w:sz w:val="26"/>
          <w:szCs w:val="26"/>
          <w:rtl/>
        </w:rPr>
        <w:t xml:space="preserve">(ראו </w:t>
      </w:r>
      <w:hyperlink r:id="rId24" w:history="1">
        <w:r w:rsidR="00AF7947" w:rsidRPr="00AF7947">
          <w:rPr>
            <w:rFonts w:ascii="Arial" w:hAnsi="Arial"/>
            <w:color w:val="0000FF"/>
            <w:sz w:val="26"/>
            <w:szCs w:val="26"/>
            <w:u w:val="single"/>
            <w:rtl/>
          </w:rPr>
          <w:t>ע"פ 2482/22</w:t>
        </w:r>
      </w:hyperlink>
      <w:r w:rsidRPr="007E5411">
        <w:rPr>
          <w:rFonts w:ascii="Arial" w:hAnsi="Arial"/>
          <w:sz w:val="26"/>
          <w:szCs w:val="26"/>
          <w:rtl/>
        </w:rPr>
        <w:t xml:space="preserve"> </w:t>
      </w:r>
      <w:r w:rsidRPr="007E5411">
        <w:rPr>
          <w:rFonts w:ascii="Arial" w:hAnsi="Arial"/>
          <w:b/>
          <w:bCs/>
          <w:sz w:val="26"/>
          <w:szCs w:val="26"/>
          <w:rtl/>
        </w:rPr>
        <w:t>מדינת ישראל</w:t>
      </w:r>
      <w:r w:rsidRPr="007E5411">
        <w:rPr>
          <w:rFonts w:ascii="Arial" w:hAnsi="Arial"/>
          <w:sz w:val="26"/>
          <w:szCs w:val="26"/>
          <w:rtl/>
        </w:rPr>
        <w:t xml:space="preserve"> נ' </w:t>
      </w:r>
      <w:r w:rsidRPr="007E5411">
        <w:rPr>
          <w:rFonts w:ascii="Arial" w:hAnsi="Arial"/>
          <w:b/>
          <w:bCs/>
          <w:sz w:val="26"/>
          <w:szCs w:val="26"/>
          <w:rtl/>
        </w:rPr>
        <w:t>קדורה</w:t>
      </w:r>
      <w:r w:rsidRPr="007E5411">
        <w:rPr>
          <w:rFonts w:ascii="Arial" w:hAnsi="Arial"/>
          <w:sz w:val="26"/>
          <w:szCs w:val="26"/>
          <w:rtl/>
        </w:rPr>
        <w:t xml:space="preserve"> (פורסם בנבו, 14.4.22) וכ"מצב חירום לאומי" (ראו עניי</w:t>
      </w:r>
      <w:r w:rsidRPr="00EB0D25">
        <w:rPr>
          <w:rFonts w:ascii="Arial" w:hAnsi="Arial"/>
          <w:sz w:val="26"/>
          <w:szCs w:val="26"/>
          <w:rtl/>
        </w:rPr>
        <w:t xml:space="preserve">ן </w:t>
      </w:r>
      <w:r w:rsidRPr="00EB0D25">
        <w:rPr>
          <w:rFonts w:ascii="Arial" w:hAnsi="Arial"/>
          <w:b/>
          <w:bCs/>
          <w:sz w:val="26"/>
          <w:szCs w:val="26"/>
          <w:rtl/>
        </w:rPr>
        <w:t>אגבאריה</w:t>
      </w:r>
      <w:r w:rsidRPr="00EB0D25">
        <w:rPr>
          <w:rFonts w:ascii="Arial" w:hAnsi="Arial"/>
          <w:sz w:val="26"/>
          <w:szCs w:val="26"/>
          <w:rtl/>
        </w:rPr>
        <w:t xml:space="preserve"> הנ"ל), </w:t>
      </w:r>
      <w:r>
        <w:rPr>
          <w:rFonts w:ascii="Arial" w:hAnsi="Arial" w:hint="cs"/>
          <w:sz w:val="26"/>
          <w:szCs w:val="26"/>
          <w:rtl/>
        </w:rPr>
        <w:t>ניכרת</w:t>
      </w:r>
      <w:r>
        <w:rPr>
          <w:rFonts w:ascii="Arial" w:hAnsi="Arial"/>
          <w:sz w:val="26"/>
          <w:szCs w:val="26"/>
          <w:rtl/>
        </w:rPr>
        <w:t xml:space="preserve"> החמרה בענישה והודגש הצורך בהטלת עונשי מאסר משמעותיים</w:t>
      </w:r>
      <w:r>
        <w:rPr>
          <w:rFonts w:ascii="Arial" w:hAnsi="Arial" w:hint="cs"/>
          <w:sz w:val="26"/>
          <w:szCs w:val="26"/>
          <w:rtl/>
        </w:rPr>
        <w:t xml:space="preserve">. כך נקבע לדוגמא בעניין </w:t>
      </w:r>
      <w:r w:rsidRPr="007E5411">
        <w:rPr>
          <w:rFonts w:ascii="Arial" w:hAnsi="Arial" w:hint="cs"/>
          <w:b/>
          <w:bCs/>
          <w:sz w:val="26"/>
          <w:szCs w:val="26"/>
          <w:rtl/>
        </w:rPr>
        <w:t>סובח</w:t>
      </w:r>
      <w:r>
        <w:rPr>
          <w:rFonts w:ascii="Arial" w:hAnsi="Arial"/>
          <w:sz w:val="26"/>
          <w:szCs w:val="26"/>
          <w:rtl/>
        </w:rPr>
        <w:t>:</w:t>
      </w:r>
    </w:p>
    <w:p w14:paraId="4190211B" w14:textId="77777777" w:rsidR="0094580D" w:rsidRPr="007E5411" w:rsidRDefault="0094580D" w:rsidP="0094580D">
      <w:pPr>
        <w:spacing w:line="360" w:lineRule="auto"/>
        <w:jc w:val="both"/>
        <w:rPr>
          <w:rFonts w:ascii="Arial" w:hAnsi="Arial"/>
          <w:sz w:val="12"/>
          <w:szCs w:val="12"/>
          <w:rtl/>
        </w:rPr>
      </w:pPr>
    </w:p>
    <w:p w14:paraId="5152DA7B" w14:textId="77777777" w:rsidR="0094580D" w:rsidRDefault="0094580D" w:rsidP="0094580D">
      <w:pPr>
        <w:pStyle w:val="ruller5"/>
        <w:bidi/>
        <w:spacing w:before="0" w:beforeAutospacing="0" w:after="0" w:afterAutospacing="0" w:line="360" w:lineRule="auto"/>
        <w:ind w:left="1642" w:right="1282"/>
        <w:jc w:val="both"/>
        <w:rPr>
          <w:rFonts w:ascii="Arial" w:hAnsi="Arial" w:cs="David"/>
          <w:b/>
          <w:bCs/>
          <w:i/>
          <w:iCs/>
          <w:sz w:val="26"/>
          <w:szCs w:val="26"/>
          <w:rtl/>
        </w:rPr>
      </w:pPr>
      <w:r>
        <w:rPr>
          <w:rFonts w:ascii="Arial" w:hAnsi="Arial" w:cs="David"/>
          <w:b/>
          <w:bCs/>
          <w:i/>
          <w:iCs/>
          <w:sz w:val="26"/>
          <w:szCs w:val="26"/>
          <w:rtl/>
        </w:rPr>
        <w:t>"התופעה של החזקת נשק שלא כדין על ידי אזרחים מהווה איום על שלום הציבור ועל הסדר הציבורי. היא התשתית ו'הגורם בלעדיו אין</w:t>
      </w:r>
      <w:r>
        <w:rPr>
          <w:rFonts w:ascii="Arial" w:hAnsi="Arial" w:cs="David"/>
          <w:b/>
          <w:bCs/>
          <w:i/>
          <w:iCs/>
          <w:sz w:val="26"/>
          <w:szCs w:val="26"/>
        </w:rPr>
        <w:t>(causa sine qua non)</w:t>
      </w:r>
      <w:r w:rsidR="00AF7947">
        <w:rPr>
          <w:rFonts w:ascii="Arial" w:hAnsi="Arial" w:cs="David"/>
          <w:b/>
          <w:bCs/>
          <w:i/>
          <w:iCs/>
          <w:sz w:val="26"/>
          <w:szCs w:val="26"/>
        </w:rPr>
        <w:t xml:space="preserve"> </w:t>
      </w:r>
      <w:r>
        <w:rPr>
          <w:rFonts w:ascii="Arial" w:hAnsi="Arial" w:cs="David"/>
          <w:b/>
          <w:bCs/>
          <w:i/>
          <w:iCs/>
          <w:sz w:val="26"/>
          <w:szCs w:val="26"/>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ולהחרפת תוצאותיהן.</w:t>
      </w:r>
    </w:p>
    <w:p w14:paraId="72947A12" w14:textId="77777777" w:rsidR="0094580D" w:rsidRDefault="0094580D" w:rsidP="0094580D">
      <w:pPr>
        <w:pStyle w:val="ruller5"/>
        <w:bidi/>
        <w:spacing w:before="0" w:beforeAutospacing="0" w:after="0" w:afterAutospacing="0" w:line="360" w:lineRule="auto"/>
        <w:ind w:left="1642" w:right="1282"/>
        <w:jc w:val="both"/>
        <w:rPr>
          <w:rFonts w:ascii="Arial" w:hAnsi="Arial" w:cs="David"/>
          <w:b/>
          <w:bCs/>
          <w:i/>
          <w:iCs/>
          <w:sz w:val="26"/>
          <w:szCs w:val="26"/>
          <w:rtl/>
        </w:rPr>
      </w:pPr>
    </w:p>
    <w:p w14:paraId="451BF921" w14:textId="77777777" w:rsidR="0094580D" w:rsidRDefault="0094580D" w:rsidP="0094580D">
      <w:pPr>
        <w:pStyle w:val="ruller5"/>
        <w:bidi/>
        <w:spacing w:before="0" w:beforeAutospacing="0" w:after="0" w:afterAutospacing="0" w:line="360" w:lineRule="auto"/>
        <w:ind w:left="1642" w:right="1282"/>
        <w:jc w:val="both"/>
        <w:rPr>
          <w:rFonts w:ascii="Arial" w:hAnsi="Arial" w:cs="David"/>
          <w:sz w:val="26"/>
          <w:szCs w:val="26"/>
          <w:rtl/>
        </w:rPr>
      </w:pPr>
      <w:r>
        <w:rPr>
          <w:rFonts w:ascii="Arial" w:hAnsi="Arial" w:cs="David"/>
          <w:b/>
          <w:bCs/>
          <w:i/>
          <w:iCs/>
          <w:sz w:val="26"/>
          <w:szCs w:val="26"/>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sidR="00AF7947">
        <w:rPr>
          <w:rFonts w:ascii="Arial" w:hAnsi="Arial" w:cs="David"/>
          <w:b/>
          <w:bCs/>
          <w:i/>
          <w:iCs/>
          <w:sz w:val="26"/>
          <w:szCs w:val="26"/>
          <w:rtl/>
        </w:rPr>
        <w:t xml:space="preserve"> </w:t>
      </w:r>
      <w:r>
        <w:rPr>
          <w:rFonts w:ascii="Arial" w:hAnsi="Arial" w:cs="David"/>
          <w:b/>
          <w:bCs/>
          <w:i/>
          <w:iCs/>
          <w:sz w:val="26"/>
          <w:szCs w:val="26"/>
          <w:rtl/>
        </w:rPr>
        <w:t>[...]</w:t>
      </w:r>
      <w:r w:rsidR="00AF7947">
        <w:rPr>
          <w:rFonts w:ascii="Arial" w:hAnsi="Arial" w:cs="David"/>
          <w:b/>
          <w:bCs/>
          <w:i/>
          <w:iCs/>
          <w:sz w:val="26"/>
          <w:szCs w:val="26"/>
          <w:rtl/>
        </w:rPr>
        <w:t xml:space="preserve"> </w:t>
      </w:r>
      <w:r>
        <w:rPr>
          <w:rFonts w:ascii="Arial" w:hAnsi="Arial" w:cs="David"/>
          <w:b/>
          <w:bCs/>
          <w:i/>
          <w:iCs/>
          <w:sz w:val="26"/>
          <w:szCs w:val="26"/>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Pr>
          <w:rFonts w:ascii="Arial" w:hAnsi="Arial" w:cs="David"/>
          <w:sz w:val="26"/>
          <w:szCs w:val="26"/>
          <w:rtl/>
        </w:rPr>
        <w:t xml:space="preserve"> (</w:t>
      </w:r>
      <w:hyperlink r:id="rId25" w:history="1">
        <w:r w:rsidR="00AF7947" w:rsidRPr="00AF7947">
          <w:rPr>
            <w:rFonts w:ascii="Arial" w:hAnsi="Arial" w:cs="David"/>
            <w:color w:val="0000FF"/>
            <w:sz w:val="26"/>
            <w:szCs w:val="26"/>
            <w:u w:val="single"/>
            <w:rtl/>
          </w:rPr>
          <w:t>ע"פ 4406/19</w:t>
        </w:r>
      </w:hyperlink>
      <w:r>
        <w:rPr>
          <w:rFonts w:ascii="Arial" w:hAnsi="Arial" w:cs="David" w:hint="cs"/>
          <w:sz w:val="26"/>
          <w:szCs w:val="26"/>
          <w:rtl/>
        </w:rPr>
        <w:t xml:space="preserve"> </w:t>
      </w:r>
      <w:r w:rsidRPr="007E5411">
        <w:rPr>
          <w:rFonts w:ascii="Arial" w:hAnsi="Arial" w:cs="David" w:hint="cs"/>
          <w:b/>
          <w:bCs/>
          <w:sz w:val="26"/>
          <w:szCs w:val="26"/>
          <w:rtl/>
        </w:rPr>
        <w:t>מדינת ישראל</w:t>
      </w:r>
      <w:r>
        <w:rPr>
          <w:rFonts w:ascii="Arial" w:hAnsi="Arial" w:cs="David" w:hint="cs"/>
          <w:sz w:val="26"/>
          <w:szCs w:val="26"/>
          <w:rtl/>
        </w:rPr>
        <w:t xml:space="preserve"> נ' </w:t>
      </w:r>
      <w:r>
        <w:rPr>
          <w:rFonts w:ascii="Arial" w:hAnsi="Arial" w:cs="David"/>
          <w:b/>
          <w:bCs/>
          <w:sz w:val="26"/>
          <w:szCs w:val="26"/>
          <w:rtl/>
        </w:rPr>
        <w:t xml:space="preserve">סובח </w:t>
      </w:r>
      <w:r>
        <w:rPr>
          <w:rFonts w:ascii="Arial" w:hAnsi="Arial" w:cs="David" w:hint="cs"/>
          <w:sz w:val="26"/>
          <w:szCs w:val="26"/>
          <w:rtl/>
        </w:rPr>
        <w:t>(פורסם בנבו, 5.11.19)</w:t>
      </w:r>
      <w:r>
        <w:rPr>
          <w:rFonts w:ascii="Arial" w:hAnsi="Arial" w:cs="David"/>
          <w:sz w:val="26"/>
          <w:szCs w:val="26"/>
          <w:rtl/>
        </w:rPr>
        <w:t>)</w:t>
      </w:r>
      <w:r>
        <w:rPr>
          <w:rFonts w:ascii="Arial" w:hAnsi="Arial" w:cs="David" w:hint="cs"/>
          <w:sz w:val="26"/>
          <w:szCs w:val="26"/>
          <w:rtl/>
        </w:rPr>
        <w:t>.</w:t>
      </w:r>
    </w:p>
    <w:p w14:paraId="5D3132BD" w14:textId="77777777" w:rsidR="0094580D" w:rsidRDefault="0094580D" w:rsidP="0094580D">
      <w:pPr>
        <w:pStyle w:val="ruller5"/>
        <w:bidi/>
        <w:spacing w:before="0" w:beforeAutospacing="0" w:after="0" w:afterAutospacing="0" w:line="360" w:lineRule="auto"/>
        <w:jc w:val="both"/>
        <w:rPr>
          <w:rFonts w:ascii="Arial" w:hAnsi="Arial" w:cs="David"/>
          <w:sz w:val="26"/>
          <w:szCs w:val="26"/>
          <w:rtl/>
        </w:rPr>
      </w:pPr>
    </w:p>
    <w:p w14:paraId="43746F00" w14:textId="77777777" w:rsidR="0094580D" w:rsidRDefault="0094580D" w:rsidP="0094580D">
      <w:pPr>
        <w:pStyle w:val="ruller5"/>
        <w:bidi/>
        <w:spacing w:before="0" w:beforeAutospacing="0" w:after="0" w:afterAutospacing="0" w:line="360" w:lineRule="auto"/>
        <w:jc w:val="both"/>
        <w:rPr>
          <w:rFonts w:ascii="Arial" w:hAnsi="Arial" w:cs="David"/>
          <w:sz w:val="26"/>
          <w:szCs w:val="26"/>
          <w:rtl/>
        </w:rPr>
      </w:pPr>
      <w:r>
        <w:rPr>
          <w:rFonts w:ascii="Arial" w:hAnsi="Arial" w:cs="David"/>
          <w:sz w:val="26"/>
          <w:szCs w:val="26"/>
          <w:rtl/>
        </w:rPr>
        <w:t>יתרה מזו, מעבר לפוטנציאל הנזק הישיר הטמון ב</w:t>
      </w:r>
      <w:r>
        <w:rPr>
          <w:rFonts w:ascii="Arial" w:hAnsi="Arial" w:cs="David" w:hint="cs"/>
          <w:sz w:val="26"/>
          <w:szCs w:val="26"/>
          <w:rtl/>
        </w:rPr>
        <w:t>נשיאת</w:t>
      </w:r>
      <w:r>
        <w:rPr>
          <w:rFonts w:ascii="Arial" w:hAnsi="Arial" w:cs="David"/>
          <w:sz w:val="26"/>
          <w:szCs w:val="26"/>
          <w:rtl/>
        </w:rPr>
        <w:t xml:space="preserve"> נשק בלתי חוקית ובשימוש בו, נדרש לתת </w:t>
      </w:r>
      <w:r>
        <w:rPr>
          <w:rFonts w:ascii="Arial" w:hAnsi="Arial" w:cs="David" w:hint="cs"/>
          <w:sz w:val="26"/>
          <w:szCs w:val="26"/>
          <w:rtl/>
        </w:rPr>
        <w:t>את ה</w:t>
      </w:r>
      <w:r>
        <w:rPr>
          <w:rFonts w:ascii="Arial" w:hAnsi="Arial" w:cs="David"/>
          <w:sz w:val="26"/>
          <w:szCs w:val="26"/>
          <w:rtl/>
        </w:rPr>
        <w:t xml:space="preserve">דעת להשפעות החברתיות הרוחביות וההרסניות, הנגרמות </w:t>
      </w:r>
      <w:r>
        <w:rPr>
          <w:rFonts w:ascii="Arial" w:hAnsi="Arial" w:cs="David" w:hint="cs"/>
          <w:sz w:val="26"/>
          <w:szCs w:val="26"/>
          <w:rtl/>
        </w:rPr>
        <w:t>מ</w:t>
      </w:r>
      <w:r>
        <w:rPr>
          <w:rFonts w:ascii="Arial" w:hAnsi="Arial" w:cs="David"/>
          <w:sz w:val="26"/>
          <w:szCs w:val="26"/>
          <w:rtl/>
        </w:rPr>
        <w:t xml:space="preserve">התפשטות תופעת </w:t>
      </w:r>
      <w:r>
        <w:rPr>
          <w:rFonts w:ascii="Arial" w:hAnsi="Arial" w:cs="David" w:hint="cs"/>
          <w:sz w:val="26"/>
          <w:szCs w:val="26"/>
          <w:rtl/>
        </w:rPr>
        <w:t xml:space="preserve">נשיאת </w:t>
      </w:r>
      <w:r>
        <w:rPr>
          <w:rFonts w:ascii="Arial" w:hAnsi="Arial" w:cs="David"/>
          <w:sz w:val="26"/>
          <w:szCs w:val="26"/>
          <w:rtl/>
        </w:rPr>
        <w:t xml:space="preserve">נשק לא חוקי </w:t>
      </w:r>
      <w:r>
        <w:rPr>
          <w:rFonts w:ascii="Arial" w:hAnsi="Arial" w:cs="David" w:hint="cs"/>
          <w:sz w:val="26"/>
          <w:szCs w:val="26"/>
          <w:rtl/>
        </w:rPr>
        <w:t xml:space="preserve">וההחזקה בו. </w:t>
      </w:r>
      <w:r>
        <w:rPr>
          <w:rFonts w:ascii="Arial" w:hAnsi="Arial" w:cs="David"/>
          <w:sz w:val="26"/>
          <w:szCs w:val="26"/>
          <w:rtl/>
        </w:rPr>
        <w:t>זו מייצרת אווירה ציבורית בה "כל דאלים גבר", בעקבותיה נדחק מקומם של גורמי האכיפה והביטחון, ונוצרת "תרבות" כללית אלימה ועבריינית, הרואה בחיוב החזקת נשק</w:t>
      </w:r>
      <w:r>
        <w:rPr>
          <w:rFonts w:ascii="Arial" w:hAnsi="Arial" w:cs="David" w:hint="cs"/>
          <w:sz w:val="26"/>
          <w:szCs w:val="26"/>
          <w:rtl/>
        </w:rPr>
        <w:t>, נשיאתו</w:t>
      </w:r>
      <w:r>
        <w:rPr>
          <w:rFonts w:ascii="Arial" w:hAnsi="Arial" w:cs="David"/>
          <w:sz w:val="26"/>
          <w:szCs w:val="26"/>
          <w:rtl/>
        </w:rPr>
        <w:t xml:space="preserve"> ו</w:t>
      </w:r>
      <w:r>
        <w:rPr>
          <w:rFonts w:ascii="Arial" w:hAnsi="Arial" w:cs="David" w:hint="cs"/>
          <w:sz w:val="26"/>
          <w:szCs w:val="26"/>
          <w:rtl/>
        </w:rPr>
        <w:t>ה</w:t>
      </w:r>
      <w:r>
        <w:rPr>
          <w:rFonts w:ascii="Arial" w:hAnsi="Arial" w:cs="David"/>
          <w:sz w:val="26"/>
          <w:szCs w:val="26"/>
          <w:rtl/>
        </w:rPr>
        <w:t xml:space="preserve">שימוש בו.  </w:t>
      </w:r>
    </w:p>
    <w:p w14:paraId="64D333E1" w14:textId="77777777" w:rsidR="0094580D" w:rsidRDefault="00AF7947" w:rsidP="0094580D">
      <w:pPr>
        <w:pStyle w:val="ruller4"/>
        <w:bidi/>
        <w:spacing w:before="0" w:beforeAutospacing="0" w:after="0" w:afterAutospacing="0" w:line="360" w:lineRule="auto"/>
        <w:jc w:val="both"/>
        <w:rPr>
          <w:rFonts w:ascii="Arial" w:hAnsi="Arial"/>
          <w:sz w:val="26"/>
          <w:szCs w:val="26"/>
          <w:rtl/>
        </w:rPr>
      </w:pPr>
      <w:r>
        <w:rPr>
          <w:rFonts w:ascii="Arial" w:hAnsi="Arial" w:cs="David"/>
          <w:sz w:val="26"/>
          <w:szCs w:val="26"/>
          <w:rtl/>
        </w:rPr>
        <w:t xml:space="preserve">       </w:t>
      </w:r>
    </w:p>
    <w:p w14:paraId="157A39A0" w14:textId="77777777" w:rsidR="0094580D" w:rsidRPr="00864B22" w:rsidRDefault="0094580D" w:rsidP="0094580D">
      <w:pPr>
        <w:spacing w:line="360" w:lineRule="auto"/>
        <w:jc w:val="both"/>
        <w:rPr>
          <w:rFonts w:ascii="Arial" w:hAnsi="Arial"/>
          <w:sz w:val="26"/>
          <w:szCs w:val="26"/>
          <w:rtl/>
        </w:rPr>
      </w:pPr>
      <w:r>
        <w:rPr>
          <w:rFonts w:ascii="Arial" w:hAnsi="Arial"/>
          <w:sz w:val="26"/>
          <w:szCs w:val="26"/>
          <w:rtl/>
        </w:rPr>
        <w:t xml:space="preserve">אל מול הסיכון המוחשי לערכים חברתיים בסיסיים אלה, הודגש משקלם המרכזי של שיקולי ההרתעה, הפרטית והכללית, והעדפתם על פני שיקולי ענישה אחרים (ראו לדוגמה </w:t>
      </w:r>
      <w:hyperlink r:id="rId26" w:history="1">
        <w:r w:rsidR="00AF7947" w:rsidRPr="00AF7947">
          <w:rPr>
            <w:rFonts w:ascii="Arial" w:hAnsi="Arial"/>
            <w:color w:val="0000FF"/>
            <w:sz w:val="26"/>
            <w:szCs w:val="26"/>
            <w:u w:val="single"/>
            <w:rtl/>
          </w:rPr>
          <w:t>ע"פ 309/22</w:t>
        </w:r>
      </w:hyperlink>
      <w:r>
        <w:rPr>
          <w:rFonts w:ascii="Arial" w:hAnsi="Arial"/>
          <w:sz w:val="26"/>
          <w:szCs w:val="26"/>
          <w:rtl/>
        </w:rPr>
        <w:t xml:space="preserve"> </w:t>
      </w:r>
      <w:r w:rsidRPr="00860554">
        <w:rPr>
          <w:rFonts w:ascii="Arial" w:hAnsi="Arial"/>
          <w:b/>
          <w:bCs/>
          <w:sz w:val="26"/>
          <w:szCs w:val="26"/>
          <w:rtl/>
        </w:rPr>
        <w:t>מדינת ישראל</w:t>
      </w:r>
      <w:r w:rsidRPr="00860554">
        <w:rPr>
          <w:rFonts w:ascii="Arial" w:hAnsi="Arial"/>
          <w:sz w:val="26"/>
          <w:szCs w:val="26"/>
          <w:rtl/>
        </w:rPr>
        <w:t xml:space="preserve"> נ' </w:t>
      </w:r>
      <w:r w:rsidRPr="00860554">
        <w:rPr>
          <w:rFonts w:ascii="Arial" w:hAnsi="Arial"/>
          <w:b/>
          <w:bCs/>
          <w:sz w:val="26"/>
          <w:szCs w:val="26"/>
          <w:rtl/>
        </w:rPr>
        <w:t>ביאדסה</w:t>
      </w:r>
      <w:r w:rsidRPr="00860554">
        <w:rPr>
          <w:rFonts w:ascii="Arial" w:hAnsi="Arial"/>
          <w:sz w:val="26"/>
          <w:szCs w:val="26"/>
          <w:rtl/>
        </w:rPr>
        <w:t xml:space="preserve"> (פורסם בנבו, 10.5.22),</w:t>
      </w:r>
      <w:r w:rsidRPr="004B2369">
        <w:rPr>
          <w:rFonts w:ascii="Arial" w:hAnsi="Arial"/>
          <w:color w:val="FF0000"/>
          <w:sz w:val="26"/>
          <w:szCs w:val="26"/>
          <w:rtl/>
        </w:rPr>
        <w:t xml:space="preserve"> </w:t>
      </w:r>
      <w:hyperlink r:id="rId27" w:history="1">
        <w:r w:rsidR="00AF7947" w:rsidRPr="00AF7947">
          <w:rPr>
            <w:rFonts w:ascii="Arial" w:hAnsi="Arial"/>
            <w:color w:val="0000FF"/>
            <w:sz w:val="26"/>
            <w:szCs w:val="26"/>
            <w:u w:val="single"/>
            <w:rtl/>
          </w:rPr>
          <w:t>ע"פ 1695/22</w:t>
        </w:r>
      </w:hyperlink>
      <w:r w:rsidRPr="00864B22">
        <w:rPr>
          <w:rFonts w:ascii="Arial" w:hAnsi="Arial"/>
          <w:sz w:val="26"/>
          <w:szCs w:val="26"/>
          <w:rtl/>
        </w:rPr>
        <w:t xml:space="preserve"> </w:t>
      </w:r>
      <w:r w:rsidRPr="00864B22">
        <w:rPr>
          <w:rFonts w:ascii="Arial" w:hAnsi="Arial"/>
          <w:b/>
          <w:bCs/>
          <w:sz w:val="26"/>
          <w:szCs w:val="26"/>
          <w:rtl/>
        </w:rPr>
        <w:t>מדינת ישראל</w:t>
      </w:r>
      <w:r w:rsidRPr="00864B22">
        <w:rPr>
          <w:rFonts w:ascii="Arial" w:hAnsi="Arial"/>
          <w:sz w:val="26"/>
          <w:szCs w:val="26"/>
          <w:rtl/>
        </w:rPr>
        <w:t xml:space="preserve"> נ' </w:t>
      </w:r>
      <w:r w:rsidRPr="00864B22">
        <w:rPr>
          <w:rFonts w:ascii="Arial" w:hAnsi="Arial"/>
          <w:b/>
          <w:bCs/>
          <w:sz w:val="26"/>
          <w:szCs w:val="26"/>
          <w:rtl/>
        </w:rPr>
        <w:t>גאנים</w:t>
      </w:r>
      <w:r w:rsidRPr="00864B22">
        <w:rPr>
          <w:rFonts w:ascii="Arial" w:hAnsi="Arial"/>
          <w:sz w:val="26"/>
          <w:szCs w:val="26"/>
          <w:rtl/>
        </w:rPr>
        <w:t xml:space="preserve"> (פורסם בנבו, 29.3.22)). </w:t>
      </w:r>
    </w:p>
    <w:p w14:paraId="0D015E68" w14:textId="77777777" w:rsidR="0094580D" w:rsidRDefault="0094580D" w:rsidP="0094580D">
      <w:pPr>
        <w:spacing w:line="360" w:lineRule="auto"/>
        <w:jc w:val="both"/>
        <w:rPr>
          <w:rFonts w:ascii="Arial" w:hAnsi="Arial"/>
          <w:sz w:val="26"/>
          <w:szCs w:val="26"/>
          <w:rtl/>
        </w:rPr>
      </w:pPr>
    </w:p>
    <w:p w14:paraId="088F86DD"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לנוכח כלל האמור, קבע בית המשפט העליון מתחמי ענישה מפורשים בנוגע לעבירות דוגמת זו שבוצעה על ידי הנאשם. כך נקבע לאחרונה בעניין </w:t>
      </w:r>
      <w:r w:rsidRPr="004B2369">
        <w:rPr>
          <w:rFonts w:ascii="Arial" w:hAnsi="Arial" w:hint="cs"/>
          <w:b/>
          <w:bCs/>
          <w:sz w:val="26"/>
          <w:szCs w:val="26"/>
          <w:rtl/>
        </w:rPr>
        <w:t>אגב</w:t>
      </w:r>
      <w:r>
        <w:rPr>
          <w:rFonts w:ascii="Arial" w:hAnsi="Arial" w:hint="cs"/>
          <w:b/>
          <w:bCs/>
          <w:sz w:val="26"/>
          <w:szCs w:val="26"/>
          <w:rtl/>
        </w:rPr>
        <w:t>א</w:t>
      </w:r>
      <w:r w:rsidRPr="004B2369">
        <w:rPr>
          <w:rFonts w:ascii="Arial" w:hAnsi="Arial" w:hint="cs"/>
          <w:b/>
          <w:bCs/>
          <w:sz w:val="26"/>
          <w:szCs w:val="26"/>
          <w:rtl/>
        </w:rPr>
        <w:t>ריה</w:t>
      </w:r>
      <w:r>
        <w:rPr>
          <w:rFonts w:ascii="Arial" w:hAnsi="Arial" w:hint="cs"/>
          <w:sz w:val="26"/>
          <w:szCs w:val="26"/>
          <w:rtl/>
        </w:rPr>
        <w:t xml:space="preserve">: </w:t>
      </w:r>
    </w:p>
    <w:p w14:paraId="05357FEA" w14:textId="77777777" w:rsidR="0094580D" w:rsidRDefault="0094580D" w:rsidP="0094580D">
      <w:pPr>
        <w:spacing w:line="360" w:lineRule="auto"/>
        <w:jc w:val="both"/>
        <w:rPr>
          <w:rFonts w:ascii="Arial" w:hAnsi="Arial"/>
          <w:rtl/>
        </w:rPr>
      </w:pPr>
    </w:p>
    <w:p w14:paraId="7078ED40" w14:textId="77777777" w:rsidR="0094580D" w:rsidRDefault="0094580D" w:rsidP="0094580D">
      <w:pPr>
        <w:spacing w:line="360" w:lineRule="auto"/>
        <w:ind w:left="1440" w:right="1276" w:hanging="23"/>
        <w:jc w:val="both"/>
        <w:rPr>
          <w:rFonts w:ascii="Arial" w:hAnsi="Arial"/>
          <w:sz w:val="26"/>
          <w:szCs w:val="26"/>
          <w:rtl/>
        </w:rPr>
      </w:pPr>
      <w:r w:rsidRPr="004B2369">
        <w:rPr>
          <w:rFonts w:ascii="Arial" w:hAnsi="Arial" w:hint="cs"/>
          <w:b/>
          <w:bCs/>
          <w:i/>
          <w:iCs/>
          <w:sz w:val="26"/>
          <w:szCs w:val="26"/>
          <w:rtl/>
        </w:rPr>
        <w:t>"... ככלל מתחם ענישה ראוי לנאשם בגיר בגין עבירה של נשיאת נש</w:t>
      </w:r>
      <w:r>
        <w:rPr>
          <w:rFonts w:ascii="Arial" w:hAnsi="Arial" w:hint="cs"/>
          <w:b/>
          <w:bCs/>
          <w:i/>
          <w:iCs/>
          <w:sz w:val="26"/>
          <w:szCs w:val="26"/>
          <w:rtl/>
        </w:rPr>
        <w:t>ק חם במרחב הציבורי, נע בין 30 ל-</w:t>
      </w:r>
      <w:r w:rsidRPr="004B2369">
        <w:rPr>
          <w:rFonts w:ascii="Arial" w:hAnsi="Arial" w:hint="cs"/>
          <w:b/>
          <w:bCs/>
          <w:i/>
          <w:iCs/>
          <w:sz w:val="26"/>
          <w:szCs w:val="26"/>
          <w:rtl/>
        </w:rPr>
        <w:t xml:space="preserve"> 42 חודשי מאסר בפועל"</w:t>
      </w:r>
      <w:r>
        <w:rPr>
          <w:rFonts w:ascii="Arial" w:hAnsi="Arial" w:hint="cs"/>
          <w:rtl/>
        </w:rPr>
        <w:t xml:space="preserve"> </w:t>
      </w:r>
      <w:r w:rsidRPr="004B2369">
        <w:rPr>
          <w:rFonts w:ascii="Arial" w:hAnsi="Arial" w:hint="cs"/>
          <w:sz w:val="26"/>
          <w:szCs w:val="26"/>
          <w:rtl/>
        </w:rPr>
        <w:t>(</w:t>
      </w:r>
      <w:hyperlink r:id="rId28" w:history="1">
        <w:r w:rsidR="00AF7947" w:rsidRPr="00AF7947">
          <w:rPr>
            <w:rFonts w:ascii="Arial" w:hAnsi="Arial"/>
            <w:color w:val="0000FF"/>
            <w:sz w:val="26"/>
            <w:szCs w:val="26"/>
            <w:u w:val="single"/>
            <w:rtl/>
          </w:rPr>
          <w:t>ע"פ 7971/21</w:t>
        </w:r>
      </w:hyperlink>
      <w:r w:rsidRPr="004B2369">
        <w:rPr>
          <w:rFonts w:ascii="Arial" w:hAnsi="Arial" w:hint="cs"/>
          <w:sz w:val="26"/>
          <w:szCs w:val="26"/>
          <w:rtl/>
        </w:rPr>
        <w:t xml:space="preserve"> </w:t>
      </w:r>
      <w:r w:rsidRPr="004B2369">
        <w:rPr>
          <w:rFonts w:ascii="Arial" w:hAnsi="Arial" w:hint="cs"/>
          <w:b/>
          <w:bCs/>
          <w:sz w:val="26"/>
          <w:szCs w:val="26"/>
          <w:rtl/>
        </w:rPr>
        <w:t>אגבאריה נ' מדינת ישראל</w:t>
      </w:r>
      <w:r>
        <w:rPr>
          <w:rFonts w:ascii="Arial" w:hAnsi="Arial" w:hint="cs"/>
          <w:sz w:val="26"/>
          <w:szCs w:val="26"/>
          <w:rtl/>
        </w:rPr>
        <w:t xml:space="preserve"> (פורסם בנבו, 26.5.2024</w:t>
      </w:r>
      <w:r w:rsidRPr="004B2369">
        <w:rPr>
          <w:rFonts w:ascii="Arial" w:hAnsi="Arial" w:hint="cs"/>
          <w:sz w:val="26"/>
          <w:szCs w:val="26"/>
          <w:rtl/>
        </w:rPr>
        <w:t>)</w:t>
      </w:r>
      <w:r>
        <w:rPr>
          <w:rFonts w:ascii="Arial" w:hAnsi="Arial" w:hint="cs"/>
          <w:sz w:val="26"/>
          <w:szCs w:val="26"/>
          <w:rtl/>
        </w:rPr>
        <w:t xml:space="preserve"> באותו עניין הוטלו על אחד הנאשמים 32 חודשי מאסר לריצוי בפועל, מבלי למצות את הדין, בגין נשיאת תת מקלע מאולתר, טעון במחסנית ובה עשרה כדורים)</w:t>
      </w:r>
      <w:r w:rsidRPr="004B2369">
        <w:rPr>
          <w:rFonts w:ascii="Arial" w:hAnsi="Arial" w:hint="cs"/>
          <w:sz w:val="26"/>
          <w:szCs w:val="26"/>
          <w:rtl/>
        </w:rPr>
        <w:t xml:space="preserve">. </w:t>
      </w:r>
    </w:p>
    <w:p w14:paraId="6A32A7C2" w14:textId="77777777" w:rsidR="0094580D" w:rsidRDefault="0094580D" w:rsidP="0094580D">
      <w:pPr>
        <w:spacing w:line="360" w:lineRule="auto"/>
        <w:rPr>
          <w:rFonts w:ascii="Arial" w:hAnsi="Arial"/>
          <w:sz w:val="26"/>
          <w:szCs w:val="26"/>
          <w:rtl/>
        </w:rPr>
      </w:pPr>
    </w:p>
    <w:p w14:paraId="345AB2E4" w14:textId="77777777" w:rsidR="0094580D" w:rsidRDefault="0094580D" w:rsidP="0094580D">
      <w:pPr>
        <w:spacing w:line="360" w:lineRule="auto"/>
        <w:rPr>
          <w:rFonts w:ascii="Arial" w:hAnsi="Arial"/>
          <w:sz w:val="26"/>
          <w:szCs w:val="26"/>
          <w:rtl/>
        </w:rPr>
      </w:pPr>
      <w:r>
        <w:rPr>
          <w:rFonts w:ascii="Arial" w:hAnsi="Arial" w:hint="cs"/>
          <w:sz w:val="26"/>
          <w:szCs w:val="26"/>
          <w:rtl/>
        </w:rPr>
        <w:t xml:space="preserve">וכן: </w:t>
      </w:r>
    </w:p>
    <w:p w14:paraId="168DA082" w14:textId="77777777" w:rsidR="0094580D" w:rsidRDefault="0094580D" w:rsidP="0094580D">
      <w:pPr>
        <w:spacing w:line="360" w:lineRule="auto"/>
        <w:ind w:left="1417" w:right="1276"/>
        <w:jc w:val="both"/>
        <w:rPr>
          <w:rFonts w:ascii="Arial" w:hAnsi="Arial"/>
          <w:sz w:val="26"/>
          <w:szCs w:val="26"/>
          <w:rtl/>
        </w:rPr>
      </w:pPr>
      <w:r w:rsidRPr="00952FC0">
        <w:rPr>
          <w:rFonts w:ascii="Arial" w:hAnsi="Arial" w:hint="cs"/>
          <w:b/>
          <w:bCs/>
          <w:i/>
          <w:iCs/>
          <w:sz w:val="26"/>
          <w:szCs w:val="26"/>
          <w:rtl/>
        </w:rPr>
        <w:t>"באין נסיבות מיוחדות לחומרא או לקולא, יהא זה בהחלט סביר אם בית משפט יטיל על נאשם כאמור עונש של 36 חודשי מאסר לריצוי בפועל"</w:t>
      </w:r>
      <w:r>
        <w:rPr>
          <w:rFonts w:ascii="Arial" w:hAnsi="Arial" w:hint="cs"/>
          <w:sz w:val="26"/>
          <w:szCs w:val="26"/>
          <w:rtl/>
        </w:rPr>
        <w:t xml:space="preserve"> </w:t>
      </w:r>
      <w:r w:rsidRPr="00D83E6D">
        <w:rPr>
          <w:rFonts w:ascii="Arial" w:hAnsi="Arial" w:hint="cs"/>
          <w:sz w:val="26"/>
          <w:szCs w:val="26"/>
          <w:rtl/>
        </w:rPr>
        <w:t>(</w:t>
      </w:r>
      <w:hyperlink r:id="rId29" w:history="1">
        <w:r w:rsidR="00AF7947" w:rsidRPr="00AF7947">
          <w:rPr>
            <w:rFonts w:ascii="Arial" w:hAnsi="Arial"/>
            <w:color w:val="0000FF"/>
            <w:sz w:val="26"/>
            <w:szCs w:val="26"/>
            <w:u w:val="single"/>
            <w:rtl/>
          </w:rPr>
          <w:t>ע"פ 5602/22</w:t>
        </w:r>
      </w:hyperlink>
      <w:r w:rsidRPr="00D83E6D">
        <w:rPr>
          <w:rFonts w:ascii="Arial" w:hAnsi="Arial" w:hint="cs"/>
          <w:sz w:val="26"/>
          <w:szCs w:val="26"/>
          <w:rtl/>
        </w:rPr>
        <w:t xml:space="preserve"> </w:t>
      </w:r>
      <w:r w:rsidRPr="00D83E6D">
        <w:rPr>
          <w:rFonts w:ascii="Arial" w:hAnsi="Arial" w:hint="cs"/>
          <w:b/>
          <w:bCs/>
          <w:sz w:val="26"/>
          <w:szCs w:val="26"/>
          <w:rtl/>
        </w:rPr>
        <w:t>מדינת ישראל נ' פלוני</w:t>
      </w:r>
      <w:r w:rsidRPr="00D83E6D">
        <w:rPr>
          <w:rFonts w:ascii="Arial" w:hAnsi="Arial" w:hint="cs"/>
          <w:sz w:val="26"/>
          <w:szCs w:val="26"/>
          <w:rtl/>
        </w:rPr>
        <w:t xml:space="preserve"> (פורסם בנבו, 14.9.2022</w:t>
      </w:r>
      <w:r>
        <w:rPr>
          <w:rFonts w:ascii="Arial" w:hAnsi="Arial" w:hint="cs"/>
          <w:sz w:val="26"/>
          <w:szCs w:val="26"/>
          <w:rtl/>
        </w:rPr>
        <w:t>. באותו עניין הורשע הנאשם בנשיאת אקדח עת נסע ברכב, בהפרעה לשוטר ובכניסה ושהייה בישראל ללא היתר</w:t>
      </w:r>
      <w:r w:rsidRPr="00D83E6D">
        <w:rPr>
          <w:rFonts w:ascii="Arial" w:hAnsi="Arial" w:hint="cs"/>
          <w:sz w:val="26"/>
          <w:szCs w:val="26"/>
          <w:rtl/>
        </w:rPr>
        <w:t>)</w:t>
      </w:r>
      <w:r>
        <w:rPr>
          <w:rFonts w:ascii="Arial" w:hAnsi="Arial" w:hint="cs"/>
          <w:sz w:val="26"/>
          <w:szCs w:val="26"/>
          <w:rtl/>
        </w:rPr>
        <w:t>.</w:t>
      </w:r>
      <w:r w:rsidRPr="00D83E6D">
        <w:rPr>
          <w:rFonts w:ascii="Arial" w:hAnsi="Arial" w:hint="cs"/>
          <w:sz w:val="26"/>
          <w:szCs w:val="26"/>
          <w:rtl/>
        </w:rPr>
        <w:t xml:space="preserve"> </w:t>
      </w:r>
      <w:r w:rsidRPr="00F65D22">
        <w:rPr>
          <w:rFonts w:ascii="Arial" w:hAnsi="Arial" w:hint="cs"/>
          <w:sz w:val="26"/>
          <w:szCs w:val="26"/>
          <w:rtl/>
        </w:rPr>
        <w:t xml:space="preserve">באופן </w:t>
      </w:r>
      <w:r>
        <w:rPr>
          <w:rFonts w:ascii="Arial" w:hAnsi="Arial" w:hint="cs"/>
          <w:sz w:val="26"/>
          <w:szCs w:val="26"/>
          <w:rtl/>
        </w:rPr>
        <w:t xml:space="preserve">דומה נקבע גם </w:t>
      </w:r>
      <w:r w:rsidRPr="00F65D22">
        <w:rPr>
          <w:rFonts w:ascii="Arial" w:hAnsi="Arial" w:hint="cs"/>
          <w:sz w:val="26"/>
          <w:szCs w:val="26"/>
          <w:rtl/>
        </w:rPr>
        <w:t>ב</w:t>
      </w:r>
      <w:hyperlink r:id="rId30" w:history="1">
        <w:r w:rsidR="00AF7947" w:rsidRPr="00AF7947">
          <w:rPr>
            <w:rFonts w:ascii="Arial" w:hAnsi="Arial"/>
            <w:color w:val="0000FF"/>
            <w:sz w:val="26"/>
            <w:szCs w:val="26"/>
            <w:u w:val="single"/>
            <w:rtl/>
          </w:rPr>
          <w:t>ע"פ 4077/22</w:t>
        </w:r>
      </w:hyperlink>
      <w:r w:rsidRPr="00F65D22">
        <w:rPr>
          <w:rFonts w:ascii="Arial" w:hAnsi="Arial" w:hint="cs"/>
          <w:sz w:val="26"/>
          <w:szCs w:val="26"/>
          <w:rtl/>
        </w:rPr>
        <w:t xml:space="preserve"> </w:t>
      </w:r>
      <w:r w:rsidRPr="00F65D22">
        <w:rPr>
          <w:rFonts w:ascii="Arial" w:hAnsi="Arial" w:hint="cs"/>
          <w:b/>
          <w:bCs/>
          <w:sz w:val="26"/>
          <w:szCs w:val="26"/>
          <w:rtl/>
        </w:rPr>
        <w:t xml:space="preserve">פלוני נ' מדינת ישראל </w:t>
      </w:r>
      <w:r w:rsidRPr="00F65D22">
        <w:rPr>
          <w:rFonts w:ascii="Arial" w:hAnsi="Arial" w:hint="cs"/>
          <w:sz w:val="26"/>
          <w:szCs w:val="26"/>
          <w:rtl/>
        </w:rPr>
        <w:t>(פורסם בנבו, 28.7.2022))</w:t>
      </w:r>
      <w:r>
        <w:rPr>
          <w:rFonts w:ascii="Arial" w:hAnsi="Arial" w:hint="cs"/>
          <w:sz w:val="26"/>
          <w:szCs w:val="26"/>
          <w:rtl/>
        </w:rPr>
        <w:t xml:space="preserve">. </w:t>
      </w:r>
    </w:p>
    <w:p w14:paraId="5253603C" w14:textId="77777777" w:rsidR="0094580D" w:rsidRDefault="0094580D" w:rsidP="0094580D">
      <w:pPr>
        <w:spacing w:line="360" w:lineRule="auto"/>
        <w:ind w:right="1276"/>
        <w:jc w:val="both"/>
        <w:rPr>
          <w:rFonts w:ascii="Arial" w:hAnsi="Arial"/>
          <w:sz w:val="26"/>
          <w:szCs w:val="26"/>
          <w:rtl/>
        </w:rPr>
      </w:pPr>
    </w:p>
    <w:p w14:paraId="639FC2CC" w14:textId="77777777" w:rsidR="0094580D" w:rsidRDefault="0094580D" w:rsidP="0094580D">
      <w:pPr>
        <w:tabs>
          <w:tab w:val="left" w:pos="8505"/>
        </w:tabs>
        <w:spacing w:line="360" w:lineRule="auto"/>
        <w:jc w:val="both"/>
        <w:rPr>
          <w:rFonts w:ascii="Arial" w:hAnsi="Arial"/>
          <w:sz w:val="26"/>
          <w:szCs w:val="26"/>
          <w:rtl/>
        </w:rPr>
      </w:pPr>
      <w:r>
        <w:rPr>
          <w:rFonts w:ascii="Arial" w:hAnsi="Arial" w:hint="cs"/>
          <w:sz w:val="26"/>
          <w:szCs w:val="26"/>
          <w:rtl/>
        </w:rPr>
        <w:t xml:space="preserve">מדיניות ענישה עקבית זו נלמדת משורה ארוכה של פסקי דין שניתנו על ידי בית המשפט העליון בשנים האחרונות (ראו </w:t>
      </w:r>
      <w:hyperlink r:id="rId31" w:history="1">
        <w:r w:rsidR="00AF7947" w:rsidRPr="00AF7947">
          <w:rPr>
            <w:rFonts w:ascii="Arial" w:hAnsi="Arial"/>
            <w:color w:val="0000FF"/>
            <w:sz w:val="26"/>
            <w:szCs w:val="26"/>
            <w:u w:val="single"/>
            <w:rtl/>
          </w:rPr>
          <w:t>ע"פ 3877/16</w:t>
        </w:r>
      </w:hyperlink>
      <w:r>
        <w:rPr>
          <w:rFonts w:ascii="Arial" w:hAnsi="Arial" w:hint="cs"/>
          <w:sz w:val="26"/>
          <w:szCs w:val="26"/>
          <w:rtl/>
        </w:rPr>
        <w:t xml:space="preserve"> </w:t>
      </w:r>
      <w:r w:rsidRPr="00EF10CF">
        <w:rPr>
          <w:rFonts w:ascii="Arial" w:hAnsi="Arial" w:hint="cs"/>
          <w:b/>
          <w:bCs/>
          <w:sz w:val="26"/>
          <w:szCs w:val="26"/>
          <w:rtl/>
        </w:rPr>
        <w:t>ג'אבלי</w:t>
      </w:r>
      <w:r>
        <w:rPr>
          <w:rFonts w:ascii="Arial" w:hAnsi="Arial" w:hint="cs"/>
          <w:sz w:val="26"/>
          <w:szCs w:val="26"/>
          <w:rtl/>
        </w:rPr>
        <w:t xml:space="preserve"> נ' </w:t>
      </w:r>
      <w:r w:rsidRPr="00EF10CF">
        <w:rPr>
          <w:rFonts w:ascii="Arial" w:hAnsi="Arial" w:hint="cs"/>
          <w:b/>
          <w:bCs/>
          <w:sz w:val="26"/>
          <w:szCs w:val="26"/>
          <w:rtl/>
        </w:rPr>
        <w:t>מדינת ישראל</w:t>
      </w:r>
      <w:r>
        <w:rPr>
          <w:rFonts w:ascii="Arial" w:hAnsi="Arial" w:hint="cs"/>
          <w:sz w:val="26"/>
          <w:szCs w:val="26"/>
          <w:rtl/>
        </w:rPr>
        <w:t xml:space="preserve"> (פורסם בנבו, 17.11.17) בו נדחה ערעור נאשם בנשיאת אקדח טעון, שנדון ל-34 חודשי מאסר לריצוי בפועל</w:t>
      </w:r>
      <w:r>
        <w:rPr>
          <w:rFonts w:ascii="Arial" w:hAnsi="Arial"/>
          <w:sz w:val="26"/>
          <w:szCs w:val="26"/>
        </w:rPr>
        <w:t>;</w:t>
      </w:r>
      <w:r>
        <w:rPr>
          <w:rFonts w:ascii="Arial" w:hAnsi="Arial" w:hint="cs"/>
          <w:sz w:val="26"/>
          <w:szCs w:val="26"/>
          <w:rtl/>
        </w:rPr>
        <w:t xml:space="preserve"> </w:t>
      </w:r>
      <w:hyperlink r:id="rId32" w:history="1">
        <w:r w:rsidR="00AF7947" w:rsidRPr="00AF7947">
          <w:rPr>
            <w:rFonts w:ascii="Arial" w:hAnsi="Arial"/>
            <w:color w:val="0000FF"/>
            <w:sz w:val="26"/>
            <w:szCs w:val="26"/>
            <w:u w:val="single"/>
            <w:rtl/>
          </w:rPr>
          <w:t>ע"פ 2101/21</w:t>
        </w:r>
      </w:hyperlink>
      <w:r>
        <w:rPr>
          <w:rFonts w:ascii="Arial" w:hAnsi="Arial" w:hint="cs"/>
          <w:sz w:val="26"/>
          <w:szCs w:val="26"/>
          <w:rtl/>
        </w:rPr>
        <w:t xml:space="preserve"> </w:t>
      </w:r>
      <w:r w:rsidRPr="00EF10CF">
        <w:rPr>
          <w:rFonts w:ascii="Arial" w:hAnsi="Arial" w:hint="cs"/>
          <w:b/>
          <w:bCs/>
          <w:sz w:val="26"/>
          <w:szCs w:val="26"/>
          <w:rtl/>
        </w:rPr>
        <w:t>טוביה</w:t>
      </w:r>
      <w:r>
        <w:rPr>
          <w:rFonts w:ascii="Arial" w:hAnsi="Arial" w:hint="cs"/>
          <w:sz w:val="26"/>
          <w:szCs w:val="26"/>
          <w:rtl/>
        </w:rPr>
        <w:t xml:space="preserve"> נ' </w:t>
      </w:r>
      <w:r w:rsidRPr="00EF10CF">
        <w:rPr>
          <w:rFonts w:ascii="Arial" w:hAnsi="Arial" w:hint="cs"/>
          <w:b/>
          <w:bCs/>
          <w:sz w:val="26"/>
          <w:szCs w:val="26"/>
          <w:rtl/>
        </w:rPr>
        <w:t>מדינת ישראל</w:t>
      </w:r>
      <w:r>
        <w:rPr>
          <w:rFonts w:ascii="Arial" w:hAnsi="Arial" w:hint="cs"/>
          <w:sz w:val="26"/>
          <w:szCs w:val="26"/>
          <w:rtl/>
        </w:rPr>
        <w:t xml:space="preserve"> ((פורסם בנבו, 29.7.21) בו נדחה ערעור על חומרת העונש, 30 חודשי מאסר לריצוי בפועל, שהוטלו על נאשם בנשיאת אקדח, מחסנית וכדורים</w:t>
      </w:r>
      <w:r>
        <w:rPr>
          <w:rFonts w:ascii="Arial" w:hAnsi="Arial"/>
          <w:sz w:val="26"/>
          <w:szCs w:val="26"/>
        </w:rPr>
        <w:t>;</w:t>
      </w:r>
      <w:r>
        <w:rPr>
          <w:rFonts w:ascii="Arial" w:hAnsi="Arial" w:hint="cs"/>
          <w:sz w:val="26"/>
          <w:szCs w:val="26"/>
          <w:rtl/>
        </w:rPr>
        <w:t xml:space="preserve"> </w:t>
      </w:r>
      <w:hyperlink r:id="rId33" w:history="1">
        <w:r w:rsidR="00AF7947" w:rsidRPr="00AF7947">
          <w:rPr>
            <w:rFonts w:ascii="Arial" w:hAnsi="Arial"/>
            <w:color w:val="0000FF"/>
            <w:sz w:val="26"/>
            <w:szCs w:val="26"/>
            <w:u w:val="single"/>
            <w:rtl/>
          </w:rPr>
          <w:t>ע"פ 6021/21</w:t>
        </w:r>
      </w:hyperlink>
      <w:r>
        <w:rPr>
          <w:rFonts w:ascii="Arial" w:hAnsi="Arial" w:hint="cs"/>
          <w:sz w:val="26"/>
          <w:szCs w:val="26"/>
          <w:rtl/>
        </w:rPr>
        <w:t xml:space="preserve"> </w:t>
      </w:r>
      <w:r w:rsidRPr="00EF10CF">
        <w:rPr>
          <w:rFonts w:ascii="Arial" w:hAnsi="Arial" w:hint="cs"/>
          <w:b/>
          <w:bCs/>
          <w:sz w:val="26"/>
          <w:szCs w:val="26"/>
          <w:rtl/>
        </w:rPr>
        <w:t>עבוד</w:t>
      </w:r>
      <w:r>
        <w:rPr>
          <w:rFonts w:ascii="Arial" w:hAnsi="Arial" w:hint="cs"/>
          <w:sz w:val="26"/>
          <w:szCs w:val="26"/>
          <w:rtl/>
        </w:rPr>
        <w:t xml:space="preserve"> נ' </w:t>
      </w:r>
      <w:r w:rsidRPr="00EF10CF">
        <w:rPr>
          <w:rFonts w:ascii="Arial" w:hAnsi="Arial" w:hint="cs"/>
          <w:b/>
          <w:bCs/>
          <w:sz w:val="26"/>
          <w:szCs w:val="26"/>
          <w:rtl/>
        </w:rPr>
        <w:t>מדינת ישראל</w:t>
      </w:r>
      <w:r>
        <w:rPr>
          <w:rFonts w:ascii="Arial" w:hAnsi="Arial" w:hint="cs"/>
          <w:sz w:val="26"/>
          <w:szCs w:val="26"/>
          <w:rtl/>
        </w:rPr>
        <w:t xml:space="preserve"> (פורסם בנבו, 19.12.21), בו נדחה ערעור נאשם בעבירה של נשיאת והובלת רוס"ר </w:t>
      </w:r>
      <w:r>
        <w:rPr>
          <w:rFonts w:ascii="Arial" w:hAnsi="Arial" w:hint="cs"/>
          <w:sz w:val="26"/>
          <w:szCs w:val="26"/>
        </w:rPr>
        <w:t>M</w:t>
      </w:r>
      <w:r>
        <w:rPr>
          <w:rFonts w:ascii="Arial" w:hAnsi="Arial" w:hint="cs"/>
          <w:sz w:val="26"/>
          <w:szCs w:val="26"/>
          <w:rtl/>
        </w:rPr>
        <w:t>-16 והפרעה לשוטר, עליו נגזרו 30 חודשי מאסר</w:t>
      </w:r>
      <w:r>
        <w:rPr>
          <w:rFonts w:ascii="Arial" w:hAnsi="Arial"/>
          <w:sz w:val="26"/>
          <w:szCs w:val="26"/>
        </w:rPr>
        <w:t>;</w:t>
      </w:r>
      <w:r>
        <w:rPr>
          <w:rFonts w:ascii="Arial" w:hAnsi="Arial" w:hint="cs"/>
          <w:sz w:val="26"/>
          <w:szCs w:val="26"/>
          <w:rtl/>
        </w:rPr>
        <w:t xml:space="preserve"> </w:t>
      </w:r>
      <w:hyperlink r:id="rId34" w:history="1">
        <w:r w:rsidR="00AF7947" w:rsidRPr="00AF7947">
          <w:rPr>
            <w:rFonts w:ascii="Arial" w:hAnsi="Arial"/>
            <w:color w:val="0000FF"/>
            <w:sz w:val="26"/>
            <w:szCs w:val="26"/>
            <w:u w:val="single"/>
            <w:rtl/>
          </w:rPr>
          <w:t>ע"פ 166/22</w:t>
        </w:r>
      </w:hyperlink>
      <w:r>
        <w:rPr>
          <w:rFonts w:ascii="Arial" w:hAnsi="Arial" w:hint="cs"/>
          <w:sz w:val="26"/>
          <w:szCs w:val="26"/>
          <w:rtl/>
        </w:rPr>
        <w:t xml:space="preserve"> </w:t>
      </w:r>
      <w:r w:rsidRPr="00EF10CF">
        <w:rPr>
          <w:rFonts w:ascii="Arial" w:hAnsi="Arial" w:hint="cs"/>
          <w:b/>
          <w:bCs/>
          <w:sz w:val="26"/>
          <w:szCs w:val="26"/>
          <w:rtl/>
        </w:rPr>
        <w:t>טאהא</w:t>
      </w:r>
      <w:r>
        <w:rPr>
          <w:rFonts w:ascii="Arial" w:hAnsi="Arial" w:hint="cs"/>
          <w:sz w:val="26"/>
          <w:szCs w:val="26"/>
          <w:rtl/>
        </w:rPr>
        <w:t xml:space="preserve"> נ' </w:t>
      </w:r>
      <w:r w:rsidRPr="00EF10CF">
        <w:rPr>
          <w:rFonts w:ascii="Arial" w:hAnsi="Arial" w:hint="cs"/>
          <w:b/>
          <w:bCs/>
          <w:sz w:val="26"/>
          <w:szCs w:val="26"/>
          <w:rtl/>
        </w:rPr>
        <w:t>מדינת ישראל</w:t>
      </w:r>
      <w:r>
        <w:rPr>
          <w:rFonts w:ascii="Arial" w:hAnsi="Arial" w:hint="cs"/>
          <w:sz w:val="26"/>
          <w:szCs w:val="26"/>
          <w:rtl/>
        </w:rPr>
        <w:t xml:space="preserve"> (פורסם בנבו, 1.6.22) - 22 חודשי מאסר לריצוי בפועל בגין החזקת נשק מאולתר, כאשר הנאשם הביע נכונות להשתלב בהליך טיפולי).</w:t>
      </w:r>
    </w:p>
    <w:p w14:paraId="0301069F" w14:textId="77777777" w:rsidR="0094580D" w:rsidRDefault="0094580D" w:rsidP="0094580D">
      <w:pPr>
        <w:tabs>
          <w:tab w:val="left" w:pos="8505"/>
        </w:tabs>
        <w:spacing w:line="360" w:lineRule="auto"/>
        <w:jc w:val="both"/>
        <w:rPr>
          <w:rFonts w:ascii="Arial" w:hAnsi="Arial"/>
          <w:sz w:val="26"/>
          <w:szCs w:val="26"/>
          <w:rtl/>
        </w:rPr>
      </w:pPr>
    </w:p>
    <w:p w14:paraId="5967B490" w14:textId="77777777" w:rsidR="0094580D" w:rsidRDefault="0094580D" w:rsidP="0094580D">
      <w:pPr>
        <w:tabs>
          <w:tab w:val="left" w:pos="8505"/>
        </w:tabs>
        <w:spacing w:line="360" w:lineRule="auto"/>
        <w:jc w:val="both"/>
        <w:rPr>
          <w:rFonts w:ascii="Arial" w:hAnsi="Arial"/>
          <w:sz w:val="26"/>
          <w:szCs w:val="26"/>
          <w:rtl/>
        </w:rPr>
      </w:pPr>
      <w:r>
        <w:rPr>
          <w:rFonts w:ascii="Arial" w:hAnsi="Arial" w:hint="cs"/>
          <w:sz w:val="26"/>
          <w:szCs w:val="26"/>
          <w:rtl/>
        </w:rPr>
        <w:t>על רקע פסיקה עקבית זו, שומה עלינו לנהוג כמצוות בית המשפט העליון ב</w:t>
      </w:r>
      <w:hyperlink r:id="rId35" w:history="1">
        <w:r w:rsidR="00AF7947" w:rsidRPr="00AF7947">
          <w:rPr>
            <w:rFonts w:ascii="Arial" w:hAnsi="Arial"/>
            <w:color w:val="0000FF"/>
            <w:sz w:val="26"/>
            <w:szCs w:val="26"/>
            <w:u w:val="single"/>
            <w:rtl/>
          </w:rPr>
          <w:t>ע"פ 5602/22</w:t>
        </w:r>
      </w:hyperlink>
      <w:r>
        <w:rPr>
          <w:rFonts w:ascii="Arial" w:hAnsi="Arial" w:hint="cs"/>
          <w:sz w:val="26"/>
          <w:szCs w:val="26"/>
          <w:rtl/>
        </w:rPr>
        <w:t xml:space="preserve"> הנ"ל:</w:t>
      </w:r>
    </w:p>
    <w:p w14:paraId="7A86D7FF" w14:textId="77777777" w:rsidR="0094580D" w:rsidRDefault="0094580D" w:rsidP="0094580D">
      <w:pPr>
        <w:tabs>
          <w:tab w:val="left" w:pos="8505"/>
        </w:tabs>
        <w:spacing w:line="360" w:lineRule="auto"/>
        <w:ind w:right="1276"/>
        <w:jc w:val="both"/>
        <w:rPr>
          <w:rFonts w:ascii="Arial" w:hAnsi="Arial"/>
          <w:sz w:val="26"/>
          <w:szCs w:val="26"/>
          <w:rtl/>
        </w:rPr>
      </w:pPr>
    </w:p>
    <w:p w14:paraId="221940C2" w14:textId="77777777" w:rsidR="0094580D" w:rsidRDefault="0094580D" w:rsidP="0094580D">
      <w:pPr>
        <w:tabs>
          <w:tab w:val="left" w:pos="8505"/>
        </w:tabs>
        <w:spacing w:line="360" w:lineRule="auto"/>
        <w:ind w:left="850" w:right="1418"/>
        <w:jc w:val="both"/>
        <w:rPr>
          <w:rFonts w:ascii="Arial" w:hAnsi="Arial"/>
          <w:b/>
          <w:bCs/>
          <w:i/>
          <w:iCs/>
          <w:sz w:val="26"/>
          <w:szCs w:val="26"/>
          <w:rtl/>
        </w:rPr>
      </w:pPr>
      <w:r w:rsidRPr="00557111">
        <w:rPr>
          <w:rFonts w:ascii="Arial" w:hAnsi="Arial" w:hint="cs"/>
          <w:b/>
          <w:bCs/>
          <w:i/>
          <w:iCs/>
          <w:sz w:val="26"/>
          <w:szCs w:val="26"/>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p>
    <w:p w14:paraId="3DD61457" w14:textId="77777777" w:rsidR="0094580D" w:rsidRDefault="0094580D" w:rsidP="0094580D">
      <w:pPr>
        <w:spacing w:line="360" w:lineRule="auto"/>
        <w:ind w:right="1418"/>
        <w:jc w:val="both"/>
        <w:rPr>
          <w:rFonts w:ascii="Arial" w:hAnsi="Arial"/>
          <w:sz w:val="26"/>
          <w:szCs w:val="26"/>
          <w:rtl/>
        </w:rPr>
      </w:pPr>
      <w:r>
        <w:rPr>
          <w:rFonts w:ascii="Arial" w:hAnsi="Arial" w:hint="cs"/>
          <w:sz w:val="26"/>
          <w:szCs w:val="26"/>
          <w:rtl/>
        </w:rPr>
        <w:t xml:space="preserve"> </w:t>
      </w:r>
    </w:p>
    <w:p w14:paraId="58D71A7B" w14:textId="77777777" w:rsidR="0094580D" w:rsidRDefault="0094580D" w:rsidP="0094580D">
      <w:pPr>
        <w:spacing w:line="360" w:lineRule="auto"/>
        <w:jc w:val="both"/>
        <w:rPr>
          <w:rFonts w:ascii="Arial" w:hAnsi="Arial"/>
          <w:sz w:val="26"/>
          <w:szCs w:val="26"/>
          <w:rtl/>
        </w:rPr>
      </w:pPr>
      <w:r>
        <w:rPr>
          <w:rFonts w:ascii="Arial" w:hAnsi="Arial"/>
          <w:sz w:val="26"/>
          <w:szCs w:val="26"/>
          <w:rtl/>
        </w:rPr>
        <w:t>מגמת ההחמרה האמורה אינה נחלתו הבלעדית של בית המשפט. היא אף מצאה ביטוי בתיקון 140 ל</w:t>
      </w:r>
      <w:hyperlink r:id="rId36" w:history="1">
        <w:r w:rsidR="00AF7947" w:rsidRPr="00AF7947">
          <w:rPr>
            <w:rFonts w:ascii="Arial" w:hAnsi="Arial"/>
            <w:color w:val="0000FF"/>
            <w:sz w:val="26"/>
            <w:szCs w:val="26"/>
            <w:u w:val="single"/>
            <w:rtl/>
          </w:rPr>
          <w:t>חוק העונשין</w:t>
        </w:r>
      </w:hyperlink>
      <w:r>
        <w:rPr>
          <w:rFonts w:ascii="Arial" w:hAnsi="Arial"/>
          <w:sz w:val="26"/>
          <w:szCs w:val="26"/>
          <w:rtl/>
        </w:rPr>
        <w:t xml:space="preserve">, תשל"ז- 1977, אשר קבע עונש מזערי בעבירה זו, ממנו מוסמך לחרוג בית המשפט אך בהתקיים "טעמים מיוחדים שיירשמו" (ראו סעיף </w:t>
      </w:r>
      <w:hyperlink r:id="rId37" w:history="1">
        <w:r w:rsidR="00911966" w:rsidRPr="00911966">
          <w:rPr>
            <w:rStyle w:val="Hyperlink"/>
            <w:rFonts w:ascii="Arial" w:hAnsi="Arial"/>
            <w:sz w:val="26"/>
            <w:szCs w:val="26"/>
            <w:rtl/>
          </w:rPr>
          <w:t>144 (ז)</w:t>
        </w:r>
      </w:hyperlink>
      <w:r>
        <w:rPr>
          <w:rFonts w:ascii="Arial" w:hAnsi="Arial"/>
          <w:sz w:val="26"/>
          <w:szCs w:val="26"/>
          <w:rtl/>
        </w:rPr>
        <w:t xml:space="preserve"> לחוק). </w:t>
      </w:r>
      <w:r>
        <w:rPr>
          <w:rFonts w:ascii="Arial" w:hAnsi="Arial" w:hint="cs"/>
          <w:sz w:val="26"/>
          <w:szCs w:val="26"/>
          <w:rtl/>
        </w:rPr>
        <w:t>בהתאם לתיקון, בענייננו העונש המזערי לעבירה עומד על 30 חודשים, גם אם הצדק עם הסנגור כי חלק מעונש זה ניתן לקבוע כי יהא עונש מותנה.</w:t>
      </w:r>
    </w:p>
    <w:p w14:paraId="4F1FC875" w14:textId="77777777" w:rsidR="0094580D" w:rsidRDefault="0094580D" w:rsidP="0094580D">
      <w:pPr>
        <w:spacing w:line="360" w:lineRule="auto"/>
        <w:jc w:val="both"/>
        <w:rPr>
          <w:rFonts w:ascii="Arial" w:hAnsi="Arial"/>
          <w:sz w:val="16"/>
          <w:szCs w:val="16"/>
          <w:rtl/>
        </w:rPr>
      </w:pPr>
    </w:p>
    <w:p w14:paraId="115A204D"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בשים לב לכלל</w:t>
      </w:r>
      <w:r>
        <w:rPr>
          <w:rFonts w:ascii="Arial" w:hAnsi="Arial"/>
          <w:sz w:val="26"/>
          <w:szCs w:val="26"/>
          <w:rtl/>
        </w:rPr>
        <w:t xml:space="preserve"> האמור, לנוכח הערכים המוגנים עליהם עמדנו, חומרת העבירה ונסיבותיה וכן לאור מדיניות הענישה הנוהגת, הגעתי למסקנה כי במקרה דנן יש לקבוע מתחם עונשי העומד על </w:t>
      </w:r>
      <w:r>
        <w:rPr>
          <w:rFonts w:ascii="Arial" w:hAnsi="Arial" w:hint="cs"/>
          <w:sz w:val="26"/>
          <w:szCs w:val="26"/>
          <w:rtl/>
        </w:rPr>
        <w:t xml:space="preserve">30 - 42 </w:t>
      </w:r>
      <w:r>
        <w:rPr>
          <w:rFonts w:ascii="Arial" w:hAnsi="Arial"/>
          <w:sz w:val="26"/>
          <w:szCs w:val="26"/>
          <w:rtl/>
        </w:rPr>
        <w:t>חודשי מאסר לריצוי בפועל.</w:t>
      </w:r>
    </w:p>
    <w:p w14:paraId="4995DDBF" w14:textId="77777777" w:rsidR="0094580D" w:rsidRPr="002B02BC" w:rsidRDefault="0094580D" w:rsidP="0094580D">
      <w:pPr>
        <w:spacing w:line="360" w:lineRule="auto"/>
        <w:jc w:val="both"/>
        <w:rPr>
          <w:rFonts w:ascii="Arial" w:hAnsi="Arial"/>
          <w:sz w:val="20"/>
          <w:szCs w:val="20"/>
          <w:rtl/>
        </w:rPr>
      </w:pPr>
    </w:p>
    <w:p w14:paraId="1568D5EF" w14:textId="77777777" w:rsidR="0094580D" w:rsidRPr="002B02BC" w:rsidRDefault="0094580D" w:rsidP="0094580D">
      <w:pPr>
        <w:spacing w:line="360" w:lineRule="auto"/>
        <w:jc w:val="both"/>
        <w:rPr>
          <w:rFonts w:ascii="Arial" w:hAnsi="Arial"/>
          <w:b/>
          <w:bCs/>
          <w:sz w:val="26"/>
          <w:szCs w:val="26"/>
          <w:rtl/>
        </w:rPr>
      </w:pPr>
      <w:r w:rsidRPr="002B02BC">
        <w:rPr>
          <w:rFonts w:ascii="Arial" w:hAnsi="Arial"/>
          <w:b/>
          <w:bCs/>
          <w:sz w:val="26"/>
          <w:szCs w:val="26"/>
          <w:rtl/>
        </w:rPr>
        <w:t>נסיבות שאינן קשורות בעבירה</w:t>
      </w:r>
    </w:p>
    <w:p w14:paraId="71E3FABA" w14:textId="77777777" w:rsidR="0094580D" w:rsidRDefault="0094580D" w:rsidP="0094580D">
      <w:pPr>
        <w:spacing w:line="360" w:lineRule="auto"/>
        <w:jc w:val="both"/>
        <w:rPr>
          <w:rFonts w:ascii="Arial" w:hAnsi="Arial"/>
          <w:sz w:val="10"/>
          <w:szCs w:val="10"/>
          <w:rtl/>
        </w:rPr>
      </w:pPr>
    </w:p>
    <w:p w14:paraId="5216A7A8" w14:textId="77777777" w:rsidR="0094580D" w:rsidRDefault="0094580D" w:rsidP="0094580D">
      <w:pPr>
        <w:spacing w:line="360" w:lineRule="auto"/>
        <w:jc w:val="both"/>
        <w:rPr>
          <w:rFonts w:ascii="Arial" w:hAnsi="Arial"/>
          <w:sz w:val="26"/>
          <w:szCs w:val="26"/>
          <w:rtl/>
        </w:rPr>
      </w:pPr>
      <w:r>
        <w:rPr>
          <w:rFonts w:ascii="Arial" w:hAnsi="Arial"/>
          <w:sz w:val="26"/>
          <w:szCs w:val="26"/>
          <w:rtl/>
        </w:rPr>
        <w:t xml:space="preserve">באשר לנסיבות שאינן קשורות </w:t>
      </w:r>
      <w:r>
        <w:rPr>
          <w:rFonts w:ascii="Arial" w:hAnsi="Arial" w:hint="cs"/>
          <w:sz w:val="26"/>
          <w:szCs w:val="26"/>
          <w:rtl/>
        </w:rPr>
        <w:t>ב</w:t>
      </w:r>
      <w:r>
        <w:rPr>
          <w:rFonts w:ascii="Arial" w:hAnsi="Arial"/>
          <w:sz w:val="26"/>
          <w:szCs w:val="26"/>
          <w:rtl/>
        </w:rPr>
        <w:t xml:space="preserve">ביצוע העבירה, אין ספק כי יש להתחשב בגילו הצעיר של הנאשם, שמלאו לו </w:t>
      </w:r>
      <w:r>
        <w:rPr>
          <w:rFonts w:ascii="Arial" w:hAnsi="Arial" w:hint="cs"/>
          <w:sz w:val="26"/>
          <w:szCs w:val="26"/>
          <w:rtl/>
        </w:rPr>
        <w:t xml:space="preserve"> 21 שנים ימים ספורים לפני ביצוע העבירה.</w:t>
      </w:r>
      <w:r>
        <w:rPr>
          <w:rFonts w:ascii="Arial" w:hAnsi="Arial"/>
          <w:sz w:val="26"/>
          <w:szCs w:val="26"/>
          <w:rtl/>
        </w:rPr>
        <w:t xml:space="preserve"> </w:t>
      </w:r>
      <w:r>
        <w:rPr>
          <w:rFonts w:ascii="Arial" w:hAnsi="Arial" w:hint="cs"/>
          <w:sz w:val="26"/>
          <w:szCs w:val="26"/>
          <w:rtl/>
        </w:rPr>
        <w:t xml:space="preserve">כן יש להתחשב </w:t>
      </w:r>
      <w:r>
        <w:rPr>
          <w:rFonts w:ascii="Arial" w:hAnsi="Arial"/>
          <w:sz w:val="26"/>
          <w:szCs w:val="26"/>
          <w:rtl/>
        </w:rPr>
        <w:t>בעובדה כי זו מעידתו הראשונה</w:t>
      </w:r>
      <w:r>
        <w:rPr>
          <w:rFonts w:ascii="Arial" w:hAnsi="Arial" w:hint="cs"/>
          <w:sz w:val="26"/>
          <w:szCs w:val="26"/>
          <w:rtl/>
        </w:rPr>
        <w:t>.</w:t>
      </w:r>
    </w:p>
    <w:p w14:paraId="4A2ABC0F" w14:textId="77777777" w:rsidR="0094580D" w:rsidRDefault="0094580D" w:rsidP="0094580D">
      <w:pPr>
        <w:spacing w:line="360" w:lineRule="auto"/>
        <w:jc w:val="both"/>
        <w:rPr>
          <w:rFonts w:ascii="Arial" w:hAnsi="Arial"/>
          <w:sz w:val="26"/>
          <w:szCs w:val="26"/>
          <w:rtl/>
        </w:rPr>
      </w:pPr>
    </w:p>
    <w:p w14:paraId="647D7818"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יחד עם זאת, נקבע</w:t>
      </w:r>
      <w:r>
        <w:rPr>
          <w:rFonts w:ascii="Arial" w:hAnsi="Arial"/>
          <w:sz w:val="26"/>
          <w:szCs w:val="26"/>
          <w:rtl/>
        </w:rPr>
        <w:t xml:space="preserve"> </w:t>
      </w:r>
      <w:r>
        <w:rPr>
          <w:rFonts w:ascii="Arial" w:hAnsi="Arial" w:hint="cs"/>
          <w:sz w:val="26"/>
          <w:szCs w:val="26"/>
          <w:rtl/>
        </w:rPr>
        <w:t xml:space="preserve">לא פעם כי בשים לב לשיקולי ההרתעה הגוברים בעבירות נשק, יינתן משקל מוגבל לגיל צעיר ולעבר נקי. כך נקבע </w:t>
      </w:r>
      <w:r>
        <w:rPr>
          <w:rFonts w:ascii="Arial" w:hAnsi="Arial"/>
          <w:sz w:val="26"/>
          <w:szCs w:val="26"/>
          <w:rtl/>
        </w:rPr>
        <w:t xml:space="preserve">בעניין </w:t>
      </w:r>
      <w:r>
        <w:rPr>
          <w:rFonts w:ascii="Arial" w:hAnsi="Arial"/>
          <w:b/>
          <w:bCs/>
          <w:sz w:val="26"/>
          <w:szCs w:val="26"/>
          <w:rtl/>
        </w:rPr>
        <w:t>פלוני</w:t>
      </w:r>
      <w:r>
        <w:rPr>
          <w:rFonts w:ascii="Arial" w:hAnsi="Arial"/>
          <w:sz w:val="26"/>
          <w:szCs w:val="26"/>
          <w:rtl/>
        </w:rPr>
        <w:t xml:space="preserve">: </w:t>
      </w:r>
    </w:p>
    <w:p w14:paraId="3C751918" w14:textId="77777777" w:rsidR="0094580D" w:rsidRDefault="0094580D" w:rsidP="0094580D">
      <w:pPr>
        <w:spacing w:line="360" w:lineRule="auto"/>
        <w:jc w:val="both"/>
        <w:rPr>
          <w:rFonts w:ascii="Arial" w:hAnsi="Arial"/>
          <w:sz w:val="14"/>
          <w:szCs w:val="14"/>
          <w:rtl/>
        </w:rPr>
      </w:pPr>
    </w:p>
    <w:p w14:paraId="73508887" w14:textId="77777777" w:rsidR="0094580D" w:rsidRDefault="0094580D" w:rsidP="0094580D">
      <w:pPr>
        <w:spacing w:line="360" w:lineRule="auto"/>
        <w:ind w:left="992" w:right="851"/>
        <w:jc w:val="both"/>
        <w:rPr>
          <w:rFonts w:ascii="Arial" w:hAnsi="Arial"/>
          <w:sz w:val="26"/>
          <w:szCs w:val="26"/>
          <w:rtl/>
        </w:rPr>
      </w:pPr>
      <w:r>
        <w:rPr>
          <w:rFonts w:ascii="Arial" w:hAnsi="Arial"/>
          <w:b/>
          <w:bCs/>
          <w:i/>
          <w:iCs/>
          <w:sz w:val="26"/>
          <w:szCs w:val="26"/>
          <w:rtl/>
        </w:rPr>
        <w:t>"...הענישה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w:t>
      </w:r>
      <w:r>
        <w:rPr>
          <w:rFonts w:ascii="David" w:hAnsi="David"/>
          <w:b/>
          <w:bCs/>
          <w:i/>
          <w:iCs/>
          <w:rtl/>
        </w:rPr>
        <w:t>""</w:t>
      </w:r>
      <w:r>
        <w:rPr>
          <w:rFonts w:ascii="David" w:hAnsi="David"/>
          <w:rtl/>
        </w:rPr>
        <w:t xml:space="preserve"> </w:t>
      </w:r>
      <w:r>
        <w:rPr>
          <w:rFonts w:ascii="David" w:hAnsi="David"/>
        </w:rPr>
        <w:t>)</w:t>
      </w:r>
      <w:r w:rsidRPr="00AF7947">
        <w:rPr>
          <w:rFonts w:ascii="Arial" w:hAnsi="Arial"/>
          <w:color w:val="000000"/>
          <w:sz w:val="26"/>
          <w:szCs w:val="26"/>
          <w:rtl/>
        </w:rPr>
        <w:t>ע"פ 5602/22</w:t>
      </w:r>
      <w:r w:rsidR="00AF7947">
        <w:rPr>
          <w:rFonts w:ascii="Arial" w:hAnsi="Arial"/>
          <w:sz w:val="26"/>
          <w:szCs w:val="26"/>
        </w:rPr>
        <w:t xml:space="preserve"> </w:t>
      </w:r>
      <w:r>
        <w:rPr>
          <w:rFonts w:ascii="Arial" w:hAnsi="Arial"/>
          <w:sz w:val="26"/>
          <w:szCs w:val="26"/>
          <w:rtl/>
        </w:rPr>
        <w:t>מ</w:t>
      </w:r>
      <w:r>
        <w:rPr>
          <w:rFonts w:ascii="Arial" w:hAnsi="Arial"/>
          <w:b/>
          <w:bCs/>
          <w:sz w:val="26"/>
          <w:szCs w:val="26"/>
          <w:rtl/>
        </w:rPr>
        <w:t>דינת ישראל</w:t>
      </w:r>
      <w:r>
        <w:rPr>
          <w:rFonts w:ascii="Arial" w:hAnsi="Arial"/>
          <w:sz w:val="26"/>
          <w:szCs w:val="26"/>
          <w:rtl/>
        </w:rPr>
        <w:t xml:space="preserve"> נ' </w:t>
      </w:r>
      <w:r>
        <w:rPr>
          <w:rFonts w:ascii="Arial" w:hAnsi="Arial"/>
          <w:b/>
          <w:bCs/>
          <w:sz w:val="26"/>
          <w:szCs w:val="26"/>
          <w:rtl/>
        </w:rPr>
        <w:t>פלוני</w:t>
      </w:r>
      <w:r>
        <w:rPr>
          <w:rFonts w:ascii="Arial" w:hAnsi="Arial"/>
          <w:sz w:val="26"/>
          <w:szCs w:val="26"/>
          <w:rtl/>
        </w:rPr>
        <w:t xml:space="preserve"> (פורסם בנבו, 14.9.22), וראו גם </w:t>
      </w:r>
      <w:hyperlink r:id="rId38" w:history="1">
        <w:r w:rsidR="00AF7947" w:rsidRPr="00AF7947">
          <w:rPr>
            <w:rFonts w:ascii="Arial" w:hAnsi="Arial"/>
            <w:color w:val="0000FF"/>
            <w:sz w:val="26"/>
            <w:szCs w:val="26"/>
            <w:u w:val="single"/>
            <w:rtl/>
          </w:rPr>
          <w:t>ע"פ 8846/15</w:t>
        </w:r>
      </w:hyperlink>
      <w:r w:rsidR="00AF7947">
        <w:rPr>
          <w:rFonts w:ascii="Arial" w:hAnsi="Arial"/>
          <w:sz w:val="26"/>
          <w:szCs w:val="26"/>
        </w:rPr>
        <w:t xml:space="preserve"> </w:t>
      </w:r>
      <w:r>
        <w:rPr>
          <w:rFonts w:ascii="Arial" w:hAnsi="Arial"/>
          <w:b/>
          <w:bCs/>
          <w:sz w:val="26"/>
          <w:szCs w:val="26"/>
          <w:rtl/>
        </w:rPr>
        <w:t>דראז</w:t>
      </w:r>
      <w:r>
        <w:rPr>
          <w:rFonts w:ascii="Arial" w:hAnsi="Arial"/>
          <w:sz w:val="26"/>
          <w:szCs w:val="26"/>
          <w:rtl/>
        </w:rPr>
        <w:t xml:space="preserve"> נ' </w:t>
      </w:r>
      <w:r>
        <w:rPr>
          <w:rFonts w:ascii="Arial" w:hAnsi="Arial"/>
          <w:b/>
          <w:bCs/>
          <w:sz w:val="26"/>
          <w:szCs w:val="26"/>
          <w:rtl/>
        </w:rPr>
        <w:t>מדינת</w:t>
      </w:r>
      <w:r>
        <w:rPr>
          <w:rFonts w:ascii="Arial" w:hAnsi="Arial"/>
          <w:sz w:val="26"/>
          <w:szCs w:val="26"/>
          <w:rtl/>
        </w:rPr>
        <w:t xml:space="preserve"> </w:t>
      </w:r>
      <w:r>
        <w:rPr>
          <w:rFonts w:ascii="Arial" w:hAnsi="Arial"/>
          <w:b/>
          <w:bCs/>
          <w:sz w:val="26"/>
          <w:szCs w:val="26"/>
          <w:rtl/>
        </w:rPr>
        <w:t>ישראל</w:t>
      </w:r>
      <w:r>
        <w:rPr>
          <w:rFonts w:ascii="Arial" w:hAnsi="Arial"/>
          <w:sz w:val="26"/>
          <w:szCs w:val="26"/>
          <w:rtl/>
        </w:rPr>
        <w:t xml:space="preserve"> (פורסם בנבו, 13.6.16), </w:t>
      </w:r>
      <w:hyperlink r:id="rId39" w:history="1">
        <w:r w:rsidR="00AF7947" w:rsidRPr="00AF7947">
          <w:rPr>
            <w:rFonts w:ascii="Arial" w:hAnsi="Arial"/>
            <w:color w:val="0000FF"/>
            <w:sz w:val="26"/>
            <w:szCs w:val="26"/>
            <w:u w:val="single"/>
            <w:rtl/>
          </w:rPr>
          <w:t>ע"פ 5330/20</w:t>
        </w:r>
      </w:hyperlink>
      <w:r>
        <w:rPr>
          <w:rFonts w:ascii="Arial" w:hAnsi="Arial"/>
          <w:sz w:val="26"/>
          <w:szCs w:val="26"/>
          <w:rtl/>
        </w:rPr>
        <w:t xml:space="preserve"> </w:t>
      </w:r>
      <w:r>
        <w:rPr>
          <w:rFonts w:ascii="Arial" w:hAnsi="Arial"/>
          <w:b/>
          <w:bCs/>
          <w:sz w:val="26"/>
          <w:szCs w:val="26"/>
          <w:rtl/>
        </w:rPr>
        <w:t>ענבתאוי</w:t>
      </w:r>
      <w:r>
        <w:rPr>
          <w:rFonts w:ascii="Arial" w:hAnsi="Arial"/>
          <w:sz w:val="26"/>
          <w:szCs w:val="26"/>
          <w:rtl/>
        </w:rPr>
        <w:t xml:space="preserve"> נ' </w:t>
      </w:r>
      <w:r>
        <w:rPr>
          <w:rFonts w:ascii="Arial" w:hAnsi="Arial"/>
          <w:b/>
          <w:bCs/>
          <w:sz w:val="26"/>
          <w:szCs w:val="26"/>
          <w:rtl/>
        </w:rPr>
        <w:t>מדינת ישראל</w:t>
      </w:r>
      <w:r>
        <w:rPr>
          <w:rFonts w:ascii="Arial" w:hAnsi="Arial"/>
          <w:sz w:val="26"/>
          <w:szCs w:val="26"/>
          <w:rtl/>
        </w:rPr>
        <w:t xml:space="preserve"> (פורסם בנבו, 22.11.20) וכן עניין </w:t>
      </w:r>
      <w:r>
        <w:rPr>
          <w:rFonts w:ascii="Arial" w:hAnsi="Arial"/>
          <w:b/>
          <w:bCs/>
          <w:sz w:val="26"/>
          <w:szCs w:val="26"/>
          <w:rtl/>
        </w:rPr>
        <w:t>אגבראיה</w:t>
      </w:r>
      <w:r>
        <w:rPr>
          <w:rFonts w:ascii="Arial" w:hAnsi="Arial"/>
          <w:sz w:val="26"/>
          <w:szCs w:val="26"/>
          <w:rtl/>
        </w:rPr>
        <w:t xml:space="preserve"> הנ"ל))</w:t>
      </w:r>
    </w:p>
    <w:p w14:paraId="7392A8F0" w14:textId="77777777" w:rsidR="0094580D" w:rsidRDefault="0094580D" w:rsidP="0094580D">
      <w:pPr>
        <w:spacing w:line="360" w:lineRule="auto"/>
        <w:jc w:val="both"/>
        <w:rPr>
          <w:rFonts w:ascii="Arial" w:hAnsi="Arial"/>
          <w:sz w:val="26"/>
          <w:szCs w:val="26"/>
          <w:rtl/>
        </w:rPr>
      </w:pPr>
    </w:p>
    <w:p w14:paraId="5C67EFCE"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לצד האמור, הנאשם הודה בעבירה ובכך קיבל עליה אחריות. עוד יש לציין כי הודאה זו באה מבלי שנשמעו עדים, דבר אשר חסך זמן שיפוטי יקר.</w:t>
      </w:r>
      <w:r>
        <w:rPr>
          <w:rFonts w:ascii="Arial" w:hAnsi="Arial"/>
          <w:sz w:val="26"/>
          <w:szCs w:val="26"/>
          <w:rtl/>
        </w:rPr>
        <w:t xml:space="preserve"> </w:t>
      </w:r>
      <w:r>
        <w:rPr>
          <w:rFonts w:ascii="Arial" w:hAnsi="Arial" w:hint="cs"/>
          <w:sz w:val="26"/>
          <w:szCs w:val="26"/>
          <w:rtl/>
        </w:rPr>
        <w:t>לבסוף, יש מקום להתחשב ב</w:t>
      </w:r>
      <w:r>
        <w:rPr>
          <w:rFonts w:ascii="Arial" w:hAnsi="Arial"/>
          <w:sz w:val="26"/>
          <w:szCs w:val="26"/>
          <w:rtl/>
        </w:rPr>
        <w:t xml:space="preserve">דברי החרטה אותם הביע הנאשם בפניי. </w:t>
      </w:r>
    </w:p>
    <w:p w14:paraId="1A678BFA" w14:textId="77777777" w:rsidR="0094580D" w:rsidRDefault="0094580D" w:rsidP="0094580D">
      <w:pPr>
        <w:spacing w:line="360" w:lineRule="auto"/>
        <w:jc w:val="both"/>
        <w:rPr>
          <w:rFonts w:ascii="Arial" w:hAnsi="Arial"/>
          <w:sz w:val="18"/>
          <w:szCs w:val="18"/>
          <w:rtl/>
        </w:rPr>
      </w:pPr>
    </w:p>
    <w:p w14:paraId="1171BD01"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ברם</w:t>
      </w:r>
      <w:r>
        <w:rPr>
          <w:rFonts w:ascii="Arial" w:hAnsi="Arial"/>
          <w:sz w:val="26"/>
          <w:szCs w:val="26"/>
          <w:rtl/>
        </w:rPr>
        <w:t xml:space="preserve">, </w:t>
      </w:r>
      <w:r>
        <w:rPr>
          <w:rFonts w:ascii="Arial" w:hAnsi="Arial" w:hint="cs"/>
          <w:sz w:val="26"/>
          <w:szCs w:val="26"/>
          <w:rtl/>
        </w:rPr>
        <w:t xml:space="preserve">לנוכח ההלכות עליהן עמדנו, </w:t>
      </w:r>
      <w:r>
        <w:rPr>
          <w:rFonts w:ascii="Arial" w:hAnsi="Arial"/>
          <w:sz w:val="26"/>
          <w:szCs w:val="26"/>
          <w:rtl/>
        </w:rPr>
        <w:t xml:space="preserve">גם בהתחשב בנסיבות אלה, אין מנוס מהטלת עונש מאסר משמעותי, אשר יבטא באופן הולם את צורכי ההרתעה כאמור, להם נתן בית המשפט העליון את הבכורה. </w:t>
      </w:r>
    </w:p>
    <w:p w14:paraId="536C9845" w14:textId="77777777" w:rsidR="0094580D" w:rsidRDefault="0094580D" w:rsidP="0094580D">
      <w:pPr>
        <w:spacing w:line="360" w:lineRule="auto"/>
        <w:jc w:val="both"/>
        <w:rPr>
          <w:rFonts w:ascii="Arial" w:hAnsi="Arial"/>
          <w:sz w:val="26"/>
          <w:szCs w:val="26"/>
          <w:rtl/>
        </w:rPr>
      </w:pPr>
    </w:p>
    <w:p w14:paraId="081A5ECB" w14:textId="77777777" w:rsidR="0094580D" w:rsidRPr="0089713C" w:rsidRDefault="0094580D" w:rsidP="0094580D">
      <w:pPr>
        <w:spacing w:line="360" w:lineRule="auto"/>
        <w:jc w:val="both"/>
        <w:rPr>
          <w:rFonts w:ascii="Arial" w:hAnsi="Arial"/>
          <w:b/>
          <w:bCs/>
          <w:sz w:val="26"/>
          <w:szCs w:val="26"/>
          <w:rtl/>
        </w:rPr>
      </w:pPr>
      <w:r w:rsidRPr="0089713C">
        <w:rPr>
          <w:rFonts w:ascii="Arial" w:hAnsi="Arial" w:hint="cs"/>
          <w:b/>
          <w:bCs/>
          <w:sz w:val="26"/>
          <w:szCs w:val="26"/>
          <w:rtl/>
        </w:rPr>
        <w:t>פסילת רישיון נהיגה</w:t>
      </w:r>
    </w:p>
    <w:p w14:paraId="76B34F69" w14:textId="77777777" w:rsidR="0094580D" w:rsidRPr="00E06066" w:rsidRDefault="00911966" w:rsidP="0094580D">
      <w:pPr>
        <w:spacing w:line="360" w:lineRule="auto"/>
        <w:jc w:val="both"/>
        <w:rPr>
          <w:rFonts w:ascii="Arial" w:hAnsi="Arial"/>
          <w:sz w:val="26"/>
          <w:szCs w:val="26"/>
          <w:rtl/>
        </w:rPr>
      </w:pPr>
      <w:hyperlink r:id="rId40" w:history="1">
        <w:r w:rsidRPr="00911966">
          <w:rPr>
            <w:rStyle w:val="Hyperlink"/>
            <w:rFonts w:ascii="Arial" w:hAnsi="Arial" w:hint="eastAsia"/>
            <w:sz w:val="26"/>
            <w:szCs w:val="26"/>
            <w:rtl/>
          </w:rPr>
          <w:t>סעיף</w:t>
        </w:r>
        <w:r w:rsidRPr="00911966">
          <w:rPr>
            <w:rStyle w:val="Hyperlink"/>
            <w:rFonts w:ascii="Arial" w:hAnsi="Arial"/>
            <w:sz w:val="26"/>
            <w:szCs w:val="26"/>
            <w:rtl/>
          </w:rPr>
          <w:t xml:space="preserve"> 43</w:t>
        </w:r>
      </w:hyperlink>
      <w:r w:rsidR="0094580D">
        <w:rPr>
          <w:rFonts w:ascii="Arial" w:hAnsi="Arial" w:hint="cs"/>
          <w:sz w:val="26"/>
          <w:szCs w:val="26"/>
          <w:rtl/>
        </w:rPr>
        <w:t xml:space="preserve"> ל</w:t>
      </w:r>
      <w:hyperlink r:id="rId41" w:history="1">
        <w:r w:rsidR="00AF7947" w:rsidRPr="00AF7947">
          <w:rPr>
            <w:rFonts w:ascii="Arial" w:hAnsi="Arial"/>
            <w:color w:val="0000FF"/>
            <w:sz w:val="26"/>
            <w:szCs w:val="26"/>
            <w:u w:val="single"/>
            <w:rtl/>
          </w:rPr>
          <w:t>פקודת התעבורה</w:t>
        </w:r>
      </w:hyperlink>
      <w:r w:rsidR="0094580D">
        <w:rPr>
          <w:rFonts w:ascii="Arial" w:hAnsi="Arial" w:hint="cs"/>
          <w:sz w:val="26"/>
          <w:szCs w:val="26"/>
          <w:rtl/>
        </w:rPr>
        <w:t xml:space="preserve"> [נ"ח], תשכ"א-1961 מסמיך את בית המשפט להטיל, לצד עונשים אחרים, עונש של פסילת רישיון נהיגה מקום בו נאשם  </w:t>
      </w:r>
      <w:r w:rsidR="0094580D" w:rsidRPr="00E06066">
        <w:rPr>
          <w:rFonts w:ascii="Arial" w:hAnsi="Arial" w:hint="cs"/>
          <w:b/>
          <w:bCs/>
          <w:i/>
          <w:iCs/>
          <w:sz w:val="26"/>
          <w:szCs w:val="26"/>
          <w:rtl/>
        </w:rPr>
        <w:t>"</w:t>
      </w:r>
      <w:r w:rsidR="0094580D" w:rsidRPr="00E06066">
        <w:rPr>
          <w:rFonts w:ascii="Arial" w:hAnsi="Arial"/>
          <w:b/>
          <w:bCs/>
          <w:i/>
          <w:iCs/>
          <w:sz w:val="26"/>
          <w:szCs w:val="26"/>
          <w:rtl/>
        </w:rPr>
        <w:t>הורשע על עוון או על פשע שביצועם נתאפשר או הוקל עקב נהיגתו ברכב או עקב השימוש ברכב</w:t>
      </w:r>
      <w:r w:rsidR="0094580D" w:rsidRPr="00E06066">
        <w:rPr>
          <w:rFonts w:ascii="Arial" w:hAnsi="Arial" w:hint="cs"/>
          <w:b/>
          <w:bCs/>
          <w:i/>
          <w:iCs/>
          <w:sz w:val="26"/>
          <w:szCs w:val="26"/>
          <w:rtl/>
        </w:rPr>
        <w:t>..."</w:t>
      </w:r>
      <w:r w:rsidR="0094580D" w:rsidRPr="00E06066">
        <w:rPr>
          <w:rFonts w:ascii="Arial" w:hAnsi="Arial" w:hint="cs"/>
          <w:sz w:val="26"/>
          <w:szCs w:val="26"/>
          <w:rtl/>
        </w:rPr>
        <w:t>.</w:t>
      </w:r>
    </w:p>
    <w:p w14:paraId="57FA5BCA" w14:textId="77777777" w:rsidR="0094580D" w:rsidRDefault="0094580D" w:rsidP="0094580D">
      <w:pPr>
        <w:spacing w:line="360" w:lineRule="auto"/>
        <w:jc w:val="both"/>
        <w:rPr>
          <w:rFonts w:ascii="Arial" w:hAnsi="Arial"/>
          <w:sz w:val="26"/>
          <w:szCs w:val="26"/>
          <w:rtl/>
        </w:rPr>
      </w:pPr>
    </w:p>
    <w:p w14:paraId="3AA03CE9"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לאור זאת, בדין עתרה המאשימה להטלת עונש זה. מאחר שעסקינן בסעיף עונשי במהותו ובהעדר הוראה מפורשת לכלול כוונה לעתור לפיו בכתב האישום, לא הייתה חובה על המאשימה לציין את כוונתה בכתב, ויש לדחות את טענת הסנגור בעניין זה. </w:t>
      </w:r>
    </w:p>
    <w:p w14:paraId="304D7908" w14:textId="77777777" w:rsidR="0094580D" w:rsidRDefault="0094580D" w:rsidP="0094580D">
      <w:pPr>
        <w:spacing w:line="360" w:lineRule="auto"/>
        <w:jc w:val="both"/>
        <w:rPr>
          <w:rFonts w:ascii="Arial" w:hAnsi="Arial"/>
          <w:sz w:val="26"/>
          <w:szCs w:val="26"/>
          <w:rtl/>
        </w:rPr>
      </w:pPr>
    </w:p>
    <w:p w14:paraId="2728FF33"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יחד עם זאת, לאחר שקילת הדברים, לא שוכנעתי כי מקרה דנן מצדיק הטלת עונש נוסף כאמור. </w:t>
      </w:r>
    </w:p>
    <w:p w14:paraId="6AD31274" w14:textId="77777777" w:rsidR="0094580D" w:rsidRDefault="0094580D" w:rsidP="0094580D">
      <w:pPr>
        <w:spacing w:line="360" w:lineRule="auto"/>
        <w:jc w:val="both"/>
        <w:rPr>
          <w:rFonts w:ascii="Arial" w:hAnsi="Arial"/>
          <w:sz w:val="26"/>
          <w:szCs w:val="26"/>
          <w:rtl/>
        </w:rPr>
      </w:pPr>
    </w:p>
    <w:p w14:paraId="3E77DE8E" w14:textId="77777777" w:rsidR="0094580D" w:rsidRDefault="0094580D" w:rsidP="0094580D">
      <w:pPr>
        <w:spacing w:line="360" w:lineRule="auto"/>
        <w:jc w:val="both"/>
        <w:rPr>
          <w:rFonts w:ascii="Arial" w:hAnsi="Arial"/>
          <w:sz w:val="26"/>
          <w:szCs w:val="26"/>
          <w:rtl/>
        </w:rPr>
      </w:pPr>
      <w:r>
        <w:rPr>
          <w:rFonts w:ascii="Arial" w:hAnsi="Arial" w:hint="cs"/>
          <w:sz w:val="26"/>
          <w:szCs w:val="26"/>
          <w:rtl/>
        </w:rPr>
        <w:t xml:space="preserve">העבירה בה הורשע הנאשם בוצעה אמנם תוך כדי נסיעה ברכב, אך לא התרשמתי כי מדובר בנסיבה מהותית לה. על כן, גם אם ביצוע העבירה התאפשר עקב נסיעת הנאשם ברכב במישור העובדתי-טכני ועל כן קמה סמכות כאמור, מדובר בהסתייעות אינצידנטלית בלבד ולא בכזו אשר תרמה תרומה מהותית להתרחשות העבירה. בנסיבות אלה, ולאור תקופת המאסר בפועל המשמעותית אותה יהיה על הנאשם לרצות, החלטתי להימנע מהטלת עונש כאמור. </w:t>
      </w:r>
    </w:p>
    <w:p w14:paraId="17A1D584" w14:textId="77777777" w:rsidR="0094580D" w:rsidRDefault="0094580D" w:rsidP="0094580D">
      <w:pPr>
        <w:spacing w:line="360" w:lineRule="auto"/>
        <w:jc w:val="both"/>
        <w:rPr>
          <w:rFonts w:ascii="Arial" w:hAnsi="Arial"/>
          <w:sz w:val="26"/>
          <w:szCs w:val="26"/>
          <w:rtl/>
        </w:rPr>
      </w:pPr>
    </w:p>
    <w:p w14:paraId="3688D9F5" w14:textId="77777777" w:rsidR="0094580D" w:rsidRPr="00731DC6" w:rsidRDefault="0094580D" w:rsidP="0094580D">
      <w:pPr>
        <w:spacing w:before="240" w:line="360" w:lineRule="auto"/>
        <w:jc w:val="both"/>
        <w:rPr>
          <w:rFonts w:ascii="Arial" w:hAnsi="Arial"/>
          <w:b/>
          <w:bCs/>
          <w:sz w:val="26"/>
          <w:szCs w:val="26"/>
          <w:u w:val="single"/>
          <w:rtl/>
        </w:rPr>
      </w:pPr>
      <w:r w:rsidRPr="00731DC6">
        <w:rPr>
          <w:rFonts w:ascii="Arial" w:hAnsi="Arial"/>
          <w:b/>
          <w:bCs/>
          <w:sz w:val="26"/>
          <w:szCs w:val="26"/>
          <w:u w:val="single"/>
          <w:rtl/>
        </w:rPr>
        <w:t>סוף דבר</w:t>
      </w:r>
    </w:p>
    <w:p w14:paraId="3B1E5DE7" w14:textId="77777777" w:rsidR="0094580D" w:rsidRDefault="0094580D" w:rsidP="0094580D">
      <w:pPr>
        <w:spacing w:before="240" w:line="360" w:lineRule="auto"/>
        <w:jc w:val="both"/>
        <w:rPr>
          <w:rFonts w:ascii="Arial" w:hAnsi="Arial"/>
          <w:sz w:val="26"/>
          <w:szCs w:val="26"/>
          <w:rtl/>
        </w:rPr>
      </w:pPr>
      <w:r w:rsidRPr="00731DC6">
        <w:rPr>
          <w:rFonts w:ascii="Arial" w:hAnsi="Arial"/>
          <w:sz w:val="26"/>
          <w:szCs w:val="26"/>
          <w:rtl/>
        </w:rPr>
        <w:t xml:space="preserve">העולה מדברנו עד כה, כי הנאשם עירב עצמו בביצוע עבירה חמורה, כאשר </w:t>
      </w:r>
      <w:r w:rsidRPr="00731DC6">
        <w:rPr>
          <w:rFonts w:ascii="Arial" w:hAnsi="Arial" w:hint="cs"/>
          <w:sz w:val="26"/>
          <w:szCs w:val="26"/>
          <w:rtl/>
        </w:rPr>
        <w:t>נשא על גופו אקדח ובו</w:t>
      </w:r>
      <w:r w:rsidRPr="00731DC6">
        <w:rPr>
          <w:rFonts w:ascii="Arial" w:hAnsi="Arial" w:hint="cs"/>
          <w:sz w:val="28"/>
          <w:szCs w:val="28"/>
          <w:rtl/>
        </w:rPr>
        <w:t xml:space="preserve"> </w:t>
      </w:r>
      <w:r>
        <w:rPr>
          <w:rFonts w:ascii="Arial" w:hAnsi="Arial" w:hint="cs"/>
          <w:sz w:val="26"/>
          <w:szCs w:val="26"/>
          <w:rtl/>
        </w:rPr>
        <w:t xml:space="preserve">מחסנית ריקה, במרחב הציבורי. </w:t>
      </w:r>
      <w:r>
        <w:rPr>
          <w:rFonts w:ascii="Arial" w:hAnsi="Arial"/>
          <w:sz w:val="26"/>
          <w:szCs w:val="26"/>
          <w:rtl/>
        </w:rPr>
        <w:t xml:space="preserve">עבירה זו פוגעת בערכים חברתיים ראשונים במעלה ולה פוטנציאל נזק משמעותי. </w:t>
      </w:r>
    </w:p>
    <w:p w14:paraId="17052EDA" w14:textId="77777777" w:rsidR="0094580D" w:rsidRDefault="0094580D" w:rsidP="0094580D">
      <w:pPr>
        <w:spacing w:line="360" w:lineRule="auto"/>
        <w:jc w:val="both"/>
        <w:rPr>
          <w:rFonts w:ascii="Arial" w:hAnsi="Arial"/>
          <w:sz w:val="26"/>
          <w:szCs w:val="26"/>
          <w:rtl/>
        </w:rPr>
      </w:pPr>
    </w:p>
    <w:p w14:paraId="3CE3230F" w14:textId="77777777" w:rsidR="0094580D" w:rsidRDefault="0094580D" w:rsidP="0094580D">
      <w:pPr>
        <w:spacing w:line="360" w:lineRule="auto"/>
        <w:jc w:val="both"/>
        <w:rPr>
          <w:rFonts w:ascii="Arial" w:hAnsi="Arial"/>
          <w:sz w:val="26"/>
          <w:szCs w:val="26"/>
          <w:rtl/>
        </w:rPr>
      </w:pPr>
      <w:r>
        <w:rPr>
          <w:rFonts w:ascii="Arial" w:hAnsi="Arial"/>
          <w:sz w:val="26"/>
          <w:szCs w:val="26"/>
          <w:rtl/>
        </w:rPr>
        <w:t xml:space="preserve">אי לכך, בהתאם למדיניות הענישה, נדרש להטיל על עליו עונש מאסר משמעותי, אשר יהלום את מהות מעשיו ויבטא כראוי את שיקולי הענישה השונים. </w:t>
      </w:r>
    </w:p>
    <w:p w14:paraId="70C4C353" w14:textId="77777777" w:rsidR="0094580D" w:rsidRDefault="0094580D" w:rsidP="0094580D">
      <w:pPr>
        <w:spacing w:line="360" w:lineRule="auto"/>
        <w:jc w:val="both"/>
        <w:rPr>
          <w:rFonts w:ascii="Arial" w:hAnsi="Arial"/>
          <w:sz w:val="18"/>
          <w:szCs w:val="18"/>
          <w:rtl/>
        </w:rPr>
      </w:pPr>
    </w:p>
    <w:p w14:paraId="47862EEE" w14:textId="77777777" w:rsidR="0094580D" w:rsidRDefault="0094580D" w:rsidP="0094580D">
      <w:pPr>
        <w:spacing w:line="360" w:lineRule="auto"/>
        <w:jc w:val="both"/>
        <w:rPr>
          <w:rFonts w:ascii="Arial" w:hAnsi="Arial"/>
          <w:sz w:val="26"/>
          <w:szCs w:val="26"/>
          <w:rtl/>
        </w:rPr>
      </w:pPr>
      <w:r>
        <w:rPr>
          <w:rFonts w:ascii="Arial" w:hAnsi="Arial"/>
          <w:sz w:val="26"/>
          <w:szCs w:val="26"/>
          <w:rtl/>
        </w:rPr>
        <w:t xml:space="preserve">לצד האמור, עומדות לזכותו </w:t>
      </w:r>
      <w:r>
        <w:rPr>
          <w:rFonts w:ascii="Arial" w:hAnsi="Arial" w:hint="cs"/>
          <w:sz w:val="26"/>
          <w:szCs w:val="26"/>
          <w:rtl/>
        </w:rPr>
        <w:t>ה</w:t>
      </w:r>
      <w:r>
        <w:rPr>
          <w:rFonts w:ascii="Arial" w:hAnsi="Arial"/>
          <w:sz w:val="26"/>
          <w:szCs w:val="26"/>
          <w:rtl/>
        </w:rPr>
        <w:t xml:space="preserve">נסיבות </w:t>
      </w:r>
      <w:r>
        <w:rPr>
          <w:rFonts w:ascii="Arial" w:hAnsi="Arial" w:hint="cs"/>
          <w:sz w:val="26"/>
          <w:szCs w:val="26"/>
          <w:rtl/>
        </w:rPr>
        <w:t>ה</w:t>
      </w:r>
      <w:r>
        <w:rPr>
          <w:rFonts w:ascii="Arial" w:hAnsi="Arial"/>
          <w:sz w:val="26"/>
          <w:szCs w:val="26"/>
          <w:rtl/>
        </w:rPr>
        <w:t>אישיות</w:t>
      </w:r>
      <w:r>
        <w:rPr>
          <w:rFonts w:ascii="Arial" w:hAnsi="Arial" w:hint="cs"/>
          <w:sz w:val="26"/>
          <w:szCs w:val="26"/>
          <w:rtl/>
        </w:rPr>
        <w:t xml:space="preserve"> ה</w:t>
      </w:r>
      <w:r>
        <w:rPr>
          <w:rFonts w:ascii="Arial" w:hAnsi="Arial"/>
          <w:sz w:val="26"/>
          <w:szCs w:val="26"/>
          <w:rtl/>
        </w:rPr>
        <w:t>מקלות</w:t>
      </w:r>
      <w:r>
        <w:rPr>
          <w:rFonts w:ascii="Arial" w:hAnsi="Arial" w:hint="cs"/>
          <w:sz w:val="26"/>
          <w:szCs w:val="26"/>
          <w:rtl/>
        </w:rPr>
        <w:t xml:space="preserve"> עליהן עמדנו</w:t>
      </w:r>
      <w:r>
        <w:rPr>
          <w:rFonts w:ascii="Arial" w:hAnsi="Arial"/>
          <w:sz w:val="26"/>
          <w:szCs w:val="26"/>
          <w:rtl/>
        </w:rPr>
        <w:t xml:space="preserve">, וכן הודאתו באשמה. </w:t>
      </w:r>
    </w:p>
    <w:p w14:paraId="01C329F8" w14:textId="77777777" w:rsidR="0094580D" w:rsidRDefault="0094580D" w:rsidP="0094580D">
      <w:pPr>
        <w:spacing w:line="360" w:lineRule="auto"/>
        <w:jc w:val="both"/>
        <w:rPr>
          <w:rFonts w:ascii="Arial" w:hAnsi="Arial"/>
          <w:sz w:val="16"/>
          <w:szCs w:val="16"/>
          <w:rtl/>
        </w:rPr>
      </w:pPr>
    </w:p>
    <w:p w14:paraId="372DC9D7" w14:textId="77777777" w:rsidR="0094580D" w:rsidRDefault="0094580D" w:rsidP="0094580D">
      <w:pPr>
        <w:spacing w:line="360" w:lineRule="auto"/>
        <w:jc w:val="both"/>
        <w:rPr>
          <w:rFonts w:ascii="Arial" w:hAnsi="Arial"/>
          <w:sz w:val="26"/>
          <w:szCs w:val="26"/>
          <w:rtl/>
        </w:rPr>
      </w:pPr>
      <w:r>
        <w:rPr>
          <w:rFonts w:ascii="Arial" w:hAnsi="Arial"/>
          <w:sz w:val="26"/>
          <w:szCs w:val="26"/>
          <w:rtl/>
        </w:rPr>
        <w:t>על רקע זה, אני סבור שיש לגזור על הנאשם עונש מאסר בפועל קרוב לרף התחתון של מתחם העונש ההולם שנקבע כאמור</w:t>
      </w:r>
      <w:r>
        <w:rPr>
          <w:rFonts w:ascii="Arial" w:hAnsi="Arial" w:hint="cs"/>
          <w:sz w:val="26"/>
          <w:szCs w:val="26"/>
          <w:rtl/>
        </w:rPr>
        <w:t>, גם אם לא ברף התחתון</w:t>
      </w:r>
      <w:r>
        <w:rPr>
          <w:rFonts w:ascii="Arial" w:hAnsi="Arial"/>
          <w:sz w:val="26"/>
          <w:szCs w:val="26"/>
          <w:rtl/>
        </w:rPr>
        <w:t xml:space="preserve">. </w:t>
      </w:r>
    </w:p>
    <w:p w14:paraId="72A5002A" w14:textId="77777777" w:rsidR="0094580D" w:rsidRDefault="0094580D" w:rsidP="0094580D">
      <w:pPr>
        <w:spacing w:line="360" w:lineRule="auto"/>
        <w:jc w:val="both"/>
        <w:rPr>
          <w:rFonts w:ascii="Arial" w:hAnsi="Arial"/>
          <w:sz w:val="26"/>
          <w:szCs w:val="26"/>
          <w:rtl/>
        </w:rPr>
      </w:pPr>
    </w:p>
    <w:p w14:paraId="3F0451E8" w14:textId="77777777" w:rsidR="0094580D" w:rsidRDefault="0094580D" w:rsidP="0094580D">
      <w:pPr>
        <w:spacing w:line="360" w:lineRule="auto"/>
        <w:jc w:val="both"/>
        <w:rPr>
          <w:rFonts w:ascii="Arial" w:hAnsi="Arial"/>
          <w:sz w:val="26"/>
          <w:szCs w:val="26"/>
          <w:rtl/>
        </w:rPr>
      </w:pPr>
      <w:r>
        <w:rPr>
          <w:rFonts w:ascii="Arial" w:hAnsi="Arial"/>
          <w:sz w:val="26"/>
          <w:szCs w:val="26"/>
          <w:rtl/>
        </w:rPr>
        <w:t>אדגיש כי לולא עמדו לנאשם נסיבות הקולא עליהן עמד</w:t>
      </w:r>
      <w:r>
        <w:rPr>
          <w:rFonts w:ascii="Arial" w:hAnsi="Arial" w:hint="cs"/>
          <w:sz w:val="26"/>
          <w:szCs w:val="26"/>
          <w:rtl/>
        </w:rPr>
        <w:t>תי</w:t>
      </w:r>
      <w:r>
        <w:rPr>
          <w:rFonts w:ascii="Arial" w:hAnsi="Arial"/>
          <w:sz w:val="26"/>
          <w:szCs w:val="26"/>
          <w:rtl/>
        </w:rPr>
        <w:t xml:space="preserve">, לשיטתי היה מקום להטיל עונש חמור יותר.  </w:t>
      </w:r>
    </w:p>
    <w:p w14:paraId="23C6F47E" w14:textId="77777777" w:rsidR="0094580D" w:rsidRDefault="0094580D" w:rsidP="0094580D">
      <w:pPr>
        <w:spacing w:line="360" w:lineRule="auto"/>
        <w:jc w:val="both"/>
        <w:rPr>
          <w:rFonts w:ascii="Arial" w:hAnsi="Arial"/>
          <w:sz w:val="26"/>
          <w:szCs w:val="26"/>
          <w:rtl/>
        </w:rPr>
      </w:pPr>
    </w:p>
    <w:p w14:paraId="229E5CFE" w14:textId="77777777" w:rsidR="0094580D" w:rsidRDefault="0094580D" w:rsidP="0094580D">
      <w:pPr>
        <w:spacing w:line="360" w:lineRule="auto"/>
        <w:jc w:val="both"/>
        <w:rPr>
          <w:rFonts w:ascii="Arial" w:hAnsi="Arial"/>
          <w:sz w:val="26"/>
          <w:szCs w:val="26"/>
          <w:rtl/>
        </w:rPr>
      </w:pPr>
      <w:r>
        <w:rPr>
          <w:rFonts w:ascii="Arial" w:hAnsi="Arial"/>
          <w:sz w:val="26"/>
          <w:szCs w:val="26"/>
          <w:rtl/>
        </w:rPr>
        <w:t>בהתאם לאמור, הנני גוזר על הנאשם את העונשים הבאים:</w:t>
      </w:r>
    </w:p>
    <w:p w14:paraId="3062403C" w14:textId="77777777" w:rsidR="0094580D" w:rsidRDefault="0094580D" w:rsidP="0094580D">
      <w:pPr>
        <w:spacing w:line="360" w:lineRule="auto"/>
        <w:jc w:val="both"/>
        <w:rPr>
          <w:rFonts w:ascii="Arial" w:hAnsi="Arial"/>
          <w:sz w:val="18"/>
          <w:szCs w:val="18"/>
          <w:rtl/>
        </w:rPr>
      </w:pPr>
    </w:p>
    <w:p w14:paraId="44470DF8" w14:textId="77777777" w:rsidR="0094580D" w:rsidRDefault="0094580D" w:rsidP="0094580D">
      <w:pPr>
        <w:pStyle w:val="a9"/>
        <w:numPr>
          <w:ilvl w:val="0"/>
          <w:numId w:val="1"/>
        </w:numPr>
        <w:spacing w:line="360" w:lineRule="auto"/>
        <w:jc w:val="both"/>
        <w:rPr>
          <w:rFonts w:ascii="Arial" w:hAnsi="Arial"/>
          <w:b/>
          <w:bCs/>
          <w:sz w:val="26"/>
          <w:szCs w:val="26"/>
          <w:rtl/>
        </w:rPr>
      </w:pPr>
      <w:r>
        <w:rPr>
          <w:rFonts w:ascii="Arial" w:hAnsi="Arial" w:hint="cs"/>
          <w:b/>
          <w:bCs/>
          <w:sz w:val="26"/>
          <w:szCs w:val="26"/>
          <w:rtl/>
        </w:rPr>
        <w:t>33</w:t>
      </w:r>
      <w:r>
        <w:rPr>
          <w:rFonts w:ascii="Arial" w:hAnsi="Arial"/>
          <w:b/>
          <w:bCs/>
          <w:sz w:val="26"/>
          <w:szCs w:val="26"/>
          <w:rtl/>
        </w:rPr>
        <w:t xml:space="preserve"> חודשי מאסר לריצוי בפועל מיום מעצרו בתיק זה. </w:t>
      </w:r>
    </w:p>
    <w:p w14:paraId="74EFCA91" w14:textId="77777777" w:rsidR="0094580D" w:rsidRDefault="0094580D" w:rsidP="0094580D">
      <w:pPr>
        <w:pStyle w:val="a9"/>
        <w:numPr>
          <w:ilvl w:val="0"/>
          <w:numId w:val="1"/>
        </w:numPr>
        <w:spacing w:line="360" w:lineRule="auto"/>
        <w:jc w:val="both"/>
        <w:rPr>
          <w:rFonts w:ascii="Arial" w:hAnsi="Arial"/>
          <w:b/>
          <w:bCs/>
          <w:sz w:val="26"/>
          <w:szCs w:val="26"/>
        </w:rPr>
      </w:pPr>
      <w:r>
        <w:rPr>
          <w:rFonts w:ascii="Arial" w:hAnsi="Arial"/>
          <w:b/>
          <w:bCs/>
          <w:sz w:val="26"/>
          <w:szCs w:val="26"/>
          <w:rtl/>
        </w:rPr>
        <w:t xml:space="preserve">12 חודשי מאסר מותנים והתנאי הוא כי במשך 3 שנים מיום שחרורו ממאסר לא יעבור הנאשם עבירה בה הורשע או עבירה לפי סעיפים </w:t>
      </w:r>
      <w:hyperlink r:id="rId42" w:history="1">
        <w:r w:rsidR="00911966" w:rsidRPr="00911966">
          <w:rPr>
            <w:rStyle w:val="Hyperlink"/>
            <w:rFonts w:ascii="Arial" w:hAnsi="Arial"/>
            <w:b/>
            <w:bCs/>
            <w:sz w:val="26"/>
            <w:szCs w:val="26"/>
            <w:rtl/>
          </w:rPr>
          <w:t>144 (א)</w:t>
        </w:r>
      </w:hyperlink>
      <w:r>
        <w:rPr>
          <w:rFonts w:ascii="Arial" w:hAnsi="Arial"/>
          <w:b/>
          <w:bCs/>
          <w:sz w:val="26"/>
          <w:szCs w:val="26"/>
          <w:rtl/>
        </w:rPr>
        <w:t xml:space="preserve"> </w:t>
      </w:r>
      <w:r>
        <w:rPr>
          <w:rFonts w:ascii="Arial" w:hAnsi="Arial" w:hint="cs"/>
          <w:b/>
          <w:bCs/>
          <w:sz w:val="26"/>
          <w:szCs w:val="26"/>
          <w:rtl/>
        </w:rPr>
        <w:t xml:space="preserve">או </w:t>
      </w:r>
      <w:hyperlink r:id="rId43" w:history="1">
        <w:r w:rsidR="00911966" w:rsidRPr="00911966">
          <w:rPr>
            <w:rStyle w:val="Hyperlink"/>
            <w:rFonts w:ascii="Arial" w:hAnsi="Arial"/>
            <w:b/>
            <w:bCs/>
            <w:sz w:val="26"/>
            <w:szCs w:val="26"/>
            <w:rtl/>
          </w:rPr>
          <w:t>(ב2)</w:t>
        </w:r>
      </w:hyperlink>
      <w:r>
        <w:rPr>
          <w:rFonts w:ascii="Arial" w:hAnsi="Arial"/>
          <w:b/>
          <w:bCs/>
          <w:sz w:val="26"/>
          <w:szCs w:val="26"/>
          <w:rtl/>
        </w:rPr>
        <w:t xml:space="preserve"> ל</w:t>
      </w:r>
      <w:hyperlink r:id="rId44" w:history="1">
        <w:r w:rsidR="00AF7947" w:rsidRPr="00AF7947">
          <w:rPr>
            <w:rFonts w:ascii="Arial" w:hAnsi="Arial"/>
            <w:b/>
            <w:bCs/>
            <w:color w:val="0000FF"/>
            <w:sz w:val="26"/>
            <w:szCs w:val="26"/>
            <w:u w:val="single"/>
            <w:rtl/>
          </w:rPr>
          <w:t>חוק העונשין</w:t>
        </w:r>
      </w:hyperlink>
      <w:r>
        <w:rPr>
          <w:rFonts w:ascii="Arial" w:hAnsi="Arial"/>
          <w:b/>
          <w:bCs/>
          <w:sz w:val="26"/>
          <w:szCs w:val="26"/>
          <w:rtl/>
        </w:rPr>
        <w:t>, תשל"ז-1977.</w:t>
      </w:r>
    </w:p>
    <w:p w14:paraId="2E3B16F6" w14:textId="77777777" w:rsidR="0094580D" w:rsidRDefault="0094580D" w:rsidP="0094580D">
      <w:pPr>
        <w:pStyle w:val="a9"/>
        <w:numPr>
          <w:ilvl w:val="0"/>
          <w:numId w:val="1"/>
        </w:numPr>
        <w:spacing w:line="360" w:lineRule="auto"/>
        <w:jc w:val="both"/>
        <w:rPr>
          <w:rFonts w:ascii="Arial" w:hAnsi="Arial"/>
          <w:b/>
          <w:bCs/>
          <w:sz w:val="26"/>
          <w:szCs w:val="26"/>
        </w:rPr>
      </w:pPr>
      <w:r>
        <w:rPr>
          <w:rFonts w:ascii="Arial" w:hAnsi="Arial"/>
          <w:b/>
          <w:bCs/>
          <w:sz w:val="26"/>
          <w:szCs w:val="26"/>
          <w:rtl/>
        </w:rPr>
        <w:t xml:space="preserve">קנס בסך </w:t>
      </w:r>
      <w:r>
        <w:rPr>
          <w:rFonts w:ascii="Arial" w:hAnsi="Arial" w:hint="cs"/>
          <w:b/>
          <w:bCs/>
          <w:sz w:val="26"/>
          <w:szCs w:val="26"/>
          <w:rtl/>
        </w:rPr>
        <w:t>7,500</w:t>
      </w:r>
      <w:r>
        <w:rPr>
          <w:rFonts w:ascii="Arial" w:hAnsi="Arial"/>
          <w:b/>
          <w:bCs/>
          <w:sz w:val="26"/>
          <w:szCs w:val="26"/>
          <w:rtl/>
        </w:rPr>
        <w:t xml:space="preserve"> ₪ שישולם עד ליום </w:t>
      </w:r>
      <w:r>
        <w:rPr>
          <w:rFonts w:ascii="Arial" w:hAnsi="Arial" w:hint="cs"/>
          <w:b/>
          <w:bCs/>
          <w:sz w:val="26"/>
          <w:szCs w:val="26"/>
          <w:rtl/>
        </w:rPr>
        <w:t>11.7.2025</w:t>
      </w:r>
      <w:r>
        <w:rPr>
          <w:rFonts w:ascii="Arial" w:hAnsi="Arial"/>
          <w:b/>
          <w:bCs/>
          <w:sz w:val="26"/>
          <w:szCs w:val="26"/>
          <w:rtl/>
        </w:rPr>
        <w:t xml:space="preserve">. לא ישלם הנאשם קנס זה יאסר לתקופה נוספת של </w:t>
      </w:r>
      <w:r>
        <w:rPr>
          <w:rFonts w:ascii="Arial" w:hAnsi="Arial" w:hint="cs"/>
          <w:b/>
          <w:bCs/>
          <w:sz w:val="26"/>
          <w:szCs w:val="26"/>
          <w:rtl/>
        </w:rPr>
        <w:t>3 חודשים</w:t>
      </w:r>
      <w:r>
        <w:rPr>
          <w:rFonts w:ascii="Arial" w:hAnsi="Arial"/>
          <w:b/>
          <w:bCs/>
          <w:sz w:val="26"/>
          <w:szCs w:val="26"/>
          <w:rtl/>
        </w:rPr>
        <w:t xml:space="preserve">. </w:t>
      </w:r>
    </w:p>
    <w:p w14:paraId="2BEC9FA1" w14:textId="77777777" w:rsidR="0094580D" w:rsidRDefault="0094580D" w:rsidP="0094580D">
      <w:pPr>
        <w:pStyle w:val="a9"/>
        <w:spacing w:after="160" w:line="360" w:lineRule="auto"/>
        <w:jc w:val="both"/>
        <w:rPr>
          <w:rFonts w:ascii="Arial" w:hAnsi="Arial"/>
          <w:sz w:val="26"/>
          <w:szCs w:val="26"/>
          <w:rtl/>
        </w:rPr>
      </w:pPr>
    </w:p>
    <w:p w14:paraId="2FB4A92C" w14:textId="77777777" w:rsidR="0094580D" w:rsidRDefault="0094580D" w:rsidP="0094580D">
      <w:pPr>
        <w:pStyle w:val="a9"/>
        <w:spacing w:after="160" w:line="360" w:lineRule="auto"/>
        <w:jc w:val="both"/>
        <w:rPr>
          <w:rFonts w:ascii="Arial" w:hAnsi="Arial"/>
          <w:sz w:val="26"/>
          <w:szCs w:val="26"/>
          <w:rtl/>
        </w:rPr>
      </w:pPr>
    </w:p>
    <w:p w14:paraId="40CAD3FA" w14:textId="77777777" w:rsidR="0094580D" w:rsidRPr="000F5CE5" w:rsidRDefault="0094580D" w:rsidP="0094580D">
      <w:pPr>
        <w:pStyle w:val="a9"/>
        <w:spacing w:after="160" w:line="360" w:lineRule="auto"/>
        <w:jc w:val="both"/>
        <w:rPr>
          <w:rFonts w:ascii="Arial" w:hAnsi="Arial"/>
          <w:sz w:val="26"/>
          <w:szCs w:val="26"/>
        </w:rPr>
      </w:pPr>
    </w:p>
    <w:p w14:paraId="4032F33D" w14:textId="77777777" w:rsidR="0094580D" w:rsidRDefault="0094580D" w:rsidP="0094580D">
      <w:pPr>
        <w:pStyle w:val="a9"/>
        <w:spacing w:after="160" w:line="360" w:lineRule="auto"/>
        <w:ind w:left="0"/>
        <w:jc w:val="both"/>
        <w:rPr>
          <w:rFonts w:ascii="Arial" w:hAnsi="Arial"/>
          <w:sz w:val="26"/>
          <w:szCs w:val="26"/>
          <w:rtl/>
        </w:rPr>
      </w:pPr>
      <w:r>
        <w:rPr>
          <w:rFonts w:ascii="Arial" w:hAnsi="Arial"/>
          <w:sz w:val="26"/>
          <w:szCs w:val="26"/>
          <w:rtl/>
        </w:rPr>
        <w:t>תשומת לב הנאשם שיש לשלם את הקנס לחשבון המרכז לגביית קנסות, אגרות והוצאות ברשות האכיפה והגבייה, החל מחלוף 3 ימים מיום מתן גזר הדין וזאת באחת מהדרכים הבאות:</w:t>
      </w:r>
    </w:p>
    <w:p w14:paraId="7DAA47B1" w14:textId="77777777" w:rsidR="0094580D" w:rsidRDefault="0094580D" w:rsidP="0094580D">
      <w:pPr>
        <w:pStyle w:val="a9"/>
        <w:numPr>
          <w:ilvl w:val="0"/>
          <w:numId w:val="2"/>
        </w:numPr>
        <w:spacing w:after="160" w:line="360" w:lineRule="auto"/>
        <w:ind w:left="720" w:hanging="720"/>
        <w:jc w:val="both"/>
        <w:rPr>
          <w:rFonts w:ascii="Arial" w:hAnsi="Arial"/>
          <w:sz w:val="26"/>
          <w:szCs w:val="26"/>
          <w:rtl/>
        </w:rPr>
      </w:pPr>
      <w:r>
        <w:rPr>
          <w:rFonts w:ascii="Arial" w:hAnsi="Arial"/>
          <w:sz w:val="26"/>
          <w:szCs w:val="26"/>
          <w:rtl/>
        </w:rPr>
        <w:t xml:space="preserve">בכרטיס אשראי – באתר המקוון של רשות האכיפה והגבייה, </w:t>
      </w:r>
      <w:hyperlink r:id="rId45" w:history="1">
        <w:r>
          <w:rPr>
            <w:rStyle w:val="Hyperlink"/>
            <w:rFonts w:ascii="Arial" w:hAnsi="Arial"/>
            <w:sz w:val="26"/>
            <w:szCs w:val="26"/>
          </w:rPr>
          <w:t>www.eca.gov.il</w:t>
        </w:r>
      </w:hyperlink>
      <w:r>
        <w:rPr>
          <w:rFonts w:ascii="Arial" w:hAnsi="Arial"/>
          <w:sz w:val="26"/>
          <w:szCs w:val="26"/>
        </w:rPr>
        <w:t xml:space="preserve"> </w:t>
      </w:r>
      <w:r w:rsidR="00AF7947">
        <w:rPr>
          <w:rFonts w:ascii="Arial" w:hAnsi="Arial"/>
          <w:sz w:val="26"/>
          <w:szCs w:val="26"/>
          <w:rtl/>
        </w:rPr>
        <w:t xml:space="preserve"> </w:t>
      </w:r>
      <w:r>
        <w:rPr>
          <w:rFonts w:ascii="Arial" w:hAnsi="Arial"/>
          <w:sz w:val="26"/>
          <w:szCs w:val="26"/>
          <w:rtl/>
        </w:rPr>
        <w:t>או חפש בגוגל " תשלום גביית קנסות".</w:t>
      </w:r>
    </w:p>
    <w:p w14:paraId="088D5E05" w14:textId="77777777" w:rsidR="0094580D" w:rsidRDefault="0094580D" w:rsidP="0094580D">
      <w:pPr>
        <w:pStyle w:val="a9"/>
        <w:numPr>
          <w:ilvl w:val="0"/>
          <w:numId w:val="2"/>
        </w:numPr>
        <w:spacing w:after="160" w:line="360" w:lineRule="auto"/>
        <w:ind w:left="720" w:hanging="720"/>
        <w:jc w:val="both"/>
        <w:rPr>
          <w:rFonts w:ascii="Arial" w:hAnsi="Arial"/>
          <w:sz w:val="26"/>
          <w:szCs w:val="26"/>
          <w:rtl/>
        </w:rPr>
      </w:pPr>
      <w:r>
        <w:rPr>
          <w:rFonts w:ascii="Arial" w:hAnsi="Arial"/>
          <w:sz w:val="26"/>
          <w:szCs w:val="26"/>
          <w:rtl/>
        </w:rPr>
        <w:t>מוקד שירות טלפוני בשרות עצמי (מרכז גבייה)</w:t>
      </w:r>
      <w:r w:rsidR="00AF7947">
        <w:rPr>
          <w:rFonts w:ascii="Arial" w:hAnsi="Arial"/>
          <w:sz w:val="26"/>
          <w:szCs w:val="26"/>
          <w:rtl/>
        </w:rPr>
        <w:t xml:space="preserve"> </w:t>
      </w:r>
      <w:r>
        <w:rPr>
          <w:rFonts w:ascii="Arial" w:hAnsi="Arial"/>
          <w:sz w:val="26"/>
          <w:szCs w:val="26"/>
          <w:rtl/>
        </w:rPr>
        <w:t xml:space="preserve"> – בטלפון 35592* או בטלפון 073-2055000 (ניתן לפנות לנציגים לקבלת מידע במספרים הללו).</w:t>
      </w:r>
    </w:p>
    <w:p w14:paraId="325C9E17" w14:textId="77777777" w:rsidR="0094580D" w:rsidRDefault="0094580D" w:rsidP="0094580D">
      <w:pPr>
        <w:pStyle w:val="a9"/>
        <w:numPr>
          <w:ilvl w:val="0"/>
          <w:numId w:val="2"/>
        </w:numPr>
        <w:spacing w:after="160" w:line="360" w:lineRule="auto"/>
        <w:ind w:left="720" w:hanging="720"/>
        <w:jc w:val="both"/>
        <w:rPr>
          <w:rFonts w:ascii="Arial" w:hAnsi="Arial"/>
          <w:sz w:val="26"/>
          <w:szCs w:val="26"/>
        </w:rPr>
      </w:pPr>
      <w:r>
        <w:rPr>
          <w:rFonts w:ascii="Arial" w:hAnsi="Arial"/>
          <w:sz w:val="26"/>
          <w:szCs w:val="26"/>
          <w:rtl/>
        </w:rPr>
        <w:t>במזומן בכל סניף של בנק הדואר – בהצגת תעודת זהות בלבד (אין צורך בשוברי תשלום).</w:t>
      </w:r>
    </w:p>
    <w:p w14:paraId="26299BA5" w14:textId="77777777" w:rsidR="0094580D" w:rsidRDefault="0094580D" w:rsidP="0094580D">
      <w:pPr>
        <w:pStyle w:val="a9"/>
        <w:spacing w:after="160" w:line="360" w:lineRule="auto"/>
        <w:jc w:val="both"/>
        <w:rPr>
          <w:rFonts w:ascii="Arial" w:hAnsi="Arial"/>
          <w:sz w:val="26"/>
          <w:szCs w:val="26"/>
          <w:rtl/>
        </w:rPr>
      </w:pPr>
    </w:p>
    <w:p w14:paraId="2544C0C4" w14:textId="77777777" w:rsidR="0094580D" w:rsidRDefault="0094580D" w:rsidP="0094580D">
      <w:pPr>
        <w:pStyle w:val="a9"/>
        <w:spacing w:line="360" w:lineRule="auto"/>
        <w:ind w:left="0"/>
        <w:jc w:val="both"/>
        <w:rPr>
          <w:rFonts w:ascii="Arial" w:hAnsi="Arial"/>
          <w:sz w:val="26"/>
          <w:szCs w:val="26"/>
          <w:rtl/>
        </w:rPr>
      </w:pPr>
      <w:r>
        <w:rPr>
          <w:rFonts w:ascii="Arial" w:hAnsi="Arial" w:hint="cs"/>
          <w:sz w:val="26"/>
          <w:szCs w:val="26"/>
          <w:rtl/>
        </w:rPr>
        <w:t>עוד אני מורה על חילוט האקדח והמחסנית שנתפסו בתיק זה, לטובת משטרת ישראל או להשמדה.</w:t>
      </w:r>
    </w:p>
    <w:p w14:paraId="59A3DF0A" w14:textId="77777777" w:rsidR="0094580D" w:rsidRPr="00AF7947" w:rsidRDefault="00AF7947" w:rsidP="0094580D">
      <w:pPr>
        <w:pStyle w:val="a9"/>
        <w:spacing w:line="360" w:lineRule="auto"/>
        <w:ind w:left="0"/>
        <w:jc w:val="both"/>
        <w:rPr>
          <w:rFonts w:ascii="Arial" w:hAnsi="Arial"/>
          <w:color w:val="FFFFFF"/>
          <w:sz w:val="2"/>
          <w:szCs w:val="2"/>
          <w:rtl/>
        </w:rPr>
      </w:pPr>
      <w:r w:rsidRPr="00AF7947">
        <w:rPr>
          <w:rFonts w:ascii="Arial" w:hAnsi="Arial"/>
          <w:color w:val="FFFFFF"/>
          <w:sz w:val="2"/>
          <w:szCs w:val="2"/>
          <w:rtl/>
        </w:rPr>
        <w:t>5129371</w:t>
      </w:r>
    </w:p>
    <w:p w14:paraId="7EB0798A" w14:textId="77777777" w:rsidR="0094580D" w:rsidRPr="004005B4" w:rsidRDefault="00AF7947" w:rsidP="0094580D">
      <w:pPr>
        <w:pStyle w:val="a9"/>
        <w:spacing w:line="360" w:lineRule="auto"/>
        <w:ind w:left="0"/>
        <w:jc w:val="both"/>
        <w:rPr>
          <w:rFonts w:ascii="Arial" w:hAnsi="Arial"/>
          <w:b/>
          <w:bCs/>
          <w:sz w:val="26"/>
          <w:szCs w:val="26"/>
          <w:rtl/>
        </w:rPr>
      </w:pPr>
      <w:r w:rsidRPr="00AF7947">
        <w:rPr>
          <w:rFonts w:ascii="Arial" w:hAnsi="Arial"/>
          <w:color w:val="FFFFFF"/>
          <w:sz w:val="2"/>
          <w:szCs w:val="2"/>
          <w:rtl/>
        </w:rPr>
        <w:t>54678313</w:t>
      </w:r>
      <w:r w:rsidR="0094580D">
        <w:rPr>
          <w:rFonts w:ascii="Arial" w:hAnsi="Arial" w:hint="cs"/>
          <w:sz w:val="26"/>
          <w:szCs w:val="26"/>
          <w:rtl/>
        </w:rPr>
        <w:t xml:space="preserve"> </w:t>
      </w:r>
      <w:r w:rsidR="0094580D" w:rsidRPr="004005B4">
        <w:rPr>
          <w:rFonts w:ascii="Arial" w:hAnsi="Arial"/>
          <w:b/>
          <w:bCs/>
          <w:sz w:val="26"/>
          <w:szCs w:val="26"/>
          <w:rtl/>
        </w:rPr>
        <w:t>זכות ערעור לבית המשפט העליון תוך 45 ימים מהיום.</w:t>
      </w:r>
    </w:p>
    <w:p w14:paraId="5333AD73" w14:textId="77777777" w:rsidR="0094580D" w:rsidRPr="000F2247" w:rsidRDefault="0094580D" w:rsidP="0094580D">
      <w:pPr>
        <w:rPr>
          <w:rFonts w:ascii="Arial" w:hAnsi="Arial"/>
          <w:b/>
          <w:bCs/>
          <w:sz w:val="26"/>
          <w:szCs w:val="26"/>
          <w:rtl/>
        </w:rPr>
      </w:pPr>
    </w:p>
    <w:p w14:paraId="0091FA9C" w14:textId="77777777" w:rsidR="0094580D" w:rsidRPr="000F2247" w:rsidRDefault="00AF7947" w:rsidP="0094580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ה' תמוז תשפ"ד, 11 יולי 2024, בנוכחות הצדדים. </w:t>
      </w:r>
      <w:bookmarkEnd w:id="8"/>
      <w:r w:rsidR="0094580D">
        <w:rPr>
          <w:rFonts w:ascii="Arial" w:hAnsi="Arial"/>
          <w:b/>
          <w:bCs/>
          <w:sz w:val="26"/>
          <w:szCs w:val="26"/>
          <w:rtl/>
        </w:rPr>
        <w:tab/>
      </w:r>
      <w:r w:rsidR="0094580D">
        <w:rPr>
          <w:rFonts w:ascii="Arial" w:hAnsi="Arial"/>
          <w:b/>
          <w:bCs/>
          <w:sz w:val="26"/>
          <w:szCs w:val="26"/>
          <w:rtl/>
        </w:rPr>
        <w:tab/>
      </w:r>
      <w:r w:rsidR="0094580D">
        <w:rPr>
          <w:rFonts w:ascii="Arial" w:hAnsi="Arial"/>
          <w:b/>
          <w:bCs/>
          <w:sz w:val="26"/>
          <w:szCs w:val="26"/>
          <w:rtl/>
        </w:rPr>
        <w:tab/>
      </w:r>
      <w:r w:rsidR="0094580D">
        <w:rPr>
          <w:rFonts w:ascii="Arial" w:hAnsi="Arial"/>
          <w:b/>
          <w:bCs/>
          <w:sz w:val="26"/>
          <w:szCs w:val="26"/>
          <w:rtl/>
        </w:rPr>
        <w:tab/>
      </w:r>
      <w:r w:rsidR="0094580D">
        <w:rPr>
          <w:rFonts w:ascii="Arial" w:hAnsi="Arial"/>
          <w:b/>
          <w:bCs/>
          <w:sz w:val="26"/>
          <w:szCs w:val="26"/>
          <w:rtl/>
        </w:rPr>
        <w:tab/>
      </w:r>
      <w:r w:rsidR="0094580D">
        <w:rPr>
          <w:rFonts w:ascii="Arial" w:hAnsi="Arial"/>
          <w:b/>
          <w:bCs/>
          <w:sz w:val="26"/>
          <w:szCs w:val="26"/>
          <w:rtl/>
        </w:rPr>
        <w:tab/>
      </w:r>
      <w:r w:rsidR="0094580D">
        <w:rPr>
          <w:rFonts w:ascii="Arial" w:hAnsi="Arial"/>
          <w:b/>
          <w:bCs/>
          <w:sz w:val="26"/>
          <w:szCs w:val="26"/>
          <w:rtl/>
        </w:rPr>
        <w:tab/>
      </w:r>
      <w:r w:rsidR="0094580D">
        <w:rPr>
          <w:rFonts w:ascii="Arial" w:hAnsi="Arial" w:hint="cs"/>
          <w:b/>
          <w:bCs/>
          <w:sz w:val="26"/>
          <w:szCs w:val="26"/>
          <w:rtl/>
        </w:rPr>
        <w:t xml:space="preserve">         </w:t>
      </w:r>
    </w:p>
    <w:p w14:paraId="7B47E060" w14:textId="77777777" w:rsidR="0094580D" w:rsidRPr="000F2247" w:rsidRDefault="0094580D" w:rsidP="00AF794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F77BB70" w14:textId="77777777" w:rsidR="0094580D" w:rsidRPr="000F2247" w:rsidRDefault="0094580D" w:rsidP="0094580D">
      <w:pPr>
        <w:jc w:val="center"/>
        <w:rPr>
          <w:rFonts w:ascii="Arial" w:hAnsi="Arial"/>
          <w:b/>
          <w:bCs/>
          <w:sz w:val="26"/>
          <w:szCs w:val="26"/>
          <w:rtl/>
        </w:rPr>
      </w:pPr>
    </w:p>
    <w:p w14:paraId="7F5E80BD" w14:textId="77777777" w:rsidR="00D46151" w:rsidRPr="00AF7947" w:rsidRDefault="00D46151" w:rsidP="00AF7947">
      <w:pPr>
        <w:keepNext/>
        <w:rPr>
          <w:rFonts w:ascii="David" w:hAnsi="David"/>
          <w:color w:val="000000"/>
          <w:sz w:val="22"/>
          <w:szCs w:val="22"/>
          <w:rtl/>
        </w:rPr>
      </w:pPr>
    </w:p>
    <w:p w14:paraId="677DD6AF" w14:textId="77777777" w:rsidR="00AF7947" w:rsidRPr="00AF7947" w:rsidRDefault="00AF7947" w:rsidP="00AF7947">
      <w:pPr>
        <w:keepNext/>
        <w:rPr>
          <w:rFonts w:ascii="David" w:hAnsi="David"/>
          <w:color w:val="000000"/>
          <w:sz w:val="22"/>
          <w:szCs w:val="22"/>
          <w:rtl/>
        </w:rPr>
      </w:pPr>
      <w:r w:rsidRPr="00AF7947">
        <w:rPr>
          <w:rFonts w:ascii="David" w:hAnsi="David"/>
          <w:color w:val="000000"/>
          <w:sz w:val="22"/>
          <w:szCs w:val="22"/>
          <w:rtl/>
        </w:rPr>
        <w:t>נתנאל בנישו 54678313</w:t>
      </w:r>
    </w:p>
    <w:p w14:paraId="61A1D382" w14:textId="77777777" w:rsidR="00AF7947" w:rsidRDefault="00AF7947" w:rsidP="00AF7947">
      <w:r w:rsidRPr="00AF7947">
        <w:rPr>
          <w:color w:val="000000"/>
          <w:rtl/>
        </w:rPr>
        <w:t>נוסח מסמך זה כפוף לשינויי ניסוח ועריכה</w:t>
      </w:r>
    </w:p>
    <w:p w14:paraId="183C1D90" w14:textId="77777777" w:rsidR="00AF7947" w:rsidRDefault="00AF7947" w:rsidP="00AF7947">
      <w:pPr>
        <w:rPr>
          <w:rtl/>
        </w:rPr>
      </w:pPr>
    </w:p>
    <w:p w14:paraId="5546D00A" w14:textId="77777777" w:rsidR="00AF7947" w:rsidRDefault="00AF7947" w:rsidP="00AF7947">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18A7E85A" w14:textId="77777777" w:rsidR="00AF7947" w:rsidRPr="00AF7947" w:rsidRDefault="00AF7947" w:rsidP="00AF7947">
      <w:pPr>
        <w:jc w:val="center"/>
        <w:rPr>
          <w:color w:val="0000FF"/>
          <w:u w:val="single"/>
        </w:rPr>
      </w:pPr>
    </w:p>
    <w:sectPr w:rsidR="00AF7947" w:rsidRPr="00AF7947" w:rsidSect="00AF7947">
      <w:headerReference w:type="even" r:id="rId47"/>
      <w:headerReference w:type="default" r:id="rId48"/>
      <w:footerReference w:type="even" r:id="rId49"/>
      <w:footerReference w:type="default" r:id="rId50"/>
      <w:pgSz w:w="11907" w:h="16840" w:code="9"/>
      <w:pgMar w:top="1701" w:right="1701" w:bottom="709"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98327" w14:textId="77777777" w:rsidR="00AB04A3" w:rsidRDefault="00AB04A3" w:rsidP="00265766">
      <w:r>
        <w:separator/>
      </w:r>
    </w:p>
  </w:endnote>
  <w:endnote w:type="continuationSeparator" w:id="0">
    <w:p w14:paraId="120EC05F" w14:textId="77777777" w:rsidR="00AB04A3" w:rsidRDefault="00AB04A3" w:rsidP="00265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FFF9D" w14:textId="77777777" w:rsidR="00AF7947" w:rsidRDefault="00AF7947" w:rsidP="00AF794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9DCC46" w14:textId="77777777" w:rsidR="00A80E0B" w:rsidRPr="00AF7947" w:rsidRDefault="00AF7947" w:rsidP="00AF794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B23F4" w14:textId="77777777" w:rsidR="00AF7947" w:rsidRDefault="00AF7947" w:rsidP="00AF794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17FD">
      <w:rPr>
        <w:rFonts w:ascii="FrankRuehl" w:hAnsi="FrankRuehl" w:cs="FrankRuehl"/>
        <w:noProof/>
        <w:rtl/>
      </w:rPr>
      <w:t>1</w:t>
    </w:r>
    <w:r>
      <w:rPr>
        <w:rFonts w:ascii="FrankRuehl" w:hAnsi="FrankRuehl" w:cs="FrankRuehl"/>
        <w:rtl/>
      </w:rPr>
      <w:fldChar w:fldCharType="end"/>
    </w:r>
  </w:p>
  <w:p w14:paraId="632F30B0" w14:textId="77777777" w:rsidR="00A80E0B" w:rsidRPr="00AF7947" w:rsidRDefault="00AF7947" w:rsidP="00AF794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22594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FFD85" w14:textId="77777777" w:rsidR="00AB04A3" w:rsidRDefault="00AB04A3" w:rsidP="00265766">
      <w:r>
        <w:separator/>
      </w:r>
    </w:p>
  </w:footnote>
  <w:footnote w:type="continuationSeparator" w:id="0">
    <w:p w14:paraId="3092BAB1" w14:textId="77777777" w:rsidR="00AB04A3" w:rsidRDefault="00AB04A3" w:rsidP="00265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CAF6" w14:textId="77777777" w:rsidR="00AF7947" w:rsidRPr="00AF7947" w:rsidRDefault="00AF7947" w:rsidP="00AF794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6968-01-24</w:t>
    </w:r>
    <w:r>
      <w:rPr>
        <w:rFonts w:ascii="David" w:hAnsi="David"/>
        <w:color w:val="000000"/>
        <w:sz w:val="22"/>
        <w:szCs w:val="22"/>
        <w:rtl/>
      </w:rPr>
      <w:tab/>
      <w:t xml:space="preserve"> מדינת ישראל נ' אחמד אבו עיאש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C1939" w14:textId="77777777" w:rsidR="00AF7947" w:rsidRPr="00AF7947" w:rsidRDefault="00AF7947" w:rsidP="00AF794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6968-01-24</w:t>
    </w:r>
    <w:r>
      <w:rPr>
        <w:rFonts w:ascii="David" w:hAnsi="David"/>
        <w:color w:val="000000"/>
        <w:sz w:val="22"/>
        <w:szCs w:val="22"/>
        <w:rtl/>
      </w:rPr>
      <w:tab/>
      <w:t xml:space="preserve"> מדינת ישראל נ' אחמד אבו עיאש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A6FF5"/>
    <w:multiLevelType w:val="hybridMultilevel"/>
    <w:tmpl w:val="27E87BE4"/>
    <w:lvl w:ilvl="0" w:tplc="30D4A5E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764267A"/>
    <w:multiLevelType w:val="hybridMultilevel"/>
    <w:tmpl w:val="77020196"/>
    <w:lvl w:ilvl="0" w:tplc="73D2DE8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4105416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27132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580D"/>
    <w:rsid w:val="00265766"/>
    <w:rsid w:val="0031330D"/>
    <w:rsid w:val="006217FD"/>
    <w:rsid w:val="00911966"/>
    <w:rsid w:val="0094580D"/>
    <w:rsid w:val="009A4E4C"/>
    <w:rsid w:val="00A80E0B"/>
    <w:rsid w:val="00AB04A3"/>
    <w:rsid w:val="00AF7947"/>
    <w:rsid w:val="00D46151"/>
    <w:rsid w:val="00DD2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4555E2"/>
  <w15:chartTrackingRefBased/>
  <w15:docId w15:val="{298CCBEB-A4F6-4B3A-B8E2-44936B97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580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580D"/>
    <w:pPr>
      <w:tabs>
        <w:tab w:val="center" w:pos="4153"/>
        <w:tab w:val="right" w:pos="8306"/>
      </w:tabs>
    </w:pPr>
  </w:style>
  <w:style w:type="character" w:customStyle="1" w:styleId="a4">
    <w:name w:val="כותרת עליונה תו"/>
    <w:link w:val="a3"/>
    <w:rsid w:val="0094580D"/>
    <w:rPr>
      <w:rFonts w:ascii="Times New Roman" w:eastAsia="Times New Roman" w:hAnsi="Times New Roman" w:cs="David"/>
      <w:sz w:val="24"/>
      <w:szCs w:val="24"/>
    </w:rPr>
  </w:style>
  <w:style w:type="paragraph" w:styleId="a5">
    <w:name w:val="footer"/>
    <w:basedOn w:val="a"/>
    <w:link w:val="a6"/>
    <w:rsid w:val="0094580D"/>
    <w:pPr>
      <w:tabs>
        <w:tab w:val="center" w:pos="4153"/>
        <w:tab w:val="right" w:pos="8306"/>
      </w:tabs>
    </w:pPr>
  </w:style>
  <w:style w:type="character" w:customStyle="1" w:styleId="a6">
    <w:name w:val="כותרת תחתונה תו"/>
    <w:link w:val="a5"/>
    <w:rsid w:val="0094580D"/>
    <w:rPr>
      <w:rFonts w:ascii="Times New Roman" w:eastAsia="Times New Roman" w:hAnsi="Times New Roman" w:cs="David"/>
      <w:sz w:val="24"/>
      <w:szCs w:val="24"/>
    </w:rPr>
  </w:style>
  <w:style w:type="table" w:styleId="a7">
    <w:name w:val="Table Grid"/>
    <w:basedOn w:val="a1"/>
    <w:rsid w:val="0094580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4580D"/>
  </w:style>
  <w:style w:type="paragraph" w:styleId="a9">
    <w:name w:val="List Paragraph"/>
    <w:basedOn w:val="a"/>
    <w:qFormat/>
    <w:rsid w:val="0094580D"/>
    <w:pPr>
      <w:ind w:left="720"/>
      <w:contextualSpacing/>
    </w:pPr>
  </w:style>
  <w:style w:type="paragraph" w:customStyle="1" w:styleId="ruller5">
    <w:name w:val="ruller5"/>
    <w:basedOn w:val="a"/>
    <w:rsid w:val="0094580D"/>
    <w:pPr>
      <w:bidi w:val="0"/>
      <w:spacing w:before="100" w:beforeAutospacing="1" w:after="100" w:afterAutospacing="1"/>
    </w:pPr>
    <w:rPr>
      <w:rFonts w:cs="Times New Roman"/>
    </w:rPr>
  </w:style>
  <w:style w:type="paragraph" w:customStyle="1" w:styleId="ruller4">
    <w:name w:val="ruller4"/>
    <w:basedOn w:val="a"/>
    <w:rsid w:val="0094580D"/>
    <w:pPr>
      <w:bidi w:val="0"/>
      <w:spacing w:before="100" w:beforeAutospacing="1" w:after="100" w:afterAutospacing="1"/>
    </w:pPr>
    <w:rPr>
      <w:rFonts w:cs="Times New Roman"/>
    </w:rPr>
  </w:style>
  <w:style w:type="character" w:styleId="Hyperlink">
    <w:name w:val="Hyperlink"/>
    <w:rsid w:val="009458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5227/43" TargetMode="External"/><Relationship Id="rId26" Type="http://schemas.openxmlformats.org/officeDocument/2006/relationships/hyperlink" Target="http://www.nevo.co.il/case/28243273" TargetMode="External"/><Relationship Id="rId39" Type="http://schemas.openxmlformats.org/officeDocument/2006/relationships/hyperlink" Target="http://www.nevo.co.il/case/26888657"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8229995" TargetMode="External"/><Relationship Id="rId42" Type="http://schemas.openxmlformats.org/officeDocument/2006/relationships/hyperlink" Target="http://www.nevo.co.il/law/70301/144.a"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8883087"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28513828" TargetMode="External"/><Relationship Id="rId32" Type="http://schemas.openxmlformats.org/officeDocument/2006/relationships/hyperlink" Target="http://www.nevo.co.il/case/27499246" TargetMode="External"/><Relationship Id="rId37" Type="http://schemas.openxmlformats.org/officeDocument/2006/relationships/hyperlink" Target="http://www.nevo.co.il/law/70301/144.g" TargetMode="External"/><Relationship Id="rId40" Type="http://schemas.openxmlformats.org/officeDocument/2006/relationships/hyperlink" Target="http://www.nevo.co.il/law/5227/43" TargetMode="External"/><Relationship Id="rId45" Type="http://schemas.openxmlformats.org/officeDocument/2006/relationships/hyperlink" Target="http://www.eca.gov.il" TargetMode="Externa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17065136" TargetMode="External"/><Relationship Id="rId28" Type="http://schemas.openxmlformats.org/officeDocument/2006/relationships/hyperlink" Target="http://www.nevo.co.il/case/28113030" TargetMode="External"/><Relationship Id="rId36" Type="http://schemas.openxmlformats.org/officeDocument/2006/relationships/hyperlink" Target="http://www.nevo.co.il/law/70301" TargetMode="External"/><Relationship Id="rId49"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law/5227" TargetMode="External"/><Relationship Id="rId31" Type="http://schemas.openxmlformats.org/officeDocument/2006/relationships/hyperlink" Target="http://www.nevo.co.il/case/21474168" TargetMode="External"/><Relationship Id="rId44" Type="http://schemas.openxmlformats.org/officeDocument/2006/relationships/hyperlink" Target="http://www.nevo.co.il/law/7030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5227/43" TargetMode="External"/><Relationship Id="rId22" Type="http://schemas.openxmlformats.org/officeDocument/2006/relationships/hyperlink" Target="http://www.nevo.co.il/case/30168342" TargetMode="External"/><Relationship Id="rId27" Type="http://schemas.openxmlformats.org/officeDocument/2006/relationships/hyperlink" Target="http://www.nevo.co.il/case/28384637" TargetMode="External"/><Relationship Id="rId30" Type="http://schemas.openxmlformats.org/officeDocument/2006/relationships/hyperlink" Target="http://www.nevo.co.il/case/28697227" TargetMode="External"/><Relationship Id="rId35" Type="http://schemas.openxmlformats.org/officeDocument/2006/relationships/hyperlink" Target="http://www.nevo.co.il/case/28883087" TargetMode="External"/><Relationship Id="rId43" Type="http://schemas.openxmlformats.org/officeDocument/2006/relationships/hyperlink" Target="http://www.nevo.co.il/law/70301/144.b2" TargetMode="External"/><Relationship Id="rId48" Type="http://schemas.openxmlformats.org/officeDocument/2006/relationships/header" Target="header2.xml"/><Relationship Id="rId8" Type="http://schemas.openxmlformats.org/officeDocument/2006/relationships/hyperlink" Target="http://www.nevo.co.il/law/70301/144"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5824863" TargetMode="External"/><Relationship Id="rId33" Type="http://schemas.openxmlformats.org/officeDocument/2006/relationships/hyperlink" Target="http://www.nevo.co.il/case/27911655" TargetMode="External"/><Relationship Id="rId38" Type="http://schemas.openxmlformats.org/officeDocument/2006/relationships/hyperlink" Target="http://www.nevo.co.il/case/20817891"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144" TargetMode="External"/><Relationship Id="rId41" Type="http://schemas.openxmlformats.org/officeDocument/2006/relationships/hyperlink" Target="http://www.nevo.co.il/law/522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2667</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15976</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7864368</vt:i4>
      </vt:variant>
      <vt:variant>
        <vt:i4>114</vt:i4>
      </vt:variant>
      <vt:variant>
        <vt:i4>0</vt:i4>
      </vt:variant>
      <vt:variant>
        <vt:i4>5</vt:i4>
      </vt:variant>
      <vt:variant>
        <vt:lpwstr>http://www.eca.gov.il/</vt:lpwstr>
      </vt:variant>
      <vt:variant>
        <vt:lpwstr/>
      </vt:variant>
      <vt:variant>
        <vt:i4>7995492</vt:i4>
      </vt:variant>
      <vt:variant>
        <vt:i4>111</vt:i4>
      </vt:variant>
      <vt:variant>
        <vt:i4>0</vt:i4>
      </vt:variant>
      <vt:variant>
        <vt:i4>5</vt:i4>
      </vt:variant>
      <vt:variant>
        <vt:lpwstr>http://www.nevo.co.il/law/70301</vt:lpwstr>
      </vt:variant>
      <vt:variant>
        <vt:lpwstr/>
      </vt:variant>
      <vt:variant>
        <vt:i4>8192050</vt:i4>
      </vt:variant>
      <vt:variant>
        <vt:i4>108</vt:i4>
      </vt:variant>
      <vt:variant>
        <vt:i4>0</vt:i4>
      </vt:variant>
      <vt:variant>
        <vt:i4>5</vt:i4>
      </vt:variant>
      <vt:variant>
        <vt:lpwstr>http://www.nevo.co.il/law/70301/144.b2</vt:lpwstr>
      </vt:variant>
      <vt:variant>
        <vt:lpwstr/>
      </vt:variant>
      <vt:variant>
        <vt:i4>5177424</vt:i4>
      </vt:variant>
      <vt:variant>
        <vt:i4>105</vt:i4>
      </vt:variant>
      <vt:variant>
        <vt:i4>0</vt:i4>
      </vt:variant>
      <vt:variant>
        <vt:i4>5</vt:i4>
      </vt:variant>
      <vt:variant>
        <vt:lpwstr>http://www.nevo.co.il/law/70301/144.a</vt:lpwstr>
      </vt:variant>
      <vt:variant>
        <vt:lpwstr/>
      </vt:variant>
      <vt:variant>
        <vt:i4>8323175</vt:i4>
      </vt:variant>
      <vt:variant>
        <vt:i4>102</vt:i4>
      </vt:variant>
      <vt:variant>
        <vt:i4>0</vt:i4>
      </vt:variant>
      <vt:variant>
        <vt:i4>5</vt:i4>
      </vt:variant>
      <vt:variant>
        <vt:lpwstr>http://www.nevo.co.il/law/5227</vt:lpwstr>
      </vt:variant>
      <vt:variant>
        <vt:lpwstr/>
      </vt:variant>
      <vt:variant>
        <vt:i4>4915272</vt:i4>
      </vt:variant>
      <vt:variant>
        <vt:i4>99</vt:i4>
      </vt:variant>
      <vt:variant>
        <vt:i4>0</vt:i4>
      </vt:variant>
      <vt:variant>
        <vt:i4>5</vt:i4>
      </vt:variant>
      <vt:variant>
        <vt:lpwstr>http://www.nevo.co.il/law/5227/43</vt:lpwstr>
      </vt:variant>
      <vt:variant>
        <vt:lpwstr/>
      </vt:variant>
      <vt:variant>
        <vt:i4>3604604</vt:i4>
      </vt:variant>
      <vt:variant>
        <vt:i4>96</vt:i4>
      </vt:variant>
      <vt:variant>
        <vt:i4>0</vt:i4>
      </vt:variant>
      <vt:variant>
        <vt:i4>5</vt:i4>
      </vt:variant>
      <vt:variant>
        <vt:lpwstr>http://www.nevo.co.il/case/26888657</vt:lpwstr>
      </vt:variant>
      <vt:variant>
        <vt:lpwstr/>
      </vt:variant>
      <vt:variant>
        <vt:i4>3407997</vt:i4>
      </vt:variant>
      <vt:variant>
        <vt:i4>93</vt:i4>
      </vt:variant>
      <vt:variant>
        <vt:i4>0</vt:i4>
      </vt:variant>
      <vt:variant>
        <vt:i4>5</vt:i4>
      </vt:variant>
      <vt:variant>
        <vt:lpwstr>http://www.nevo.co.il/case/20817891</vt:lpwstr>
      </vt:variant>
      <vt:variant>
        <vt:lpwstr/>
      </vt:variant>
      <vt:variant>
        <vt:i4>5177424</vt:i4>
      </vt:variant>
      <vt:variant>
        <vt:i4>90</vt:i4>
      </vt:variant>
      <vt:variant>
        <vt:i4>0</vt:i4>
      </vt:variant>
      <vt:variant>
        <vt:i4>5</vt:i4>
      </vt:variant>
      <vt:variant>
        <vt:lpwstr>http://www.nevo.co.il/law/70301/144.g</vt:lpwstr>
      </vt:variant>
      <vt:variant>
        <vt:lpwstr/>
      </vt:variant>
      <vt:variant>
        <vt:i4>7995492</vt:i4>
      </vt:variant>
      <vt:variant>
        <vt:i4>87</vt:i4>
      </vt:variant>
      <vt:variant>
        <vt:i4>0</vt:i4>
      </vt:variant>
      <vt:variant>
        <vt:i4>5</vt:i4>
      </vt:variant>
      <vt:variant>
        <vt:lpwstr>http://www.nevo.co.il/law/70301</vt:lpwstr>
      </vt:variant>
      <vt:variant>
        <vt:lpwstr/>
      </vt:variant>
      <vt:variant>
        <vt:i4>3211380</vt:i4>
      </vt:variant>
      <vt:variant>
        <vt:i4>84</vt:i4>
      </vt:variant>
      <vt:variant>
        <vt:i4>0</vt:i4>
      </vt:variant>
      <vt:variant>
        <vt:i4>5</vt:i4>
      </vt:variant>
      <vt:variant>
        <vt:lpwstr>http://www.nevo.co.il/case/28883087</vt:lpwstr>
      </vt:variant>
      <vt:variant>
        <vt:lpwstr/>
      </vt:variant>
      <vt:variant>
        <vt:i4>3145847</vt:i4>
      </vt:variant>
      <vt:variant>
        <vt:i4>81</vt:i4>
      </vt:variant>
      <vt:variant>
        <vt:i4>0</vt:i4>
      </vt:variant>
      <vt:variant>
        <vt:i4>5</vt:i4>
      </vt:variant>
      <vt:variant>
        <vt:lpwstr>http://www.nevo.co.il/case/28229995</vt:lpwstr>
      </vt:variant>
      <vt:variant>
        <vt:lpwstr/>
      </vt:variant>
      <vt:variant>
        <vt:i4>4128884</vt:i4>
      </vt:variant>
      <vt:variant>
        <vt:i4>78</vt:i4>
      </vt:variant>
      <vt:variant>
        <vt:i4>0</vt:i4>
      </vt:variant>
      <vt:variant>
        <vt:i4>5</vt:i4>
      </vt:variant>
      <vt:variant>
        <vt:lpwstr>http://www.nevo.co.il/case/27911655</vt:lpwstr>
      </vt:variant>
      <vt:variant>
        <vt:lpwstr/>
      </vt:variant>
      <vt:variant>
        <vt:i4>3866744</vt:i4>
      </vt:variant>
      <vt:variant>
        <vt:i4>75</vt:i4>
      </vt:variant>
      <vt:variant>
        <vt:i4>0</vt:i4>
      </vt:variant>
      <vt:variant>
        <vt:i4>5</vt:i4>
      </vt:variant>
      <vt:variant>
        <vt:lpwstr>http://www.nevo.co.il/case/27499246</vt:lpwstr>
      </vt:variant>
      <vt:variant>
        <vt:lpwstr/>
      </vt:variant>
      <vt:variant>
        <vt:i4>3407987</vt:i4>
      </vt:variant>
      <vt:variant>
        <vt:i4>72</vt:i4>
      </vt:variant>
      <vt:variant>
        <vt:i4>0</vt:i4>
      </vt:variant>
      <vt:variant>
        <vt:i4>5</vt:i4>
      </vt:variant>
      <vt:variant>
        <vt:lpwstr>http://www.nevo.co.il/case/21474168</vt:lpwstr>
      </vt:variant>
      <vt:variant>
        <vt:lpwstr/>
      </vt:variant>
      <vt:variant>
        <vt:i4>3211383</vt:i4>
      </vt:variant>
      <vt:variant>
        <vt:i4>69</vt:i4>
      </vt:variant>
      <vt:variant>
        <vt:i4>0</vt:i4>
      </vt:variant>
      <vt:variant>
        <vt:i4>5</vt:i4>
      </vt:variant>
      <vt:variant>
        <vt:lpwstr>http://www.nevo.co.il/case/28697227</vt:lpwstr>
      </vt:variant>
      <vt:variant>
        <vt:lpwstr/>
      </vt:variant>
      <vt:variant>
        <vt:i4>3211380</vt:i4>
      </vt:variant>
      <vt:variant>
        <vt:i4>66</vt:i4>
      </vt:variant>
      <vt:variant>
        <vt:i4>0</vt:i4>
      </vt:variant>
      <vt:variant>
        <vt:i4>5</vt:i4>
      </vt:variant>
      <vt:variant>
        <vt:lpwstr>http://www.nevo.co.il/case/28883087</vt:lpwstr>
      </vt:variant>
      <vt:variant>
        <vt:lpwstr/>
      </vt:variant>
      <vt:variant>
        <vt:i4>3342461</vt:i4>
      </vt:variant>
      <vt:variant>
        <vt:i4>63</vt:i4>
      </vt:variant>
      <vt:variant>
        <vt:i4>0</vt:i4>
      </vt:variant>
      <vt:variant>
        <vt:i4>5</vt:i4>
      </vt:variant>
      <vt:variant>
        <vt:lpwstr>http://www.nevo.co.il/case/28113030</vt:lpwstr>
      </vt:variant>
      <vt:variant>
        <vt:lpwstr/>
      </vt:variant>
      <vt:variant>
        <vt:i4>3539058</vt:i4>
      </vt:variant>
      <vt:variant>
        <vt:i4>60</vt:i4>
      </vt:variant>
      <vt:variant>
        <vt:i4>0</vt:i4>
      </vt:variant>
      <vt:variant>
        <vt:i4>5</vt:i4>
      </vt:variant>
      <vt:variant>
        <vt:lpwstr>http://www.nevo.co.il/case/28384637</vt:lpwstr>
      </vt:variant>
      <vt:variant>
        <vt:lpwstr/>
      </vt:variant>
      <vt:variant>
        <vt:i4>3407994</vt:i4>
      </vt:variant>
      <vt:variant>
        <vt:i4>57</vt:i4>
      </vt:variant>
      <vt:variant>
        <vt:i4>0</vt:i4>
      </vt:variant>
      <vt:variant>
        <vt:i4>5</vt:i4>
      </vt:variant>
      <vt:variant>
        <vt:lpwstr>http://www.nevo.co.il/case/28243273</vt:lpwstr>
      </vt:variant>
      <vt:variant>
        <vt:lpwstr/>
      </vt:variant>
      <vt:variant>
        <vt:i4>3670139</vt:i4>
      </vt:variant>
      <vt:variant>
        <vt:i4>54</vt:i4>
      </vt:variant>
      <vt:variant>
        <vt:i4>0</vt:i4>
      </vt:variant>
      <vt:variant>
        <vt:i4>5</vt:i4>
      </vt:variant>
      <vt:variant>
        <vt:lpwstr>http://www.nevo.co.il/case/25824863</vt:lpwstr>
      </vt:variant>
      <vt:variant>
        <vt:lpwstr/>
      </vt:variant>
      <vt:variant>
        <vt:i4>3539061</vt:i4>
      </vt:variant>
      <vt:variant>
        <vt:i4>51</vt:i4>
      </vt:variant>
      <vt:variant>
        <vt:i4>0</vt:i4>
      </vt:variant>
      <vt:variant>
        <vt:i4>5</vt:i4>
      </vt:variant>
      <vt:variant>
        <vt:lpwstr>http://www.nevo.co.il/case/28513828</vt:lpwstr>
      </vt:variant>
      <vt:variant>
        <vt:lpwstr/>
      </vt:variant>
      <vt:variant>
        <vt:i4>3604596</vt:i4>
      </vt:variant>
      <vt:variant>
        <vt:i4>48</vt:i4>
      </vt:variant>
      <vt:variant>
        <vt:i4>0</vt:i4>
      </vt:variant>
      <vt:variant>
        <vt:i4>5</vt:i4>
      </vt:variant>
      <vt:variant>
        <vt:lpwstr>http://www.nevo.co.il/case/17065136</vt:lpwstr>
      </vt:variant>
      <vt:variant>
        <vt:lpwstr/>
      </vt:variant>
      <vt:variant>
        <vt:i4>4063345</vt:i4>
      </vt:variant>
      <vt:variant>
        <vt:i4>45</vt:i4>
      </vt:variant>
      <vt:variant>
        <vt:i4>0</vt:i4>
      </vt:variant>
      <vt:variant>
        <vt:i4>5</vt:i4>
      </vt:variant>
      <vt:variant>
        <vt:lpwstr>http://www.nevo.co.il/case/30168342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6357092</vt:i4>
      </vt:variant>
      <vt:variant>
        <vt:i4>39</vt:i4>
      </vt:variant>
      <vt:variant>
        <vt:i4>0</vt:i4>
      </vt:variant>
      <vt:variant>
        <vt:i4>5</vt:i4>
      </vt:variant>
      <vt:variant>
        <vt:lpwstr>http://www.nevo.co.il/law/70301/144</vt:lpwstr>
      </vt:variant>
      <vt:variant>
        <vt:lpwstr/>
      </vt:variant>
      <vt:variant>
        <vt:i4>8323175</vt:i4>
      </vt:variant>
      <vt:variant>
        <vt:i4>36</vt:i4>
      </vt:variant>
      <vt:variant>
        <vt:i4>0</vt:i4>
      </vt:variant>
      <vt:variant>
        <vt:i4>5</vt:i4>
      </vt:variant>
      <vt:variant>
        <vt:lpwstr>http://www.nevo.co.il/law/5227</vt:lpwstr>
      </vt:variant>
      <vt:variant>
        <vt:lpwstr/>
      </vt:variant>
      <vt:variant>
        <vt:i4>4915272</vt:i4>
      </vt:variant>
      <vt:variant>
        <vt:i4>33</vt:i4>
      </vt:variant>
      <vt:variant>
        <vt:i4>0</vt:i4>
      </vt:variant>
      <vt:variant>
        <vt:i4>5</vt:i4>
      </vt:variant>
      <vt:variant>
        <vt:lpwstr>http://www.nevo.co.il/law/5227/43</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4915272</vt:i4>
      </vt:variant>
      <vt:variant>
        <vt:i4>21</vt:i4>
      </vt:variant>
      <vt:variant>
        <vt:i4>0</vt:i4>
      </vt:variant>
      <vt:variant>
        <vt:i4>5</vt:i4>
      </vt:variant>
      <vt:variant>
        <vt:lpwstr>http://www.nevo.co.il/law/5227/43</vt:lpwstr>
      </vt:variant>
      <vt:variant>
        <vt:lpwstr/>
      </vt:variant>
      <vt:variant>
        <vt:i4>8323175</vt:i4>
      </vt:variant>
      <vt:variant>
        <vt:i4>18</vt:i4>
      </vt:variant>
      <vt:variant>
        <vt:i4>0</vt:i4>
      </vt:variant>
      <vt:variant>
        <vt:i4>5</vt:i4>
      </vt:variant>
      <vt:variant>
        <vt:lpwstr>http://www.nevo.co.il/law/5227</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2025-01-19T17:09:00Z</dcterms:created>
  <dcterms:modified xsi:type="dcterms:W3CDTF">2025-01-19T17:09:00Z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6968</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אחמד אבו עיאש</vt:lpwstr>
  </property>
  <property fmtid="{D5CDD505-2E9C-101B-9397-08002B2CF9AE}" pid="10" name="LAWYER">
    <vt:lpwstr>בדר אלדין אגבאריה</vt:lpwstr>
  </property>
  <property fmtid="{D5CDD505-2E9C-101B-9397-08002B2CF9AE}" pid="11" name="JUDGE">
    <vt:lpwstr>נתנאל בנישו</vt:lpwstr>
  </property>
  <property fmtid="{D5CDD505-2E9C-101B-9397-08002B2CF9AE}" pid="12" name="CITY">
    <vt:lpwstr>חי'</vt:lpwstr>
  </property>
  <property fmtid="{D5CDD505-2E9C-101B-9397-08002B2CF9AE}" pid="13" name="DATE">
    <vt:lpwstr>20240711</vt:lpwstr>
  </property>
  <property fmtid="{D5CDD505-2E9C-101B-9397-08002B2CF9AE}" pid="14" name="TYPE_N_DATE">
    <vt:lpwstr>39020240711</vt:lpwstr>
  </property>
  <property fmtid="{D5CDD505-2E9C-101B-9397-08002B2CF9AE}" pid="15" name="CASESLISTTMP1">
    <vt:lpwstr>30168342;17065136;28513828;25824863;28243273;28384637;28113030;28883087:2;28697227;21474168;27499246;27911655;28229995;20817891;26888657</vt:lpwstr>
  </property>
  <property fmtid="{D5CDD505-2E9C-101B-9397-08002B2CF9AE}" pid="16" name="CASENOTES1">
    <vt:lpwstr>ProcID=235&amp;PartA=30&amp;PartC=42</vt:lpwstr>
  </property>
  <property fmtid="{D5CDD505-2E9C-101B-9397-08002B2CF9AE}" pid="17" name="WORDNUMPAGES">
    <vt:lpwstr>9</vt:lpwstr>
  </property>
  <property fmtid="{D5CDD505-2E9C-101B-9397-08002B2CF9AE}" pid="18" name="TYPE_ABS_DATE">
    <vt:lpwstr>390020240711</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70301/144.b;144;144.g;144.a;144.b2</vt:lpwstr>
  </property>
  <property fmtid="{D5CDD505-2E9C-101B-9397-08002B2CF9AE}" pid="38" name="LAWLISTTMP2">
    <vt:lpwstr>5227/043:2</vt:lpwstr>
  </property>
</Properties>
</file>