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C3955" w:rsidRPr="00FD5C9E" w14:paraId="75A4C4BE" w14:textId="77777777" w:rsidTr="00EB0E13">
        <w:trPr>
          <w:trHeight w:hRule="exact" w:val="418"/>
          <w:jc w:val="center"/>
        </w:trPr>
        <w:tc>
          <w:tcPr>
            <w:tcW w:w="8721" w:type="dxa"/>
            <w:gridSpan w:val="2"/>
          </w:tcPr>
          <w:p w14:paraId="5600BECE" w14:textId="77777777" w:rsidR="00AC3955" w:rsidRPr="00FD5C9E" w:rsidRDefault="00AC3955" w:rsidP="004704B4">
            <w:pPr>
              <w:pStyle w:val="a3"/>
              <w:jc w:val="center"/>
              <w:rPr>
                <w:rFonts w:ascii="Tahoma" w:hAnsi="Tahoma" w:cs="Tahoma"/>
                <w:color w:val="000080"/>
                <w:rtl/>
              </w:rPr>
            </w:pPr>
            <w:bookmarkStart w:id="0" w:name="LastJudge"/>
            <w:r w:rsidRPr="00FD5C9E">
              <w:rPr>
                <w:rFonts w:ascii="Tahoma" w:hAnsi="Tahoma" w:cs="Tahoma"/>
                <w:b/>
                <w:bCs/>
                <w:color w:val="000080"/>
                <w:rtl/>
              </w:rPr>
              <w:t>בית המשפט המחוזי מרכז-לוד</w:t>
            </w:r>
          </w:p>
        </w:tc>
      </w:tr>
      <w:tr w:rsidR="00AC3955" w:rsidRPr="00FD5C9E" w14:paraId="5FD623B7" w14:textId="77777777" w:rsidTr="00EB0E13">
        <w:trPr>
          <w:trHeight w:val="337"/>
          <w:jc w:val="center"/>
        </w:trPr>
        <w:tc>
          <w:tcPr>
            <w:tcW w:w="5057" w:type="dxa"/>
          </w:tcPr>
          <w:p w14:paraId="4D1C9A0B" w14:textId="77777777" w:rsidR="00AC3955" w:rsidRPr="00FD5C9E" w:rsidRDefault="00AC3955" w:rsidP="004704B4">
            <w:pPr>
              <w:rPr>
                <w:rFonts w:cs="FrankRuehl"/>
                <w:sz w:val="28"/>
                <w:szCs w:val="28"/>
                <w:rtl/>
              </w:rPr>
            </w:pPr>
            <w:r w:rsidRPr="00FD5C9E">
              <w:rPr>
                <w:rFonts w:cs="FrankRuehl"/>
                <w:sz w:val="28"/>
                <w:szCs w:val="28"/>
                <w:rtl/>
              </w:rPr>
              <w:t>ת"פ</w:t>
            </w:r>
            <w:r w:rsidRPr="00FD5C9E">
              <w:rPr>
                <w:rFonts w:cs="FrankRuehl" w:hint="cs"/>
                <w:sz w:val="28"/>
                <w:szCs w:val="28"/>
                <w:rtl/>
              </w:rPr>
              <w:t xml:space="preserve"> </w:t>
            </w:r>
            <w:r w:rsidRPr="00FD5C9E">
              <w:rPr>
                <w:rFonts w:cs="FrankRuehl"/>
                <w:sz w:val="28"/>
                <w:szCs w:val="28"/>
                <w:rtl/>
              </w:rPr>
              <w:t>20997-02-24</w:t>
            </w:r>
            <w:r w:rsidRPr="00FD5C9E">
              <w:rPr>
                <w:rFonts w:cs="FrankRuehl" w:hint="cs"/>
                <w:sz w:val="28"/>
                <w:szCs w:val="28"/>
                <w:rtl/>
              </w:rPr>
              <w:t xml:space="preserve"> </w:t>
            </w:r>
            <w:r w:rsidRPr="00FD5C9E">
              <w:rPr>
                <w:rFonts w:cs="FrankRuehl"/>
                <w:sz w:val="28"/>
                <w:szCs w:val="28"/>
                <w:rtl/>
              </w:rPr>
              <w:t>מדינת ישראל נ' אלמחאריק</w:t>
            </w:r>
          </w:p>
          <w:p w14:paraId="5D4E7CEC" w14:textId="77777777" w:rsidR="00AC3955" w:rsidRPr="00FD5C9E" w:rsidRDefault="00AC3955" w:rsidP="004704B4">
            <w:pPr>
              <w:pStyle w:val="a3"/>
              <w:rPr>
                <w:rFonts w:cs="FrankRuehl"/>
                <w:sz w:val="28"/>
                <w:szCs w:val="28"/>
                <w:rtl/>
              </w:rPr>
            </w:pPr>
          </w:p>
        </w:tc>
        <w:tc>
          <w:tcPr>
            <w:tcW w:w="3664" w:type="dxa"/>
          </w:tcPr>
          <w:p w14:paraId="271B5D47" w14:textId="77777777" w:rsidR="00AC3955" w:rsidRPr="00FD5C9E" w:rsidRDefault="00AC3955" w:rsidP="004704B4">
            <w:pPr>
              <w:pStyle w:val="a3"/>
              <w:jc w:val="right"/>
              <w:rPr>
                <w:rFonts w:cs="FrankRuehl"/>
                <w:sz w:val="28"/>
                <w:szCs w:val="28"/>
                <w:rtl/>
              </w:rPr>
            </w:pPr>
          </w:p>
        </w:tc>
      </w:tr>
    </w:tbl>
    <w:p w14:paraId="352502CA" w14:textId="77777777" w:rsidR="00AC3955" w:rsidRPr="00FD5C9E" w:rsidRDefault="00AC3955" w:rsidP="00EB0E13">
      <w:pPr>
        <w:pStyle w:val="a3"/>
        <w:rPr>
          <w:rtl/>
        </w:rPr>
      </w:pPr>
      <w:r w:rsidRPr="00FD5C9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C3955" w:rsidRPr="00FD5C9E" w14:paraId="5F8AA5F5" w14:textId="77777777" w:rsidTr="00AC3955">
        <w:trPr>
          <w:trHeight w:val="295"/>
          <w:jc w:val="center"/>
        </w:trPr>
        <w:tc>
          <w:tcPr>
            <w:tcW w:w="923" w:type="dxa"/>
            <w:tcBorders>
              <w:top w:val="nil"/>
              <w:left w:val="nil"/>
              <w:bottom w:val="nil"/>
              <w:right w:val="nil"/>
            </w:tcBorders>
            <w:shd w:val="clear" w:color="auto" w:fill="auto"/>
          </w:tcPr>
          <w:p w14:paraId="67E8DB05" w14:textId="77777777" w:rsidR="00AC3955" w:rsidRPr="00FD5C9E" w:rsidRDefault="00AC3955" w:rsidP="00AC3955">
            <w:pPr>
              <w:jc w:val="both"/>
              <w:rPr>
                <w:rFonts w:ascii="David" w:hAnsi="David"/>
                <w:sz w:val="26"/>
                <w:szCs w:val="26"/>
              </w:rPr>
            </w:pPr>
            <w:r w:rsidRPr="00FD5C9E">
              <w:rPr>
                <w:rFonts w:ascii="David" w:hAnsi="David" w:hint="cs"/>
                <w:sz w:val="26"/>
                <w:szCs w:val="26"/>
                <w:rtl/>
              </w:rPr>
              <w:t>ל</w:t>
            </w:r>
            <w:r w:rsidRPr="00FD5C9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B272E46" w14:textId="77777777" w:rsidR="00AC3955" w:rsidRPr="00FD5C9E" w:rsidRDefault="00AC3955" w:rsidP="004704B4">
            <w:pPr>
              <w:rPr>
                <w:rFonts w:ascii="David" w:hAnsi="David"/>
                <w:b/>
                <w:bCs/>
                <w:sz w:val="26"/>
                <w:szCs w:val="26"/>
                <w:rtl/>
              </w:rPr>
            </w:pPr>
            <w:r w:rsidRPr="00FD5C9E">
              <w:rPr>
                <w:rFonts w:ascii="David" w:hAnsi="David"/>
                <w:b/>
                <w:bCs/>
                <w:sz w:val="26"/>
                <w:szCs w:val="26"/>
                <w:rtl/>
              </w:rPr>
              <w:t>כבוד השופטת  מרב גרינברג</w:t>
            </w:r>
          </w:p>
          <w:p w14:paraId="59271D01" w14:textId="77777777" w:rsidR="00AC3955" w:rsidRPr="00FD5C9E" w:rsidRDefault="00AC3955" w:rsidP="004704B4">
            <w:pPr>
              <w:rPr>
                <w:rFonts w:ascii="David" w:hAnsi="David"/>
                <w:sz w:val="26"/>
                <w:szCs w:val="26"/>
                <w:rtl/>
              </w:rPr>
            </w:pPr>
          </w:p>
          <w:p w14:paraId="4C9086A8" w14:textId="77777777" w:rsidR="00AC3955" w:rsidRPr="00FD5C9E" w:rsidRDefault="00AC3955" w:rsidP="00AC3955">
            <w:pPr>
              <w:jc w:val="both"/>
              <w:rPr>
                <w:rFonts w:ascii="David" w:hAnsi="David"/>
                <w:sz w:val="26"/>
                <w:szCs w:val="26"/>
              </w:rPr>
            </w:pPr>
          </w:p>
        </w:tc>
      </w:tr>
      <w:tr w:rsidR="00AC3955" w:rsidRPr="00FD5C9E" w14:paraId="320D834A" w14:textId="77777777" w:rsidTr="00AC3955">
        <w:trPr>
          <w:trHeight w:val="355"/>
          <w:jc w:val="center"/>
        </w:trPr>
        <w:tc>
          <w:tcPr>
            <w:tcW w:w="923" w:type="dxa"/>
            <w:tcBorders>
              <w:top w:val="nil"/>
              <w:left w:val="nil"/>
              <w:bottom w:val="nil"/>
              <w:right w:val="nil"/>
            </w:tcBorders>
            <w:shd w:val="clear" w:color="auto" w:fill="auto"/>
          </w:tcPr>
          <w:p w14:paraId="650D9A6B" w14:textId="77777777" w:rsidR="00AC3955" w:rsidRPr="00FD5C9E" w:rsidRDefault="00AC3955" w:rsidP="00AC3955">
            <w:pPr>
              <w:jc w:val="both"/>
              <w:rPr>
                <w:rFonts w:ascii="David" w:hAnsi="David"/>
                <w:sz w:val="26"/>
                <w:szCs w:val="26"/>
              </w:rPr>
            </w:pPr>
            <w:bookmarkStart w:id="1" w:name="FirstAppellant"/>
            <w:r w:rsidRPr="00FD5C9E">
              <w:rPr>
                <w:rFonts w:ascii="David" w:hAnsi="David"/>
                <w:sz w:val="26"/>
                <w:szCs w:val="26"/>
                <w:rtl/>
              </w:rPr>
              <w:t>בעניין:</w:t>
            </w:r>
          </w:p>
        </w:tc>
        <w:tc>
          <w:tcPr>
            <w:tcW w:w="3219" w:type="dxa"/>
            <w:tcBorders>
              <w:top w:val="nil"/>
              <w:left w:val="nil"/>
              <w:bottom w:val="nil"/>
              <w:right w:val="nil"/>
            </w:tcBorders>
            <w:shd w:val="clear" w:color="auto" w:fill="auto"/>
          </w:tcPr>
          <w:p w14:paraId="55E9E2B8" w14:textId="77777777" w:rsidR="00AC3955" w:rsidRPr="00FD5C9E" w:rsidRDefault="00AC3955" w:rsidP="00AC3955">
            <w:pPr>
              <w:suppressLineNumbers/>
            </w:pPr>
            <w:r w:rsidRPr="00FD5C9E">
              <w:rPr>
                <w:rFonts w:ascii="Arial" w:hAnsi="Arial" w:hint="cs"/>
                <w:b/>
                <w:bCs/>
                <w:sz w:val="26"/>
                <w:szCs w:val="26"/>
                <w:rtl/>
              </w:rPr>
              <w:t>ה</w:t>
            </w:r>
            <w:r w:rsidRPr="00FD5C9E">
              <w:rPr>
                <w:rFonts w:ascii="Arial" w:hAnsi="Arial"/>
                <w:b/>
                <w:bCs/>
                <w:sz w:val="26"/>
                <w:szCs w:val="26"/>
                <w:rtl/>
              </w:rPr>
              <w:t>מאשימה</w:t>
            </w:r>
          </w:p>
          <w:p w14:paraId="08ABA39C" w14:textId="77777777" w:rsidR="00AC3955" w:rsidRPr="00FD5C9E" w:rsidRDefault="00AC3955" w:rsidP="004704B4">
            <w:pPr>
              <w:rPr>
                <w:rFonts w:ascii="David" w:hAnsi="David"/>
                <w:sz w:val="26"/>
                <w:szCs w:val="26"/>
              </w:rPr>
            </w:pPr>
          </w:p>
        </w:tc>
        <w:tc>
          <w:tcPr>
            <w:tcW w:w="4678" w:type="dxa"/>
            <w:tcBorders>
              <w:top w:val="nil"/>
              <w:left w:val="nil"/>
              <w:bottom w:val="nil"/>
              <w:right w:val="nil"/>
            </w:tcBorders>
            <w:shd w:val="clear" w:color="auto" w:fill="auto"/>
            <w:vAlign w:val="center"/>
          </w:tcPr>
          <w:p w14:paraId="3BB04754" w14:textId="77777777" w:rsidR="00AC3955" w:rsidRPr="00FD5C9E" w:rsidRDefault="00AC3955" w:rsidP="00AC3955">
            <w:pPr>
              <w:suppressLineNumbers/>
            </w:pPr>
            <w:r w:rsidRPr="00FD5C9E">
              <w:rPr>
                <w:rFonts w:ascii="Arial" w:hAnsi="Arial"/>
                <w:b/>
                <w:bCs/>
                <w:sz w:val="26"/>
                <w:szCs w:val="26"/>
                <w:rtl/>
              </w:rPr>
              <w:t>מדינת ישראל</w:t>
            </w:r>
          </w:p>
          <w:p w14:paraId="74AD2912" w14:textId="77777777" w:rsidR="00AC3955" w:rsidRPr="00FD5C9E" w:rsidRDefault="00AC3955" w:rsidP="004704B4">
            <w:pPr>
              <w:rPr>
                <w:rFonts w:ascii="David" w:hAnsi="David"/>
                <w:sz w:val="26"/>
                <w:szCs w:val="26"/>
              </w:rPr>
            </w:pPr>
            <w:r w:rsidRPr="00FD5C9E">
              <w:rPr>
                <w:rFonts w:ascii="David" w:hAnsi="David" w:hint="cs"/>
                <w:rtl/>
              </w:rPr>
              <w:t>באמצעות עו"ד יעל תרם, פמ"מ (פלילי)</w:t>
            </w:r>
          </w:p>
        </w:tc>
      </w:tr>
      <w:bookmarkEnd w:id="1"/>
      <w:tr w:rsidR="00AC3955" w:rsidRPr="00FD5C9E" w14:paraId="68BC2D0D" w14:textId="77777777" w:rsidTr="00AC3955">
        <w:trPr>
          <w:trHeight w:val="355"/>
          <w:jc w:val="center"/>
        </w:trPr>
        <w:tc>
          <w:tcPr>
            <w:tcW w:w="923" w:type="dxa"/>
            <w:tcBorders>
              <w:top w:val="nil"/>
              <w:left w:val="nil"/>
              <w:bottom w:val="nil"/>
              <w:right w:val="nil"/>
            </w:tcBorders>
            <w:shd w:val="clear" w:color="auto" w:fill="auto"/>
          </w:tcPr>
          <w:p w14:paraId="4B726927" w14:textId="77777777" w:rsidR="00AC3955" w:rsidRPr="00FD5C9E" w:rsidRDefault="00AC3955" w:rsidP="00AC395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F38CAA4" w14:textId="77777777" w:rsidR="00AC3955" w:rsidRPr="00FD5C9E" w:rsidRDefault="00AC3955" w:rsidP="00AC3955">
            <w:pPr>
              <w:jc w:val="center"/>
              <w:rPr>
                <w:rFonts w:ascii="David" w:hAnsi="David"/>
                <w:b/>
                <w:bCs/>
                <w:sz w:val="26"/>
                <w:szCs w:val="26"/>
                <w:rtl/>
              </w:rPr>
            </w:pPr>
          </w:p>
          <w:p w14:paraId="40C2EEBD" w14:textId="77777777" w:rsidR="00AC3955" w:rsidRPr="00FD5C9E" w:rsidRDefault="00AC3955" w:rsidP="00AC3955">
            <w:pPr>
              <w:jc w:val="center"/>
              <w:rPr>
                <w:rFonts w:ascii="David" w:hAnsi="David"/>
                <w:b/>
                <w:bCs/>
                <w:sz w:val="26"/>
                <w:szCs w:val="26"/>
                <w:rtl/>
              </w:rPr>
            </w:pPr>
            <w:r w:rsidRPr="00FD5C9E">
              <w:rPr>
                <w:rFonts w:ascii="David" w:hAnsi="David"/>
                <w:b/>
                <w:bCs/>
                <w:sz w:val="26"/>
                <w:szCs w:val="26"/>
                <w:rtl/>
              </w:rPr>
              <w:t>נגד</w:t>
            </w:r>
          </w:p>
          <w:p w14:paraId="114D9790" w14:textId="77777777" w:rsidR="00AC3955" w:rsidRPr="00FD5C9E" w:rsidRDefault="00AC3955" w:rsidP="00AC3955">
            <w:pPr>
              <w:jc w:val="both"/>
              <w:rPr>
                <w:rFonts w:ascii="David" w:hAnsi="David"/>
                <w:sz w:val="26"/>
                <w:szCs w:val="26"/>
              </w:rPr>
            </w:pPr>
          </w:p>
        </w:tc>
      </w:tr>
      <w:tr w:rsidR="00AC3955" w:rsidRPr="00FD5C9E" w14:paraId="2B836322" w14:textId="77777777" w:rsidTr="00AC3955">
        <w:trPr>
          <w:trHeight w:val="355"/>
          <w:jc w:val="center"/>
        </w:trPr>
        <w:tc>
          <w:tcPr>
            <w:tcW w:w="923" w:type="dxa"/>
            <w:tcBorders>
              <w:top w:val="nil"/>
              <w:left w:val="nil"/>
              <w:bottom w:val="nil"/>
              <w:right w:val="nil"/>
            </w:tcBorders>
            <w:shd w:val="clear" w:color="auto" w:fill="auto"/>
          </w:tcPr>
          <w:p w14:paraId="16193F57" w14:textId="77777777" w:rsidR="00AC3955" w:rsidRPr="00FD5C9E" w:rsidRDefault="00AC3955" w:rsidP="004704B4">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19FAA7F" w14:textId="77777777" w:rsidR="00AC3955" w:rsidRPr="00FD5C9E" w:rsidRDefault="00AC3955" w:rsidP="004704B4">
            <w:pPr>
              <w:rPr>
                <w:rFonts w:ascii="Arial" w:hAnsi="Arial"/>
                <w:b/>
                <w:bCs/>
                <w:sz w:val="26"/>
                <w:szCs w:val="26"/>
                <w:rtl/>
              </w:rPr>
            </w:pPr>
            <w:r w:rsidRPr="00FD5C9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55CA553" w14:textId="77777777" w:rsidR="00AC3955" w:rsidRPr="00FD5C9E" w:rsidRDefault="00AC3955" w:rsidP="00AC3955">
            <w:pPr>
              <w:suppressLineNumbers/>
              <w:rPr>
                <w:rtl/>
              </w:rPr>
            </w:pPr>
            <w:r w:rsidRPr="00FD5C9E">
              <w:rPr>
                <w:rFonts w:ascii="Arial" w:hAnsi="Arial"/>
                <w:b/>
                <w:bCs/>
                <w:sz w:val="26"/>
                <w:szCs w:val="26"/>
                <w:rtl/>
              </w:rPr>
              <w:t xml:space="preserve">נור אללה אלמחאריק </w:t>
            </w:r>
          </w:p>
          <w:p w14:paraId="0E3F3D2B" w14:textId="77777777" w:rsidR="00AC3955" w:rsidRPr="00FD5C9E" w:rsidRDefault="00AC3955" w:rsidP="00AC3955">
            <w:pPr>
              <w:suppressLineNumbers/>
            </w:pPr>
            <w:r w:rsidRPr="00FD5C9E">
              <w:rPr>
                <w:rFonts w:hint="cs"/>
                <w:rtl/>
              </w:rPr>
              <w:t xml:space="preserve">על ידי ב"כ </w:t>
            </w:r>
            <w:r w:rsidRPr="00FD5C9E">
              <w:rPr>
                <w:rFonts w:ascii="David" w:eastAsia="David" w:hAnsi="David"/>
                <w:rtl/>
              </w:rPr>
              <w:t>עו"ד אורן ששון</w:t>
            </w:r>
          </w:p>
          <w:p w14:paraId="2B1A5032" w14:textId="77777777" w:rsidR="00AC3955" w:rsidRPr="00FD5C9E" w:rsidRDefault="00AC3955" w:rsidP="004704B4">
            <w:pPr>
              <w:rPr>
                <w:rFonts w:ascii="David" w:hAnsi="David"/>
                <w:sz w:val="26"/>
                <w:szCs w:val="26"/>
              </w:rPr>
            </w:pPr>
          </w:p>
        </w:tc>
      </w:tr>
      <w:bookmarkEnd w:id="2"/>
    </w:tbl>
    <w:p w14:paraId="6A7EE870" w14:textId="77777777" w:rsidR="00AC3955" w:rsidRPr="00FD5C9E" w:rsidRDefault="00AC3955" w:rsidP="00AC3955">
      <w:pPr>
        <w:rPr>
          <w:sz w:val="26"/>
          <w:szCs w:val="26"/>
          <w:rtl/>
        </w:rPr>
      </w:pPr>
    </w:p>
    <w:p w14:paraId="21A80FC5" w14:textId="77777777" w:rsidR="00EB0E13" w:rsidRPr="00EB0E13" w:rsidRDefault="00EB0E13" w:rsidP="00EB0E13">
      <w:pPr>
        <w:spacing w:before="120" w:after="120" w:line="240" w:lineRule="exact"/>
        <w:ind w:left="283" w:hanging="283"/>
        <w:jc w:val="both"/>
        <w:rPr>
          <w:rFonts w:ascii="FrankRuehl" w:hAnsi="FrankRuehl" w:cs="FrankRuehl"/>
          <w:rtl/>
        </w:rPr>
      </w:pPr>
      <w:bookmarkStart w:id="3" w:name="LawTable"/>
      <w:bookmarkEnd w:id="3"/>
    </w:p>
    <w:p w14:paraId="4771AE71" w14:textId="77777777" w:rsidR="00EB0E13" w:rsidRPr="00EB0E13" w:rsidRDefault="00EB0E13" w:rsidP="00EB0E13">
      <w:pPr>
        <w:spacing w:before="120" w:after="120" w:line="240" w:lineRule="exact"/>
        <w:ind w:left="283" w:hanging="283"/>
        <w:jc w:val="both"/>
        <w:rPr>
          <w:rFonts w:ascii="FrankRuehl" w:hAnsi="FrankRuehl" w:cs="FrankRuehl"/>
          <w:rtl/>
        </w:rPr>
      </w:pPr>
      <w:r w:rsidRPr="00EB0E13">
        <w:rPr>
          <w:rFonts w:ascii="FrankRuehl" w:hAnsi="FrankRuehl" w:cs="FrankRuehl"/>
          <w:rtl/>
        </w:rPr>
        <w:t xml:space="preserve">חקיקה שאוזכרה: </w:t>
      </w:r>
    </w:p>
    <w:p w14:paraId="6F3DEF87" w14:textId="77777777" w:rsidR="00EB0E13" w:rsidRPr="00EB0E13" w:rsidRDefault="00EB0E13" w:rsidP="00EB0E13">
      <w:pPr>
        <w:spacing w:before="120" w:after="120" w:line="240" w:lineRule="exact"/>
        <w:ind w:left="283" w:hanging="283"/>
        <w:jc w:val="both"/>
        <w:rPr>
          <w:rFonts w:ascii="FrankRuehl" w:hAnsi="FrankRuehl" w:cs="FrankRuehl"/>
          <w:color w:val="0000FF"/>
          <w:rtl/>
        </w:rPr>
      </w:pPr>
      <w:hyperlink r:id="rId7" w:history="1">
        <w:r w:rsidRPr="00EB0E13">
          <w:rPr>
            <w:rStyle w:val="Hyperlink"/>
            <w:rFonts w:ascii="FrankRuehl" w:hAnsi="FrankRuehl" w:cs="FrankRuehl"/>
            <w:u w:val="none"/>
            <w:rtl/>
          </w:rPr>
          <w:t>חוק העונשין, תשל"ז-1977</w:t>
        </w:r>
      </w:hyperlink>
      <w:r w:rsidRPr="00EB0E13">
        <w:rPr>
          <w:rFonts w:ascii="FrankRuehl" w:hAnsi="FrankRuehl" w:cs="FrankRuehl"/>
          <w:color w:val="0000FF"/>
          <w:rtl/>
        </w:rPr>
        <w:t xml:space="preserve">: סע'  </w:t>
      </w:r>
      <w:hyperlink r:id="rId8" w:history="1">
        <w:r w:rsidRPr="00EB0E13">
          <w:rPr>
            <w:rStyle w:val="Hyperlink"/>
            <w:rFonts w:ascii="FrankRuehl" w:hAnsi="FrankRuehl" w:cs="FrankRuehl"/>
            <w:u w:val="none"/>
          </w:rPr>
          <w:t>144</w:t>
        </w:r>
      </w:hyperlink>
      <w:r w:rsidRPr="00EB0E13">
        <w:rPr>
          <w:rFonts w:ascii="FrankRuehl" w:hAnsi="FrankRuehl" w:cs="FrankRuehl"/>
          <w:color w:val="0000FF"/>
          <w:rtl/>
        </w:rPr>
        <w:t>(ב)</w:t>
      </w:r>
    </w:p>
    <w:p w14:paraId="361AFD03" w14:textId="77777777" w:rsidR="00AC3955" w:rsidRPr="00EB0E13" w:rsidRDefault="00AC3955" w:rsidP="00EB0E13">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3955" w14:paraId="31791616" w14:textId="77777777" w:rsidTr="00AC3955">
        <w:trPr>
          <w:trHeight w:val="355"/>
          <w:jc w:val="center"/>
        </w:trPr>
        <w:tc>
          <w:tcPr>
            <w:tcW w:w="8820" w:type="dxa"/>
            <w:tcBorders>
              <w:top w:val="nil"/>
              <w:left w:val="nil"/>
              <w:bottom w:val="nil"/>
              <w:right w:val="nil"/>
            </w:tcBorders>
            <w:shd w:val="clear" w:color="auto" w:fill="auto"/>
          </w:tcPr>
          <w:p w14:paraId="44693661" w14:textId="77777777" w:rsidR="00FD5C9E" w:rsidRPr="00FD5C9E" w:rsidRDefault="00FD5C9E" w:rsidP="00FD5C9E">
            <w:pPr>
              <w:jc w:val="center"/>
              <w:rPr>
                <w:rFonts w:ascii="David" w:hAnsi="David"/>
                <w:b/>
                <w:bCs/>
                <w:sz w:val="32"/>
                <w:szCs w:val="32"/>
                <w:u w:val="single"/>
                <w:rtl/>
              </w:rPr>
            </w:pPr>
            <w:bookmarkStart w:id="5" w:name="PsakDin" w:colFirst="0" w:colLast="0"/>
            <w:bookmarkEnd w:id="0"/>
            <w:r w:rsidRPr="00FD5C9E">
              <w:rPr>
                <w:rFonts w:ascii="David" w:hAnsi="David"/>
                <w:b/>
                <w:bCs/>
                <w:sz w:val="32"/>
                <w:szCs w:val="32"/>
                <w:u w:val="single"/>
                <w:rtl/>
              </w:rPr>
              <w:t>גזר דין</w:t>
            </w:r>
          </w:p>
          <w:p w14:paraId="1357FC5C" w14:textId="77777777" w:rsidR="00AC3955" w:rsidRPr="00FD5C9E" w:rsidRDefault="00AC3955" w:rsidP="00FD5C9E">
            <w:pPr>
              <w:jc w:val="center"/>
              <w:rPr>
                <w:rFonts w:ascii="David" w:hAnsi="David"/>
                <w:bCs/>
                <w:sz w:val="32"/>
                <w:szCs w:val="32"/>
                <w:u w:val="single"/>
                <w:rtl/>
              </w:rPr>
            </w:pPr>
          </w:p>
        </w:tc>
      </w:tr>
      <w:bookmarkEnd w:id="5"/>
    </w:tbl>
    <w:p w14:paraId="0D511A78" w14:textId="77777777" w:rsidR="00AC3955" w:rsidRDefault="00AC3955" w:rsidP="00AC3955">
      <w:pPr>
        <w:rPr>
          <w:rFonts w:ascii="Arial" w:hAnsi="Arial"/>
          <w:b/>
          <w:bCs/>
          <w:sz w:val="26"/>
          <w:szCs w:val="26"/>
          <w:rtl/>
        </w:rPr>
      </w:pPr>
    </w:p>
    <w:p w14:paraId="7B712437" w14:textId="77777777" w:rsidR="00AC3955" w:rsidRPr="000F2247" w:rsidRDefault="00AC3955" w:rsidP="00AC3955">
      <w:pPr>
        <w:rPr>
          <w:rFonts w:ascii="Arial" w:hAnsi="Arial"/>
          <w:b/>
          <w:bCs/>
          <w:sz w:val="26"/>
          <w:szCs w:val="26"/>
          <w:rtl/>
        </w:rPr>
      </w:pPr>
      <w:bookmarkStart w:id="6" w:name="ABSTRACT_START"/>
      <w:bookmarkEnd w:id="6"/>
    </w:p>
    <w:p w14:paraId="3E873BC8" w14:textId="77777777" w:rsidR="00AC3955" w:rsidRDefault="00AC3955" w:rsidP="00AC3955">
      <w:pPr>
        <w:numPr>
          <w:ilvl w:val="0"/>
          <w:numId w:val="1"/>
        </w:numPr>
        <w:spacing w:after="160" w:line="360" w:lineRule="auto"/>
        <w:contextualSpacing/>
        <w:jc w:val="both"/>
        <w:rPr>
          <w:rFonts w:ascii="David" w:eastAsia="David" w:hAnsi="David"/>
        </w:rPr>
      </w:pPr>
      <w:r>
        <w:rPr>
          <w:rFonts w:ascii="David" w:eastAsia="David" w:hAnsi="David"/>
          <w:rtl/>
        </w:rPr>
        <w:t xml:space="preserve">הנאשם הורשע במסגרת הסדר טיעון בעובדות כתב אישום </w:t>
      </w:r>
      <w:r>
        <w:rPr>
          <w:rFonts w:ascii="David" w:eastAsia="David" w:hAnsi="David"/>
          <w:b/>
          <w:bCs/>
          <w:rtl/>
        </w:rPr>
        <w:t xml:space="preserve">בעבירת נשיאה והובלת נשק ותחמושת לפי </w:t>
      </w:r>
      <w:hyperlink r:id="rId9" w:history="1">
        <w:r w:rsidR="00EB0E13" w:rsidRPr="00EB0E13">
          <w:rPr>
            <w:rStyle w:val="Hyperlink"/>
            <w:rFonts w:ascii="David" w:eastAsia="David" w:hAnsi="David"/>
            <w:b/>
            <w:bCs/>
            <w:color w:val="0000FF"/>
            <w:rtl/>
          </w:rPr>
          <w:t>סעיף 144(ב)</w:t>
        </w:r>
      </w:hyperlink>
      <w:r>
        <w:rPr>
          <w:rFonts w:ascii="David" w:eastAsia="David" w:hAnsi="David"/>
          <w:b/>
          <w:bCs/>
          <w:rtl/>
        </w:rPr>
        <w:t xml:space="preserve"> רישא וסיפא ל</w:t>
      </w:r>
      <w:hyperlink r:id="rId10" w:history="1">
        <w:r w:rsidR="00FD5C9E" w:rsidRPr="00FD5C9E">
          <w:rPr>
            <w:rFonts w:ascii="David" w:eastAsia="David" w:hAnsi="David"/>
            <w:b/>
            <w:bCs/>
            <w:color w:val="0000FF"/>
            <w:u w:val="single"/>
            <w:rtl/>
          </w:rPr>
          <w:t>חוק העונשין</w:t>
        </w:r>
      </w:hyperlink>
      <w:r>
        <w:rPr>
          <w:rFonts w:ascii="David" w:eastAsia="David" w:hAnsi="David"/>
          <w:b/>
          <w:bCs/>
          <w:rtl/>
        </w:rPr>
        <w:t>, תשל"ז-1977</w:t>
      </w:r>
      <w:r>
        <w:rPr>
          <w:rFonts w:ascii="David" w:eastAsia="David" w:hAnsi="David"/>
          <w:rtl/>
        </w:rPr>
        <w:t xml:space="preserve"> (להלן: "החוק"). </w:t>
      </w:r>
    </w:p>
    <w:p w14:paraId="650D2D6A" w14:textId="77777777" w:rsidR="00AC3955" w:rsidRDefault="00AC3955" w:rsidP="00AC3955">
      <w:pPr>
        <w:spacing w:line="360" w:lineRule="auto"/>
        <w:ind w:left="720"/>
        <w:contextualSpacing/>
        <w:jc w:val="both"/>
        <w:rPr>
          <w:rFonts w:ascii="David" w:eastAsia="David" w:hAnsi="David"/>
        </w:rPr>
      </w:pPr>
      <w:bookmarkStart w:id="7" w:name="ABSTRACT_END"/>
      <w:bookmarkEnd w:id="7"/>
    </w:p>
    <w:p w14:paraId="45941978"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rtl/>
        </w:rPr>
        <w:t xml:space="preserve">כמפורט בעובדות כתב האישום המתוקן, ביום 26.11.23 נשא הנאשם בידו אקדח הזנקה חצי אוטומטי שהוסב לירי תחמושת קליעית ובתוכו מחסנית ובה 7 כדורים כשהוא נמצא בחדרו בבית, ותיעד זאת בסרטון וידאו, בעצמו או באמצעות אחר, באמצעות מכשיר הטלפון הנייד שלו. ביום 27.11.23, החזיק הנאשם את הנשק כשהוא עטוף במסכת סקי מונח בתוך שקית ומוטמן מתחת לאדמה בחצר הבית. </w:t>
      </w:r>
    </w:p>
    <w:p w14:paraId="5DA1E1E4" w14:textId="77777777" w:rsidR="00AC3955" w:rsidRDefault="00AC3955" w:rsidP="00AC3955">
      <w:pPr>
        <w:spacing w:after="160" w:line="360" w:lineRule="auto"/>
        <w:ind w:left="720"/>
        <w:contextualSpacing/>
        <w:jc w:val="both"/>
        <w:rPr>
          <w:rFonts w:ascii="David" w:eastAsia="David" w:hAnsi="David"/>
        </w:rPr>
      </w:pPr>
    </w:p>
    <w:p w14:paraId="2663C4BE"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rtl/>
        </w:rPr>
        <w:t xml:space="preserve">הנאשם כבן 20 הופנה לתסקיר חובה מפאת גילו. הנאשם נעדר עבר פלילי, גדל במשפחה מרובת ילדים, אביו נפטר בהיותו בן 5. בהיותו בגיל 14 נשר מלימודיו, לדבריו נוכח קשיים לימודיים וצורך לסייע בפרנסת המשפחה. להתרשמות שירות המבחן, אמו של הנאשם התקשתה לספק את צרכי ילדיה החומריים והרגשיים. בסמוך למעצרו חלה נסיגה, הוא התקשה לייצר יציבות תעסוקתית, נחשף לעבריינות והתקשה לשתף את בני משפחתו בקשייו, הסתיר מהם את מצבו. במסגרת פיקוח המעצר הוא שולב בקבוצה טיפולית, הגיע למפגשים, שיתף מעולמו הפנימי וגילה יכולת להתבוננות פנימית וביקורתית יותר </w:t>
      </w:r>
      <w:r>
        <w:rPr>
          <w:rFonts w:ascii="David" w:eastAsia="David" w:hAnsi="David"/>
          <w:rtl/>
        </w:rPr>
        <w:lastRenderedPageBreak/>
        <w:t xml:space="preserve">להתנהגותו ולבחירותיו. השתתפותו בקבוצה סייעה לו לזהות ולהעמיק בגורמי הסיכון,  בחודש ינואר החל בטיפול פרטני. ברקע ביצוע מעשיו- נטייה להשפעה חברתית שלילית, רצונו להרשים אחרים ולהעלות את דימויו העצמי והגברי. במהלך השיחות עמו ביטא הבנה לאחריותו וביקורתיות לבחירותיו. הנאשם נעדר קווי חשיבה עברייניים או שוליים מגובשים, בעל יכולות ורצון להתפתחות, מושפע מההליכים המשפטיים, כיום משפחתו מציבה לו גבול ברור. להערכת שירות המבחן, הסיכון במצבו של הנאשם פחת והשתלבותו בטיפול תבסס הפחתה נוספת. ממליצים על העמדתו בצו מבחן והטלת מאסר בעבודות שירות. </w:t>
      </w:r>
    </w:p>
    <w:p w14:paraId="5C7F697D" w14:textId="77777777" w:rsidR="00AC3955" w:rsidRDefault="00AC3955" w:rsidP="00AC3955">
      <w:pPr>
        <w:spacing w:line="360" w:lineRule="auto"/>
        <w:ind w:left="720"/>
        <w:contextualSpacing/>
        <w:jc w:val="both"/>
        <w:rPr>
          <w:rFonts w:ascii="David" w:eastAsia="David" w:hAnsi="David"/>
        </w:rPr>
      </w:pPr>
    </w:p>
    <w:p w14:paraId="1EFED0A8" w14:textId="77777777" w:rsidR="00AC3955" w:rsidRDefault="00AC3955" w:rsidP="00AC3955">
      <w:pPr>
        <w:spacing w:line="360" w:lineRule="auto"/>
        <w:jc w:val="both"/>
        <w:rPr>
          <w:rFonts w:ascii="David" w:eastAsia="David" w:hAnsi="David"/>
          <w:b/>
          <w:bCs/>
          <w:u w:val="single"/>
        </w:rPr>
      </w:pPr>
      <w:r>
        <w:rPr>
          <w:rFonts w:ascii="David" w:eastAsia="David" w:hAnsi="David"/>
          <w:b/>
          <w:bCs/>
          <w:u w:val="single"/>
          <w:rtl/>
        </w:rPr>
        <w:t>תמצית הטיעונים לעונש</w:t>
      </w:r>
    </w:p>
    <w:p w14:paraId="30977441"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b/>
          <w:bCs/>
          <w:rtl/>
        </w:rPr>
        <w:t>ב"כ המאשימה</w:t>
      </w:r>
      <w:r>
        <w:rPr>
          <w:rFonts w:ascii="David" w:eastAsia="David" w:hAnsi="David"/>
          <w:rtl/>
        </w:rPr>
        <w:t>, עו"ד תרם, עמדה על חומרת מעשי הנאשם ומדיניות הענישה המחמירה, ועותרת למתחם שנע בין 30-52 חודשי מאסר. לטענתה הפגיעה בערכים מוגנים, ובראשם שלום הציבור ובטחונו, היא ברף בינוני. המאשימה הפנתה לאסופת פסיקה ולרמת ענישה משתנה בעבירות נשיאת נשק ובעבירות החזקת נשק בנסיבות דומות שנעה בין 21-30 חודשי מאסר. לטענתה תסקירו של הנאשם חיובי אך אינו מבסס חריגה מטעמי שיקום אלא מיקומו בתחתית המתחם, הנאשם לא עבר הליכי טיפול המצדיקים ענישה שיקומית. עוד עתרה לענישה נלווית הכוללת מאסר על תנאי וקנס.</w:t>
      </w:r>
    </w:p>
    <w:p w14:paraId="3D53B66F" w14:textId="77777777" w:rsidR="00AC3955" w:rsidRDefault="00AC3955" w:rsidP="00AC3955">
      <w:pPr>
        <w:spacing w:line="360" w:lineRule="auto"/>
        <w:ind w:left="360"/>
        <w:contextualSpacing/>
        <w:jc w:val="both"/>
        <w:rPr>
          <w:rFonts w:ascii="David" w:eastAsia="David" w:hAnsi="David"/>
        </w:rPr>
      </w:pPr>
    </w:p>
    <w:p w14:paraId="4F8A8B7A" w14:textId="77777777" w:rsidR="00AC3955" w:rsidRDefault="00AC3955" w:rsidP="00AC3955">
      <w:pPr>
        <w:numPr>
          <w:ilvl w:val="0"/>
          <w:numId w:val="1"/>
        </w:numPr>
        <w:spacing w:after="160" w:line="360" w:lineRule="auto"/>
        <w:contextualSpacing/>
        <w:jc w:val="both"/>
        <w:rPr>
          <w:rFonts w:ascii="David" w:eastAsia="David" w:hAnsi="David"/>
        </w:rPr>
      </w:pPr>
      <w:r>
        <w:rPr>
          <w:rFonts w:ascii="David" w:eastAsia="David" w:hAnsi="David"/>
          <w:b/>
          <w:bCs/>
          <w:rtl/>
        </w:rPr>
        <w:t>ב"כ הנאשם</w:t>
      </w:r>
      <w:r>
        <w:rPr>
          <w:rFonts w:ascii="David" w:eastAsia="David" w:hAnsi="David"/>
          <w:rtl/>
        </w:rPr>
        <w:t xml:space="preserve">, עו"ד אורן ששון, עתר לאימוץ המלצת שירות המבחן להסתפק בעונש מאסר בדרך עבודות שירות. לדבריו, הנאשם עבר מאז מעצרו שינוי משמעותי, מנער חסר בשלות ונתון להשפעות שליליות לבחור בוגר, שנטל אחריות על מעשיו והתקדם משמעותית בכל מישורי חייו, הנאשם עובד, מתכוון ללמוד ולהצטרף לעסק המשפחתי, משתף פעולה עם גורמי הטיפול וראוי לעונש המעדיף את שיקומו. עוד נטען כי הנאשם צעיר מאד, משפחתו תומכת בו וחזרתו לכלא תפגע בהמשך שיקומו. </w:t>
      </w:r>
    </w:p>
    <w:p w14:paraId="1115A848" w14:textId="77777777" w:rsidR="00AC3955" w:rsidRDefault="00AC3955" w:rsidP="00AC3955">
      <w:pPr>
        <w:spacing w:after="160" w:line="360" w:lineRule="auto"/>
        <w:ind w:left="720"/>
        <w:contextualSpacing/>
        <w:jc w:val="both"/>
        <w:rPr>
          <w:rFonts w:ascii="David" w:eastAsia="David" w:hAnsi="David"/>
        </w:rPr>
      </w:pPr>
    </w:p>
    <w:p w14:paraId="06E58749"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rtl/>
        </w:rPr>
        <w:t xml:space="preserve">הנאשם נטל אחריות על מעשיו והסביר שרוצה לעבוד וללמוד. </w:t>
      </w:r>
    </w:p>
    <w:p w14:paraId="2E83A6AE" w14:textId="77777777" w:rsidR="00AC3955" w:rsidRDefault="00AC3955" w:rsidP="00AC3955">
      <w:pPr>
        <w:spacing w:line="360" w:lineRule="auto"/>
        <w:ind w:left="720"/>
        <w:contextualSpacing/>
        <w:jc w:val="both"/>
        <w:rPr>
          <w:rFonts w:ascii="David" w:eastAsia="David" w:hAnsi="David"/>
        </w:rPr>
      </w:pPr>
    </w:p>
    <w:p w14:paraId="0B9E2CAB" w14:textId="77777777" w:rsidR="00AC3955" w:rsidRDefault="00AC3955" w:rsidP="00AC3955">
      <w:pPr>
        <w:spacing w:line="360" w:lineRule="auto"/>
        <w:jc w:val="both"/>
        <w:rPr>
          <w:rFonts w:ascii="David" w:eastAsia="David" w:hAnsi="David"/>
          <w:b/>
          <w:bCs/>
          <w:u w:val="single"/>
        </w:rPr>
      </w:pPr>
      <w:r>
        <w:rPr>
          <w:rFonts w:ascii="David" w:eastAsia="David" w:hAnsi="David"/>
          <w:b/>
          <w:bCs/>
          <w:u w:val="single"/>
          <w:rtl/>
        </w:rPr>
        <w:t>דיון והכרעה</w:t>
      </w:r>
    </w:p>
    <w:p w14:paraId="4E244C39" w14:textId="77777777" w:rsidR="00AC3955" w:rsidRDefault="00AC3955" w:rsidP="00AC3955">
      <w:pPr>
        <w:spacing w:line="360" w:lineRule="auto"/>
        <w:jc w:val="both"/>
        <w:rPr>
          <w:rFonts w:ascii="David" w:eastAsia="David" w:hAnsi="David"/>
          <w:b/>
          <w:bCs/>
          <w:u w:val="single"/>
          <w:rtl/>
        </w:rPr>
      </w:pPr>
      <w:r>
        <w:rPr>
          <w:rFonts w:ascii="David" w:eastAsia="David" w:hAnsi="David"/>
          <w:b/>
          <w:bCs/>
          <w:u w:val="single"/>
          <w:rtl/>
        </w:rPr>
        <w:t>מתחם העונש ההולם</w:t>
      </w:r>
    </w:p>
    <w:p w14:paraId="618D1812" w14:textId="77777777" w:rsidR="00AC3955" w:rsidRDefault="00AC3955" w:rsidP="00AC3955">
      <w:pPr>
        <w:numPr>
          <w:ilvl w:val="0"/>
          <w:numId w:val="1"/>
        </w:numPr>
        <w:spacing w:after="160" w:line="360" w:lineRule="auto"/>
        <w:contextualSpacing/>
        <w:jc w:val="both"/>
        <w:rPr>
          <w:rtl/>
        </w:rPr>
      </w:pPr>
      <w:r>
        <w:rPr>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w:t>
      </w:r>
      <w:r>
        <w:rPr>
          <w:rtl/>
        </w:rPr>
        <w:lastRenderedPageBreak/>
        <w:t xml:space="preserve">מתחם העונש, ובית המשפט לא מצא מקום לחרוג ממנו לקולא או לחומרא, נקבע העונש הראוי תוך התחשבות בנסיבות העושה. </w:t>
      </w:r>
    </w:p>
    <w:p w14:paraId="7CE163EB" w14:textId="77777777" w:rsidR="00AC3955" w:rsidRDefault="00AC3955" w:rsidP="00AC3955">
      <w:pPr>
        <w:spacing w:line="360" w:lineRule="auto"/>
        <w:ind w:left="720"/>
        <w:contextualSpacing/>
        <w:jc w:val="both"/>
      </w:pPr>
    </w:p>
    <w:p w14:paraId="6DC33876" w14:textId="77777777" w:rsidR="00AC3955" w:rsidRDefault="00AC3955" w:rsidP="00AC3955">
      <w:pPr>
        <w:numPr>
          <w:ilvl w:val="0"/>
          <w:numId w:val="1"/>
        </w:numPr>
        <w:spacing w:after="160" w:line="360" w:lineRule="auto"/>
        <w:contextualSpacing/>
        <w:jc w:val="both"/>
        <w:rPr>
          <w:rFonts w:ascii="David" w:eastAsia="David" w:hAnsi="David"/>
        </w:rPr>
      </w:pPr>
      <w:r>
        <w:rPr>
          <w:rtl/>
        </w:rPr>
        <w:t>עבירות הנשק הפכו זה מכבר למכת מדינה ומגלמות סכנה ממשית לשלום הציבור ולביטחונו.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 אף כשהם צעירים ונעדרי עבר פלילי, והאירוע הוא בגדר חריג בנוף חייהם הנורמטיבי</w:t>
      </w:r>
      <w:r>
        <w:rPr>
          <w:rFonts w:ascii="David" w:eastAsia="David" w:hAnsi="David"/>
          <w:rtl/>
        </w:rPr>
        <w:t xml:space="preserve"> (</w:t>
      </w:r>
      <w:hyperlink r:id="rId11" w:history="1">
        <w:r w:rsidR="00FD5C9E" w:rsidRPr="00FD5C9E">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מוחמד ג'בארין נ' מדינת ישראל</w:t>
      </w:r>
      <w:r>
        <w:rPr>
          <w:rFonts w:ascii="David" w:eastAsia="David" w:hAnsi="David"/>
          <w:rtl/>
        </w:rPr>
        <w:t>, פס' 14</w:t>
      </w:r>
      <w:r>
        <w:rPr>
          <w:rFonts w:ascii="David" w:eastAsia="David" w:hAnsi="David"/>
          <w:b/>
          <w:bCs/>
          <w:rtl/>
        </w:rPr>
        <w:t xml:space="preserve"> </w:t>
      </w:r>
      <w:r>
        <w:rPr>
          <w:rFonts w:ascii="David" w:eastAsia="David" w:hAnsi="David"/>
          <w:rtl/>
        </w:rPr>
        <w:t>(31.5.2022); ב</w:t>
      </w:r>
      <w:hyperlink r:id="rId12" w:history="1">
        <w:r w:rsidR="00FD5C9E" w:rsidRPr="00FD5C9E">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חאלד דסוקי נ' מדנית ישראל</w:t>
      </w:r>
      <w:r>
        <w:rPr>
          <w:rFonts w:ascii="David" w:eastAsia="David" w:hAnsi="David"/>
          <w:rtl/>
        </w:rPr>
        <w:t xml:space="preserve">  (25.11.2021); </w:t>
      </w:r>
      <w:hyperlink r:id="rId13" w:history="1">
        <w:r w:rsidR="00FD5C9E" w:rsidRPr="00FD5C9E">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מחמד בסילה</w:t>
      </w:r>
      <w:r>
        <w:rPr>
          <w:rFonts w:ascii="David" w:eastAsia="David" w:hAnsi="David"/>
          <w:spacing w:val="10"/>
          <w:sz w:val="20"/>
          <w:shd w:val="clear" w:color="auto" w:fill="FFFFFF"/>
          <w:rtl/>
        </w:rPr>
        <w:t>, פס' 10 (28.12.2021)</w:t>
      </w:r>
      <w:r>
        <w:rPr>
          <w:rFonts w:ascii="David" w:eastAsia="David" w:hAnsi="David"/>
          <w:rtl/>
        </w:rPr>
        <w:t xml:space="preserve">; </w:t>
      </w:r>
      <w:hyperlink r:id="rId14" w:history="1">
        <w:r w:rsidR="00FD5C9E" w:rsidRPr="00FD5C9E">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ע"פ 78/21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 </w:t>
      </w:r>
      <w:hyperlink r:id="rId15" w:history="1">
        <w:r w:rsidR="00FD5C9E" w:rsidRPr="00FD5C9E">
          <w:rPr>
            <w:color w:val="0000FF"/>
            <w:u w:val="single"/>
            <w:rtl/>
          </w:rPr>
          <w:t>ע"פ 116/13</w:t>
        </w:r>
      </w:hyperlink>
      <w:r w:rsidR="00FD5C9E">
        <w:rPr>
          <w:rFonts w:ascii="David" w:eastAsia="David" w:hAnsi="David"/>
          <w:rtl/>
        </w:rPr>
        <w:t xml:space="preserve"> </w:t>
      </w:r>
      <w:r>
        <w:rPr>
          <w:rFonts w:ascii="David" w:eastAsia="David" w:hAnsi="David"/>
          <w:b/>
          <w:bCs/>
          <w:rtl/>
        </w:rPr>
        <w:t>וקנין נ' מדינת ישראל</w:t>
      </w:r>
      <w:r>
        <w:rPr>
          <w:rFonts w:ascii="David" w:eastAsia="David" w:hAnsi="David"/>
          <w:rtl/>
        </w:rPr>
        <w:t>,</w:t>
      </w:r>
      <w:r w:rsidR="00FD5C9E">
        <w:rPr>
          <w:rFonts w:ascii="David" w:eastAsia="David" w:hAnsi="David"/>
          <w:rtl/>
        </w:rPr>
        <w:t xml:space="preserve"> </w:t>
      </w:r>
      <w:r>
        <w:rPr>
          <w:rFonts w:ascii="David" w:eastAsia="David" w:hAnsi="David"/>
          <w:rtl/>
        </w:rPr>
        <w:t xml:space="preserve">פס' 7 (31.7.2013)). </w:t>
      </w:r>
      <w:r>
        <w:rPr>
          <w:rtl/>
        </w:rPr>
        <w:t xml:space="preserve">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w:t>
      </w:r>
    </w:p>
    <w:p w14:paraId="7559FE13" w14:textId="77777777" w:rsidR="00AC3955" w:rsidRDefault="00AC3955" w:rsidP="00AC3955">
      <w:pPr>
        <w:ind w:left="720"/>
        <w:contextualSpacing/>
        <w:rPr>
          <w:rtl/>
        </w:rPr>
      </w:pPr>
    </w:p>
    <w:p w14:paraId="18751ECF" w14:textId="77777777" w:rsidR="00AC3955" w:rsidRDefault="00AC3955" w:rsidP="00AC3955">
      <w:pPr>
        <w:ind w:left="720"/>
        <w:contextualSpacing/>
        <w:rPr>
          <w:rtl/>
        </w:rPr>
      </w:pPr>
    </w:p>
    <w:p w14:paraId="602BA112"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rtl/>
        </w:rPr>
        <w:t xml:space="preserve">בענייננו נסיבות המעשה אינן מן החמורות, הנאשם נשא בחדרו אקדח הזנקה חצי אוטומטי שהוסב לירי תחמושת קליעית, בתוכו שבעה כדורים, הנשק הוטמן מתחת לאדמה בחצר הבית. אף שאין אינדיקציות לשימוש בנשק, בהחזקת נשק טעון או נשיאתו גלום פוטנציאל סיכון רב, זמינותו של הנשק מעלה את הסיכון שיעשה בו שימוש למטרות פסולות. הנאשם הסביר כי החזיק ונשא נשק מסיבות חברתיות אך אין בכך כדי להסביר מדוע נשא בביתו נשק טעון ומוכן לשימוש. עוד אין מדובר במי שנשא את הנשק לזמן קצר כדי להצטלם איתו, הנשק הוחזק בביתו והוסתר מתחת לאדמה בחצר ביתו. העובדה שמדובר בנשק לגיטימי שהוסב לנשק יורה אינה מפחיתה מחומרת מעשיו. בחינת מידת פגיעת מעשי הנאשם בערכים המוגנים מובילה למסקנה כי היא ברף </w:t>
      </w:r>
      <w:r>
        <w:rPr>
          <w:rFonts w:ascii="David" w:eastAsia="David" w:hAnsi="David"/>
          <w:b/>
          <w:bCs/>
          <w:rtl/>
        </w:rPr>
        <w:t>הבינוני</w:t>
      </w:r>
      <w:r>
        <w:rPr>
          <w:rFonts w:ascii="David" w:eastAsia="David" w:hAnsi="David"/>
          <w:rtl/>
        </w:rPr>
        <w:t xml:space="preserve">. </w:t>
      </w:r>
    </w:p>
    <w:p w14:paraId="04CF2063" w14:textId="77777777" w:rsidR="00AC3955" w:rsidRDefault="00AC3955" w:rsidP="00AC3955">
      <w:pPr>
        <w:spacing w:line="360" w:lineRule="auto"/>
        <w:ind w:left="720"/>
        <w:contextualSpacing/>
        <w:jc w:val="both"/>
        <w:rPr>
          <w:rFonts w:eastAsia="David"/>
          <w:b/>
          <w:bCs/>
          <w:u w:val="single"/>
          <w:rtl/>
        </w:rPr>
      </w:pPr>
    </w:p>
    <w:p w14:paraId="191A1836" w14:textId="77777777" w:rsidR="00AC3955" w:rsidRDefault="00AC3955" w:rsidP="00AC3955">
      <w:pPr>
        <w:spacing w:line="360" w:lineRule="auto"/>
        <w:ind w:firstLine="360"/>
        <w:rPr>
          <w:rtl/>
        </w:rPr>
      </w:pPr>
      <w:r>
        <w:rPr>
          <w:rFonts w:eastAsia="David"/>
          <w:b/>
          <w:bCs/>
          <w:u w:val="single"/>
          <w:rtl/>
        </w:rPr>
        <w:t>מדיניות הענישה הנוהגת</w:t>
      </w:r>
    </w:p>
    <w:p w14:paraId="191F8378"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ללמדנו כי הענישה מבכרת את האינטרס הציבורי על פני נסיבותיו האישיות של הנאשם, לרבות במקרי שיקום: </w:t>
      </w:r>
      <w:r>
        <w:rPr>
          <w:rFonts w:ascii="David" w:eastAsia="David" w:hAnsi="David"/>
          <w:b/>
          <w:bCs/>
          <w:rtl/>
        </w:rPr>
        <w:t xml:space="preserve">"המסר העונשי הנגזר ממדיניות הענישה האמורה הוא כי שומר נפשו ושלומו – ירחק מעבירות הנשק באשר הן, קלות כחמורות" </w:t>
      </w:r>
      <w:r>
        <w:rPr>
          <w:rFonts w:ascii="David" w:eastAsia="David" w:hAnsi="David"/>
          <w:rtl/>
        </w:rPr>
        <w:t>(ע"פ 78/21</w:t>
      </w:r>
      <w:r>
        <w:rPr>
          <w:rFonts w:ascii="David" w:eastAsia="David" w:hAnsi="David"/>
          <w:b/>
          <w:bCs/>
          <w:rtl/>
        </w:rPr>
        <w:t xml:space="preserve"> פלוני נ' מדינת ישראל </w:t>
      </w:r>
      <w:r>
        <w:rPr>
          <w:rFonts w:ascii="David" w:eastAsia="David" w:hAnsi="David"/>
          <w:rtl/>
        </w:rPr>
        <w:t>פסקה 10</w:t>
      </w:r>
      <w:r>
        <w:rPr>
          <w:rFonts w:ascii="David" w:eastAsia="David" w:hAnsi="David"/>
          <w:b/>
          <w:bCs/>
          <w:rtl/>
        </w:rPr>
        <w:t xml:space="preserve"> </w:t>
      </w:r>
      <w:r>
        <w:rPr>
          <w:rFonts w:ascii="David" w:eastAsia="David" w:hAnsi="David"/>
          <w:rtl/>
        </w:rPr>
        <w:t>(26.7.22) (להלן: "עניין פלוני</w:t>
      </w:r>
      <w:r>
        <w:rPr>
          <w:rFonts w:ascii="David" w:eastAsia="David" w:hAnsi="David"/>
          <w:b/>
          <w:bCs/>
          <w:rtl/>
        </w:rPr>
        <w:t>"</w:t>
      </w:r>
      <w:r>
        <w:rPr>
          <w:rFonts w:ascii="David" w:eastAsia="David" w:hAnsi="David"/>
          <w:rtl/>
        </w:rPr>
        <w:t xml:space="preserve">)). </w:t>
      </w:r>
    </w:p>
    <w:p w14:paraId="690360BE" w14:textId="77777777" w:rsidR="00AC3955" w:rsidRDefault="00AC3955" w:rsidP="00AC3955">
      <w:pPr>
        <w:spacing w:line="360" w:lineRule="auto"/>
        <w:ind w:left="720"/>
        <w:contextualSpacing/>
        <w:jc w:val="both"/>
        <w:rPr>
          <w:rFonts w:ascii="David" w:eastAsia="David" w:hAnsi="David"/>
        </w:rPr>
      </w:pPr>
    </w:p>
    <w:p w14:paraId="41A3442C" w14:textId="77777777" w:rsidR="00AC3955" w:rsidRDefault="00AC3955" w:rsidP="00AC3955">
      <w:pPr>
        <w:spacing w:line="360" w:lineRule="auto"/>
        <w:ind w:left="720"/>
        <w:contextualSpacing/>
        <w:jc w:val="both"/>
        <w:rPr>
          <w:rFonts w:ascii="David" w:eastAsia="David" w:hAnsi="David"/>
        </w:rPr>
      </w:pPr>
      <w:r>
        <w:rPr>
          <w:rFonts w:ascii="David" w:eastAsia="David" w:hAnsi="David"/>
          <w:rtl/>
        </w:rPr>
        <w:t xml:space="preserve">רמת הענישה בעבירות נשק מחמירה, אתן ביטוי לנסיבות ביצוע העבירה – נשיאת אקדח בתחומי בית הנאשם. </w:t>
      </w:r>
    </w:p>
    <w:p w14:paraId="2F7B1C16" w14:textId="77777777" w:rsidR="00AC3955" w:rsidRDefault="00AC3955" w:rsidP="00AC3955">
      <w:pPr>
        <w:spacing w:line="360" w:lineRule="auto"/>
        <w:ind w:left="720"/>
        <w:contextualSpacing/>
        <w:jc w:val="both"/>
        <w:rPr>
          <w:rFonts w:ascii="David" w:eastAsia="David" w:hAnsi="David"/>
          <w:rtl/>
        </w:rPr>
      </w:pPr>
    </w:p>
    <w:p w14:paraId="20F13224" w14:textId="77777777" w:rsidR="00AC3955" w:rsidRDefault="00AC3955" w:rsidP="00AC3955">
      <w:pPr>
        <w:spacing w:line="360" w:lineRule="auto"/>
        <w:ind w:left="720"/>
        <w:contextualSpacing/>
        <w:jc w:val="both"/>
        <w:rPr>
          <w:rFonts w:ascii="David" w:eastAsia="David" w:hAnsi="David"/>
          <w:rtl/>
        </w:rPr>
      </w:pPr>
      <w:r>
        <w:rPr>
          <w:rFonts w:ascii="David" w:eastAsia="David" w:hAnsi="David"/>
          <w:rtl/>
        </w:rPr>
        <w:t>ב</w:t>
      </w:r>
      <w:hyperlink r:id="rId16" w:history="1">
        <w:r w:rsidR="00FD5C9E" w:rsidRPr="00FD5C9E">
          <w:rPr>
            <w:rFonts w:ascii="David" w:eastAsia="David" w:hAnsi="David"/>
            <w:color w:val="0000FF"/>
            <w:u w:val="single"/>
            <w:rtl/>
          </w:rPr>
          <w:t>ת"פ 54852-03-21</w:t>
        </w:r>
      </w:hyperlink>
      <w:r>
        <w:rPr>
          <w:rFonts w:ascii="David" w:eastAsia="David" w:hAnsi="David"/>
          <w:rtl/>
        </w:rPr>
        <w:t xml:space="preserve"> </w:t>
      </w:r>
      <w:r>
        <w:rPr>
          <w:rFonts w:ascii="David" w:eastAsia="David" w:hAnsi="David"/>
          <w:b/>
          <w:bCs/>
          <w:rtl/>
        </w:rPr>
        <w:t>מדינת ישראל נ' אלרחים</w:t>
      </w:r>
      <w:r>
        <w:rPr>
          <w:rFonts w:ascii="David" w:eastAsia="David" w:hAnsi="David"/>
          <w:rtl/>
        </w:rPr>
        <w:t xml:space="preserve"> (28.11.22), נדון לפניי נאשם שנשא נשק כדי להצטלם איתו, נקבע מתחם שנע בין 20-40 חודשי מאסר ועל הנאשם הוטל עונש בתחתית המתחם. ערעור הגנה </w:t>
      </w:r>
      <w:hyperlink r:id="rId17" w:history="1">
        <w:r w:rsidR="00FD5C9E" w:rsidRPr="00FD5C9E">
          <w:rPr>
            <w:rFonts w:ascii="David" w:eastAsia="David" w:hAnsi="David"/>
            <w:color w:val="0000FF"/>
            <w:u w:val="single"/>
            <w:rtl/>
          </w:rPr>
          <w:t>ע"פ 383/23</w:t>
        </w:r>
      </w:hyperlink>
      <w:r>
        <w:rPr>
          <w:rFonts w:ascii="David" w:eastAsia="David" w:hAnsi="David"/>
          <w:rtl/>
        </w:rPr>
        <w:t xml:space="preserve"> שהוגש התקבל, עונשו הופחת ל- 16 חודשים לנוכח מצבו הבריאותי. </w:t>
      </w:r>
    </w:p>
    <w:p w14:paraId="601D40C1" w14:textId="77777777" w:rsidR="00AC3955" w:rsidRDefault="00AC3955" w:rsidP="00AC3955">
      <w:pPr>
        <w:spacing w:line="360" w:lineRule="auto"/>
        <w:ind w:left="720"/>
        <w:contextualSpacing/>
        <w:jc w:val="both"/>
        <w:rPr>
          <w:rFonts w:ascii="David" w:eastAsia="David" w:hAnsi="David"/>
          <w:rtl/>
        </w:rPr>
      </w:pPr>
    </w:p>
    <w:p w14:paraId="5D4A165C" w14:textId="77777777" w:rsidR="00AC3955" w:rsidRDefault="00AC3955" w:rsidP="00AC3955">
      <w:pPr>
        <w:spacing w:line="360" w:lineRule="auto"/>
        <w:ind w:left="720"/>
        <w:contextualSpacing/>
        <w:jc w:val="both"/>
        <w:rPr>
          <w:rFonts w:ascii="David" w:eastAsia="David" w:hAnsi="David"/>
          <w:rtl/>
        </w:rPr>
      </w:pPr>
      <w:r>
        <w:rPr>
          <w:rFonts w:ascii="David" w:eastAsia="David" w:hAnsi="David"/>
          <w:rtl/>
        </w:rPr>
        <w:t>ב</w:t>
      </w:r>
      <w:hyperlink r:id="rId18" w:history="1">
        <w:r w:rsidR="00FD5C9E" w:rsidRPr="00FD5C9E">
          <w:rPr>
            <w:rFonts w:ascii="David" w:eastAsia="David" w:hAnsi="David"/>
            <w:color w:val="0000FF"/>
            <w:u w:val="single"/>
            <w:rtl/>
          </w:rPr>
          <w:t>ע"פ 3186/22</w:t>
        </w:r>
      </w:hyperlink>
      <w:r>
        <w:rPr>
          <w:rFonts w:ascii="David" w:eastAsia="David" w:hAnsi="David"/>
          <w:rtl/>
        </w:rPr>
        <w:t xml:space="preserve"> </w:t>
      </w:r>
      <w:r>
        <w:rPr>
          <w:rFonts w:ascii="David" w:eastAsia="David" w:hAnsi="David"/>
          <w:b/>
          <w:bCs/>
          <w:rtl/>
        </w:rPr>
        <w:t>בר נ' מדינת ישראל</w:t>
      </w:r>
      <w:r>
        <w:rPr>
          <w:rFonts w:ascii="David" w:eastAsia="David" w:hAnsi="David"/>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שמיעת הערות בית המשפט העליון. </w:t>
      </w:r>
    </w:p>
    <w:p w14:paraId="7E48B6FD" w14:textId="77777777" w:rsidR="00AC3955" w:rsidRDefault="00AC3955" w:rsidP="00AC3955">
      <w:pPr>
        <w:spacing w:line="360" w:lineRule="auto"/>
        <w:ind w:left="720"/>
        <w:contextualSpacing/>
        <w:jc w:val="both"/>
        <w:rPr>
          <w:rFonts w:ascii="David" w:eastAsia="David" w:hAnsi="David"/>
          <w:rtl/>
        </w:rPr>
      </w:pPr>
    </w:p>
    <w:p w14:paraId="46A0F382" w14:textId="77777777" w:rsidR="00AC3955" w:rsidRDefault="00AC3955" w:rsidP="00AC3955">
      <w:pPr>
        <w:spacing w:line="360" w:lineRule="auto"/>
        <w:ind w:left="720"/>
        <w:contextualSpacing/>
        <w:jc w:val="both"/>
        <w:rPr>
          <w:rFonts w:eastAsia="David"/>
          <w:rtl/>
        </w:rPr>
      </w:pPr>
      <w:r w:rsidRPr="00D658D3">
        <w:rPr>
          <w:rFonts w:ascii="David" w:eastAsia="David" w:hAnsi="David"/>
          <w:rtl/>
        </w:rPr>
        <w:t>ב</w:t>
      </w:r>
      <w:hyperlink r:id="rId19" w:history="1">
        <w:r w:rsidR="00FD5C9E" w:rsidRPr="00FD5C9E">
          <w:rPr>
            <w:rFonts w:ascii="David" w:eastAsia="David" w:hAnsi="David"/>
            <w:color w:val="0000FF"/>
            <w:u w:val="single"/>
            <w:rtl/>
          </w:rPr>
          <w:t>ע"פ 2141/21</w:t>
        </w:r>
      </w:hyperlink>
      <w:r>
        <w:rPr>
          <w:rFonts w:eastAsia="David"/>
          <w:rtl/>
        </w:rPr>
        <w:t xml:space="preserve"> </w:t>
      </w:r>
      <w:r>
        <w:rPr>
          <w:rFonts w:eastAsia="David" w:hint="cs"/>
          <w:b/>
          <w:bCs/>
          <w:rtl/>
        </w:rPr>
        <w:t>חניני נ' מדינת ישראל</w:t>
      </w:r>
      <w:r>
        <w:rPr>
          <w:rFonts w:eastAsia="David" w:hint="cs"/>
          <w:rtl/>
        </w:rPr>
        <w:t xml:space="preserve"> ((27.5.21)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27AA95C6" w14:textId="77777777" w:rsidR="00AC3955" w:rsidRDefault="00AC3955" w:rsidP="00AC3955">
      <w:pPr>
        <w:spacing w:line="360" w:lineRule="auto"/>
        <w:ind w:left="720"/>
        <w:contextualSpacing/>
        <w:jc w:val="both"/>
        <w:rPr>
          <w:rFonts w:eastAsia="David"/>
          <w:rtl/>
        </w:rPr>
      </w:pPr>
    </w:p>
    <w:p w14:paraId="564094B6" w14:textId="77777777" w:rsidR="00AC3955" w:rsidRDefault="00AC3955" w:rsidP="00AC3955">
      <w:pPr>
        <w:spacing w:line="360" w:lineRule="auto"/>
        <w:ind w:left="720"/>
        <w:contextualSpacing/>
        <w:jc w:val="both"/>
        <w:rPr>
          <w:rFonts w:ascii="David" w:eastAsia="David" w:hAnsi="David"/>
          <w:rtl/>
        </w:rPr>
      </w:pPr>
      <w:r>
        <w:rPr>
          <w:rFonts w:ascii="David" w:eastAsia="David" w:hAnsi="David"/>
          <w:rtl/>
        </w:rPr>
        <w:t>ב</w:t>
      </w:r>
      <w:hyperlink r:id="rId20" w:history="1">
        <w:r w:rsidR="00FD5C9E" w:rsidRPr="00FD5C9E">
          <w:rPr>
            <w:rFonts w:ascii="David" w:eastAsia="David" w:hAnsi="David"/>
            <w:color w:val="0000FF"/>
            <w:u w:val="single"/>
            <w:rtl/>
          </w:rPr>
          <w:t>ע"פ 2033/21</w:t>
        </w:r>
      </w:hyperlink>
      <w:r>
        <w:rPr>
          <w:rFonts w:ascii="David" w:eastAsia="David" w:hAnsi="David"/>
          <w:rtl/>
        </w:rPr>
        <w:t xml:space="preserve"> </w:t>
      </w:r>
      <w:r>
        <w:rPr>
          <w:rFonts w:ascii="David" w:eastAsia="David" w:hAnsi="David"/>
          <w:b/>
          <w:bCs/>
          <w:rtl/>
        </w:rPr>
        <w:t>זועבי נ' מדינת ישראל</w:t>
      </w:r>
      <w:r>
        <w:rPr>
          <w:rFonts w:ascii="David" w:eastAsia="David" w:hAnsi="David"/>
          <w:rtl/>
        </w:rPr>
        <w:t xml:space="preserve"> ((30.8.21)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מהמתחם.  </w:t>
      </w:r>
    </w:p>
    <w:p w14:paraId="0695E469" w14:textId="77777777" w:rsidR="00AC3955" w:rsidRDefault="00AC3955" w:rsidP="00AC3955">
      <w:pPr>
        <w:spacing w:line="360" w:lineRule="auto"/>
        <w:ind w:left="720"/>
        <w:contextualSpacing/>
        <w:jc w:val="both"/>
        <w:rPr>
          <w:rFonts w:ascii="David" w:eastAsia="David" w:hAnsi="David"/>
          <w:rtl/>
        </w:rPr>
      </w:pPr>
    </w:p>
    <w:p w14:paraId="3F683EE6" w14:textId="77777777" w:rsidR="00AC3955" w:rsidRDefault="00AC3955" w:rsidP="00AC3955">
      <w:pPr>
        <w:spacing w:line="360" w:lineRule="auto"/>
        <w:ind w:left="720"/>
        <w:contextualSpacing/>
        <w:jc w:val="both"/>
        <w:rPr>
          <w:rFonts w:ascii="David" w:eastAsia="David" w:hAnsi="David"/>
          <w:rtl/>
        </w:rPr>
      </w:pPr>
      <w:r>
        <w:rPr>
          <w:rFonts w:ascii="David" w:eastAsia="David" w:hAnsi="David"/>
          <w:rtl/>
        </w:rPr>
        <w:t>ב</w:t>
      </w:r>
      <w:hyperlink r:id="rId21" w:history="1">
        <w:r w:rsidR="00FD5C9E" w:rsidRPr="00FD5C9E">
          <w:rPr>
            <w:rFonts w:ascii="David" w:eastAsia="David" w:hAnsi="David"/>
            <w:color w:val="0000FF"/>
            <w:u w:val="single"/>
            <w:rtl/>
          </w:rPr>
          <w:t>ע"פ 1658/22</w:t>
        </w:r>
      </w:hyperlink>
      <w:r>
        <w:rPr>
          <w:rFonts w:ascii="David" w:eastAsia="David" w:hAnsi="David"/>
          <w:rtl/>
        </w:rPr>
        <w:t xml:space="preserve"> </w:t>
      </w:r>
      <w:r>
        <w:rPr>
          <w:rFonts w:ascii="David" w:eastAsia="David" w:hAnsi="David"/>
          <w:b/>
          <w:bCs/>
          <w:rtl/>
        </w:rPr>
        <w:t>נח'אש נ' מדינת ישראל</w:t>
      </w:r>
      <w:r>
        <w:rPr>
          <w:rFonts w:ascii="David" w:eastAsia="David" w:hAnsi="David"/>
          <w:rtl/>
        </w:rPr>
        <w:t xml:space="preserve"> (19.6.22) נדחה ערעור המערער שהורשע בעבירת נשיאה והובלה של תת מקלע "עוזי" ומחסנית למאסר בן 26 חודשים. המערער, ללא עבר פלילי, רכש לטענתו את הנשק לשם הגנה עצמית ועבר הליך טיפולי. </w:t>
      </w:r>
    </w:p>
    <w:p w14:paraId="1D41E495" w14:textId="77777777" w:rsidR="00AC3955" w:rsidRDefault="00AC3955" w:rsidP="00AC3955">
      <w:pPr>
        <w:spacing w:line="360" w:lineRule="auto"/>
        <w:ind w:left="720"/>
        <w:contextualSpacing/>
        <w:jc w:val="both"/>
        <w:rPr>
          <w:rFonts w:ascii="David" w:eastAsia="David" w:hAnsi="David"/>
          <w:rtl/>
        </w:rPr>
      </w:pPr>
    </w:p>
    <w:p w14:paraId="03EAF89B" w14:textId="77777777" w:rsidR="00AC3955" w:rsidRDefault="00AC3955" w:rsidP="00AC3955">
      <w:pPr>
        <w:spacing w:line="360" w:lineRule="auto"/>
        <w:ind w:left="720"/>
        <w:contextualSpacing/>
        <w:jc w:val="both"/>
        <w:rPr>
          <w:rFonts w:ascii="David" w:eastAsia="David" w:hAnsi="David"/>
          <w:rtl/>
        </w:rPr>
      </w:pPr>
      <w:r>
        <w:rPr>
          <w:rFonts w:ascii="David" w:eastAsia="David" w:hAnsi="David"/>
          <w:rtl/>
        </w:rPr>
        <w:t>ב</w:t>
      </w:r>
      <w:hyperlink r:id="rId22" w:history="1">
        <w:r w:rsidR="00FD5C9E" w:rsidRPr="00FD5C9E">
          <w:rPr>
            <w:rFonts w:eastAsia="David"/>
            <w:color w:val="0000FF"/>
            <w:u w:val="single"/>
            <w:rtl/>
          </w:rPr>
          <w:t>ע"פ 4290/21</w:t>
        </w:r>
      </w:hyperlink>
      <w:r w:rsidR="00FD5C9E">
        <w:rPr>
          <w:rFonts w:ascii="David" w:eastAsia="David" w:hAnsi="David"/>
        </w:rPr>
        <w:t xml:space="preserve"> </w:t>
      </w:r>
      <w:r>
        <w:rPr>
          <w:rFonts w:ascii="David" w:eastAsia="David" w:hAnsi="David"/>
          <w:b/>
          <w:bCs/>
          <w:rtl/>
        </w:rPr>
        <w:t>זרבאילוב נ' מדינת ישראל</w:t>
      </w:r>
      <w:r w:rsidR="00FD5C9E">
        <w:rPr>
          <w:rFonts w:ascii="David" w:eastAsia="David" w:hAnsi="David"/>
        </w:rPr>
        <w:t xml:space="preserve"> </w:t>
      </w:r>
      <w:r>
        <w:rPr>
          <w:rFonts w:ascii="David" w:eastAsia="David" w:hAnsi="David"/>
        </w:rPr>
        <w:t xml:space="preserve"> (6.12.21) </w:t>
      </w:r>
      <w:r>
        <w:rPr>
          <w:rFonts w:ascii="David" w:eastAsia="David" w:hAnsi="David"/>
          <w:rtl/>
        </w:rPr>
        <w:t>דחה בית המשפט העליון את ערעור המערער שנהג ברכבו ונשא בתא המטען שני אקדחים טעונים במחסנית. בית המשפט המחוזי קבע מתחם ענישה הנע בין 36-16 חודשי מאסר. לחובת הנאשם הרשעה אחת שהתיישנה. נדון למאסר בן 18 חודשים</w:t>
      </w:r>
      <w:r>
        <w:rPr>
          <w:rFonts w:ascii="David" w:eastAsia="David" w:hAnsi="David"/>
        </w:rPr>
        <w:t>.</w:t>
      </w:r>
    </w:p>
    <w:p w14:paraId="685008EE" w14:textId="77777777" w:rsidR="00AC3955" w:rsidRDefault="00AC3955" w:rsidP="00AC3955">
      <w:pPr>
        <w:spacing w:line="360" w:lineRule="auto"/>
        <w:ind w:left="720"/>
        <w:contextualSpacing/>
        <w:jc w:val="both"/>
        <w:rPr>
          <w:rFonts w:ascii="David" w:eastAsia="David" w:hAnsi="David"/>
          <w:rtl/>
        </w:rPr>
      </w:pPr>
    </w:p>
    <w:p w14:paraId="61737C42" w14:textId="77777777" w:rsidR="00AC3955" w:rsidRDefault="00FD5C9E" w:rsidP="00AC3955">
      <w:pPr>
        <w:spacing w:line="360" w:lineRule="auto"/>
        <w:ind w:left="720"/>
        <w:contextualSpacing/>
        <w:jc w:val="both"/>
        <w:rPr>
          <w:rFonts w:ascii="David" w:eastAsia="David" w:hAnsi="David"/>
          <w:rtl/>
        </w:rPr>
      </w:pPr>
      <w:hyperlink r:id="rId23" w:history="1">
        <w:r w:rsidRPr="00FD5C9E">
          <w:rPr>
            <w:rFonts w:ascii="David" w:eastAsia="David" w:hAnsi="David"/>
            <w:color w:val="0000FF"/>
            <w:u w:val="single"/>
            <w:rtl/>
          </w:rPr>
          <w:t>ת"פ  2049-11-22</w:t>
        </w:r>
      </w:hyperlink>
      <w:r w:rsidR="00AC3955">
        <w:rPr>
          <w:rFonts w:ascii="David" w:eastAsia="David" w:hAnsi="David"/>
          <w:rtl/>
        </w:rPr>
        <w:t xml:space="preserve"> </w:t>
      </w:r>
      <w:r w:rsidR="00AC3955">
        <w:rPr>
          <w:rFonts w:ascii="David" w:eastAsia="David" w:hAnsi="David"/>
          <w:b/>
          <w:bCs/>
          <w:rtl/>
        </w:rPr>
        <w:t>מדינת ישראל נ' אלהווארי</w:t>
      </w:r>
      <w:r w:rsidR="00AC3955">
        <w:rPr>
          <w:rFonts w:ascii="David" w:eastAsia="David" w:hAnsi="David"/>
          <w:rtl/>
        </w:rPr>
        <w:t xml:space="preserve"> (גזר דיני מיום 19.6.23), שם נשא הנאשם בנשק מסוג רובה קלצ'ניקוב במתחם ביתו, כשהגיעו שוטרים למקום, נטל את הנשק והחביאו בבית שכנו. ניתן משקל לאחידות ענישה. נקבע מתחם הנע בין 22-44, על הנאשם נגזר עונש בתחתית המתחם.  </w:t>
      </w:r>
    </w:p>
    <w:p w14:paraId="2672DC1A" w14:textId="77777777" w:rsidR="00AC3955" w:rsidRDefault="00AC3955" w:rsidP="00AC3955">
      <w:pPr>
        <w:numPr>
          <w:ilvl w:val="0"/>
          <w:numId w:val="1"/>
        </w:numPr>
        <w:spacing w:line="360" w:lineRule="auto"/>
        <w:jc w:val="both"/>
        <w:rPr>
          <w:b/>
          <w:bCs/>
          <w:u w:val="single"/>
          <w:rtl/>
        </w:rPr>
      </w:pPr>
      <w:r>
        <w:rPr>
          <w:rFonts w:eastAsia="David"/>
          <w:rtl/>
        </w:rPr>
        <w:t xml:space="preserve">בהתחשב במידת הפגיעה בערכים המוגנים, מדיניות הענישה הנוהגת, בהתחשב בנסיבות התיק, בסוג הנשק ובכך שהנאשם נשא בנשק בתוך חדרו והנשק הוחזק בחצר הבית, מצאתי לקבוע </w:t>
      </w:r>
      <w:r>
        <w:rPr>
          <w:rFonts w:eastAsia="David"/>
          <w:b/>
          <w:bCs/>
          <w:rtl/>
        </w:rPr>
        <w:t>מתחם ענישה הנע בין 21-40 חודשי מאסר בפועל</w:t>
      </w:r>
      <w:r>
        <w:rPr>
          <w:rFonts w:eastAsia="David"/>
          <w:rtl/>
        </w:rPr>
        <w:t xml:space="preserve">. </w:t>
      </w:r>
    </w:p>
    <w:p w14:paraId="1F72890B" w14:textId="77777777" w:rsidR="00AC3955" w:rsidRDefault="00AC3955" w:rsidP="00AC3955">
      <w:pPr>
        <w:spacing w:line="360" w:lineRule="auto"/>
        <w:ind w:left="720"/>
        <w:jc w:val="both"/>
        <w:rPr>
          <w:b/>
          <w:bCs/>
          <w:u w:val="single"/>
        </w:rPr>
      </w:pPr>
    </w:p>
    <w:p w14:paraId="08003C4C" w14:textId="77777777" w:rsidR="00AC3955" w:rsidRDefault="00AC3955" w:rsidP="00AC3955">
      <w:pPr>
        <w:spacing w:line="360" w:lineRule="auto"/>
        <w:ind w:firstLine="360"/>
        <w:jc w:val="both"/>
        <w:rPr>
          <w:rFonts w:ascii="David" w:eastAsia="David" w:hAnsi="David"/>
          <w:rtl/>
        </w:rPr>
      </w:pPr>
      <w:r>
        <w:rPr>
          <w:rFonts w:ascii="David" w:eastAsia="David" w:hAnsi="David"/>
          <w:b/>
          <w:bCs/>
          <w:u w:val="single"/>
          <w:rtl/>
        </w:rPr>
        <w:t>גזירת העונש המתאים לנאשם</w:t>
      </w:r>
    </w:p>
    <w:p w14:paraId="0C15E629"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rtl/>
        </w:rPr>
        <w:t xml:space="preserve">הנאשם כבן 20, בן למשפחה נורמטיבית, נעדר עבר פלילי, התסקיר שהתקבל חיובי ומלמד על נאשם שנטל אחריות על מעשיו, בעל סיכויי שיקום. משפחתו תומכת בו ומציבה לו גבול ברור. הנאשם התגייס להליך טיפולי קבוצתי ופרטני, בעקבותיו חל פיחות בסיכון הנשקף ממנו. </w:t>
      </w:r>
    </w:p>
    <w:p w14:paraId="3F2B6F5D" w14:textId="77777777" w:rsidR="00AC3955" w:rsidRDefault="00AC3955" w:rsidP="00AC3955">
      <w:pPr>
        <w:ind w:left="720"/>
        <w:contextualSpacing/>
        <w:rPr>
          <w:rFonts w:ascii="David" w:eastAsia="David" w:hAnsi="David"/>
        </w:rPr>
      </w:pPr>
    </w:p>
    <w:p w14:paraId="005C0CAB" w14:textId="77777777" w:rsidR="00AC3955" w:rsidRDefault="00AC3955" w:rsidP="00AC3955">
      <w:pPr>
        <w:numPr>
          <w:ilvl w:val="0"/>
          <w:numId w:val="1"/>
        </w:numPr>
        <w:spacing w:after="160" w:line="360" w:lineRule="auto"/>
        <w:contextualSpacing/>
        <w:jc w:val="both"/>
        <w:rPr>
          <w:rFonts w:ascii="David" w:eastAsia="David" w:hAnsi="David"/>
          <w:rtl/>
        </w:rPr>
      </w:pPr>
      <w:r>
        <w:rPr>
          <w:rFonts w:ascii="David" w:eastAsia="David" w:hAnsi="David"/>
          <w:b/>
          <w:bCs/>
          <w:rtl/>
        </w:rPr>
        <w:t>לאחר שבחנתי את כלל השיקולים, לרבות מדיניות הענישה במקרי שיקום בעבירות נשק, מצאתי כי ראוי בענייננו לחרוג באופן חלקי ממתחם הענישה מטעמי שיקום אך לא להימנע מעונש מאסר ממש.</w:t>
      </w:r>
      <w:r>
        <w:rPr>
          <w:rFonts w:ascii="David" w:eastAsia="David" w:hAnsi="David"/>
          <w:rtl/>
        </w:rPr>
        <w:t xml:space="preserve"> מקרי שיקום בעבירות נשק עד כדי הימנעות ממאסר  חריגים ביותר ומשתייכים על דרך הכלל לקבוצת מקרי שיקום יוצאי דופן או מקרים "מאד מיוחדים" (ראו </w:t>
      </w:r>
      <w:hyperlink r:id="rId24" w:history="1">
        <w:r w:rsidR="00FD5C9E" w:rsidRPr="00FD5C9E">
          <w:rPr>
            <w:color w:val="0000FF"/>
            <w:u w:val="single"/>
            <w:rtl/>
          </w:rPr>
          <w:t>ע"פ 6332/22</w:t>
        </w:r>
      </w:hyperlink>
      <w:r>
        <w:rPr>
          <w:rtl/>
        </w:rPr>
        <w:t xml:space="preserve"> </w:t>
      </w:r>
      <w:r>
        <w:rPr>
          <w:b/>
          <w:bCs/>
          <w:rtl/>
        </w:rPr>
        <w:t>פדידה נ' מדינת ישראל</w:t>
      </w:r>
      <w:r>
        <w:rPr>
          <w:rtl/>
        </w:rPr>
        <w:t xml:space="preserve"> (16.2.2023)); </w:t>
      </w:r>
      <w:hyperlink r:id="rId25" w:history="1">
        <w:r w:rsidR="00FD5C9E" w:rsidRPr="00FD5C9E">
          <w:rPr>
            <w:rFonts w:ascii="David" w:hAnsi="David"/>
            <w:color w:val="0000FF"/>
            <w:u w:val="single"/>
            <w:rtl/>
          </w:rPr>
          <w:t>ע"פ 5807/20</w:t>
        </w:r>
      </w:hyperlink>
      <w:r>
        <w:rPr>
          <w:rFonts w:ascii="David" w:hAnsi="David"/>
          <w:rtl/>
        </w:rPr>
        <w:t xml:space="preserve"> </w:t>
      </w:r>
      <w:r>
        <w:rPr>
          <w:rFonts w:ascii="David" w:hAnsi="David"/>
          <w:b/>
          <w:bCs/>
          <w:rtl/>
        </w:rPr>
        <w:t>מוחמד שיבלי נ' מדינת ישראל</w:t>
      </w:r>
      <w:r>
        <w:rPr>
          <w:rFonts w:ascii="David" w:hAnsi="David"/>
          <w:rtl/>
        </w:rPr>
        <w:t xml:space="preserve"> (30.12.20); </w:t>
      </w:r>
      <w:hyperlink r:id="rId26" w:history="1">
        <w:r w:rsidR="00FD5C9E" w:rsidRPr="00FD5C9E">
          <w:rPr>
            <w:rFonts w:ascii="David" w:hAnsi="David"/>
            <w:color w:val="0000FF"/>
            <w:u w:val="single"/>
            <w:rtl/>
          </w:rPr>
          <w:t>ע"פ 4332/21</w:t>
        </w:r>
      </w:hyperlink>
      <w:r>
        <w:rPr>
          <w:rFonts w:ascii="David" w:hAnsi="David"/>
          <w:rtl/>
        </w:rPr>
        <w:t xml:space="preserve"> </w:t>
      </w:r>
      <w:r>
        <w:rPr>
          <w:rFonts w:ascii="David" w:hAnsi="David"/>
          <w:b/>
          <w:bCs/>
          <w:rtl/>
        </w:rPr>
        <w:t>עאסלה נ' מדינת ישראל</w:t>
      </w:r>
      <w:r>
        <w:rPr>
          <w:rFonts w:ascii="David" w:hAnsi="David"/>
          <w:rtl/>
        </w:rPr>
        <w:t xml:space="preserve"> (20.2.2022)).</w:t>
      </w:r>
      <w:r>
        <w:rPr>
          <w:rtl/>
        </w:rPr>
        <w:t xml:space="preserve"> </w:t>
      </w:r>
      <w:r>
        <w:rPr>
          <w:rFonts w:ascii="David" w:hAnsi="David"/>
          <w:rtl/>
        </w:rPr>
        <w:t>עוד ראו</w:t>
      </w:r>
      <w:r>
        <w:rPr>
          <w:rtl/>
        </w:rPr>
        <w:t xml:space="preserve"> </w:t>
      </w:r>
      <w:hyperlink r:id="rId27" w:history="1">
        <w:r w:rsidR="00FD5C9E" w:rsidRPr="00FD5C9E">
          <w:rPr>
            <w:rFonts w:ascii="David" w:eastAsia="David" w:hAnsi="David"/>
            <w:color w:val="0000FF"/>
            <w:u w:val="single"/>
            <w:rtl/>
          </w:rPr>
          <w:t>ע"פ 1936/24</w:t>
        </w:r>
      </w:hyperlink>
      <w:r>
        <w:rPr>
          <w:rFonts w:ascii="David" w:eastAsia="David" w:hAnsi="David"/>
          <w:rtl/>
        </w:rPr>
        <w:t xml:space="preserve"> </w:t>
      </w:r>
      <w:r>
        <w:rPr>
          <w:rFonts w:ascii="David" w:eastAsia="David" w:hAnsi="David"/>
          <w:b/>
          <w:bCs/>
          <w:rtl/>
        </w:rPr>
        <w:t>בשארה נ' מדינת ישראל</w:t>
      </w:r>
      <w:r>
        <w:rPr>
          <w:rFonts w:ascii="David" w:eastAsia="David" w:hAnsi="David"/>
          <w:rtl/>
        </w:rPr>
        <w:t xml:space="preserve"> שניתן לאחרונה. </w:t>
      </w:r>
    </w:p>
    <w:p w14:paraId="665EB357" w14:textId="77777777" w:rsidR="00AC3955" w:rsidRPr="00FF33B3" w:rsidRDefault="00AC3955" w:rsidP="00AC3955">
      <w:pPr>
        <w:spacing w:after="160" w:line="360" w:lineRule="auto"/>
        <w:ind w:left="720"/>
        <w:contextualSpacing/>
        <w:jc w:val="both"/>
      </w:pPr>
    </w:p>
    <w:p w14:paraId="5A130BCA" w14:textId="77777777" w:rsidR="00AC3955" w:rsidRDefault="00AC3955" w:rsidP="00AC3955">
      <w:pPr>
        <w:numPr>
          <w:ilvl w:val="0"/>
          <w:numId w:val="1"/>
        </w:numPr>
        <w:spacing w:after="160" w:line="360" w:lineRule="auto"/>
        <w:contextualSpacing/>
        <w:jc w:val="both"/>
        <w:rPr>
          <w:rtl/>
        </w:rPr>
      </w:pPr>
      <w:r>
        <w:rPr>
          <w:rFonts w:ascii="David" w:eastAsia="David" w:hAnsi="David"/>
          <w:rtl/>
        </w:rPr>
        <w:t>המקרה שלפנינו אינו נמנה בין אלו. עניינו של הנאשם שלפניי אינו כולל הליך שיקום יוצא דופן או נסיבות ייחודיות, ועל כן אינו נופל בגדר המקרים המאפשרים הסתפקות בעונש שיקומי והעדפת שיקוליו האישיים של הנאשם על פני שיקולי גמול והרתעה</w:t>
      </w:r>
      <w:r>
        <w:rPr>
          <w:rFonts w:ascii="David" w:eastAsia="David" w:hAnsi="David"/>
          <w:i/>
          <w:iCs/>
          <w:rtl/>
        </w:rPr>
        <w:t>.</w:t>
      </w:r>
    </w:p>
    <w:p w14:paraId="27B81DED" w14:textId="77777777" w:rsidR="00AC3955" w:rsidRDefault="00AC3955" w:rsidP="00AC3955">
      <w:pPr>
        <w:spacing w:after="160" w:line="360" w:lineRule="auto"/>
        <w:ind w:left="720"/>
        <w:contextualSpacing/>
        <w:jc w:val="both"/>
      </w:pPr>
    </w:p>
    <w:p w14:paraId="5D60C2E5" w14:textId="77777777" w:rsidR="00AC3955" w:rsidRDefault="00AC3955" w:rsidP="00AC3955">
      <w:pPr>
        <w:numPr>
          <w:ilvl w:val="0"/>
          <w:numId w:val="1"/>
        </w:numPr>
        <w:spacing w:after="160" w:line="360" w:lineRule="auto"/>
        <w:contextualSpacing/>
        <w:jc w:val="both"/>
        <w:rPr>
          <w:rtl/>
        </w:rPr>
      </w:pPr>
      <w:r>
        <w:rPr>
          <w:rtl/>
        </w:rPr>
        <w:t xml:space="preserve">נתתי דעתי להמלצת שירות המבחן, לתקופה הארוכה שהיה נתון בתנאים מגבילים ולפגיעת המאסר בהמשך הליכי שיקומו, עם זאת צורך השעה הוא להילחם בתופעת הנשק הבלתי חוקי והעדפת אינטרס אישי על שיקולי ענישה אחרים חוטאת למדיניות הפסיקה. (ראו והשוו מקרי שיקום חלקי: </w:t>
      </w:r>
      <w:hyperlink r:id="rId28" w:history="1">
        <w:r w:rsidR="00FD5C9E" w:rsidRPr="00FD5C9E">
          <w:rPr>
            <w:color w:val="0000FF"/>
            <w:u w:val="single"/>
            <w:rtl/>
          </w:rPr>
          <w:t>ע"פ 4978/19</w:t>
        </w:r>
      </w:hyperlink>
      <w:r>
        <w:rPr>
          <w:rtl/>
        </w:rPr>
        <w:t xml:space="preserve"> </w:t>
      </w:r>
      <w:r>
        <w:rPr>
          <w:b/>
          <w:bCs/>
          <w:rtl/>
        </w:rPr>
        <w:t>אבו מנסור ואח' נ' מדינת ישראל</w:t>
      </w:r>
      <w:r>
        <w:rPr>
          <w:rtl/>
        </w:rPr>
        <w:t xml:space="preserve"> (28.1.20): </w:t>
      </w:r>
      <w:hyperlink r:id="rId29" w:history="1">
        <w:r w:rsidR="00FD5C9E" w:rsidRPr="00FD5C9E">
          <w:rPr>
            <w:color w:val="0000FF"/>
            <w:u w:val="single"/>
            <w:rtl/>
          </w:rPr>
          <w:t>ת"פ 36111-05-22</w:t>
        </w:r>
      </w:hyperlink>
      <w:r>
        <w:rPr>
          <w:rtl/>
        </w:rPr>
        <w:t xml:space="preserve"> </w:t>
      </w:r>
      <w:r>
        <w:rPr>
          <w:b/>
          <w:bCs/>
          <w:rtl/>
        </w:rPr>
        <w:t>מדינת ישראל נ' שלום</w:t>
      </w:r>
      <w:r>
        <w:rPr>
          <w:rtl/>
        </w:rPr>
        <w:t xml:space="preserve">, גזר דיני מיום 8.5.24). </w:t>
      </w:r>
    </w:p>
    <w:p w14:paraId="6421B510" w14:textId="77777777" w:rsidR="00AC3955" w:rsidRDefault="00AC3955" w:rsidP="00AC3955">
      <w:pPr>
        <w:pStyle w:val="a9"/>
        <w:rPr>
          <w:rFonts w:ascii="Times New Roman" w:eastAsia="Times New Roman" w:hAnsi="Times New Roman" w:cs="David"/>
          <w:sz w:val="24"/>
          <w:szCs w:val="24"/>
        </w:rPr>
      </w:pPr>
    </w:p>
    <w:p w14:paraId="7C2C19E6" w14:textId="77777777" w:rsidR="00AC3955" w:rsidRDefault="00AC3955" w:rsidP="00AC3955">
      <w:pPr>
        <w:numPr>
          <w:ilvl w:val="0"/>
          <w:numId w:val="1"/>
        </w:numPr>
        <w:spacing w:after="160" w:line="360" w:lineRule="auto"/>
        <w:contextualSpacing/>
        <w:jc w:val="both"/>
        <w:rPr>
          <w:rFonts w:ascii="David" w:eastAsia="David" w:hAnsi="David"/>
          <w:rtl/>
        </w:rPr>
      </w:pPr>
      <w:r>
        <w:rPr>
          <w:rtl/>
        </w:rPr>
        <w:t xml:space="preserve"> </w:t>
      </w:r>
      <w:r>
        <w:rPr>
          <w:rFonts w:ascii="David" w:eastAsia="David" w:hAnsi="David"/>
          <w:rtl/>
        </w:rPr>
        <w:t xml:space="preserve">לפיכך, מצאתי לחרוג חריגה מסוימת ממתחם הענישה ומהוראת סעיף 140 מטעמי שיקום, ולגזור על הנאשם את העונשים הבאים:   </w:t>
      </w:r>
    </w:p>
    <w:p w14:paraId="42EA8CC2" w14:textId="77777777" w:rsidR="00AC3955" w:rsidRDefault="00AC3955" w:rsidP="00AC3955">
      <w:pPr>
        <w:ind w:left="360"/>
        <w:rPr>
          <w:rFonts w:ascii="David" w:eastAsia="David" w:hAnsi="David"/>
          <w:b/>
          <w:bCs/>
        </w:rPr>
      </w:pPr>
    </w:p>
    <w:p w14:paraId="3B26C039" w14:textId="77777777" w:rsidR="00AC3955" w:rsidRDefault="00AC3955" w:rsidP="00AC3955">
      <w:pPr>
        <w:numPr>
          <w:ilvl w:val="0"/>
          <w:numId w:val="2"/>
        </w:numPr>
        <w:spacing w:line="360" w:lineRule="auto"/>
        <w:contextualSpacing/>
        <w:jc w:val="both"/>
        <w:rPr>
          <w:rFonts w:ascii="David" w:eastAsia="David" w:hAnsi="David"/>
          <w:rtl/>
        </w:rPr>
      </w:pPr>
      <w:r>
        <w:rPr>
          <w:rFonts w:ascii="David" w:eastAsia="David" w:hAnsi="David"/>
          <w:b/>
          <w:bCs/>
          <w:rtl/>
        </w:rPr>
        <w:t>17 חודשי מאסר</w:t>
      </w:r>
      <w:r>
        <w:rPr>
          <w:rFonts w:ascii="David" w:eastAsia="David" w:hAnsi="David"/>
          <w:rtl/>
        </w:rPr>
        <w:t xml:space="preserve"> בניכוי ימי מעצרו 6.2.24-31.3.24.</w:t>
      </w:r>
    </w:p>
    <w:p w14:paraId="58A92B10" w14:textId="77777777" w:rsidR="00AC3955" w:rsidRDefault="00AC3955" w:rsidP="00AC3955">
      <w:pPr>
        <w:numPr>
          <w:ilvl w:val="0"/>
          <w:numId w:val="2"/>
        </w:numPr>
        <w:spacing w:line="360" w:lineRule="auto"/>
        <w:contextualSpacing/>
        <w:jc w:val="both"/>
        <w:rPr>
          <w:rFonts w:ascii="David" w:eastAsia="David" w:hAnsi="David"/>
        </w:rPr>
      </w:pPr>
      <w:r>
        <w:rPr>
          <w:rFonts w:ascii="David" w:eastAsia="David" w:hAnsi="David"/>
          <w:rtl/>
        </w:rPr>
        <w:t xml:space="preserve">מאסר על תנאי בן 10 חודשים לבל יעבור הנאשם עבירת נשק תוך 3 שנים מיום שחרורו ממאסר. </w:t>
      </w:r>
    </w:p>
    <w:p w14:paraId="6CE5F547" w14:textId="77777777" w:rsidR="00AC3955" w:rsidRDefault="00AC3955" w:rsidP="00AC3955">
      <w:pPr>
        <w:numPr>
          <w:ilvl w:val="0"/>
          <w:numId w:val="2"/>
        </w:numPr>
        <w:spacing w:line="360" w:lineRule="auto"/>
        <w:contextualSpacing/>
        <w:jc w:val="both"/>
        <w:rPr>
          <w:rFonts w:ascii="David" w:eastAsia="David" w:hAnsi="David"/>
        </w:rPr>
      </w:pPr>
      <w:r>
        <w:rPr>
          <w:rFonts w:ascii="David" w:eastAsia="David" w:hAnsi="David"/>
          <w:rtl/>
        </w:rPr>
        <w:t xml:space="preserve">הנאשם יתייצב לתחילת ריצוי מאסרו ביום </w:t>
      </w:r>
      <w:r>
        <w:rPr>
          <w:rFonts w:ascii="David" w:eastAsia="David" w:hAnsi="David" w:hint="cs"/>
          <w:rtl/>
        </w:rPr>
        <w:t>24</w:t>
      </w:r>
      <w:r>
        <w:rPr>
          <w:rFonts w:ascii="David" w:eastAsia="David" w:hAnsi="David"/>
          <w:rtl/>
        </w:rPr>
        <w:t xml:space="preserve">.6.25  עד השעה 10:00 בבימ"ר הדרים. לצורך הבטחת התייצבותו תעמודנה הערבויות בתיק הנלווה והן יושבו למפקיד עם תחילת המאסר. </w:t>
      </w:r>
    </w:p>
    <w:p w14:paraId="4CFF9748" w14:textId="77777777" w:rsidR="00AC3955" w:rsidRDefault="00AC3955" w:rsidP="00AC3955">
      <w:pPr>
        <w:spacing w:line="360" w:lineRule="auto"/>
        <w:jc w:val="both"/>
        <w:rPr>
          <w:rFonts w:ascii="David" w:eastAsia="David" w:hAnsi="David"/>
        </w:rPr>
      </w:pPr>
    </w:p>
    <w:p w14:paraId="045B93FB" w14:textId="77777777" w:rsidR="00AC3955" w:rsidRDefault="00AC3955" w:rsidP="00AC3955">
      <w:pPr>
        <w:spacing w:line="360" w:lineRule="auto"/>
        <w:ind w:left="720"/>
        <w:jc w:val="both"/>
        <w:rPr>
          <w:rFonts w:ascii="David" w:eastAsia="David" w:hAnsi="David"/>
          <w:b/>
          <w:bCs/>
          <w:rtl/>
        </w:rPr>
      </w:pPr>
      <w:r>
        <w:rPr>
          <w:rFonts w:ascii="David" w:eastAsia="David" w:hAnsi="David"/>
          <w:rtl/>
        </w:rPr>
        <w:t>הנשק והמחסנית יושמדו. צו כללי למוצגים</w:t>
      </w:r>
    </w:p>
    <w:p w14:paraId="4848AA19" w14:textId="77777777" w:rsidR="00AC3955" w:rsidRPr="00251AB0" w:rsidRDefault="00FD5C9E" w:rsidP="00AC3955">
      <w:pPr>
        <w:spacing w:line="360" w:lineRule="auto"/>
        <w:ind w:left="720"/>
        <w:jc w:val="both"/>
        <w:rPr>
          <w:rFonts w:ascii="David" w:eastAsia="David" w:hAnsi="David"/>
          <w:rtl/>
        </w:rPr>
      </w:pPr>
      <w:r w:rsidRPr="00FD5C9E">
        <w:rPr>
          <w:rFonts w:ascii="David" w:eastAsia="David" w:hAnsi="David"/>
          <w:color w:val="FFFFFF"/>
          <w:sz w:val="2"/>
          <w:szCs w:val="2"/>
          <w:rtl/>
        </w:rPr>
        <w:t>5129371</w:t>
      </w:r>
      <w:r w:rsidR="00AC3955" w:rsidRPr="00251AB0">
        <w:rPr>
          <w:rFonts w:ascii="David" w:eastAsia="David" w:hAnsi="David" w:hint="cs"/>
          <w:rtl/>
        </w:rPr>
        <w:t xml:space="preserve">מכשיר טלפון של הנאשם יושב לו </w:t>
      </w:r>
    </w:p>
    <w:p w14:paraId="26B2577A" w14:textId="77777777" w:rsidR="00AC3955" w:rsidRPr="000F2247" w:rsidRDefault="00FD5C9E" w:rsidP="00AC3955">
      <w:pPr>
        <w:rPr>
          <w:rFonts w:ascii="Arial" w:hAnsi="Arial"/>
          <w:b/>
          <w:bCs/>
          <w:sz w:val="26"/>
          <w:szCs w:val="26"/>
          <w:rtl/>
        </w:rPr>
      </w:pPr>
      <w:r w:rsidRPr="00FD5C9E">
        <w:rPr>
          <w:rFonts w:ascii="David" w:eastAsia="David" w:hAnsi="David"/>
          <w:b/>
          <w:bCs/>
          <w:color w:val="FFFFFF"/>
          <w:sz w:val="2"/>
          <w:szCs w:val="2"/>
          <w:rtl/>
        </w:rPr>
        <w:t>54678313</w:t>
      </w:r>
      <w:r w:rsidR="00AC3955">
        <w:rPr>
          <w:rFonts w:ascii="David" w:eastAsia="David" w:hAnsi="David"/>
          <w:b/>
          <w:bCs/>
          <w:rtl/>
        </w:rPr>
        <w:t>זכות ערעור לבית המשפט העליון תוך 45 יום.</w:t>
      </w:r>
    </w:p>
    <w:p w14:paraId="22D2A75B" w14:textId="77777777" w:rsidR="00AC3955" w:rsidRPr="000F2247" w:rsidRDefault="00AC3955" w:rsidP="00AC3955">
      <w:pPr>
        <w:rPr>
          <w:rFonts w:ascii="Arial" w:hAnsi="Arial"/>
          <w:b/>
          <w:bCs/>
          <w:sz w:val="26"/>
          <w:szCs w:val="26"/>
          <w:rtl/>
        </w:rPr>
      </w:pPr>
    </w:p>
    <w:p w14:paraId="066B2534" w14:textId="77777777" w:rsidR="00AC3955" w:rsidRPr="000F2247" w:rsidRDefault="00FD5C9E" w:rsidP="00AC395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ניסן תשפ"ה, 07 אפריל 2025, במעמד הצדדים. </w:t>
      </w:r>
      <w:bookmarkEnd w:id="8"/>
      <w:r w:rsidR="00AC3955">
        <w:rPr>
          <w:rFonts w:ascii="Arial" w:hAnsi="Arial"/>
          <w:b/>
          <w:bCs/>
          <w:sz w:val="26"/>
          <w:szCs w:val="26"/>
          <w:rtl/>
        </w:rPr>
        <w:tab/>
      </w:r>
      <w:r w:rsidR="00AC3955">
        <w:rPr>
          <w:rFonts w:ascii="Arial" w:hAnsi="Arial"/>
          <w:b/>
          <w:bCs/>
          <w:sz w:val="26"/>
          <w:szCs w:val="26"/>
          <w:rtl/>
        </w:rPr>
        <w:tab/>
      </w:r>
      <w:r w:rsidR="00AC3955">
        <w:rPr>
          <w:rFonts w:ascii="Arial" w:hAnsi="Arial"/>
          <w:b/>
          <w:bCs/>
          <w:sz w:val="26"/>
          <w:szCs w:val="26"/>
          <w:rtl/>
        </w:rPr>
        <w:tab/>
      </w:r>
      <w:r w:rsidR="00AC3955">
        <w:rPr>
          <w:rFonts w:ascii="Arial" w:hAnsi="Arial"/>
          <w:b/>
          <w:bCs/>
          <w:sz w:val="26"/>
          <w:szCs w:val="26"/>
          <w:rtl/>
        </w:rPr>
        <w:tab/>
      </w:r>
      <w:r w:rsidR="00AC3955">
        <w:rPr>
          <w:rFonts w:ascii="Arial" w:hAnsi="Arial"/>
          <w:b/>
          <w:bCs/>
          <w:sz w:val="26"/>
          <w:szCs w:val="26"/>
          <w:rtl/>
        </w:rPr>
        <w:tab/>
      </w:r>
      <w:r w:rsidR="00AC3955">
        <w:rPr>
          <w:rFonts w:ascii="Arial" w:hAnsi="Arial"/>
          <w:b/>
          <w:bCs/>
          <w:sz w:val="26"/>
          <w:szCs w:val="26"/>
          <w:rtl/>
        </w:rPr>
        <w:tab/>
      </w:r>
      <w:r w:rsidR="00AC3955">
        <w:rPr>
          <w:rFonts w:ascii="Arial" w:hAnsi="Arial"/>
          <w:b/>
          <w:bCs/>
          <w:sz w:val="26"/>
          <w:szCs w:val="26"/>
          <w:rtl/>
        </w:rPr>
        <w:tab/>
      </w:r>
      <w:r w:rsidR="00AC3955">
        <w:rPr>
          <w:rFonts w:ascii="Arial" w:hAnsi="Arial" w:hint="cs"/>
          <w:b/>
          <w:bCs/>
          <w:sz w:val="26"/>
          <w:szCs w:val="26"/>
          <w:rtl/>
        </w:rPr>
        <w:t xml:space="preserve">         </w:t>
      </w:r>
    </w:p>
    <w:p w14:paraId="577EF8E2" w14:textId="77777777" w:rsidR="00AC3955" w:rsidRPr="000F2247" w:rsidRDefault="00AC3955" w:rsidP="00FD5C9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1ECA65" w14:textId="77777777" w:rsidR="00AC3955" w:rsidRPr="00EB0E13" w:rsidRDefault="00EB0E13" w:rsidP="00AC3955">
      <w:pPr>
        <w:jc w:val="center"/>
        <w:rPr>
          <w:rFonts w:ascii="Arial" w:hAnsi="Arial"/>
          <w:b/>
          <w:bCs/>
          <w:color w:val="FFFFFF"/>
          <w:sz w:val="2"/>
          <w:szCs w:val="2"/>
          <w:rtl/>
        </w:rPr>
      </w:pPr>
      <w:r w:rsidRPr="00EB0E13">
        <w:rPr>
          <w:rFonts w:ascii="Arial" w:hAnsi="Arial"/>
          <w:b/>
          <w:bCs/>
          <w:color w:val="FFFFFF"/>
          <w:sz w:val="2"/>
          <w:szCs w:val="2"/>
          <w:rtl/>
        </w:rPr>
        <w:t>5129371</w:t>
      </w:r>
    </w:p>
    <w:p w14:paraId="61476BCB" w14:textId="77777777" w:rsidR="006260DA" w:rsidRPr="00EB0E13" w:rsidRDefault="00EB0E13" w:rsidP="00FD5C9E">
      <w:pPr>
        <w:keepNext/>
        <w:rPr>
          <w:rFonts w:ascii="David" w:hAnsi="David"/>
          <w:color w:val="FFFFFF"/>
          <w:sz w:val="2"/>
          <w:szCs w:val="2"/>
          <w:rtl/>
        </w:rPr>
      </w:pPr>
      <w:r w:rsidRPr="00EB0E13">
        <w:rPr>
          <w:rFonts w:ascii="David" w:hAnsi="David"/>
          <w:color w:val="FFFFFF"/>
          <w:sz w:val="2"/>
          <w:szCs w:val="2"/>
          <w:rtl/>
        </w:rPr>
        <w:t>54678313</w:t>
      </w:r>
    </w:p>
    <w:p w14:paraId="0BFF2231" w14:textId="77777777" w:rsidR="00FD5C9E" w:rsidRDefault="00FD5C9E" w:rsidP="00FD5C9E">
      <w:pPr>
        <w:rPr>
          <w:rtl/>
        </w:rPr>
      </w:pPr>
    </w:p>
    <w:p w14:paraId="55CF644D" w14:textId="77777777" w:rsidR="00FD5C9E" w:rsidRDefault="00FD5C9E" w:rsidP="00FD5C9E">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047C826" w14:textId="77777777" w:rsidR="00EB0E13" w:rsidRPr="00EB0E13" w:rsidRDefault="00EB0E13" w:rsidP="00EB0E13">
      <w:pPr>
        <w:keepNext/>
        <w:rPr>
          <w:rFonts w:ascii="David" w:hAnsi="David"/>
          <w:color w:val="000000"/>
          <w:sz w:val="22"/>
          <w:szCs w:val="22"/>
          <w:rtl/>
        </w:rPr>
      </w:pPr>
    </w:p>
    <w:p w14:paraId="2CD61C0B" w14:textId="77777777" w:rsidR="00EB0E13" w:rsidRPr="00EB0E13" w:rsidRDefault="00EB0E13" w:rsidP="00EB0E13">
      <w:pPr>
        <w:keepNext/>
        <w:rPr>
          <w:rFonts w:ascii="David" w:hAnsi="David"/>
          <w:color w:val="000000"/>
          <w:sz w:val="22"/>
          <w:szCs w:val="22"/>
          <w:rtl/>
        </w:rPr>
      </w:pPr>
      <w:r w:rsidRPr="00EB0E13">
        <w:rPr>
          <w:rFonts w:ascii="David" w:hAnsi="David"/>
          <w:color w:val="000000"/>
          <w:sz w:val="22"/>
          <w:szCs w:val="22"/>
          <w:rtl/>
        </w:rPr>
        <w:t>מרב גרינברג 54678313-/</w:t>
      </w:r>
    </w:p>
    <w:p w14:paraId="2CFE9B5A" w14:textId="77777777" w:rsidR="00FD5C9E" w:rsidRPr="00FD5C9E" w:rsidRDefault="00EB0E13" w:rsidP="00EB0E13">
      <w:pPr>
        <w:rPr>
          <w:color w:val="0000FF"/>
          <w:u w:val="single"/>
        </w:rPr>
      </w:pPr>
      <w:r w:rsidRPr="00EB0E13">
        <w:rPr>
          <w:color w:val="000000"/>
          <w:u w:val="single"/>
          <w:rtl/>
        </w:rPr>
        <w:t>נוסח מסמך זה כפוף לשינויי ניסוח ועריכה</w:t>
      </w:r>
    </w:p>
    <w:sectPr w:rsidR="00FD5C9E" w:rsidRPr="00FD5C9E" w:rsidSect="00EB0E13">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899AB" w14:textId="77777777" w:rsidR="00797C7D" w:rsidRDefault="00797C7D" w:rsidP="007F486D">
      <w:r>
        <w:separator/>
      </w:r>
    </w:p>
  </w:endnote>
  <w:endnote w:type="continuationSeparator" w:id="0">
    <w:p w14:paraId="71FEB882" w14:textId="77777777" w:rsidR="00797C7D" w:rsidRDefault="00797C7D" w:rsidP="007F4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D5190" w14:textId="77777777" w:rsidR="00EB0E13" w:rsidRDefault="00EB0E13" w:rsidP="00EB0E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4CEBC82" w14:textId="77777777" w:rsidR="004704B4" w:rsidRPr="00EB0E13" w:rsidRDefault="00EB0E13" w:rsidP="00EB0E13">
    <w:pPr>
      <w:pStyle w:val="a5"/>
      <w:pBdr>
        <w:top w:val="single" w:sz="4" w:space="1" w:color="auto"/>
        <w:between w:val="single" w:sz="4" w:space="0" w:color="auto"/>
      </w:pBdr>
      <w:spacing w:after="60"/>
      <w:jc w:val="center"/>
      <w:rPr>
        <w:rFonts w:ascii="FrankRuehl" w:hAnsi="FrankRuehl" w:cs="FrankRuehl"/>
        <w:color w:val="000000"/>
      </w:rPr>
    </w:pPr>
    <w:r w:rsidRPr="00EB0E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43C37" w14:textId="77777777" w:rsidR="00EB0E13" w:rsidRDefault="00EB0E13" w:rsidP="00EB0E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7C51">
      <w:rPr>
        <w:rFonts w:ascii="FrankRuehl" w:hAnsi="FrankRuehl" w:cs="FrankRuehl"/>
        <w:noProof/>
        <w:rtl/>
      </w:rPr>
      <w:t>1</w:t>
    </w:r>
    <w:r>
      <w:rPr>
        <w:rFonts w:ascii="FrankRuehl" w:hAnsi="FrankRuehl" w:cs="FrankRuehl"/>
        <w:rtl/>
      </w:rPr>
      <w:fldChar w:fldCharType="end"/>
    </w:r>
  </w:p>
  <w:p w14:paraId="79A6D86D" w14:textId="77777777" w:rsidR="004704B4" w:rsidRPr="00EB0E13" w:rsidRDefault="00EB0E13" w:rsidP="00EB0E13">
    <w:pPr>
      <w:pStyle w:val="a5"/>
      <w:pBdr>
        <w:top w:val="single" w:sz="4" w:space="1" w:color="auto"/>
        <w:between w:val="single" w:sz="4" w:space="0" w:color="auto"/>
      </w:pBdr>
      <w:spacing w:after="60"/>
      <w:jc w:val="center"/>
      <w:rPr>
        <w:rFonts w:ascii="FrankRuehl" w:hAnsi="FrankRuehl" w:cs="FrankRuehl"/>
        <w:color w:val="000000"/>
      </w:rPr>
    </w:pPr>
    <w:r w:rsidRPr="00EB0E13">
      <w:rPr>
        <w:rFonts w:ascii="FrankRuehl" w:hAnsi="FrankRuehl" w:cs="FrankRuehl"/>
        <w:color w:val="000000"/>
      </w:rPr>
      <w:pict w14:anchorId="4137D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D75F3" w14:textId="77777777" w:rsidR="00797C7D" w:rsidRDefault="00797C7D" w:rsidP="007F486D">
      <w:r>
        <w:separator/>
      </w:r>
    </w:p>
  </w:footnote>
  <w:footnote w:type="continuationSeparator" w:id="0">
    <w:p w14:paraId="16E89D3C" w14:textId="77777777" w:rsidR="00797C7D" w:rsidRDefault="00797C7D" w:rsidP="007F4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705C8" w14:textId="77777777" w:rsidR="00FD5C9E" w:rsidRPr="00EB0E13" w:rsidRDefault="00EB0E13" w:rsidP="00EB0E1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20997-02-24</w:t>
    </w:r>
    <w:r>
      <w:rPr>
        <w:rFonts w:ascii="David" w:hAnsi="David"/>
        <w:color w:val="000000"/>
        <w:sz w:val="22"/>
        <w:szCs w:val="22"/>
        <w:rtl/>
      </w:rPr>
      <w:tab/>
      <w:t xml:space="preserve"> מדינת ישראל נ' נור אללה אלמחאריק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0DBDF" w14:textId="77777777" w:rsidR="00FD5C9E" w:rsidRPr="00EB0E13" w:rsidRDefault="00EB0E13" w:rsidP="00EB0E1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20997-02-24</w:t>
    </w:r>
    <w:r>
      <w:rPr>
        <w:rFonts w:ascii="David" w:hAnsi="David"/>
        <w:color w:val="000000"/>
        <w:sz w:val="22"/>
        <w:szCs w:val="22"/>
        <w:rtl/>
      </w:rPr>
      <w:tab/>
      <w:t xml:space="preserve"> מדינת ישראל נ' נור אללה אלמחאריק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22405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18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3955"/>
    <w:rsid w:val="00322869"/>
    <w:rsid w:val="004062DC"/>
    <w:rsid w:val="004704B4"/>
    <w:rsid w:val="006260DA"/>
    <w:rsid w:val="00797C7D"/>
    <w:rsid w:val="007F486D"/>
    <w:rsid w:val="008E7C51"/>
    <w:rsid w:val="00AC3955"/>
    <w:rsid w:val="00EB0E13"/>
    <w:rsid w:val="00FD5C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C7FD0C"/>
  <w15:chartTrackingRefBased/>
  <w15:docId w15:val="{EF7B14EE-11BE-4D40-926B-826A3648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395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3955"/>
    <w:pPr>
      <w:tabs>
        <w:tab w:val="center" w:pos="4153"/>
        <w:tab w:val="right" w:pos="8306"/>
      </w:tabs>
    </w:pPr>
  </w:style>
  <w:style w:type="character" w:customStyle="1" w:styleId="a4">
    <w:name w:val="כותרת עליונה תו"/>
    <w:link w:val="a3"/>
    <w:rsid w:val="00AC3955"/>
    <w:rPr>
      <w:rFonts w:ascii="Times New Roman" w:eastAsia="Times New Roman" w:hAnsi="Times New Roman" w:cs="David"/>
      <w:sz w:val="24"/>
      <w:szCs w:val="24"/>
    </w:rPr>
  </w:style>
  <w:style w:type="paragraph" w:styleId="a5">
    <w:name w:val="footer"/>
    <w:basedOn w:val="a"/>
    <w:link w:val="a6"/>
    <w:rsid w:val="00AC3955"/>
    <w:pPr>
      <w:tabs>
        <w:tab w:val="center" w:pos="4153"/>
        <w:tab w:val="right" w:pos="8306"/>
      </w:tabs>
    </w:pPr>
  </w:style>
  <w:style w:type="character" w:customStyle="1" w:styleId="a6">
    <w:name w:val="כותרת תחתונה תו"/>
    <w:link w:val="a5"/>
    <w:rsid w:val="00AC3955"/>
    <w:rPr>
      <w:rFonts w:ascii="Times New Roman" w:eastAsia="Times New Roman" w:hAnsi="Times New Roman" w:cs="David"/>
      <w:sz w:val="24"/>
      <w:szCs w:val="24"/>
    </w:rPr>
  </w:style>
  <w:style w:type="table" w:styleId="a7">
    <w:name w:val="Table Grid"/>
    <w:basedOn w:val="a1"/>
    <w:rsid w:val="00AC395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3955"/>
  </w:style>
  <w:style w:type="paragraph" w:styleId="a9">
    <w:name w:val="List Paragraph"/>
    <w:basedOn w:val="a"/>
    <w:qFormat/>
    <w:rsid w:val="00AC3955"/>
    <w:pPr>
      <w:spacing w:after="160" w:line="256" w:lineRule="auto"/>
      <w:ind w:left="720"/>
      <w:contextualSpacing/>
    </w:pPr>
    <w:rPr>
      <w:rFonts w:ascii="Calibri" w:eastAsia="Calibri" w:hAnsi="Calibri" w:cs="Arial"/>
      <w:sz w:val="22"/>
      <w:szCs w:val="22"/>
    </w:rPr>
  </w:style>
  <w:style w:type="character" w:styleId="Hyperlink">
    <w:name w:val="Hyperlink"/>
    <w:rsid w:val="00FD5C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152132" TargetMode="External"/><Relationship Id="rId18" Type="http://schemas.openxmlformats.org/officeDocument/2006/relationships/hyperlink" Target="http://www.nevo.co.il/case/28601157" TargetMode="External"/><Relationship Id="rId26" Type="http://schemas.openxmlformats.org/officeDocument/2006/relationships/hyperlink" Target="http://www.nevo.co.il/case/27721185" TargetMode="External"/><Relationship Id="rId3" Type="http://schemas.openxmlformats.org/officeDocument/2006/relationships/settings" Target="settings.xml"/><Relationship Id="rId21" Type="http://schemas.openxmlformats.org/officeDocument/2006/relationships/hyperlink" Target="http://www.nevo.co.il/case/2838086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case/27911638" TargetMode="External"/><Relationship Id="rId17" Type="http://schemas.openxmlformats.org/officeDocument/2006/relationships/hyperlink" Target="http://www.nevo.co.il/case/29303334" TargetMode="External"/><Relationship Id="rId25" Type="http://schemas.openxmlformats.org/officeDocument/2006/relationships/hyperlink" Target="http://www.nevo.co.il/case/2693468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500714" TargetMode="External"/><Relationship Id="rId20" Type="http://schemas.openxmlformats.org/officeDocument/2006/relationships/hyperlink" Target="http://www.nevo.co.il/case/27494821" TargetMode="External"/><Relationship Id="rId29" Type="http://schemas.openxmlformats.org/officeDocument/2006/relationships/hyperlink" Target="http://www.nevo.co.il/case/286126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yperlink" Target="http://www.nevo.co.il/case/2896359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568354" TargetMode="External"/><Relationship Id="rId23" Type="http://schemas.openxmlformats.org/officeDocument/2006/relationships/hyperlink" Target="http://www.nevo.co.il/case/29098539" TargetMode="External"/><Relationship Id="rId28" Type="http://schemas.openxmlformats.org/officeDocument/2006/relationships/hyperlink" Target="http://www.nevo.co.il/case/25892549"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750272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case/27716369" TargetMode="External"/><Relationship Id="rId27" Type="http://schemas.openxmlformats.org/officeDocument/2006/relationships/hyperlink" Target="http://www.nevo.co.il/case/30500343"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1813</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10859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3276923</vt:i4>
      </vt:variant>
      <vt:variant>
        <vt:i4>66</vt:i4>
      </vt:variant>
      <vt:variant>
        <vt:i4>0</vt:i4>
      </vt:variant>
      <vt:variant>
        <vt:i4>5</vt:i4>
      </vt:variant>
      <vt:variant>
        <vt:lpwstr>http://www.nevo.co.il/case/28612649</vt:lpwstr>
      </vt:variant>
      <vt:variant>
        <vt:lpwstr/>
      </vt:variant>
      <vt:variant>
        <vt:i4>3932285</vt:i4>
      </vt:variant>
      <vt:variant>
        <vt:i4>63</vt:i4>
      </vt:variant>
      <vt:variant>
        <vt:i4>0</vt:i4>
      </vt:variant>
      <vt:variant>
        <vt:i4>5</vt:i4>
      </vt:variant>
      <vt:variant>
        <vt:lpwstr>http://www.nevo.co.il/case/25892549</vt:lpwstr>
      </vt:variant>
      <vt:variant>
        <vt:lpwstr/>
      </vt:variant>
      <vt:variant>
        <vt:i4>3276919</vt:i4>
      </vt:variant>
      <vt:variant>
        <vt:i4>60</vt:i4>
      </vt:variant>
      <vt:variant>
        <vt:i4>0</vt:i4>
      </vt:variant>
      <vt:variant>
        <vt:i4>5</vt:i4>
      </vt:variant>
      <vt:variant>
        <vt:lpwstr>http://www.nevo.co.il/case/30500343</vt:lpwstr>
      </vt:variant>
      <vt:variant>
        <vt:lpwstr/>
      </vt:variant>
      <vt:variant>
        <vt:i4>3932272</vt:i4>
      </vt:variant>
      <vt:variant>
        <vt:i4>57</vt:i4>
      </vt:variant>
      <vt:variant>
        <vt:i4>0</vt:i4>
      </vt:variant>
      <vt:variant>
        <vt:i4>5</vt:i4>
      </vt:variant>
      <vt:variant>
        <vt:lpwstr>http://www.nevo.co.il/case/27721185</vt:lpwstr>
      </vt:variant>
      <vt:variant>
        <vt:lpwstr/>
      </vt:variant>
      <vt:variant>
        <vt:i4>3604599</vt:i4>
      </vt:variant>
      <vt:variant>
        <vt:i4>54</vt:i4>
      </vt:variant>
      <vt:variant>
        <vt:i4>0</vt:i4>
      </vt:variant>
      <vt:variant>
        <vt:i4>5</vt:i4>
      </vt:variant>
      <vt:variant>
        <vt:lpwstr>http://www.nevo.co.il/case/26934681</vt:lpwstr>
      </vt:variant>
      <vt:variant>
        <vt:lpwstr/>
      </vt:variant>
      <vt:variant>
        <vt:i4>3211391</vt:i4>
      </vt:variant>
      <vt:variant>
        <vt:i4>51</vt:i4>
      </vt:variant>
      <vt:variant>
        <vt:i4>0</vt:i4>
      </vt:variant>
      <vt:variant>
        <vt:i4>5</vt:i4>
      </vt:variant>
      <vt:variant>
        <vt:lpwstr>http://www.nevo.co.il/case/28963593</vt:lpwstr>
      </vt:variant>
      <vt:variant>
        <vt:lpwstr/>
      </vt:variant>
      <vt:variant>
        <vt:i4>3735665</vt:i4>
      </vt:variant>
      <vt:variant>
        <vt:i4>48</vt:i4>
      </vt:variant>
      <vt:variant>
        <vt:i4>0</vt:i4>
      </vt:variant>
      <vt:variant>
        <vt:i4>5</vt:i4>
      </vt:variant>
      <vt:variant>
        <vt:lpwstr>http://www.nevo.co.il/case/29098539</vt:lpwstr>
      </vt:variant>
      <vt:variant>
        <vt:lpwstr/>
      </vt:variant>
      <vt:variant>
        <vt:i4>3473521</vt:i4>
      </vt:variant>
      <vt:variant>
        <vt:i4>45</vt:i4>
      </vt:variant>
      <vt:variant>
        <vt:i4>0</vt:i4>
      </vt:variant>
      <vt:variant>
        <vt:i4>5</vt:i4>
      </vt:variant>
      <vt:variant>
        <vt:lpwstr>http://www.nevo.co.il/case/27716369</vt:lpwstr>
      </vt:variant>
      <vt:variant>
        <vt:lpwstr/>
      </vt:variant>
      <vt:variant>
        <vt:i4>3604604</vt:i4>
      </vt:variant>
      <vt:variant>
        <vt:i4>42</vt:i4>
      </vt:variant>
      <vt:variant>
        <vt:i4>0</vt:i4>
      </vt:variant>
      <vt:variant>
        <vt:i4>5</vt:i4>
      </vt:variant>
      <vt:variant>
        <vt:lpwstr>http://www.nevo.co.il/case/28380863</vt:lpwstr>
      </vt:variant>
      <vt:variant>
        <vt:lpwstr/>
      </vt:variant>
      <vt:variant>
        <vt:i4>3145842</vt:i4>
      </vt:variant>
      <vt:variant>
        <vt:i4>39</vt:i4>
      </vt:variant>
      <vt:variant>
        <vt:i4>0</vt:i4>
      </vt:variant>
      <vt:variant>
        <vt:i4>5</vt:i4>
      </vt:variant>
      <vt:variant>
        <vt:lpwstr>http://www.nevo.co.il/case/27494821</vt:lpwstr>
      </vt:variant>
      <vt:variant>
        <vt:lpwstr/>
      </vt:variant>
      <vt:variant>
        <vt:i4>3604596</vt:i4>
      </vt:variant>
      <vt:variant>
        <vt:i4>36</vt:i4>
      </vt:variant>
      <vt:variant>
        <vt:i4>0</vt:i4>
      </vt:variant>
      <vt:variant>
        <vt:i4>5</vt:i4>
      </vt:variant>
      <vt:variant>
        <vt:lpwstr>http://www.nevo.co.il/case/27502726</vt:lpwstr>
      </vt:variant>
      <vt:variant>
        <vt:lpwstr/>
      </vt:variant>
      <vt:variant>
        <vt:i4>3145853</vt:i4>
      </vt:variant>
      <vt:variant>
        <vt:i4>33</vt:i4>
      </vt:variant>
      <vt:variant>
        <vt:i4>0</vt:i4>
      </vt:variant>
      <vt:variant>
        <vt:i4>5</vt:i4>
      </vt:variant>
      <vt:variant>
        <vt:lpwstr>http://www.nevo.co.il/case/28601157</vt:lpwstr>
      </vt:variant>
      <vt:variant>
        <vt:lpwstr/>
      </vt:variant>
      <vt:variant>
        <vt:i4>3211390</vt:i4>
      </vt:variant>
      <vt:variant>
        <vt:i4>30</vt:i4>
      </vt:variant>
      <vt:variant>
        <vt:i4>0</vt:i4>
      </vt:variant>
      <vt:variant>
        <vt:i4>5</vt:i4>
      </vt:variant>
      <vt:variant>
        <vt:lpwstr>http://www.nevo.co.il/case/29303334</vt:lpwstr>
      </vt:variant>
      <vt:variant>
        <vt:lpwstr/>
      </vt:variant>
      <vt:variant>
        <vt:i4>3539060</vt:i4>
      </vt:variant>
      <vt:variant>
        <vt:i4>27</vt:i4>
      </vt:variant>
      <vt:variant>
        <vt:i4>0</vt:i4>
      </vt:variant>
      <vt:variant>
        <vt:i4>5</vt:i4>
      </vt:variant>
      <vt:variant>
        <vt:lpwstr>http://www.nevo.co.il/case/27500714</vt:lpwstr>
      </vt:variant>
      <vt:variant>
        <vt:lpwstr/>
      </vt:variant>
      <vt:variant>
        <vt:i4>3407996</vt:i4>
      </vt:variant>
      <vt:variant>
        <vt:i4>24</vt:i4>
      </vt:variant>
      <vt:variant>
        <vt:i4>0</vt:i4>
      </vt:variant>
      <vt:variant>
        <vt:i4>5</vt:i4>
      </vt:variant>
      <vt:variant>
        <vt:lpwstr>http://www.nevo.co.il/case/5568354</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20997</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נור אללה אלמחאריק</vt:lpwstr>
  </property>
  <property fmtid="{D5CDD505-2E9C-101B-9397-08002B2CF9AE}" pid="10" name="LAWYER">
    <vt:lpwstr>אורן ששון;יעל תרם</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20250407</vt:lpwstr>
  </property>
  <property fmtid="{D5CDD505-2E9C-101B-9397-08002B2CF9AE}" pid="14" name="TYPE_N_DATE">
    <vt:lpwstr>39020250407</vt:lpwstr>
  </property>
  <property fmtid="{D5CDD505-2E9C-101B-9397-08002B2CF9AE}" pid="15" name="CASESLISTTMP1">
    <vt:lpwstr>27894608;27911638;28152132;28452933;5568354;27500714;29303334;28601157;27502726;27494821;28380863;27716369;29098539;28963593;26934681;27721185;30500343;25892549;28612649</vt:lpwstr>
  </property>
  <property fmtid="{D5CDD505-2E9C-101B-9397-08002B2CF9AE}" pid="16" name="CASENOTES1">
    <vt:lpwstr>ProcID=133;209&amp;PartA=78&amp;PartC=21</vt:lpwstr>
  </property>
  <property fmtid="{D5CDD505-2E9C-101B-9397-08002B2CF9AE}" pid="17" name="WORDNUMPAGES">
    <vt:lpwstr>6</vt:lpwstr>
  </property>
  <property fmtid="{D5CDD505-2E9C-101B-9397-08002B2CF9AE}" pid="18" name="TYPE_ABS_DATE">
    <vt:lpwstr>390020250407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vt:lpwstr>
  </property>
  <property fmtid="{D5CDD505-2E9C-101B-9397-08002B2CF9AE}" pid="37" name="ISABSTRACT">
    <vt:lpwstr>Y</vt:lpwstr>
  </property>
</Properties>
</file>