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FD128F" w:rsidRPr="008730D7" w14:paraId="2ADCB575" w14:textId="77777777" w:rsidTr="00C91DFB">
        <w:trPr>
          <w:trHeight w:hRule="exact" w:val="418"/>
          <w:jc w:val="center"/>
        </w:trPr>
        <w:tc>
          <w:tcPr>
            <w:tcW w:w="8721" w:type="dxa"/>
            <w:gridSpan w:val="2"/>
          </w:tcPr>
          <w:p w14:paraId="299DEEBE" w14:textId="77777777" w:rsidR="00FD128F" w:rsidRPr="008730D7" w:rsidRDefault="00FD128F" w:rsidP="00146E87">
            <w:pPr>
              <w:pStyle w:val="a3"/>
              <w:jc w:val="center"/>
              <w:rPr>
                <w:rFonts w:ascii="Tahoma" w:hAnsi="Tahoma" w:cs="Tahoma"/>
                <w:color w:val="000080"/>
                <w:rtl/>
              </w:rPr>
            </w:pPr>
            <w:bookmarkStart w:id="0" w:name="LastJudge"/>
            <w:r w:rsidRPr="008730D7">
              <w:rPr>
                <w:rFonts w:ascii="Tahoma" w:hAnsi="Tahoma" w:cs="Tahoma"/>
                <w:b/>
                <w:bCs/>
                <w:color w:val="000080"/>
                <w:rtl/>
              </w:rPr>
              <w:t>בית המשפט המחוזי מרכז-לוד</w:t>
            </w:r>
          </w:p>
        </w:tc>
      </w:tr>
      <w:tr w:rsidR="00FD128F" w:rsidRPr="008730D7" w14:paraId="00D1114D" w14:textId="77777777" w:rsidTr="00C91DFB">
        <w:trPr>
          <w:trHeight w:val="337"/>
          <w:jc w:val="center"/>
        </w:trPr>
        <w:tc>
          <w:tcPr>
            <w:tcW w:w="5057" w:type="dxa"/>
          </w:tcPr>
          <w:p w14:paraId="702A1973" w14:textId="77777777" w:rsidR="00FD128F" w:rsidRPr="008730D7" w:rsidRDefault="00FD128F" w:rsidP="00146E87">
            <w:pPr>
              <w:rPr>
                <w:rFonts w:cs="FrankRuehl"/>
                <w:sz w:val="28"/>
                <w:szCs w:val="28"/>
                <w:rtl/>
              </w:rPr>
            </w:pPr>
            <w:r w:rsidRPr="008730D7">
              <w:rPr>
                <w:rFonts w:cs="FrankRuehl"/>
                <w:sz w:val="28"/>
                <w:szCs w:val="28"/>
                <w:rtl/>
              </w:rPr>
              <w:t>ת"פ</w:t>
            </w:r>
            <w:r w:rsidRPr="008730D7">
              <w:rPr>
                <w:rFonts w:cs="FrankRuehl" w:hint="cs"/>
                <w:sz w:val="28"/>
                <w:szCs w:val="28"/>
                <w:rtl/>
              </w:rPr>
              <w:t xml:space="preserve"> </w:t>
            </w:r>
            <w:r w:rsidRPr="008730D7">
              <w:rPr>
                <w:rFonts w:cs="FrankRuehl"/>
                <w:sz w:val="28"/>
                <w:szCs w:val="28"/>
                <w:rtl/>
              </w:rPr>
              <w:t>24517-02-24</w:t>
            </w:r>
            <w:r w:rsidRPr="008730D7">
              <w:rPr>
                <w:rFonts w:cs="FrankRuehl" w:hint="cs"/>
                <w:sz w:val="28"/>
                <w:szCs w:val="28"/>
                <w:rtl/>
              </w:rPr>
              <w:t xml:space="preserve"> </w:t>
            </w:r>
            <w:r w:rsidRPr="008730D7">
              <w:rPr>
                <w:rFonts w:cs="FrankRuehl"/>
                <w:sz w:val="28"/>
                <w:szCs w:val="28"/>
                <w:rtl/>
              </w:rPr>
              <w:t>מדינת ישראל נ' חאג' יחיא(עציר)</w:t>
            </w:r>
          </w:p>
          <w:p w14:paraId="1A1F49B7" w14:textId="77777777" w:rsidR="00FD128F" w:rsidRPr="008730D7" w:rsidRDefault="00FD128F" w:rsidP="00146E87">
            <w:pPr>
              <w:pStyle w:val="a3"/>
              <w:rPr>
                <w:rFonts w:cs="FrankRuehl"/>
                <w:sz w:val="28"/>
                <w:szCs w:val="28"/>
                <w:rtl/>
              </w:rPr>
            </w:pPr>
          </w:p>
        </w:tc>
        <w:tc>
          <w:tcPr>
            <w:tcW w:w="3664" w:type="dxa"/>
          </w:tcPr>
          <w:p w14:paraId="3D5BAB8D" w14:textId="77777777" w:rsidR="00FD128F" w:rsidRPr="008730D7" w:rsidRDefault="00FD128F" w:rsidP="00146E87">
            <w:pPr>
              <w:pStyle w:val="a3"/>
              <w:jc w:val="right"/>
              <w:rPr>
                <w:rFonts w:cs="FrankRuehl"/>
                <w:sz w:val="28"/>
                <w:szCs w:val="28"/>
                <w:rtl/>
              </w:rPr>
            </w:pPr>
          </w:p>
        </w:tc>
      </w:tr>
    </w:tbl>
    <w:p w14:paraId="6F91589D" w14:textId="77777777" w:rsidR="00FD128F" w:rsidRPr="008730D7" w:rsidRDefault="00FD128F" w:rsidP="00FD128F">
      <w:pPr>
        <w:pStyle w:val="a3"/>
        <w:rPr>
          <w:rtl/>
        </w:rPr>
      </w:pPr>
      <w:r w:rsidRPr="008730D7">
        <w:rPr>
          <w:rFonts w:hint="cs"/>
          <w:rtl/>
        </w:rPr>
        <w:t xml:space="preserve"> </w:t>
      </w:r>
    </w:p>
    <w:p w14:paraId="36016E3B" w14:textId="77777777" w:rsidR="00FD128F" w:rsidRPr="008730D7" w:rsidRDefault="00FD128F" w:rsidP="00FD128F">
      <w:pPr>
        <w:rPr>
          <w:rFonts w:ascii="FrankRuehl" w:hAnsi="FrankRuehl" w:cs="FrankRuehl"/>
          <w:b/>
          <w:bCs/>
          <w:sz w:val="28"/>
          <w:szCs w:val="28"/>
          <w:rtl/>
        </w:rPr>
      </w:pPr>
    </w:p>
    <w:p w14:paraId="6FEEA1BA" w14:textId="77777777" w:rsidR="00FD128F" w:rsidRPr="008730D7" w:rsidRDefault="00FD128F" w:rsidP="00FD128F">
      <w:pPr>
        <w:rPr>
          <w:rFonts w:ascii="FrankRuehl" w:hAnsi="FrankRuehl" w:cs="FrankRuehl"/>
          <w:b/>
          <w:bCs/>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D128F" w:rsidRPr="008730D7" w14:paraId="4A28E1BB" w14:textId="77777777" w:rsidTr="00FD128F">
        <w:trPr>
          <w:trHeight w:val="295"/>
          <w:jc w:val="center"/>
        </w:trPr>
        <w:tc>
          <w:tcPr>
            <w:tcW w:w="923" w:type="dxa"/>
            <w:tcBorders>
              <w:top w:val="nil"/>
              <w:left w:val="nil"/>
              <w:bottom w:val="nil"/>
              <w:right w:val="nil"/>
            </w:tcBorders>
            <w:shd w:val="clear" w:color="auto" w:fill="auto"/>
          </w:tcPr>
          <w:p w14:paraId="30BF43AC" w14:textId="77777777" w:rsidR="00FD128F" w:rsidRPr="008730D7" w:rsidRDefault="00FD128F" w:rsidP="00FD128F">
            <w:pPr>
              <w:jc w:val="both"/>
              <w:rPr>
                <w:rFonts w:ascii="FrankRuehl" w:hAnsi="FrankRuehl" w:cs="FrankRuehl"/>
                <w:b/>
                <w:bCs/>
                <w:sz w:val="28"/>
                <w:szCs w:val="28"/>
              </w:rPr>
            </w:pPr>
            <w:r w:rsidRPr="008730D7">
              <w:rPr>
                <w:rFonts w:ascii="FrankRuehl" w:hAnsi="FrankRuehl" w:cs="FrankRuehl"/>
                <w:b/>
                <w:bCs/>
                <w:sz w:val="28"/>
                <w:szCs w:val="28"/>
                <w:rtl/>
              </w:rPr>
              <w:t xml:space="preserve">בפני </w:t>
            </w:r>
          </w:p>
        </w:tc>
        <w:tc>
          <w:tcPr>
            <w:tcW w:w="7897" w:type="dxa"/>
            <w:gridSpan w:val="2"/>
            <w:tcBorders>
              <w:top w:val="nil"/>
              <w:left w:val="nil"/>
              <w:bottom w:val="nil"/>
              <w:right w:val="nil"/>
            </w:tcBorders>
            <w:shd w:val="clear" w:color="auto" w:fill="auto"/>
          </w:tcPr>
          <w:p w14:paraId="3493F4ED" w14:textId="77777777" w:rsidR="00FD128F" w:rsidRPr="008730D7" w:rsidRDefault="00FD128F" w:rsidP="00146E87">
            <w:pPr>
              <w:rPr>
                <w:rFonts w:ascii="FrankRuehl" w:hAnsi="FrankRuehl" w:cs="FrankRuehl"/>
                <w:b/>
                <w:bCs/>
                <w:sz w:val="28"/>
                <w:szCs w:val="28"/>
                <w:rtl/>
              </w:rPr>
            </w:pPr>
            <w:r w:rsidRPr="008730D7">
              <w:rPr>
                <w:rFonts w:ascii="FrankRuehl" w:hAnsi="FrankRuehl" w:cs="FrankRuehl"/>
                <w:b/>
                <w:bCs/>
                <w:sz w:val="28"/>
                <w:szCs w:val="28"/>
                <w:rtl/>
              </w:rPr>
              <w:t>כבוד השופטת הבכירה,  מיכל ברנט</w:t>
            </w:r>
          </w:p>
          <w:p w14:paraId="2B2800F7" w14:textId="77777777" w:rsidR="00FD128F" w:rsidRPr="008730D7" w:rsidRDefault="00FD128F" w:rsidP="00146E87">
            <w:pPr>
              <w:rPr>
                <w:rFonts w:ascii="FrankRuehl" w:hAnsi="FrankRuehl" w:cs="FrankRuehl"/>
                <w:b/>
                <w:bCs/>
                <w:sz w:val="28"/>
                <w:szCs w:val="28"/>
                <w:rtl/>
              </w:rPr>
            </w:pPr>
          </w:p>
          <w:p w14:paraId="38B9C78B" w14:textId="77777777" w:rsidR="00FD128F" w:rsidRPr="008730D7" w:rsidRDefault="00FD128F" w:rsidP="00FD128F">
            <w:pPr>
              <w:jc w:val="both"/>
              <w:rPr>
                <w:rFonts w:ascii="FrankRuehl" w:hAnsi="FrankRuehl" w:cs="FrankRuehl"/>
                <w:b/>
                <w:bCs/>
                <w:sz w:val="28"/>
                <w:szCs w:val="28"/>
              </w:rPr>
            </w:pPr>
          </w:p>
        </w:tc>
      </w:tr>
      <w:tr w:rsidR="00FD128F" w:rsidRPr="008730D7" w14:paraId="65F076AC" w14:textId="77777777" w:rsidTr="00FD128F">
        <w:trPr>
          <w:trHeight w:val="355"/>
          <w:jc w:val="center"/>
        </w:trPr>
        <w:tc>
          <w:tcPr>
            <w:tcW w:w="923" w:type="dxa"/>
            <w:tcBorders>
              <w:top w:val="nil"/>
              <w:left w:val="nil"/>
              <w:bottom w:val="nil"/>
              <w:right w:val="nil"/>
            </w:tcBorders>
            <w:shd w:val="clear" w:color="auto" w:fill="auto"/>
          </w:tcPr>
          <w:p w14:paraId="1D68B2A7" w14:textId="77777777" w:rsidR="00FD128F" w:rsidRPr="008730D7" w:rsidRDefault="00FD128F" w:rsidP="00FD128F">
            <w:pPr>
              <w:jc w:val="both"/>
              <w:rPr>
                <w:rFonts w:ascii="FrankRuehl" w:hAnsi="FrankRuehl" w:cs="FrankRuehl"/>
                <w:b/>
                <w:bCs/>
                <w:sz w:val="28"/>
                <w:szCs w:val="28"/>
              </w:rPr>
            </w:pPr>
            <w:bookmarkStart w:id="1" w:name="FirstAppellant"/>
            <w:r w:rsidRPr="008730D7">
              <w:rPr>
                <w:rFonts w:ascii="FrankRuehl" w:hAnsi="FrankRuehl" w:cs="FrankRuehl"/>
                <w:b/>
                <w:bCs/>
                <w:sz w:val="28"/>
                <w:szCs w:val="28"/>
                <w:rtl/>
              </w:rPr>
              <w:t>בעניין:</w:t>
            </w:r>
          </w:p>
        </w:tc>
        <w:tc>
          <w:tcPr>
            <w:tcW w:w="4126" w:type="dxa"/>
            <w:tcBorders>
              <w:top w:val="nil"/>
              <w:left w:val="nil"/>
              <w:bottom w:val="nil"/>
              <w:right w:val="nil"/>
            </w:tcBorders>
            <w:shd w:val="clear" w:color="auto" w:fill="auto"/>
          </w:tcPr>
          <w:p w14:paraId="549A83D6" w14:textId="77777777" w:rsidR="00FD128F" w:rsidRPr="008730D7" w:rsidRDefault="00FD128F" w:rsidP="00146E87">
            <w:pPr>
              <w:rPr>
                <w:rFonts w:ascii="FrankRuehl" w:hAnsi="FrankRuehl" w:cs="FrankRuehl"/>
                <w:b/>
                <w:bCs/>
                <w:sz w:val="28"/>
                <w:szCs w:val="28"/>
              </w:rPr>
            </w:pPr>
            <w:r w:rsidRPr="008730D7">
              <w:rPr>
                <w:rFonts w:ascii="FrankRuehl" w:hAnsi="FrankRuehl" w:cs="FrankRuehl"/>
                <w:b/>
                <w:bCs/>
                <w:sz w:val="28"/>
                <w:szCs w:val="28"/>
                <w:rtl/>
              </w:rPr>
              <w:t>מדינת ישראל</w:t>
            </w:r>
          </w:p>
        </w:tc>
        <w:tc>
          <w:tcPr>
            <w:tcW w:w="3771" w:type="dxa"/>
            <w:tcBorders>
              <w:top w:val="nil"/>
              <w:left w:val="nil"/>
              <w:bottom w:val="nil"/>
              <w:right w:val="nil"/>
            </w:tcBorders>
            <w:shd w:val="clear" w:color="auto" w:fill="auto"/>
          </w:tcPr>
          <w:p w14:paraId="46C09A69" w14:textId="77777777" w:rsidR="00FD128F" w:rsidRPr="008730D7" w:rsidRDefault="00FD128F" w:rsidP="00FD128F">
            <w:pPr>
              <w:jc w:val="both"/>
              <w:rPr>
                <w:rFonts w:ascii="FrankRuehl" w:hAnsi="FrankRuehl" w:cs="FrankRuehl"/>
                <w:b/>
                <w:bCs/>
                <w:sz w:val="28"/>
                <w:szCs w:val="28"/>
              </w:rPr>
            </w:pPr>
          </w:p>
        </w:tc>
      </w:tr>
      <w:bookmarkEnd w:id="1"/>
      <w:tr w:rsidR="00FD128F" w:rsidRPr="008730D7" w14:paraId="42C76132" w14:textId="77777777" w:rsidTr="00FD128F">
        <w:trPr>
          <w:trHeight w:val="355"/>
          <w:jc w:val="center"/>
        </w:trPr>
        <w:tc>
          <w:tcPr>
            <w:tcW w:w="923" w:type="dxa"/>
            <w:tcBorders>
              <w:top w:val="nil"/>
              <w:left w:val="nil"/>
              <w:bottom w:val="nil"/>
              <w:right w:val="nil"/>
            </w:tcBorders>
            <w:shd w:val="clear" w:color="auto" w:fill="auto"/>
          </w:tcPr>
          <w:p w14:paraId="55059E18" w14:textId="77777777" w:rsidR="00FD128F" w:rsidRPr="008730D7" w:rsidRDefault="00FD128F" w:rsidP="00FD128F">
            <w:pPr>
              <w:jc w:val="both"/>
              <w:rPr>
                <w:rFonts w:ascii="FrankRuehl" w:hAnsi="FrankRuehl" w:cs="FrankRuehl"/>
                <w:b/>
                <w:bCs/>
                <w:sz w:val="28"/>
                <w:szCs w:val="28"/>
                <w:rtl/>
              </w:rPr>
            </w:pPr>
          </w:p>
        </w:tc>
        <w:tc>
          <w:tcPr>
            <w:tcW w:w="4126" w:type="dxa"/>
            <w:tcBorders>
              <w:top w:val="nil"/>
              <w:left w:val="nil"/>
              <w:bottom w:val="nil"/>
              <w:right w:val="nil"/>
            </w:tcBorders>
            <w:shd w:val="clear" w:color="auto" w:fill="auto"/>
          </w:tcPr>
          <w:p w14:paraId="538ED0FD" w14:textId="77777777" w:rsidR="00FD128F" w:rsidRPr="008730D7" w:rsidRDefault="00FD128F" w:rsidP="00FD128F">
            <w:pPr>
              <w:jc w:val="both"/>
              <w:rPr>
                <w:rFonts w:ascii="FrankRuehl" w:hAnsi="FrankRuehl" w:cs="FrankRuehl"/>
                <w:b/>
                <w:bCs/>
                <w:sz w:val="28"/>
                <w:szCs w:val="28"/>
                <w:rtl/>
              </w:rPr>
            </w:pPr>
          </w:p>
        </w:tc>
        <w:tc>
          <w:tcPr>
            <w:tcW w:w="3771" w:type="dxa"/>
            <w:tcBorders>
              <w:top w:val="nil"/>
              <w:left w:val="nil"/>
              <w:bottom w:val="nil"/>
              <w:right w:val="nil"/>
            </w:tcBorders>
            <w:shd w:val="clear" w:color="auto" w:fill="auto"/>
          </w:tcPr>
          <w:p w14:paraId="28F464AF" w14:textId="77777777" w:rsidR="00FD128F" w:rsidRPr="008730D7" w:rsidRDefault="00FD128F" w:rsidP="00FD128F">
            <w:pPr>
              <w:jc w:val="right"/>
              <w:rPr>
                <w:rFonts w:ascii="FrankRuehl" w:hAnsi="FrankRuehl" w:cs="FrankRuehl"/>
                <w:b/>
                <w:bCs/>
                <w:sz w:val="28"/>
                <w:szCs w:val="28"/>
                <w:rtl/>
              </w:rPr>
            </w:pPr>
            <w:r w:rsidRPr="008730D7">
              <w:rPr>
                <w:rFonts w:ascii="FrankRuehl" w:hAnsi="FrankRuehl" w:cs="FrankRuehl"/>
                <w:b/>
                <w:bCs/>
                <w:sz w:val="28"/>
                <w:szCs w:val="28"/>
                <w:rtl/>
              </w:rPr>
              <w:t>המאשימה</w:t>
            </w:r>
          </w:p>
        </w:tc>
      </w:tr>
      <w:tr w:rsidR="00FD128F" w:rsidRPr="008730D7" w14:paraId="375C8C8E" w14:textId="77777777" w:rsidTr="00FD128F">
        <w:trPr>
          <w:trHeight w:val="355"/>
          <w:jc w:val="center"/>
        </w:trPr>
        <w:tc>
          <w:tcPr>
            <w:tcW w:w="923" w:type="dxa"/>
            <w:tcBorders>
              <w:top w:val="nil"/>
              <w:left w:val="nil"/>
              <w:bottom w:val="nil"/>
              <w:right w:val="nil"/>
            </w:tcBorders>
            <w:shd w:val="clear" w:color="auto" w:fill="auto"/>
          </w:tcPr>
          <w:p w14:paraId="75E889E9" w14:textId="77777777" w:rsidR="00FD128F" w:rsidRPr="008730D7" w:rsidRDefault="00FD128F" w:rsidP="00FD128F">
            <w:pPr>
              <w:jc w:val="both"/>
              <w:rPr>
                <w:rFonts w:ascii="FrankRuehl" w:hAnsi="FrankRuehl" w:cs="FrankRuehl"/>
                <w:b/>
                <w:bCs/>
                <w:sz w:val="28"/>
                <w:szCs w:val="28"/>
                <w:rtl/>
              </w:rPr>
            </w:pPr>
          </w:p>
        </w:tc>
        <w:tc>
          <w:tcPr>
            <w:tcW w:w="7897" w:type="dxa"/>
            <w:gridSpan w:val="2"/>
            <w:tcBorders>
              <w:top w:val="nil"/>
              <w:left w:val="nil"/>
              <w:bottom w:val="nil"/>
              <w:right w:val="nil"/>
            </w:tcBorders>
            <w:shd w:val="clear" w:color="auto" w:fill="auto"/>
          </w:tcPr>
          <w:p w14:paraId="74FFAC2C" w14:textId="77777777" w:rsidR="00FD128F" w:rsidRPr="008730D7" w:rsidRDefault="00FD128F" w:rsidP="00FD128F">
            <w:pPr>
              <w:jc w:val="center"/>
              <w:rPr>
                <w:rFonts w:ascii="FrankRuehl" w:hAnsi="FrankRuehl" w:cs="FrankRuehl"/>
                <w:b/>
                <w:bCs/>
                <w:sz w:val="28"/>
                <w:szCs w:val="28"/>
                <w:rtl/>
              </w:rPr>
            </w:pPr>
          </w:p>
          <w:p w14:paraId="0F7D0FFE" w14:textId="77777777" w:rsidR="00FD128F" w:rsidRPr="008730D7" w:rsidRDefault="00FD128F" w:rsidP="00FD128F">
            <w:pPr>
              <w:jc w:val="center"/>
              <w:rPr>
                <w:rFonts w:ascii="FrankRuehl" w:hAnsi="FrankRuehl" w:cs="FrankRuehl"/>
                <w:b/>
                <w:bCs/>
                <w:sz w:val="28"/>
                <w:szCs w:val="28"/>
                <w:rtl/>
              </w:rPr>
            </w:pPr>
            <w:r w:rsidRPr="008730D7">
              <w:rPr>
                <w:rFonts w:ascii="FrankRuehl" w:hAnsi="FrankRuehl" w:cs="FrankRuehl"/>
                <w:b/>
                <w:bCs/>
                <w:sz w:val="28"/>
                <w:szCs w:val="28"/>
                <w:rtl/>
              </w:rPr>
              <w:t>נגד</w:t>
            </w:r>
          </w:p>
          <w:p w14:paraId="4BDB4E6D" w14:textId="77777777" w:rsidR="00FD128F" w:rsidRPr="008730D7" w:rsidRDefault="00FD128F" w:rsidP="00FD128F">
            <w:pPr>
              <w:jc w:val="both"/>
              <w:rPr>
                <w:rFonts w:ascii="FrankRuehl" w:hAnsi="FrankRuehl" w:cs="FrankRuehl"/>
                <w:b/>
                <w:bCs/>
                <w:sz w:val="28"/>
                <w:szCs w:val="28"/>
              </w:rPr>
            </w:pPr>
          </w:p>
        </w:tc>
      </w:tr>
      <w:tr w:rsidR="00FD128F" w:rsidRPr="008730D7" w14:paraId="683D3B30" w14:textId="77777777" w:rsidTr="00FD128F">
        <w:trPr>
          <w:trHeight w:val="355"/>
          <w:jc w:val="center"/>
        </w:trPr>
        <w:tc>
          <w:tcPr>
            <w:tcW w:w="923" w:type="dxa"/>
            <w:tcBorders>
              <w:top w:val="nil"/>
              <w:left w:val="nil"/>
              <w:bottom w:val="nil"/>
              <w:right w:val="nil"/>
            </w:tcBorders>
            <w:shd w:val="clear" w:color="auto" w:fill="auto"/>
          </w:tcPr>
          <w:p w14:paraId="7488FF12" w14:textId="77777777" w:rsidR="00FD128F" w:rsidRPr="008730D7" w:rsidRDefault="00FD128F" w:rsidP="00146E87">
            <w:pPr>
              <w:rPr>
                <w:rFonts w:ascii="FrankRuehl" w:hAnsi="FrankRuehl" w:cs="FrankRuehl"/>
                <w:b/>
                <w:bCs/>
                <w:sz w:val="28"/>
                <w:szCs w:val="28"/>
                <w:rtl/>
              </w:rPr>
            </w:pPr>
          </w:p>
        </w:tc>
        <w:tc>
          <w:tcPr>
            <w:tcW w:w="4126" w:type="dxa"/>
            <w:tcBorders>
              <w:top w:val="nil"/>
              <w:left w:val="nil"/>
              <w:bottom w:val="nil"/>
              <w:right w:val="nil"/>
            </w:tcBorders>
            <w:shd w:val="clear" w:color="auto" w:fill="auto"/>
          </w:tcPr>
          <w:p w14:paraId="46AE4D6D" w14:textId="77777777" w:rsidR="00FD128F" w:rsidRPr="008730D7" w:rsidRDefault="00FD128F" w:rsidP="00146E87">
            <w:pPr>
              <w:rPr>
                <w:rFonts w:ascii="FrankRuehl" w:hAnsi="FrankRuehl" w:cs="FrankRuehl"/>
                <w:b/>
                <w:bCs/>
                <w:sz w:val="28"/>
                <w:szCs w:val="28"/>
                <w:rtl/>
              </w:rPr>
            </w:pPr>
            <w:r w:rsidRPr="008730D7">
              <w:rPr>
                <w:rFonts w:ascii="FrankRuehl" w:hAnsi="FrankRuehl" w:cs="FrankRuehl"/>
                <w:b/>
                <w:bCs/>
                <w:sz w:val="28"/>
                <w:szCs w:val="28"/>
                <w:rtl/>
              </w:rPr>
              <w:t>מוחמד חאג' יחיא (עציר)</w:t>
            </w:r>
          </w:p>
        </w:tc>
        <w:tc>
          <w:tcPr>
            <w:tcW w:w="3771" w:type="dxa"/>
            <w:tcBorders>
              <w:top w:val="nil"/>
              <w:left w:val="nil"/>
              <w:bottom w:val="nil"/>
              <w:right w:val="nil"/>
            </w:tcBorders>
            <w:shd w:val="clear" w:color="auto" w:fill="auto"/>
          </w:tcPr>
          <w:p w14:paraId="27DD1A0D" w14:textId="77777777" w:rsidR="00FD128F" w:rsidRPr="008730D7" w:rsidRDefault="00FD128F" w:rsidP="00FD128F">
            <w:pPr>
              <w:jc w:val="right"/>
              <w:rPr>
                <w:rFonts w:ascii="FrankRuehl" w:hAnsi="FrankRuehl" w:cs="FrankRuehl"/>
                <w:b/>
                <w:bCs/>
                <w:sz w:val="28"/>
                <w:szCs w:val="28"/>
              </w:rPr>
            </w:pPr>
          </w:p>
        </w:tc>
      </w:tr>
      <w:tr w:rsidR="00FD128F" w:rsidRPr="008730D7" w14:paraId="4E3A76A8" w14:textId="77777777" w:rsidTr="00FD128F">
        <w:trPr>
          <w:trHeight w:val="355"/>
          <w:jc w:val="center"/>
        </w:trPr>
        <w:tc>
          <w:tcPr>
            <w:tcW w:w="923" w:type="dxa"/>
            <w:tcBorders>
              <w:top w:val="nil"/>
              <w:left w:val="nil"/>
              <w:bottom w:val="nil"/>
              <w:right w:val="nil"/>
            </w:tcBorders>
            <w:shd w:val="clear" w:color="auto" w:fill="auto"/>
          </w:tcPr>
          <w:p w14:paraId="101491CF" w14:textId="77777777" w:rsidR="00FD128F" w:rsidRPr="008730D7" w:rsidRDefault="00FD128F" w:rsidP="00FD128F">
            <w:pPr>
              <w:jc w:val="both"/>
              <w:rPr>
                <w:rFonts w:ascii="FrankRuehl" w:hAnsi="FrankRuehl" w:cs="FrankRuehl"/>
                <w:b/>
                <w:bCs/>
                <w:sz w:val="28"/>
                <w:szCs w:val="28"/>
                <w:rtl/>
              </w:rPr>
            </w:pPr>
          </w:p>
        </w:tc>
        <w:tc>
          <w:tcPr>
            <w:tcW w:w="4126" w:type="dxa"/>
            <w:tcBorders>
              <w:top w:val="nil"/>
              <w:left w:val="nil"/>
              <w:bottom w:val="nil"/>
              <w:right w:val="nil"/>
            </w:tcBorders>
            <w:shd w:val="clear" w:color="auto" w:fill="auto"/>
          </w:tcPr>
          <w:p w14:paraId="002A5EDC" w14:textId="77777777" w:rsidR="00FD128F" w:rsidRPr="008730D7" w:rsidRDefault="00FD128F" w:rsidP="00FD128F">
            <w:pPr>
              <w:jc w:val="both"/>
              <w:rPr>
                <w:rFonts w:ascii="FrankRuehl" w:hAnsi="FrankRuehl" w:cs="FrankRuehl"/>
                <w:b/>
                <w:bCs/>
                <w:sz w:val="28"/>
                <w:szCs w:val="28"/>
                <w:rtl/>
              </w:rPr>
            </w:pPr>
          </w:p>
        </w:tc>
        <w:tc>
          <w:tcPr>
            <w:tcW w:w="3771" w:type="dxa"/>
            <w:tcBorders>
              <w:top w:val="nil"/>
              <w:left w:val="nil"/>
              <w:bottom w:val="nil"/>
              <w:right w:val="nil"/>
            </w:tcBorders>
            <w:shd w:val="clear" w:color="auto" w:fill="auto"/>
          </w:tcPr>
          <w:p w14:paraId="7485DB49" w14:textId="77777777" w:rsidR="00FD128F" w:rsidRPr="008730D7" w:rsidRDefault="00FD128F" w:rsidP="00FD128F">
            <w:pPr>
              <w:jc w:val="right"/>
              <w:rPr>
                <w:rFonts w:ascii="FrankRuehl" w:hAnsi="FrankRuehl" w:cs="FrankRuehl"/>
                <w:b/>
                <w:bCs/>
                <w:sz w:val="28"/>
                <w:szCs w:val="28"/>
              </w:rPr>
            </w:pPr>
            <w:r w:rsidRPr="008730D7">
              <w:rPr>
                <w:rFonts w:ascii="FrankRuehl" w:hAnsi="FrankRuehl" w:cs="FrankRuehl"/>
                <w:b/>
                <w:bCs/>
                <w:sz w:val="28"/>
                <w:szCs w:val="28"/>
                <w:rtl/>
              </w:rPr>
              <w:t>הנאשם</w:t>
            </w:r>
          </w:p>
        </w:tc>
      </w:tr>
    </w:tbl>
    <w:p w14:paraId="33E6EBEA" w14:textId="77777777" w:rsidR="00FD128F" w:rsidRPr="008730D7" w:rsidRDefault="00FD128F" w:rsidP="00FD128F">
      <w:pPr>
        <w:rPr>
          <w:rFonts w:ascii="FrankRuehl" w:hAnsi="FrankRuehl" w:cs="FrankRuehl"/>
          <w:b/>
          <w:bCs/>
          <w:sz w:val="28"/>
          <w:szCs w:val="28"/>
        </w:rPr>
      </w:pPr>
    </w:p>
    <w:p w14:paraId="3CF54487" w14:textId="77777777" w:rsidR="00C91DFB" w:rsidRPr="00C91DFB" w:rsidRDefault="00C91DFB" w:rsidP="00C91DFB">
      <w:pPr>
        <w:spacing w:before="120" w:after="120" w:line="240" w:lineRule="exact"/>
        <w:ind w:left="283" w:hanging="283"/>
        <w:jc w:val="both"/>
        <w:rPr>
          <w:rFonts w:ascii="FrankRuehl" w:hAnsi="FrankRuehl" w:cs="FrankRuehl"/>
          <w:rtl/>
        </w:rPr>
      </w:pPr>
      <w:bookmarkStart w:id="2" w:name="LawTable"/>
      <w:bookmarkEnd w:id="2"/>
      <w:r w:rsidRPr="00C91DFB">
        <w:rPr>
          <w:rFonts w:ascii="FrankRuehl" w:hAnsi="FrankRuehl" w:cs="FrankRuehl"/>
          <w:rtl/>
        </w:rPr>
        <w:t xml:space="preserve">חקיקה שאוזכרה: </w:t>
      </w:r>
    </w:p>
    <w:p w14:paraId="2852C4B0" w14:textId="77777777" w:rsidR="00C91DFB" w:rsidRPr="00C91DFB" w:rsidRDefault="00C91DFB" w:rsidP="00C91DFB">
      <w:pPr>
        <w:spacing w:before="120" w:after="120" w:line="240" w:lineRule="exact"/>
        <w:ind w:left="283" w:hanging="283"/>
        <w:jc w:val="both"/>
        <w:rPr>
          <w:rFonts w:ascii="FrankRuehl" w:hAnsi="FrankRuehl" w:cs="FrankRuehl"/>
          <w:color w:val="0000FF"/>
          <w:rtl/>
        </w:rPr>
      </w:pPr>
      <w:hyperlink r:id="rId7" w:history="1">
        <w:r w:rsidRPr="00C91DFB">
          <w:rPr>
            <w:rStyle w:val="Hyperlink"/>
            <w:rFonts w:ascii="FrankRuehl" w:hAnsi="FrankRuehl" w:cs="FrankRuehl"/>
            <w:u w:val="none"/>
            <w:rtl/>
          </w:rPr>
          <w:t>חוק העונשין, תשל"ז-1977</w:t>
        </w:r>
      </w:hyperlink>
      <w:r w:rsidRPr="00C91DFB">
        <w:rPr>
          <w:rFonts w:ascii="FrankRuehl" w:hAnsi="FrankRuehl" w:cs="FrankRuehl"/>
          <w:color w:val="0000FF"/>
          <w:rtl/>
        </w:rPr>
        <w:t xml:space="preserve">: סע'  </w:t>
      </w:r>
      <w:hyperlink r:id="rId8" w:history="1">
        <w:r w:rsidRPr="00C91DFB">
          <w:rPr>
            <w:rStyle w:val="Hyperlink"/>
            <w:rFonts w:ascii="FrankRuehl" w:hAnsi="FrankRuehl" w:cs="FrankRuehl"/>
            <w:u w:val="none"/>
          </w:rPr>
          <w:t>58</w:t>
        </w:r>
      </w:hyperlink>
      <w:r w:rsidRPr="00C91DFB">
        <w:rPr>
          <w:rFonts w:ascii="FrankRuehl" w:hAnsi="FrankRuehl" w:cs="FrankRuehl"/>
          <w:color w:val="0000FF"/>
          <w:rtl/>
        </w:rPr>
        <w:t xml:space="preserve">, </w:t>
      </w:r>
      <w:hyperlink r:id="rId9" w:history="1">
        <w:r w:rsidRPr="00C91DFB">
          <w:rPr>
            <w:rStyle w:val="Hyperlink"/>
            <w:rFonts w:ascii="FrankRuehl" w:hAnsi="FrankRuehl" w:cs="FrankRuehl"/>
            <w:u w:val="none"/>
          </w:rPr>
          <w:t>144</w:t>
        </w:r>
      </w:hyperlink>
      <w:r w:rsidRPr="00C91DFB">
        <w:rPr>
          <w:rFonts w:ascii="FrankRuehl" w:hAnsi="FrankRuehl" w:cs="FrankRuehl"/>
          <w:color w:val="0000FF"/>
          <w:rtl/>
        </w:rPr>
        <w:t xml:space="preserve">(ב), </w:t>
      </w:r>
      <w:hyperlink r:id="rId10" w:history="1">
        <w:r w:rsidRPr="00C91DFB">
          <w:rPr>
            <w:rStyle w:val="Hyperlink"/>
            <w:rFonts w:ascii="FrankRuehl" w:hAnsi="FrankRuehl" w:cs="FrankRuehl"/>
            <w:u w:val="none"/>
          </w:rPr>
          <w:t>144</w:t>
        </w:r>
      </w:hyperlink>
      <w:r w:rsidRPr="00C91DFB">
        <w:rPr>
          <w:rFonts w:ascii="FrankRuehl" w:hAnsi="FrankRuehl" w:cs="FrankRuehl"/>
          <w:color w:val="0000FF"/>
          <w:rtl/>
        </w:rPr>
        <w:t xml:space="preserve">(ז), </w:t>
      </w:r>
      <w:hyperlink r:id="rId11" w:history="1">
        <w:r w:rsidRPr="00C91DFB">
          <w:rPr>
            <w:rStyle w:val="Hyperlink"/>
            <w:rFonts w:ascii="FrankRuehl" w:hAnsi="FrankRuehl" w:cs="FrankRuehl"/>
            <w:u w:val="none"/>
          </w:rPr>
          <w:t>244</w:t>
        </w:r>
      </w:hyperlink>
    </w:p>
    <w:p w14:paraId="0A505F05" w14:textId="77777777" w:rsidR="00C91DFB" w:rsidRPr="00C91DFB" w:rsidRDefault="00C91DFB" w:rsidP="00C91DFB">
      <w:pPr>
        <w:jc w:val="center"/>
        <w:rPr>
          <w:rFonts w:ascii="FrankRuehl" w:hAnsi="FrankRuehl" w:cs="FrankRuehl"/>
          <w:sz w:val="28"/>
          <w:szCs w:val="28"/>
          <w:rtl/>
        </w:rPr>
      </w:pPr>
      <w:bookmarkStart w:id="3" w:name="LawTable_End"/>
      <w:bookmarkEnd w:id="3"/>
    </w:p>
    <w:p w14:paraId="4859F671" w14:textId="77777777" w:rsidR="00C91DFB" w:rsidRPr="008730D7" w:rsidRDefault="00C91DFB" w:rsidP="008730D7">
      <w:pPr>
        <w:spacing w:after="120" w:line="240" w:lineRule="exact"/>
        <w:ind w:left="283" w:hanging="283"/>
        <w:jc w:val="both"/>
        <w:rPr>
          <w:rFonts w:ascii="FrankRuehl" w:hAnsi="FrankRuehl" w:cs="FrankRuehl"/>
          <w:b/>
          <w:bCs/>
          <w:rtl/>
        </w:rPr>
      </w:pPr>
      <w:bookmarkStart w:id="4" w:name="Links_Start"/>
      <w:bookmarkEnd w:id="4"/>
      <w:r w:rsidRPr="008730D7">
        <w:rPr>
          <w:rFonts w:ascii="FrankRuehl" w:hAnsi="FrankRuehl" w:cs="FrankRuehl"/>
          <w:b/>
          <w:bCs/>
          <w:rtl/>
        </w:rPr>
        <w:t>ספרות:</w:t>
      </w:r>
    </w:p>
    <w:p w14:paraId="3E502CA9" w14:textId="77777777" w:rsidR="00C91DFB" w:rsidRPr="008730D7" w:rsidRDefault="00C91DFB" w:rsidP="008730D7">
      <w:pPr>
        <w:spacing w:after="120" w:line="240" w:lineRule="exact"/>
        <w:ind w:left="283" w:hanging="283"/>
        <w:jc w:val="both"/>
        <w:rPr>
          <w:rStyle w:val="Hyperlink"/>
          <w:rFonts w:ascii="FrankRuehl" w:hAnsi="FrankRuehl" w:cs="FrankRuehl"/>
          <w:b/>
          <w:bCs/>
          <w:u w:val="none"/>
          <w:rtl/>
        </w:rPr>
      </w:pPr>
      <w:r w:rsidRPr="008730D7">
        <w:rPr>
          <w:rFonts w:ascii="FrankRuehl" w:hAnsi="FrankRuehl" w:cs="FrankRuehl"/>
          <w:b/>
          <w:bCs/>
          <w:color w:val="0000FF"/>
          <w:rtl/>
        </w:rPr>
        <w:fldChar w:fldCharType="begin"/>
      </w:r>
      <w:r w:rsidRPr="008730D7">
        <w:rPr>
          <w:rFonts w:ascii="FrankRuehl" w:hAnsi="FrankRuehl" w:cs="FrankRuehl"/>
          <w:b/>
          <w:bCs/>
          <w:color w:val="0000FF"/>
          <w:rtl/>
        </w:rPr>
        <w:instrText xml:space="preserve"> </w:instrText>
      </w:r>
      <w:r w:rsidRPr="008730D7">
        <w:rPr>
          <w:rFonts w:ascii="FrankRuehl" w:hAnsi="FrankRuehl" w:cs="FrankRuehl"/>
          <w:b/>
          <w:bCs/>
          <w:color w:val="0000FF"/>
        </w:rPr>
        <w:instrText xml:space="preserve">HYPERLINK </w:instrText>
      </w:r>
      <w:r w:rsidRPr="008730D7">
        <w:rPr>
          <w:rFonts w:ascii="FrankRuehl" w:hAnsi="FrankRuehl" w:cs="FrankRuehl"/>
          <w:b/>
          <w:bCs/>
          <w:color w:val="0000FF"/>
          <w:rtl/>
        </w:rPr>
        <w:instrText>"</w:instrText>
      </w:r>
      <w:r w:rsidRPr="008730D7">
        <w:rPr>
          <w:rFonts w:ascii="FrankRuehl" w:hAnsi="FrankRuehl" w:cs="FrankRuehl"/>
          <w:b/>
          <w:bCs/>
          <w:color w:val="0000FF"/>
        </w:rPr>
        <w:instrText>http://www.nevo.co.il/safrut/bookgroup/412"</w:instrText>
      </w:r>
      <w:r w:rsidRPr="008730D7">
        <w:rPr>
          <w:rFonts w:ascii="FrankRuehl" w:hAnsi="FrankRuehl" w:cs="FrankRuehl"/>
          <w:b/>
          <w:bCs/>
          <w:color w:val="0000FF"/>
          <w:rtl/>
        </w:rPr>
        <w:instrText xml:space="preserve"> </w:instrText>
      </w:r>
      <w:r w:rsidRPr="008730D7">
        <w:rPr>
          <w:rFonts w:ascii="FrankRuehl" w:hAnsi="FrankRuehl" w:cs="FrankRuehl"/>
          <w:b/>
          <w:bCs/>
          <w:color w:val="0000FF"/>
          <w:rtl/>
        </w:rPr>
      </w:r>
      <w:r w:rsidRPr="008730D7">
        <w:rPr>
          <w:rFonts w:ascii="FrankRuehl" w:hAnsi="FrankRuehl" w:cs="FrankRuehl"/>
          <w:b/>
          <w:bCs/>
          <w:color w:val="0000FF"/>
          <w:rtl/>
        </w:rPr>
        <w:fldChar w:fldCharType="separate"/>
      </w:r>
      <w:r w:rsidRPr="008730D7">
        <w:rPr>
          <w:rStyle w:val="Hyperlink"/>
          <w:rFonts w:ascii="FrankRuehl" w:hAnsi="FrankRuehl" w:cs="FrankRuehl"/>
          <w:b/>
          <w:bCs/>
          <w:u w:val="none"/>
          <w:rtl/>
        </w:rPr>
        <w:t xml:space="preserve">ש"ז פלר  </w:t>
      </w:r>
      <w:r w:rsidRPr="008730D7">
        <w:rPr>
          <w:rStyle w:val="Hyperlink"/>
          <w:rFonts w:ascii="FrankRuehl" w:hAnsi="FrankRuehl" w:cs="FrankRuehl"/>
          <w:b/>
          <w:bCs/>
          <w:u w:val="none"/>
        </w:rPr>
        <w:t xml:space="preserve"> </w:t>
      </w:r>
      <w:r w:rsidRPr="008730D7">
        <w:rPr>
          <w:rStyle w:val="Hyperlink"/>
          <w:rFonts w:ascii="FrankRuehl" w:hAnsi="FrankRuehl" w:cs="FrankRuehl"/>
          <w:b/>
          <w:bCs/>
          <w:u w:val="none"/>
          <w:rtl/>
        </w:rPr>
        <w:t xml:space="preserve">יסודות בדיני עונשין </w:t>
      </w:r>
    </w:p>
    <w:p w14:paraId="24CE208B" w14:textId="77777777" w:rsidR="00C91DFB" w:rsidRPr="00C91DFB" w:rsidRDefault="00C91DFB" w:rsidP="00C91DFB">
      <w:pPr>
        <w:spacing w:after="120" w:line="240" w:lineRule="exact"/>
        <w:ind w:left="283" w:hanging="283"/>
        <w:jc w:val="center"/>
        <w:rPr>
          <w:rFonts w:ascii="FrankRuehl" w:hAnsi="FrankRuehl" w:cs="FrankRuehl"/>
          <w:b/>
          <w:bCs/>
          <w:sz w:val="32"/>
          <w:szCs w:val="32"/>
          <w:u w:val="single"/>
          <w:rtl/>
        </w:rPr>
      </w:pPr>
      <w:r w:rsidRPr="008730D7">
        <w:rPr>
          <w:rFonts w:ascii="FrankRuehl" w:hAnsi="FrankRuehl" w:cs="FrankRuehl"/>
          <w:b/>
          <w:bCs/>
          <w:color w:val="0000FF"/>
          <w:rtl/>
        </w:rPr>
        <w:fldChar w:fldCharType="end"/>
      </w:r>
      <w:bookmarkStart w:id="5" w:name="PsakDin"/>
      <w:r w:rsidRPr="00C91DFB">
        <w:rPr>
          <w:rFonts w:ascii="FrankRuehl" w:hAnsi="FrankRuehl" w:cs="FrankRuehl"/>
          <w:b/>
          <w:bCs/>
          <w:sz w:val="32"/>
          <w:szCs w:val="32"/>
          <w:u w:val="single"/>
          <w:rtl/>
        </w:rPr>
        <w:t>גזר דין</w:t>
      </w:r>
      <w:bookmarkStart w:id="6" w:name="Links_End"/>
      <w:bookmarkEnd w:id="6"/>
    </w:p>
    <w:bookmarkEnd w:id="5"/>
    <w:p w14:paraId="12C34379" w14:textId="77777777" w:rsidR="00C91DFB" w:rsidRPr="00FD128F" w:rsidRDefault="00C91DFB" w:rsidP="00FD128F">
      <w:pPr>
        <w:jc w:val="center"/>
        <w:rPr>
          <w:rFonts w:ascii="FrankRuehl" w:hAnsi="FrankRuehl" w:cs="FrankRuehl"/>
          <w:sz w:val="28"/>
          <w:szCs w:val="28"/>
          <w:u w:val="single"/>
          <w:rtl/>
        </w:rPr>
      </w:pPr>
    </w:p>
    <w:p w14:paraId="68003DAA" w14:textId="77777777" w:rsidR="00FD128F" w:rsidRPr="00D865EE" w:rsidRDefault="00FD128F" w:rsidP="00FD128F">
      <w:pPr>
        <w:pStyle w:val="aa"/>
        <w:numPr>
          <w:ilvl w:val="0"/>
          <w:numId w:val="1"/>
        </w:numPr>
        <w:spacing w:line="360" w:lineRule="auto"/>
        <w:ind w:left="0"/>
        <w:jc w:val="both"/>
        <w:rPr>
          <w:rFonts w:ascii="FrankRuehl" w:hAnsi="FrankRuehl" w:cs="FrankRuehl"/>
          <w:sz w:val="28"/>
          <w:szCs w:val="28"/>
          <w:u w:val="single"/>
          <w:rtl/>
        </w:rPr>
      </w:pPr>
      <w:bookmarkStart w:id="7" w:name="ABSTRACT_START"/>
      <w:bookmarkEnd w:id="0"/>
      <w:bookmarkEnd w:id="7"/>
      <w:r w:rsidRPr="00D865EE">
        <w:rPr>
          <w:rFonts w:ascii="FrankRuehl" w:hAnsi="FrankRuehl" w:cs="FrankRuehl"/>
          <w:sz w:val="28"/>
          <w:szCs w:val="28"/>
          <w:rtl/>
        </w:rPr>
        <w:t xml:space="preserve">הנאשם הורשע לאחר ניהול הוכחות בעבירות של נשיאת והובלת נשק ואביזר, לפי </w:t>
      </w:r>
      <w:hyperlink r:id="rId12" w:history="1">
        <w:r w:rsidR="00C91DFB" w:rsidRPr="00C91DFB">
          <w:rPr>
            <w:rStyle w:val="Hyperlink"/>
            <w:rFonts w:ascii="FrankRuehl" w:hAnsi="FrankRuehl" w:cs="FrankRuehl"/>
            <w:sz w:val="28"/>
            <w:szCs w:val="28"/>
            <w:rtl/>
          </w:rPr>
          <w:t>סעיף 144(ב)</w:t>
        </w:r>
      </w:hyperlink>
      <w:r w:rsidRPr="00D865EE">
        <w:rPr>
          <w:rFonts w:ascii="FrankRuehl" w:hAnsi="FrankRuehl" w:cs="FrankRuehl"/>
          <w:sz w:val="28"/>
          <w:szCs w:val="28"/>
          <w:rtl/>
        </w:rPr>
        <w:t xml:space="preserve"> רישא וסיפא ל</w:t>
      </w:r>
      <w:hyperlink r:id="rId13" w:history="1">
        <w:r w:rsidR="008730D7" w:rsidRPr="008730D7">
          <w:rPr>
            <w:rFonts w:ascii="FrankRuehl" w:hAnsi="FrankRuehl" w:cs="FrankRuehl"/>
            <w:color w:val="0000FF"/>
            <w:sz w:val="28"/>
            <w:szCs w:val="28"/>
            <w:u w:val="single"/>
            <w:rtl/>
          </w:rPr>
          <w:t>חוק העונשין</w:t>
        </w:r>
      </w:hyperlink>
      <w:r w:rsidRPr="00D865EE">
        <w:rPr>
          <w:rFonts w:ascii="FrankRuehl" w:hAnsi="FrankRuehl" w:cs="FrankRuehl"/>
          <w:sz w:val="28"/>
          <w:szCs w:val="28"/>
          <w:rtl/>
        </w:rPr>
        <w:t xml:space="preserve">, תשל"ז-1977 (להלן: </w:t>
      </w:r>
      <w:r w:rsidRPr="00D865EE">
        <w:rPr>
          <w:rFonts w:ascii="FrankRuehl" w:hAnsi="FrankRuehl" w:cs="FrankRuehl"/>
          <w:b/>
          <w:bCs/>
          <w:sz w:val="28"/>
          <w:szCs w:val="28"/>
          <w:rtl/>
        </w:rPr>
        <w:t>"החוק"</w:t>
      </w:r>
      <w:r w:rsidRPr="00D865EE">
        <w:rPr>
          <w:rFonts w:ascii="FrankRuehl" w:hAnsi="FrankRuehl" w:cs="FrankRuehl"/>
          <w:sz w:val="28"/>
          <w:szCs w:val="28"/>
          <w:rtl/>
        </w:rPr>
        <w:t xml:space="preserve">) ועבירה של שיבוש מהלכי משפט, לפי </w:t>
      </w:r>
      <w:hyperlink r:id="rId14" w:history="1">
        <w:r w:rsidR="00C91DFB" w:rsidRPr="00C91DFB">
          <w:rPr>
            <w:rStyle w:val="Hyperlink"/>
            <w:rFonts w:ascii="FrankRuehl" w:hAnsi="FrankRuehl" w:cs="FrankRuehl"/>
            <w:sz w:val="28"/>
            <w:szCs w:val="28"/>
            <w:rtl/>
          </w:rPr>
          <w:t>סעיף 244</w:t>
        </w:r>
      </w:hyperlink>
      <w:r w:rsidRPr="00D865EE">
        <w:rPr>
          <w:rFonts w:ascii="FrankRuehl" w:hAnsi="FrankRuehl" w:cs="FrankRuehl"/>
          <w:sz w:val="28"/>
          <w:szCs w:val="28"/>
          <w:rtl/>
        </w:rPr>
        <w:t xml:space="preserve"> לחוק. </w:t>
      </w:r>
      <w:bookmarkStart w:id="8" w:name="ABSTRACT_END"/>
      <w:bookmarkEnd w:id="8"/>
    </w:p>
    <w:p w14:paraId="6C4A9240" w14:textId="77777777" w:rsidR="00FD128F" w:rsidRPr="00D865EE" w:rsidRDefault="00FD128F" w:rsidP="00FD128F">
      <w:pPr>
        <w:pStyle w:val="aa"/>
        <w:spacing w:line="360" w:lineRule="auto"/>
        <w:ind w:left="0"/>
        <w:jc w:val="both"/>
        <w:rPr>
          <w:rFonts w:ascii="FrankRuehl" w:hAnsi="FrankRuehl" w:cs="FrankRuehl"/>
          <w:sz w:val="28"/>
          <w:szCs w:val="28"/>
        </w:rPr>
      </w:pPr>
    </w:p>
    <w:p w14:paraId="03D985E2" w14:textId="77777777" w:rsidR="00FD128F" w:rsidRPr="00D865EE" w:rsidRDefault="00FD128F" w:rsidP="00FD128F">
      <w:pPr>
        <w:pStyle w:val="aa"/>
        <w:numPr>
          <w:ilvl w:val="0"/>
          <w:numId w:val="1"/>
        </w:numPr>
        <w:spacing w:line="360" w:lineRule="auto"/>
        <w:ind w:left="0"/>
        <w:jc w:val="both"/>
        <w:rPr>
          <w:rFonts w:ascii="FrankRuehl" w:hAnsi="FrankRuehl" w:cs="FrankRuehl"/>
          <w:sz w:val="28"/>
          <w:szCs w:val="28"/>
        </w:rPr>
      </w:pPr>
      <w:r w:rsidRPr="00D865EE">
        <w:rPr>
          <w:rFonts w:ascii="FrankRuehl" w:hAnsi="FrankRuehl" w:cs="FrankRuehl"/>
          <w:sz w:val="28"/>
          <w:szCs w:val="28"/>
          <w:rtl/>
        </w:rPr>
        <w:t xml:space="preserve">בהתאם לעובדות כתב האישום ולהכרעת הדין, ביום 7.10.2023 או בסמוך לכך, נגנב אקדח מסוג גלוק, מספר מוטבע </w:t>
      </w:r>
      <w:r w:rsidRPr="00D865EE">
        <w:rPr>
          <w:rFonts w:ascii="FrankRuehl" w:hAnsi="FrankRuehl" w:cs="FrankRuehl"/>
          <w:sz w:val="28"/>
          <w:szCs w:val="28"/>
        </w:rPr>
        <w:t>EZH634</w:t>
      </w:r>
      <w:r w:rsidRPr="00D865EE">
        <w:rPr>
          <w:rFonts w:ascii="FrankRuehl" w:hAnsi="FrankRuehl" w:cs="FrankRuehl"/>
          <w:sz w:val="28"/>
          <w:szCs w:val="28"/>
          <w:rtl/>
        </w:rPr>
        <w:t xml:space="preserve"> (להלן: </w:t>
      </w:r>
      <w:r w:rsidRPr="00D865EE">
        <w:rPr>
          <w:rFonts w:ascii="FrankRuehl" w:hAnsi="FrankRuehl" w:cs="FrankRuehl"/>
          <w:b/>
          <w:bCs/>
          <w:sz w:val="28"/>
          <w:szCs w:val="28"/>
          <w:rtl/>
        </w:rPr>
        <w:t>"האקדח"</w:t>
      </w:r>
      <w:r w:rsidRPr="00D865EE">
        <w:rPr>
          <w:rFonts w:ascii="FrankRuehl" w:hAnsi="FrankRuehl" w:cs="FrankRuehl"/>
          <w:sz w:val="28"/>
          <w:szCs w:val="28"/>
          <w:rtl/>
        </w:rPr>
        <w:t xml:space="preserve">) מלוחם ימ"מ שנהרג במתקפת חמאס על יישובי עוטף עזה. </w:t>
      </w:r>
    </w:p>
    <w:p w14:paraId="4AF1E07B" w14:textId="77777777" w:rsidR="00FD128F" w:rsidRPr="00D865EE" w:rsidRDefault="00FD128F" w:rsidP="00FD128F">
      <w:pPr>
        <w:pStyle w:val="aa"/>
        <w:spacing w:line="360" w:lineRule="auto"/>
        <w:ind w:left="0"/>
        <w:jc w:val="both"/>
        <w:rPr>
          <w:rFonts w:ascii="FrankRuehl" w:hAnsi="FrankRuehl" w:cs="FrankRuehl"/>
          <w:sz w:val="28"/>
          <w:szCs w:val="28"/>
          <w:rtl/>
        </w:rPr>
      </w:pPr>
    </w:p>
    <w:p w14:paraId="3C3D9D0F" w14:textId="77777777" w:rsidR="00FD128F" w:rsidRPr="00D865EE" w:rsidRDefault="00FD128F" w:rsidP="00FD128F">
      <w:pPr>
        <w:pStyle w:val="aa"/>
        <w:numPr>
          <w:ilvl w:val="0"/>
          <w:numId w:val="1"/>
        </w:numPr>
        <w:spacing w:line="360" w:lineRule="auto"/>
        <w:ind w:left="0"/>
        <w:jc w:val="both"/>
        <w:rPr>
          <w:rFonts w:ascii="FrankRuehl" w:hAnsi="FrankRuehl" w:cs="FrankRuehl"/>
          <w:sz w:val="28"/>
          <w:szCs w:val="28"/>
          <w:rtl/>
        </w:rPr>
      </w:pPr>
      <w:r w:rsidRPr="00D865EE">
        <w:rPr>
          <w:rFonts w:ascii="FrankRuehl" w:hAnsi="FrankRuehl" w:cs="FrankRuehl"/>
          <w:sz w:val="28"/>
          <w:szCs w:val="28"/>
          <w:rtl/>
        </w:rPr>
        <w:t xml:space="preserve">ביום 31.1.2024 בשעה 15:30 או בסמוך לכך, במסגרת פעילות לאיתור דרוש לחקירה, הגיעו כוחות משטרה ובהם השוטר רס"ר מוחמד רחאל והמתנדב עומרי מיכאלי, בניידת משטרתית, לבית הדרוש חקירה בשכונה הדרומית בטייבה (להלן: </w:t>
      </w:r>
      <w:r w:rsidRPr="00D865EE">
        <w:rPr>
          <w:rFonts w:ascii="FrankRuehl" w:hAnsi="FrankRuehl" w:cs="FrankRuehl"/>
          <w:b/>
          <w:bCs/>
          <w:sz w:val="28"/>
          <w:szCs w:val="28"/>
          <w:rtl/>
        </w:rPr>
        <w:t>"השוטר רחאל"</w:t>
      </w:r>
      <w:r w:rsidRPr="00D865EE">
        <w:rPr>
          <w:rFonts w:ascii="FrankRuehl" w:hAnsi="FrankRuehl" w:cs="FrankRuehl"/>
          <w:sz w:val="28"/>
          <w:szCs w:val="28"/>
          <w:rtl/>
        </w:rPr>
        <w:t xml:space="preserve"> או </w:t>
      </w:r>
      <w:r w:rsidRPr="00D865EE">
        <w:rPr>
          <w:rFonts w:ascii="FrankRuehl" w:hAnsi="FrankRuehl" w:cs="FrankRuehl"/>
          <w:b/>
          <w:bCs/>
          <w:sz w:val="28"/>
          <w:szCs w:val="28"/>
          <w:rtl/>
        </w:rPr>
        <w:t>"רחאל"</w:t>
      </w:r>
      <w:r w:rsidRPr="00D865EE">
        <w:rPr>
          <w:rFonts w:ascii="FrankRuehl" w:hAnsi="FrankRuehl" w:cs="FrankRuehl"/>
          <w:sz w:val="28"/>
          <w:szCs w:val="28"/>
          <w:rtl/>
        </w:rPr>
        <w:t xml:space="preserve">, </w:t>
      </w:r>
      <w:r w:rsidRPr="00D865EE">
        <w:rPr>
          <w:rFonts w:ascii="FrankRuehl" w:hAnsi="FrankRuehl" w:cs="FrankRuehl"/>
          <w:b/>
          <w:bCs/>
          <w:sz w:val="28"/>
          <w:szCs w:val="28"/>
          <w:rtl/>
        </w:rPr>
        <w:t>"השוטרים"</w:t>
      </w:r>
      <w:r w:rsidRPr="00D865EE">
        <w:rPr>
          <w:rFonts w:ascii="FrankRuehl" w:hAnsi="FrankRuehl" w:cs="FrankRuehl"/>
          <w:sz w:val="28"/>
          <w:szCs w:val="28"/>
          <w:rtl/>
        </w:rPr>
        <w:t xml:space="preserve">, </w:t>
      </w:r>
      <w:r w:rsidRPr="00D865EE">
        <w:rPr>
          <w:rFonts w:ascii="FrankRuehl" w:hAnsi="FrankRuehl" w:cs="FrankRuehl"/>
          <w:b/>
          <w:bCs/>
          <w:sz w:val="28"/>
          <w:szCs w:val="28"/>
          <w:rtl/>
        </w:rPr>
        <w:lastRenderedPageBreak/>
        <w:t>"הניידת"</w:t>
      </w:r>
      <w:r w:rsidRPr="00D865EE">
        <w:rPr>
          <w:rFonts w:ascii="FrankRuehl" w:hAnsi="FrankRuehl" w:cs="FrankRuehl"/>
          <w:sz w:val="28"/>
          <w:szCs w:val="28"/>
          <w:rtl/>
        </w:rPr>
        <w:t xml:space="preserve">, </w:t>
      </w:r>
      <w:r w:rsidRPr="00D865EE">
        <w:rPr>
          <w:rFonts w:ascii="FrankRuehl" w:hAnsi="FrankRuehl" w:cs="FrankRuehl"/>
          <w:b/>
          <w:bCs/>
          <w:sz w:val="28"/>
          <w:szCs w:val="28"/>
          <w:rtl/>
        </w:rPr>
        <w:t>"הבית"</w:t>
      </w:r>
      <w:r w:rsidRPr="00D865EE">
        <w:rPr>
          <w:rFonts w:ascii="FrankRuehl" w:hAnsi="FrankRuehl" w:cs="FrankRuehl"/>
          <w:sz w:val="28"/>
          <w:szCs w:val="28"/>
          <w:rtl/>
        </w:rPr>
        <w:t xml:space="preserve">). באותה עת הבחינו השוטרים בנאשם נוהג אחורנית ברכב מסוג טויוטה (להלן: </w:t>
      </w:r>
      <w:r w:rsidRPr="00D865EE">
        <w:rPr>
          <w:rFonts w:ascii="FrankRuehl" w:hAnsi="FrankRuehl" w:cs="FrankRuehl"/>
          <w:b/>
          <w:bCs/>
          <w:sz w:val="28"/>
          <w:szCs w:val="28"/>
          <w:rtl/>
        </w:rPr>
        <w:t>"הרכב"</w:t>
      </w:r>
      <w:r w:rsidRPr="00D865EE">
        <w:rPr>
          <w:rFonts w:ascii="FrankRuehl" w:hAnsi="FrankRuehl" w:cs="FrankRuehl"/>
          <w:sz w:val="28"/>
          <w:szCs w:val="28"/>
          <w:rtl/>
        </w:rPr>
        <w:t xml:space="preserve">) בשביל הגישה של הבית. הנאשם נשא אותה עת את האקדח ובו מחסנית ריקה. </w:t>
      </w:r>
    </w:p>
    <w:p w14:paraId="22BF2224" w14:textId="77777777" w:rsidR="00FD128F" w:rsidRPr="00D865EE" w:rsidRDefault="00FD128F" w:rsidP="00FD128F">
      <w:pPr>
        <w:pStyle w:val="aa"/>
        <w:rPr>
          <w:rFonts w:ascii="FrankRuehl" w:hAnsi="FrankRuehl" w:cs="FrankRuehl"/>
          <w:sz w:val="28"/>
          <w:szCs w:val="28"/>
        </w:rPr>
      </w:pPr>
    </w:p>
    <w:p w14:paraId="198D82D1" w14:textId="77777777" w:rsidR="00FD128F" w:rsidRPr="00D865EE" w:rsidRDefault="00FD128F" w:rsidP="00FD128F">
      <w:pPr>
        <w:pStyle w:val="aa"/>
        <w:numPr>
          <w:ilvl w:val="0"/>
          <w:numId w:val="1"/>
        </w:numPr>
        <w:spacing w:line="360" w:lineRule="auto"/>
        <w:ind w:left="0"/>
        <w:jc w:val="both"/>
        <w:rPr>
          <w:rFonts w:ascii="FrankRuehl" w:hAnsi="FrankRuehl" w:cs="FrankRuehl"/>
          <w:sz w:val="28"/>
          <w:szCs w:val="28"/>
        </w:rPr>
      </w:pPr>
      <w:r w:rsidRPr="00D865EE">
        <w:rPr>
          <w:rFonts w:ascii="FrankRuehl" w:hAnsi="FrankRuehl" w:cs="FrankRuehl"/>
          <w:sz w:val="28"/>
          <w:szCs w:val="28"/>
          <w:rtl/>
        </w:rPr>
        <w:t xml:space="preserve">משהבחין הנאשם בניידת הוא החל בנסיעה מהירה קדימה. בשל חשד השוטרים, הם החלו בנסיעה אחריו. הנאשם נסע עד סוף דרך הגישה ומשלא יכול היה להמשיך לנסוע יצא מהרכב, והחל בריצה כדי להימלט מהשוטרים, כשהשוטר רחאל רץ בעקבותיו. לאחר מרדף רגלי, הגיע השוטר רחאל בסמוך לנאשם. או אז, השליך הנאשם את האקדח אותו נשא ובו מחסנית ריקה, מעל חומה ולעבר חצר סמוכה. בהמשך אותר האקדח ובו המחסנית הריקה בחצר הסמוכה. </w:t>
      </w:r>
    </w:p>
    <w:p w14:paraId="64E04731" w14:textId="77777777" w:rsidR="00FD128F" w:rsidRPr="00D865EE" w:rsidRDefault="00FD128F" w:rsidP="00FD128F">
      <w:pPr>
        <w:pStyle w:val="aa"/>
        <w:rPr>
          <w:rFonts w:ascii="FrankRuehl" w:hAnsi="FrankRuehl" w:cs="FrankRuehl"/>
          <w:sz w:val="28"/>
          <w:szCs w:val="28"/>
        </w:rPr>
      </w:pPr>
    </w:p>
    <w:p w14:paraId="0B1816A5" w14:textId="77777777" w:rsidR="00FD128F" w:rsidRPr="00D865EE" w:rsidRDefault="00FD128F" w:rsidP="00FD128F">
      <w:pPr>
        <w:pStyle w:val="aa"/>
        <w:numPr>
          <w:ilvl w:val="0"/>
          <w:numId w:val="1"/>
        </w:numPr>
        <w:spacing w:line="360" w:lineRule="auto"/>
        <w:ind w:left="0"/>
        <w:jc w:val="both"/>
        <w:rPr>
          <w:rFonts w:ascii="FrankRuehl" w:hAnsi="FrankRuehl" w:cs="FrankRuehl"/>
          <w:sz w:val="28"/>
          <w:szCs w:val="28"/>
          <w:rtl/>
        </w:rPr>
      </w:pPr>
      <w:r w:rsidRPr="00D865EE">
        <w:rPr>
          <w:rFonts w:ascii="FrankRuehl" w:hAnsi="FrankRuehl" w:cs="FrankRuehl"/>
          <w:sz w:val="28"/>
          <w:szCs w:val="28"/>
          <w:rtl/>
        </w:rPr>
        <w:t>במועד שנקבע לשמיעת הטיעונים לעונש , ביקש הנאשם באמצעות באת כוחו לחזור בו מכפירתו, הליך שאינו אפשרי , אך יחד עם זאת אראה בהודעה זו נטילת אחריות אם כי מאוחרת.</w:t>
      </w:r>
    </w:p>
    <w:p w14:paraId="36296460" w14:textId="77777777" w:rsidR="00FD128F" w:rsidRPr="00D865EE" w:rsidRDefault="00FD128F" w:rsidP="00FD128F">
      <w:pPr>
        <w:pStyle w:val="aa"/>
        <w:rPr>
          <w:rFonts w:ascii="FrankRuehl" w:hAnsi="FrankRuehl" w:cs="FrankRuehl"/>
          <w:sz w:val="28"/>
          <w:szCs w:val="28"/>
        </w:rPr>
      </w:pPr>
    </w:p>
    <w:p w14:paraId="6CFC85B2" w14:textId="77777777" w:rsidR="00FD128F" w:rsidRPr="00D865EE" w:rsidRDefault="00FD128F" w:rsidP="00FD128F">
      <w:pPr>
        <w:pStyle w:val="aa"/>
        <w:numPr>
          <w:ilvl w:val="0"/>
          <w:numId w:val="1"/>
        </w:numPr>
        <w:spacing w:line="360" w:lineRule="auto"/>
        <w:ind w:left="0"/>
        <w:jc w:val="both"/>
        <w:rPr>
          <w:rFonts w:ascii="FrankRuehl" w:hAnsi="FrankRuehl" w:cs="FrankRuehl"/>
          <w:b/>
          <w:bCs/>
          <w:sz w:val="28"/>
          <w:szCs w:val="28"/>
          <w:rtl/>
        </w:rPr>
      </w:pPr>
      <w:r w:rsidRPr="00D865EE">
        <w:rPr>
          <w:rFonts w:ascii="FrankRuehl" w:hAnsi="FrankRuehl" w:cs="FrankRuehl"/>
          <w:b/>
          <w:bCs/>
          <w:sz w:val="28"/>
          <w:szCs w:val="28"/>
          <w:rtl/>
        </w:rPr>
        <w:t>ראיות לעונש-</w:t>
      </w:r>
    </w:p>
    <w:p w14:paraId="2EA2012A" w14:textId="77777777" w:rsidR="00FD128F" w:rsidRPr="00D865EE" w:rsidRDefault="00FD128F" w:rsidP="00FD128F">
      <w:pPr>
        <w:pStyle w:val="aa"/>
        <w:spacing w:line="360" w:lineRule="auto"/>
        <w:ind w:left="84"/>
        <w:jc w:val="both"/>
        <w:rPr>
          <w:rFonts w:ascii="FrankRuehl" w:hAnsi="FrankRuehl" w:cs="FrankRuehl"/>
          <w:sz w:val="28"/>
          <w:szCs w:val="28"/>
        </w:rPr>
      </w:pPr>
      <w:r w:rsidRPr="00D865EE">
        <w:rPr>
          <w:rFonts w:ascii="FrankRuehl" w:hAnsi="FrankRuehl" w:cs="FrankRuehl"/>
          <w:sz w:val="28"/>
          <w:szCs w:val="28"/>
          <w:rtl/>
        </w:rPr>
        <w:t>ב"כ המאשימה הגיש את הרישום הפלילי של הנאשם ממנו עולה שלנאשם חמש הרשעות קודמות, במגוון עבירות, חלקן עבירות נשק,  והוא ריצה חמישה מאסרים, אחד מהם במסגרת עבודות שירות.</w:t>
      </w:r>
    </w:p>
    <w:p w14:paraId="181379B5" w14:textId="77777777" w:rsidR="00FD128F" w:rsidRPr="00D865EE" w:rsidRDefault="00FD128F" w:rsidP="00FD128F">
      <w:pPr>
        <w:pStyle w:val="aa"/>
        <w:spacing w:line="360" w:lineRule="auto"/>
        <w:ind w:left="84"/>
        <w:jc w:val="both"/>
        <w:rPr>
          <w:rFonts w:ascii="FrankRuehl" w:hAnsi="FrankRuehl" w:cs="FrankRuehl"/>
          <w:sz w:val="28"/>
          <w:szCs w:val="28"/>
          <w:rtl/>
        </w:rPr>
      </w:pPr>
      <w:r w:rsidRPr="00D865EE">
        <w:rPr>
          <w:rFonts w:ascii="FrankRuehl" w:hAnsi="FrankRuehl" w:cs="FrankRuehl"/>
          <w:sz w:val="28"/>
          <w:szCs w:val="28"/>
          <w:rtl/>
        </w:rPr>
        <w:t>מאסרו הארוך האחרון הוא בן 30 חודשים ונגזר עליו בשנת 2020 לאחר שהורשע בעבירות של נשיאת והובלת נשק וירי מנשק חם שלא כדין באזור מגורים. בגזר דין זה מאסר על תנאי בן 12 חודשים בר הפעלה בתיק זה.</w:t>
      </w:r>
    </w:p>
    <w:p w14:paraId="3E30D93D" w14:textId="77777777" w:rsidR="00FD128F" w:rsidRPr="00D865EE" w:rsidRDefault="00FD128F" w:rsidP="00FD128F">
      <w:pPr>
        <w:pStyle w:val="aa"/>
        <w:spacing w:line="360" w:lineRule="auto"/>
        <w:ind w:left="84"/>
        <w:jc w:val="both"/>
        <w:rPr>
          <w:rFonts w:ascii="FrankRuehl" w:hAnsi="FrankRuehl" w:cs="FrankRuehl"/>
          <w:sz w:val="28"/>
          <w:szCs w:val="28"/>
          <w:rtl/>
        </w:rPr>
      </w:pPr>
      <w:r w:rsidRPr="00D865EE">
        <w:rPr>
          <w:rFonts w:ascii="FrankRuehl" w:hAnsi="FrankRuehl" w:cs="FrankRuehl"/>
          <w:sz w:val="28"/>
          <w:szCs w:val="28"/>
          <w:rtl/>
        </w:rPr>
        <w:t>כן הוגש גזר הדין נושא המאסר המותנה בר ההפעלה.</w:t>
      </w:r>
    </w:p>
    <w:p w14:paraId="730AD3BF" w14:textId="77777777" w:rsidR="00FD128F" w:rsidRPr="00D865EE" w:rsidRDefault="00FD128F" w:rsidP="00FD128F">
      <w:pPr>
        <w:pStyle w:val="aa"/>
        <w:rPr>
          <w:rFonts w:ascii="FrankRuehl" w:hAnsi="FrankRuehl" w:cs="FrankRuehl"/>
          <w:sz w:val="28"/>
          <w:szCs w:val="28"/>
          <w:rtl/>
        </w:rPr>
      </w:pPr>
    </w:p>
    <w:p w14:paraId="016A3762" w14:textId="77777777" w:rsidR="00FD128F" w:rsidRPr="00D865EE" w:rsidRDefault="00FD128F" w:rsidP="00FD128F">
      <w:pPr>
        <w:pStyle w:val="aa"/>
        <w:numPr>
          <w:ilvl w:val="0"/>
          <w:numId w:val="1"/>
        </w:numPr>
        <w:spacing w:line="360" w:lineRule="auto"/>
        <w:ind w:left="0"/>
        <w:jc w:val="both"/>
        <w:rPr>
          <w:rFonts w:ascii="FrankRuehl" w:hAnsi="FrankRuehl" w:cs="FrankRuehl"/>
          <w:sz w:val="28"/>
          <w:szCs w:val="28"/>
          <w:rtl/>
        </w:rPr>
      </w:pPr>
      <w:r w:rsidRPr="00D865EE">
        <w:rPr>
          <w:rFonts w:ascii="FrankRuehl" w:hAnsi="FrankRuehl" w:cs="FrankRuehl"/>
          <w:sz w:val="28"/>
          <w:szCs w:val="28"/>
          <w:rtl/>
        </w:rPr>
        <w:t xml:space="preserve">ב"כ המאשימה טען שמדובר בפגיעה בערכים מוגנים - שמירה על חיי אדם, שלמות גופו ונפשו, הגנה על שלום הציבור וביטחונו, הסדר הציבורי, אורח חיים תקין ובטוח. </w:t>
      </w:r>
    </w:p>
    <w:p w14:paraId="62DB5AC7" w14:textId="77777777" w:rsidR="00FD128F" w:rsidRPr="00D865EE" w:rsidRDefault="00FD128F" w:rsidP="00FD128F">
      <w:pPr>
        <w:spacing w:line="360" w:lineRule="auto"/>
        <w:jc w:val="both"/>
        <w:rPr>
          <w:rFonts w:ascii="FrankRuehl" w:hAnsi="FrankRuehl" w:cs="FrankRuehl"/>
          <w:sz w:val="28"/>
          <w:szCs w:val="28"/>
          <w:rtl/>
        </w:rPr>
      </w:pPr>
      <w:r w:rsidRPr="00D865EE">
        <w:rPr>
          <w:rFonts w:ascii="FrankRuehl" w:hAnsi="FrankRuehl" w:cs="FrankRuehl"/>
          <w:sz w:val="28"/>
          <w:szCs w:val="28"/>
          <w:rtl/>
        </w:rPr>
        <w:t xml:space="preserve">נשיאת נשק היא עבירה חמורה המלמדת על גישה מידית ובלעדית לנשק ולשימוש בו, ומגבירה את החשש והאפשרות שהנשק יגיע לגורמים שונים שעשו בו שימוש פסול למטרות פליליות וביטחוניות ואבדות בגוף. מדובר בפגיעה גבוהה בערכים המוגנים. </w:t>
      </w:r>
    </w:p>
    <w:p w14:paraId="14367CA2" w14:textId="77777777" w:rsidR="00FD128F" w:rsidRPr="00D865EE" w:rsidRDefault="00FD128F" w:rsidP="00FD128F">
      <w:pPr>
        <w:spacing w:line="360" w:lineRule="auto"/>
        <w:jc w:val="both"/>
        <w:rPr>
          <w:rFonts w:ascii="FrankRuehl" w:hAnsi="FrankRuehl" w:cs="FrankRuehl"/>
          <w:sz w:val="28"/>
          <w:szCs w:val="28"/>
          <w:rtl/>
        </w:rPr>
      </w:pPr>
      <w:r w:rsidRPr="00D865EE">
        <w:rPr>
          <w:rFonts w:ascii="FrankRuehl" w:hAnsi="FrankRuehl" w:cs="FrankRuehl"/>
          <w:sz w:val="28"/>
          <w:szCs w:val="28"/>
          <w:rtl/>
        </w:rPr>
        <w:t xml:space="preserve">בית המשפט העליון הדגיש את הצורך בהחמרה בעבירות נשק. מדובר בעבירה שנעברה ומוגדרת כמכת מדינה ומצדיקה ענישה משמעותית. </w:t>
      </w:r>
    </w:p>
    <w:p w14:paraId="095806DB" w14:textId="77777777" w:rsidR="00FD128F" w:rsidRPr="00D865EE" w:rsidRDefault="00FD128F" w:rsidP="00FD128F">
      <w:pPr>
        <w:spacing w:line="360" w:lineRule="auto"/>
        <w:jc w:val="both"/>
        <w:rPr>
          <w:rFonts w:ascii="FrankRuehl" w:hAnsi="FrankRuehl" w:cs="FrankRuehl"/>
          <w:sz w:val="28"/>
          <w:szCs w:val="28"/>
        </w:rPr>
      </w:pPr>
      <w:r w:rsidRPr="00D865EE">
        <w:rPr>
          <w:rFonts w:ascii="FrankRuehl" w:hAnsi="FrankRuehl" w:cs="FrankRuehl"/>
          <w:sz w:val="28"/>
          <w:szCs w:val="28"/>
          <w:rtl/>
        </w:rPr>
        <w:t xml:space="preserve">עבירת השיבוש פוגעת בשלטון החוק, הסדר הציבורי, תקינות ההליכים המשפטיים וטוהר ההליך המשפטי. </w:t>
      </w:r>
    </w:p>
    <w:p w14:paraId="110BB549" w14:textId="77777777" w:rsidR="00FD128F" w:rsidRPr="00D865EE" w:rsidRDefault="00FD128F" w:rsidP="00FD128F">
      <w:pPr>
        <w:spacing w:line="360" w:lineRule="auto"/>
        <w:jc w:val="both"/>
        <w:rPr>
          <w:rFonts w:ascii="FrankRuehl" w:hAnsi="FrankRuehl" w:cs="FrankRuehl"/>
          <w:sz w:val="28"/>
          <w:szCs w:val="28"/>
          <w:rtl/>
        </w:rPr>
      </w:pPr>
      <w:r w:rsidRPr="00D865EE">
        <w:rPr>
          <w:rFonts w:ascii="FrankRuehl" w:hAnsi="FrankRuehl" w:cs="FrankRuehl"/>
          <w:sz w:val="28"/>
          <w:szCs w:val="28"/>
          <w:rtl/>
        </w:rPr>
        <w:lastRenderedPageBreak/>
        <w:t xml:space="preserve">הנשק שנשא הנאשם הוא נשק של לוחם שנהרג ב-7.10. הנאשם נמלט מכוחות המשטרה מכיוון שידע שהוא נושא את הנשק שלא כדין. הנזק הצפוי שהיה עלול להיגרם הפך למציאות יומית ,בעיקר במגזר. </w:t>
      </w:r>
    </w:p>
    <w:p w14:paraId="09366E11" w14:textId="77777777" w:rsidR="00FD128F" w:rsidRPr="00D865EE" w:rsidRDefault="00FD128F" w:rsidP="00FD128F">
      <w:pPr>
        <w:spacing w:line="360" w:lineRule="auto"/>
        <w:jc w:val="both"/>
        <w:rPr>
          <w:rFonts w:ascii="FrankRuehl" w:hAnsi="FrankRuehl" w:cs="FrankRuehl"/>
          <w:sz w:val="28"/>
          <w:szCs w:val="28"/>
          <w:rtl/>
        </w:rPr>
      </w:pPr>
      <w:r w:rsidRPr="00D865EE">
        <w:rPr>
          <w:rFonts w:ascii="FrankRuehl" w:hAnsi="FrankRuehl" w:cs="FrankRuehl"/>
          <w:sz w:val="28"/>
          <w:szCs w:val="28"/>
          <w:rtl/>
        </w:rPr>
        <w:t xml:space="preserve">הנאשם בעל עבר פלילי משמעותי, חלקן גם בעבירות נשק והוא בחר לנהל הוכחות, כ זכותו, אך יחד עם זאת מצבו אינו דומה למי שלקח אחריות על מעשיו, הודה וחסך זמן שיפוטי. במקרה דנן הכחיש את העבירות ולא לקח אחריות וזאת בהינתן שניסה לשבש הליכים. </w:t>
      </w:r>
    </w:p>
    <w:p w14:paraId="08292CAA" w14:textId="77777777" w:rsidR="00FD128F" w:rsidRPr="00D865EE" w:rsidRDefault="00FD128F" w:rsidP="00FD128F">
      <w:pPr>
        <w:spacing w:line="360" w:lineRule="auto"/>
        <w:jc w:val="both"/>
        <w:rPr>
          <w:rFonts w:ascii="FrankRuehl" w:hAnsi="FrankRuehl" w:cs="FrankRuehl"/>
          <w:sz w:val="28"/>
          <w:szCs w:val="28"/>
          <w:rtl/>
        </w:rPr>
      </w:pPr>
      <w:r w:rsidRPr="00D865EE">
        <w:rPr>
          <w:rFonts w:ascii="FrankRuehl" w:hAnsi="FrankRuehl" w:cs="FrankRuehl"/>
          <w:sz w:val="28"/>
          <w:szCs w:val="28"/>
          <w:rtl/>
        </w:rPr>
        <w:t xml:space="preserve">ב"כ המאשימה עתר להפעיל את המאסר המותנה במצטבר לכל עונש שיוטל שכן אין כל עילה או סיבה לחפוף אף חלק מעונשו של הנאשם. </w:t>
      </w:r>
    </w:p>
    <w:p w14:paraId="2EA328DC" w14:textId="77777777" w:rsidR="00FD128F" w:rsidRPr="00D865EE" w:rsidRDefault="00FD128F" w:rsidP="00FD128F">
      <w:pPr>
        <w:spacing w:line="360" w:lineRule="auto"/>
        <w:jc w:val="both"/>
        <w:rPr>
          <w:rFonts w:ascii="FrankRuehl" w:hAnsi="FrankRuehl" w:cs="FrankRuehl"/>
          <w:sz w:val="28"/>
          <w:szCs w:val="28"/>
          <w:rtl/>
        </w:rPr>
      </w:pPr>
      <w:r w:rsidRPr="00D865EE">
        <w:rPr>
          <w:rFonts w:ascii="FrankRuehl" w:hAnsi="FrankRuehl" w:cs="FrankRuehl"/>
          <w:sz w:val="28"/>
          <w:szCs w:val="28"/>
          <w:rtl/>
        </w:rPr>
        <w:t xml:space="preserve">הנאשם השתחרר מריצוי המאסר 30.10.22. לאחר הורשע בתיק נוסף, כל זה בטווח של 4 שנים ויש לכך משמעות גם מבחינת הרתעת היחיד, שכן אינו רואה במאסר על תנאי כגורם מרתיע. מדובר במסוכנות מוגברת. </w:t>
      </w:r>
    </w:p>
    <w:p w14:paraId="4463551E" w14:textId="77777777" w:rsidR="00FD128F" w:rsidRPr="00D865EE" w:rsidRDefault="00FD128F" w:rsidP="00FD128F">
      <w:pPr>
        <w:spacing w:line="360" w:lineRule="auto"/>
        <w:jc w:val="both"/>
        <w:rPr>
          <w:rFonts w:ascii="FrankRuehl" w:hAnsi="FrankRuehl" w:cs="FrankRuehl"/>
          <w:sz w:val="28"/>
          <w:szCs w:val="28"/>
          <w:rtl/>
        </w:rPr>
      </w:pPr>
      <w:r w:rsidRPr="00D865EE">
        <w:rPr>
          <w:rFonts w:ascii="FrankRuehl" w:hAnsi="FrankRuehl" w:cs="FrankRuehl"/>
          <w:sz w:val="28"/>
          <w:szCs w:val="28"/>
          <w:rtl/>
        </w:rPr>
        <w:t xml:space="preserve">המתחם לנשיאת נשק גם על פי הנחיית  פרקליטה המדינה 24-48 חודשים, ובעניינו כולל שיבוש הליכי משפט , המתחם צריך לנוע בין 27 ל 0 51 חודשי מאסר. בעבירות אלה קיים עונש מזערי שלא יפחת מרבע העונש המרבי שהינו 10 שנות מאסר. </w:t>
      </w:r>
    </w:p>
    <w:p w14:paraId="31C52788" w14:textId="77777777" w:rsidR="00FD128F" w:rsidRPr="00D865EE" w:rsidRDefault="00FD128F" w:rsidP="00FD128F">
      <w:pPr>
        <w:spacing w:line="360" w:lineRule="auto"/>
        <w:jc w:val="both"/>
        <w:rPr>
          <w:rFonts w:ascii="FrankRuehl" w:hAnsi="FrankRuehl" w:cs="FrankRuehl"/>
          <w:sz w:val="28"/>
          <w:szCs w:val="28"/>
          <w:rtl/>
        </w:rPr>
      </w:pPr>
      <w:r w:rsidRPr="00D865EE">
        <w:rPr>
          <w:rFonts w:ascii="FrankRuehl" w:hAnsi="FrankRuehl" w:cs="FrankRuehl"/>
          <w:sz w:val="28"/>
          <w:szCs w:val="28"/>
          <w:rtl/>
        </w:rPr>
        <w:t>את הנאשם יש למקם בשליש העליון של המתחם, בנוסף להפעלת המאסר על תנאי במצטבר. כמו כן נעתור למאסר על תנאי וקנס.</w:t>
      </w:r>
    </w:p>
    <w:p w14:paraId="738A58C1" w14:textId="77777777" w:rsidR="00FD128F" w:rsidRPr="00D865EE" w:rsidRDefault="00FD128F" w:rsidP="00FD128F">
      <w:pPr>
        <w:spacing w:line="360" w:lineRule="auto"/>
        <w:jc w:val="both"/>
        <w:rPr>
          <w:rFonts w:ascii="FrankRuehl" w:hAnsi="FrankRuehl" w:cs="FrankRuehl"/>
          <w:sz w:val="28"/>
          <w:szCs w:val="28"/>
          <w:rtl/>
        </w:rPr>
      </w:pPr>
    </w:p>
    <w:p w14:paraId="1D7BE7D7" w14:textId="77777777" w:rsidR="00FD128F" w:rsidRDefault="00FD128F" w:rsidP="00FD128F">
      <w:pPr>
        <w:pStyle w:val="aa"/>
        <w:numPr>
          <w:ilvl w:val="0"/>
          <w:numId w:val="1"/>
        </w:numPr>
        <w:spacing w:line="360" w:lineRule="auto"/>
        <w:ind w:left="-625" w:firstLine="0"/>
        <w:jc w:val="both"/>
        <w:rPr>
          <w:rFonts w:ascii="FrankRuehl" w:hAnsi="FrankRuehl" w:cs="FrankRuehl"/>
          <w:sz w:val="28"/>
          <w:szCs w:val="28"/>
        </w:rPr>
      </w:pPr>
      <w:r w:rsidRPr="00D865EE">
        <w:rPr>
          <w:rFonts w:ascii="FrankRuehl" w:hAnsi="FrankRuehl" w:cs="FrankRuehl"/>
          <w:sz w:val="28"/>
          <w:szCs w:val="28"/>
          <w:rtl/>
        </w:rPr>
        <w:t xml:space="preserve">ב"כ הנאשם טענה שלא מדובר בנסיבות מחמירות שכן לא נעשה שימוש בנשק, הנשק לא היה </w:t>
      </w:r>
      <w:r w:rsidRPr="00D865EE">
        <w:rPr>
          <w:rFonts w:ascii="FrankRuehl" w:hAnsi="FrankRuehl" w:cs="FrankRuehl"/>
          <w:sz w:val="28"/>
          <w:szCs w:val="28"/>
          <w:rtl/>
        </w:rPr>
        <w:tab/>
        <w:t xml:space="preserve">טעון וללא תחמושת, המחסנית ריקה, העבירה אינה מלווה באלימות או באיום, גם לא נטען שהיה </w:t>
      </w:r>
      <w:r w:rsidRPr="00D865EE">
        <w:rPr>
          <w:rFonts w:ascii="FrankRuehl" w:hAnsi="FrankRuehl" w:cs="FrankRuehl"/>
          <w:sz w:val="28"/>
          <w:szCs w:val="28"/>
          <w:rtl/>
        </w:rPr>
        <w:tab/>
        <w:t xml:space="preserve">תכנון מוקדם או כוונה לפגיעה במישהו. לא נטען גם שהנשק שימש לאיים, ובכך שהמסוכנות </w:t>
      </w:r>
      <w:r w:rsidRPr="00D865EE">
        <w:rPr>
          <w:rFonts w:ascii="FrankRuehl" w:hAnsi="FrankRuehl" w:cs="FrankRuehl"/>
          <w:sz w:val="28"/>
          <w:szCs w:val="28"/>
          <w:rtl/>
        </w:rPr>
        <w:tab/>
        <w:t xml:space="preserve">הנשקפת אינה ברף הגבוה. </w:t>
      </w:r>
    </w:p>
    <w:p w14:paraId="3579E32C" w14:textId="77777777" w:rsidR="00FD128F" w:rsidRPr="00EC3340" w:rsidRDefault="00FD128F" w:rsidP="00FD128F">
      <w:pPr>
        <w:pStyle w:val="aa"/>
        <w:spacing w:line="360" w:lineRule="auto"/>
        <w:ind w:left="-625"/>
        <w:jc w:val="both"/>
        <w:rPr>
          <w:rFonts w:ascii="FrankRuehl" w:hAnsi="FrankRuehl" w:cs="FrankRuehl"/>
          <w:sz w:val="28"/>
          <w:szCs w:val="28"/>
          <w:rtl/>
        </w:rPr>
      </w:pPr>
      <w:r>
        <w:rPr>
          <w:rFonts w:ascii="FrankRuehl" w:hAnsi="FrankRuehl" w:cs="FrankRuehl"/>
          <w:sz w:val="28"/>
          <w:szCs w:val="28"/>
          <w:rtl/>
        </w:rPr>
        <w:tab/>
      </w:r>
      <w:r w:rsidRPr="00EC3340">
        <w:rPr>
          <w:rFonts w:ascii="FrankRuehl" w:hAnsi="FrankRuehl" w:cs="FrankRuehl"/>
          <w:sz w:val="28"/>
          <w:szCs w:val="28"/>
          <w:rtl/>
        </w:rPr>
        <w:t xml:space="preserve">מדובר בעבירת נשיאה הקרובה בנסיבותיה גם להחזקה, משך הזמן של הנשיאה וההובלה היה קצר, </w:t>
      </w:r>
      <w:r>
        <w:rPr>
          <w:rFonts w:ascii="FrankRuehl" w:hAnsi="FrankRuehl" w:cs="FrankRuehl"/>
          <w:sz w:val="28"/>
          <w:szCs w:val="28"/>
          <w:rtl/>
        </w:rPr>
        <w:tab/>
      </w:r>
      <w:r w:rsidRPr="00EC3340">
        <w:rPr>
          <w:rFonts w:ascii="FrankRuehl" w:hAnsi="FrankRuehl" w:cs="FrankRuehl"/>
          <w:sz w:val="28"/>
          <w:szCs w:val="28"/>
          <w:rtl/>
        </w:rPr>
        <w:t xml:space="preserve">כך לפי התיאור. </w:t>
      </w:r>
    </w:p>
    <w:p w14:paraId="200CCE14" w14:textId="77777777" w:rsidR="00FD128F" w:rsidRPr="00D865EE" w:rsidRDefault="00FD128F" w:rsidP="00FD128F">
      <w:pPr>
        <w:spacing w:line="360" w:lineRule="auto"/>
        <w:jc w:val="both"/>
        <w:rPr>
          <w:rFonts w:ascii="FrankRuehl" w:hAnsi="FrankRuehl" w:cs="FrankRuehl"/>
          <w:sz w:val="28"/>
          <w:szCs w:val="28"/>
          <w:rtl/>
        </w:rPr>
      </w:pPr>
      <w:r w:rsidRPr="00D865EE">
        <w:rPr>
          <w:rFonts w:ascii="FrankRuehl" w:hAnsi="FrankRuehl" w:cs="FrankRuehl"/>
          <w:sz w:val="28"/>
          <w:szCs w:val="28"/>
          <w:rtl/>
        </w:rPr>
        <w:t>ב"כ הנאשם עתרה לקביעת מתחם ענישה הנע בין 20 ל-40 חודשי מאסר.</w:t>
      </w:r>
    </w:p>
    <w:p w14:paraId="264A867F" w14:textId="77777777" w:rsidR="00FD128F" w:rsidRPr="00D865EE" w:rsidRDefault="00FD128F" w:rsidP="00FD128F">
      <w:pPr>
        <w:spacing w:line="360" w:lineRule="auto"/>
        <w:jc w:val="both"/>
        <w:rPr>
          <w:rFonts w:ascii="FrankRuehl" w:hAnsi="FrankRuehl" w:cs="FrankRuehl"/>
          <w:sz w:val="28"/>
          <w:szCs w:val="28"/>
          <w:rtl/>
        </w:rPr>
      </w:pPr>
      <w:r w:rsidRPr="00D865EE">
        <w:rPr>
          <w:rFonts w:ascii="FrankRuehl" w:hAnsi="FrankRuehl" w:cs="FrankRuehl"/>
          <w:sz w:val="28"/>
          <w:szCs w:val="28"/>
          <w:rtl/>
        </w:rPr>
        <w:t xml:space="preserve">לעניין השיבוש וההימלטות, הנאשם מודה ומביע חרטה ולוקח אחריות מלאה. הוא הבין את הבעייתיות במעשיו ואת חומרת העבירה. כל ההימלטות שלו הייתה מתוך פחד וכשהוא נעצר </w:t>
      </w:r>
      <w:r>
        <w:rPr>
          <w:rFonts w:ascii="FrankRuehl" w:hAnsi="FrankRuehl" w:cs="FrankRuehl" w:hint="cs"/>
          <w:sz w:val="28"/>
          <w:szCs w:val="28"/>
          <w:rtl/>
        </w:rPr>
        <w:t>ה</w:t>
      </w:r>
      <w:r w:rsidRPr="00D865EE">
        <w:rPr>
          <w:rFonts w:ascii="FrankRuehl" w:hAnsi="FrankRuehl" w:cs="FrankRuehl"/>
          <w:sz w:val="28"/>
          <w:szCs w:val="28"/>
          <w:rtl/>
        </w:rPr>
        <w:t xml:space="preserve">וא לא התנגד, לא הייתה אלימות או איום מצדו. </w:t>
      </w:r>
    </w:p>
    <w:p w14:paraId="14167694" w14:textId="77777777" w:rsidR="00FD128F" w:rsidRPr="00D865EE" w:rsidRDefault="00FD128F" w:rsidP="00FD128F">
      <w:pPr>
        <w:spacing w:line="360" w:lineRule="auto"/>
        <w:jc w:val="both"/>
        <w:rPr>
          <w:rFonts w:ascii="FrankRuehl" w:hAnsi="FrankRuehl" w:cs="FrankRuehl"/>
          <w:sz w:val="28"/>
          <w:szCs w:val="28"/>
          <w:rtl/>
        </w:rPr>
      </w:pPr>
      <w:r w:rsidRPr="00D865EE">
        <w:rPr>
          <w:rFonts w:ascii="FrankRuehl" w:hAnsi="FrankRuehl" w:cs="FrankRuehl"/>
          <w:sz w:val="28"/>
          <w:szCs w:val="28"/>
          <w:rtl/>
        </w:rPr>
        <w:t xml:space="preserve">היה סכסוך דמים והנשק היה להגנה. </w:t>
      </w:r>
    </w:p>
    <w:p w14:paraId="3CCFC756" w14:textId="77777777" w:rsidR="00FD128F" w:rsidRPr="00D865EE" w:rsidRDefault="00FD128F" w:rsidP="00FD128F">
      <w:pPr>
        <w:spacing w:line="360" w:lineRule="auto"/>
        <w:jc w:val="both"/>
        <w:rPr>
          <w:rFonts w:ascii="FrankRuehl" w:hAnsi="FrankRuehl" w:cs="FrankRuehl"/>
          <w:sz w:val="28"/>
          <w:szCs w:val="28"/>
          <w:rtl/>
        </w:rPr>
      </w:pPr>
      <w:r w:rsidRPr="00D865EE">
        <w:rPr>
          <w:rFonts w:ascii="FrankRuehl" w:hAnsi="FrankRuehl" w:cs="FrankRuehl"/>
          <w:sz w:val="28"/>
          <w:szCs w:val="28"/>
          <w:rtl/>
        </w:rPr>
        <w:t>לאור הנסיבות עתרה ב"כ הנאשם לגזור על הנאשם עונש שהוא במחצית המתחם, היינו 35 חודשי מאסר כשעונש זה כולל את הפעלת המאסר המותנה.</w:t>
      </w:r>
    </w:p>
    <w:p w14:paraId="0A1EF13B" w14:textId="77777777" w:rsidR="00FD128F" w:rsidRPr="00D865EE" w:rsidRDefault="00FD128F" w:rsidP="00FD128F">
      <w:pPr>
        <w:pStyle w:val="aa"/>
        <w:rPr>
          <w:rFonts w:ascii="FrankRuehl" w:hAnsi="FrankRuehl" w:cs="FrankRuehl"/>
          <w:sz w:val="28"/>
          <w:szCs w:val="28"/>
        </w:rPr>
      </w:pPr>
    </w:p>
    <w:p w14:paraId="601926BE" w14:textId="77777777" w:rsidR="00FD128F" w:rsidRPr="00D865EE" w:rsidRDefault="00FD128F" w:rsidP="00FD128F">
      <w:pPr>
        <w:pStyle w:val="aa"/>
        <w:numPr>
          <w:ilvl w:val="0"/>
          <w:numId w:val="1"/>
        </w:numPr>
        <w:spacing w:line="360" w:lineRule="auto"/>
        <w:ind w:left="0"/>
        <w:jc w:val="both"/>
        <w:rPr>
          <w:rFonts w:ascii="FrankRuehl" w:hAnsi="FrankRuehl" w:cs="FrankRuehl"/>
          <w:sz w:val="28"/>
          <w:szCs w:val="28"/>
          <w:rtl/>
        </w:rPr>
      </w:pPr>
      <w:r w:rsidRPr="00D865EE">
        <w:rPr>
          <w:rFonts w:ascii="FrankRuehl" w:hAnsi="FrankRuehl" w:cs="FrankRuehl"/>
          <w:sz w:val="28"/>
          <w:szCs w:val="28"/>
          <w:rtl/>
        </w:rPr>
        <w:t>שני הצדדים הגישו פסיקה לתמיכה בעמדתם העונשית.</w:t>
      </w:r>
    </w:p>
    <w:p w14:paraId="3FF03DB6" w14:textId="77777777" w:rsidR="00FD128F" w:rsidRPr="00D865EE" w:rsidRDefault="00FD128F" w:rsidP="00FD128F">
      <w:pPr>
        <w:pStyle w:val="aa"/>
        <w:spacing w:line="360" w:lineRule="auto"/>
        <w:ind w:left="0"/>
        <w:jc w:val="both"/>
        <w:rPr>
          <w:rFonts w:ascii="FrankRuehl" w:hAnsi="FrankRuehl" w:cs="FrankRuehl"/>
          <w:sz w:val="28"/>
          <w:szCs w:val="28"/>
          <w:rtl/>
        </w:rPr>
      </w:pPr>
      <w:r w:rsidRPr="00D865EE">
        <w:rPr>
          <w:rFonts w:ascii="FrankRuehl" w:hAnsi="FrankRuehl" w:cs="FrankRuehl"/>
          <w:sz w:val="28"/>
          <w:szCs w:val="28"/>
          <w:rtl/>
        </w:rPr>
        <w:t>ב"כ המאשימה הפנה ל</w:t>
      </w:r>
      <w:hyperlink r:id="rId15" w:history="1">
        <w:r w:rsidR="008730D7" w:rsidRPr="008730D7">
          <w:rPr>
            <w:rFonts w:ascii="FrankRuehl" w:hAnsi="FrankRuehl" w:cs="FrankRuehl"/>
            <w:color w:val="0000FF"/>
            <w:sz w:val="28"/>
            <w:szCs w:val="28"/>
            <w:u w:val="single"/>
            <w:rtl/>
          </w:rPr>
          <w:t>ע"פ 5602/22</w:t>
        </w:r>
      </w:hyperlink>
      <w:r w:rsidRPr="00D865EE">
        <w:rPr>
          <w:rFonts w:ascii="FrankRuehl" w:hAnsi="FrankRuehl" w:cs="FrankRuehl"/>
          <w:sz w:val="28"/>
          <w:szCs w:val="28"/>
          <w:rtl/>
        </w:rPr>
        <w:t xml:space="preserve"> </w:t>
      </w:r>
      <w:r w:rsidRPr="00D865EE">
        <w:rPr>
          <w:rFonts w:ascii="FrankRuehl" w:hAnsi="FrankRuehl" w:cs="FrankRuehl"/>
          <w:b/>
          <w:bCs/>
          <w:sz w:val="28"/>
          <w:szCs w:val="28"/>
          <w:rtl/>
        </w:rPr>
        <w:t xml:space="preserve">מדינת ישראל נ' פלוני </w:t>
      </w:r>
      <w:r w:rsidRPr="00D865EE">
        <w:rPr>
          <w:rFonts w:ascii="FrankRuehl" w:hAnsi="FrankRuehl" w:cs="FrankRuehl"/>
          <w:sz w:val="28"/>
          <w:szCs w:val="28"/>
          <w:rtl/>
        </w:rPr>
        <w:t xml:space="preserve">בו נקבע על ידי בית המשפט העליון שמתחם הענישה הרגיל שראוי לקבוע לנאשם בגיר בגין נשיאה בלתי חוקית של נשק חם במרחב הציבורי נע בין 30 ל – 42 חודשי מאסר לצד עונשים נלווים. </w:t>
      </w:r>
    </w:p>
    <w:p w14:paraId="7E7C3E2A" w14:textId="77777777" w:rsidR="00FD128F" w:rsidRPr="00D865EE" w:rsidRDefault="00FD128F" w:rsidP="00FD128F">
      <w:pPr>
        <w:pStyle w:val="aa"/>
        <w:spacing w:line="360" w:lineRule="auto"/>
        <w:ind w:left="0"/>
        <w:jc w:val="both"/>
        <w:rPr>
          <w:rFonts w:ascii="FrankRuehl" w:hAnsi="FrankRuehl" w:cs="FrankRuehl"/>
          <w:sz w:val="28"/>
          <w:szCs w:val="28"/>
        </w:rPr>
      </w:pPr>
      <w:r w:rsidRPr="00D865EE">
        <w:rPr>
          <w:rFonts w:ascii="FrankRuehl" w:hAnsi="FrankRuehl" w:cs="FrankRuehl"/>
          <w:sz w:val="28"/>
          <w:szCs w:val="28"/>
          <w:rtl/>
        </w:rPr>
        <w:t>באותו מקרה הושתו על המשיב 18 חודשי מאסר, קבע בית המשפט העליון שהיה מקום לגזור על המשיב 36 חודשי מאסר אף שהמשיב היה נעדר עבר פלילי, צעיר במצב רפואי לא שפיר שהודה בביצוע העבירה, ומכוחה של ההלכה ולפיה ערכאת הערעור אינה ממצה את הדין, הוחמר עונשו ל- 28 חודשי מאסר בפועל לצד ענישה נלווית.</w:t>
      </w:r>
    </w:p>
    <w:p w14:paraId="7F69C34C" w14:textId="77777777" w:rsidR="00FD128F" w:rsidRPr="00D865EE" w:rsidRDefault="00FD128F" w:rsidP="00FD128F">
      <w:pPr>
        <w:pStyle w:val="aa"/>
        <w:spacing w:line="360" w:lineRule="auto"/>
        <w:ind w:left="0"/>
        <w:jc w:val="both"/>
        <w:rPr>
          <w:rFonts w:ascii="FrankRuehl" w:hAnsi="FrankRuehl" w:cs="FrankRuehl"/>
          <w:sz w:val="28"/>
          <w:szCs w:val="28"/>
          <w:rtl/>
        </w:rPr>
      </w:pPr>
      <w:r w:rsidRPr="00D865EE">
        <w:rPr>
          <w:rFonts w:ascii="FrankRuehl" w:hAnsi="FrankRuehl" w:cs="FrankRuehl"/>
          <w:sz w:val="28"/>
          <w:szCs w:val="28"/>
          <w:rtl/>
        </w:rPr>
        <w:t>כך גם ב</w:t>
      </w:r>
      <w:hyperlink r:id="rId16" w:history="1">
        <w:r w:rsidR="008730D7" w:rsidRPr="008730D7">
          <w:rPr>
            <w:rFonts w:ascii="FrankRuehl" w:hAnsi="FrankRuehl" w:cs="FrankRuehl"/>
            <w:color w:val="0000FF"/>
            <w:sz w:val="28"/>
            <w:szCs w:val="28"/>
            <w:u w:val="single"/>
            <w:rtl/>
          </w:rPr>
          <w:t>ע"פ 5522/20</w:t>
        </w:r>
      </w:hyperlink>
      <w:r w:rsidRPr="00D865EE">
        <w:rPr>
          <w:rFonts w:ascii="FrankRuehl" w:hAnsi="FrankRuehl" w:cs="FrankRuehl"/>
          <w:sz w:val="28"/>
          <w:szCs w:val="28"/>
          <w:rtl/>
        </w:rPr>
        <w:t xml:space="preserve"> </w:t>
      </w:r>
      <w:r w:rsidRPr="00D865EE">
        <w:rPr>
          <w:rFonts w:ascii="FrankRuehl" w:hAnsi="FrankRuehl" w:cs="FrankRuehl"/>
          <w:b/>
          <w:bCs/>
          <w:sz w:val="28"/>
          <w:szCs w:val="28"/>
          <w:rtl/>
        </w:rPr>
        <w:t xml:space="preserve">חלייחל נ' מדינת ישראל </w:t>
      </w:r>
      <w:r w:rsidRPr="00D865EE">
        <w:rPr>
          <w:rFonts w:ascii="FrankRuehl" w:hAnsi="FrankRuehl" w:cs="FrankRuehl"/>
          <w:sz w:val="28"/>
          <w:szCs w:val="28"/>
          <w:rtl/>
        </w:rPr>
        <w:t xml:space="preserve">נדחה ערעורו של המערער שהורשע על פי הודאתו בעבירות נשק ונגזרו עליו 36 חודשי מאסר בפועל וענישה נלווית כמו גם הפעלת מאסר על תנאי במצטבר לעונש המאסר. </w:t>
      </w:r>
    </w:p>
    <w:p w14:paraId="17762622" w14:textId="77777777" w:rsidR="00FD128F" w:rsidRPr="00D865EE" w:rsidRDefault="008730D7" w:rsidP="00FD128F">
      <w:pPr>
        <w:pStyle w:val="aa"/>
        <w:spacing w:line="360" w:lineRule="auto"/>
        <w:ind w:left="0"/>
        <w:jc w:val="both"/>
        <w:rPr>
          <w:rFonts w:ascii="FrankRuehl" w:hAnsi="FrankRuehl" w:cs="FrankRuehl"/>
          <w:sz w:val="28"/>
          <w:szCs w:val="28"/>
          <w:rtl/>
        </w:rPr>
      </w:pPr>
      <w:hyperlink r:id="rId17" w:history="1">
        <w:r w:rsidRPr="008730D7">
          <w:rPr>
            <w:rFonts w:ascii="FrankRuehl" w:hAnsi="FrankRuehl" w:cs="FrankRuehl"/>
            <w:color w:val="0000FF"/>
            <w:sz w:val="28"/>
            <w:szCs w:val="28"/>
            <w:u w:val="single"/>
            <w:rtl/>
          </w:rPr>
          <w:t>ע"פ 7971/23</w:t>
        </w:r>
      </w:hyperlink>
      <w:r w:rsidR="00FD128F" w:rsidRPr="00D865EE">
        <w:rPr>
          <w:rFonts w:ascii="FrankRuehl" w:hAnsi="FrankRuehl" w:cs="FrankRuehl"/>
          <w:sz w:val="28"/>
          <w:szCs w:val="28"/>
          <w:rtl/>
        </w:rPr>
        <w:t xml:space="preserve"> ו – </w:t>
      </w:r>
      <w:hyperlink r:id="rId18" w:history="1">
        <w:r w:rsidRPr="008730D7">
          <w:rPr>
            <w:rFonts w:ascii="FrankRuehl" w:hAnsi="FrankRuehl" w:cs="FrankRuehl"/>
            <w:color w:val="0000FF"/>
            <w:sz w:val="28"/>
            <w:szCs w:val="28"/>
            <w:u w:val="single"/>
            <w:rtl/>
          </w:rPr>
          <w:t>ע"פ 9228/23</w:t>
        </w:r>
      </w:hyperlink>
      <w:r w:rsidR="00FD128F" w:rsidRPr="00D865EE">
        <w:rPr>
          <w:rFonts w:ascii="FrankRuehl" w:hAnsi="FrankRuehl" w:cs="FrankRuehl"/>
          <w:sz w:val="28"/>
          <w:szCs w:val="28"/>
          <w:rtl/>
        </w:rPr>
        <w:t xml:space="preserve"> </w:t>
      </w:r>
      <w:r w:rsidR="00FD128F" w:rsidRPr="00D865EE">
        <w:rPr>
          <w:rFonts w:ascii="FrankRuehl" w:hAnsi="FrankRuehl" w:cs="FrankRuehl"/>
          <w:b/>
          <w:bCs/>
          <w:sz w:val="28"/>
          <w:szCs w:val="28"/>
          <w:rtl/>
        </w:rPr>
        <w:t xml:space="preserve">מג'ד אגבאריה נ' מדינת ישראל וערעור שכנגד </w:t>
      </w:r>
      <w:r w:rsidR="00FD128F" w:rsidRPr="00D865EE">
        <w:rPr>
          <w:rFonts w:ascii="FrankRuehl" w:hAnsi="FrankRuehl" w:cs="FrankRuehl"/>
          <w:sz w:val="28"/>
          <w:szCs w:val="28"/>
          <w:rtl/>
        </w:rPr>
        <w:t>, על המשיבים בערעור המדינה על קולת העונש, משיבים אשר הורשעו בהתאם להודאתם בעבירה של נשיאה והובלה של נשק, הוטלו עונשים של 14 ו – 24 חודשי מאסר לצד ענישה נלווית. בית המשפט העליון קבע שמתחם הענישה הראוי לנאשם בגיר  בגין עבירה של נשיאת נשק חם במרחב הציבורי נע בין 30 ל – 42 חודשי מאסר לצד עונשים נלווים והחמיר את עונשם של שני המשיבים תוך שהעמידם על 32 חודשי מאסר בפועל.</w:t>
      </w:r>
    </w:p>
    <w:p w14:paraId="2AA1B301" w14:textId="77777777" w:rsidR="00FD128F" w:rsidRPr="00D865EE" w:rsidRDefault="00FD128F" w:rsidP="00FD128F">
      <w:pPr>
        <w:pStyle w:val="aa"/>
        <w:spacing w:line="360" w:lineRule="auto"/>
        <w:ind w:left="0"/>
        <w:jc w:val="both"/>
        <w:rPr>
          <w:rFonts w:ascii="FrankRuehl" w:hAnsi="FrankRuehl" w:cs="FrankRuehl"/>
          <w:b/>
          <w:bCs/>
          <w:sz w:val="28"/>
          <w:szCs w:val="28"/>
          <w:rtl/>
        </w:rPr>
      </w:pPr>
      <w:r w:rsidRPr="00D865EE">
        <w:rPr>
          <w:rFonts w:ascii="FrankRuehl" w:hAnsi="FrankRuehl" w:cs="FrankRuehl"/>
          <w:sz w:val="28"/>
          <w:szCs w:val="28"/>
          <w:rtl/>
        </w:rPr>
        <w:t>כן הפנה ל</w:t>
      </w:r>
      <w:hyperlink r:id="rId19" w:history="1">
        <w:r w:rsidR="008730D7" w:rsidRPr="008730D7">
          <w:rPr>
            <w:rFonts w:ascii="FrankRuehl" w:hAnsi="FrankRuehl" w:cs="FrankRuehl"/>
            <w:color w:val="0000FF"/>
            <w:sz w:val="28"/>
            <w:szCs w:val="28"/>
            <w:u w:val="single"/>
            <w:rtl/>
          </w:rPr>
          <w:t>ע"פ 5681/23</w:t>
        </w:r>
      </w:hyperlink>
      <w:r w:rsidRPr="00D865EE">
        <w:rPr>
          <w:rFonts w:ascii="FrankRuehl" w:hAnsi="FrankRuehl" w:cs="FrankRuehl"/>
          <w:sz w:val="28"/>
          <w:szCs w:val="28"/>
          <w:rtl/>
        </w:rPr>
        <w:t xml:space="preserve"> </w:t>
      </w:r>
      <w:r w:rsidRPr="00D865EE">
        <w:rPr>
          <w:rFonts w:ascii="FrankRuehl" w:hAnsi="FrankRuehl" w:cs="FrankRuehl"/>
          <w:b/>
          <w:bCs/>
          <w:sz w:val="28"/>
          <w:szCs w:val="28"/>
          <w:rtl/>
        </w:rPr>
        <w:t xml:space="preserve">חווא נ' מדינת ישראל </w:t>
      </w:r>
      <w:r w:rsidRPr="00D865EE">
        <w:rPr>
          <w:rFonts w:ascii="FrankRuehl" w:hAnsi="FrankRuehl" w:cs="FrankRuehl"/>
          <w:sz w:val="28"/>
          <w:szCs w:val="28"/>
          <w:rtl/>
        </w:rPr>
        <w:t>המדגיש את הצורך בענישה מחמירה בעבירות נשק ולגזר דין שניתן על ידי ב</w:t>
      </w:r>
      <w:hyperlink r:id="rId20" w:history="1">
        <w:r w:rsidR="008730D7" w:rsidRPr="008730D7">
          <w:rPr>
            <w:rFonts w:ascii="FrankRuehl" w:hAnsi="FrankRuehl" w:cs="FrankRuehl"/>
            <w:color w:val="0000FF"/>
            <w:sz w:val="28"/>
            <w:szCs w:val="28"/>
            <w:u w:val="single"/>
            <w:rtl/>
          </w:rPr>
          <w:t>ת.פ. 33337-07-23</w:t>
        </w:r>
      </w:hyperlink>
      <w:r w:rsidRPr="00D865EE">
        <w:rPr>
          <w:rFonts w:ascii="FrankRuehl" w:hAnsi="FrankRuehl" w:cs="FrankRuehl"/>
          <w:sz w:val="28"/>
          <w:szCs w:val="28"/>
          <w:rtl/>
        </w:rPr>
        <w:t xml:space="preserve"> </w:t>
      </w:r>
      <w:r w:rsidRPr="00D865EE">
        <w:rPr>
          <w:rFonts w:ascii="FrankRuehl" w:hAnsi="FrankRuehl" w:cs="FrankRuehl"/>
          <w:b/>
          <w:bCs/>
          <w:sz w:val="28"/>
          <w:szCs w:val="28"/>
          <w:rtl/>
        </w:rPr>
        <w:t xml:space="preserve">מדינת ישראל נ' אבו גאנ ואח' </w:t>
      </w:r>
      <w:r w:rsidRPr="00D865EE">
        <w:rPr>
          <w:rFonts w:ascii="FrankRuehl" w:hAnsi="FrankRuehl" w:cs="FrankRuehl"/>
          <w:sz w:val="28"/>
          <w:szCs w:val="28"/>
          <w:rtl/>
        </w:rPr>
        <w:t>בו נקבע מתחם ענישה בעבירה של הובלת נשק ותחמושת בצוותא חדא הנע בין 30 ל – 42 חודשי מאסר וענישה נלווית.</w:t>
      </w:r>
    </w:p>
    <w:p w14:paraId="185D003D" w14:textId="77777777" w:rsidR="00FD128F" w:rsidRPr="00D865EE" w:rsidRDefault="00FD128F" w:rsidP="00FD128F">
      <w:pPr>
        <w:pStyle w:val="aa"/>
        <w:spacing w:line="360" w:lineRule="auto"/>
        <w:ind w:left="0"/>
        <w:jc w:val="both"/>
        <w:rPr>
          <w:rFonts w:ascii="FrankRuehl" w:hAnsi="FrankRuehl" w:cs="FrankRuehl"/>
          <w:sz w:val="28"/>
          <w:szCs w:val="28"/>
          <w:rtl/>
        </w:rPr>
      </w:pPr>
      <w:r w:rsidRPr="00D865EE">
        <w:rPr>
          <w:rFonts w:ascii="FrankRuehl" w:hAnsi="FrankRuehl" w:cs="FrankRuehl"/>
          <w:sz w:val="28"/>
          <w:szCs w:val="28"/>
          <w:rtl/>
        </w:rPr>
        <w:t>ב"כ הנאשם הפנתה ל</w:t>
      </w:r>
      <w:hyperlink r:id="rId21" w:history="1">
        <w:r w:rsidR="008730D7" w:rsidRPr="008730D7">
          <w:rPr>
            <w:rFonts w:ascii="FrankRuehl" w:hAnsi="FrankRuehl" w:cs="FrankRuehl"/>
            <w:color w:val="0000FF"/>
            <w:sz w:val="28"/>
            <w:szCs w:val="28"/>
            <w:u w:val="single"/>
            <w:rtl/>
          </w:rPr>
          <w:t>ת.פ. 41832-08-24</w:t>
        </w:r>
      </w:hyperlink>
      <w:r w:rsidRPr="00D865EE">
        <w:rPr>
          <w:rFonts w:ascii="FrankRuehl" w:hAnsi="FrankRuehl" w:cs="FrankRuehl"/>
          <w:sz w:val="28"/>
          <w:szCs w:val="28"/>
          <w:rtl/>
        </w:rPr>
        <w:t xml:space="preserve"> מחוזי תל אביב </w:t>
      </w:r>
      <w:r w:rsidRPr="00D865EE">
        <w:rPr>
          <w:rFonts w:ascii="FrankRuehl" w:hAnsi="FrankRuehl" w:cs="FrankRuehl"/>
          <w:b/>
          <w:bCs/>
          <w:sz w:val="28"/>
          <w:szCs w:val="28"/>
          <w:rtl/>
        </w:rPr>
        <w:t xml:space="preserve">מדינת ישראל נ' סימונס </w:t>
      </w:r>
      <w:r w:rsidRPr="00D865EE">
        <w:rPr>
          <w:rFonts w:ascii="FrankRuehl" w:hAnsi="FrankRuehl" w:cs="FrankRuehl"/>
          <w:sz w:val="28"/>
          <w:szCs w:val="28"/>
          <w:rtl/>
        </w:rPr>
        <w:t>בו הורשע נאשם על יסוד הודאתו בעבירה של נשיאת נשק ותחמושת, נקבע מתחם ענישה הנע בין 28 ל – 52 חודשי מאסר ועל הנאשם הוטלו 32 חודשי מאסר לצד ענישה נלווית.</w:t>
      </w:r>
    </w:p>
    <w:p w14:paraId="42DED397" w14:textId="77777777" w:rsidR="00FD128F" w:rsidRPr="00D865EE" w:rsidRDefault="008730D7" w:rsidP="00FD128F">
      <w:pPr>
        <w:pStyle w:val="aa"/>
        <w:spacing w:line="360" w:lineRule="auto"/>
        <w:ind w:left="0"/>
        <w:jc w:val="both"/>
        <w:rPr>
          <w:rFonts w:ascii="FrankRuehl" w:hAnsi="FrankRuehl" w:cs="FrankRuehl"/>
          <w:sz w:val="28"/>
          <w:szCs w:val="28"/>
          <w:rtl/>
        </w:rPr>
      </w:pPr>
      <w:hyperlink r:id="rId22" w:history="1">
        <w:r w:rsidRPr="008730D7">
          <w:rPr>
            <w:rFonts w:ascii="FrankRuehl" w:hAnsi="FrankRuehl" w:cs="FrankRuehl"/>
            <w:color w:val="0000FF"/>
            <w:sz w:val="28"/>
            <w:szCs w:val="28"/>
            <w:u w:val="single"/>
            <w:rtl/>
          </w:rPr>
          <w:t>ת.פ.  3384-12-23</w:t>
        </w:r>
      </w:hyperlink>
      <w:r w:rsidR="00FD128F" w:rsidRPr="00D865EE">
        <w:rPr>
          <w:rFonts w:ascii="FrankRuehl" w:hAnsi="FrankRuehl" w:cs="FrankRuehl"/>
          <w:sz w:val="28"/>
          <w:szCs w:val="28"/>
          <w:rtl/>
        </w:rPr>
        <w:t xml:space="preserve"> (מחוזי באר שבע) </w:t>
      </w:r>
      <w:r w:rsidR="00FD128F" w:rsidRPr="00D865EE">
        <w:rPr>
          <w:rFonts w:ascii="FrankRuehl" w:hAnsi="FrankRuehl" w:cs="FrankRuehl"/>
          <w:b/>
          <w:bCs/>
          <w:sz w:val="28"/>
          <w:szCs w:val="28"/>
          <w:rtl/>
        </w:rPr>
        <w:t xml:space="preserve">מדינת ישראל נ' אבו סבית </w:t>
      </w:r>
      <w:r w:rsidR="00FD128F" w:rsidRPr="00D865EE">
        <w:rPr>
          <w:rFonts w:ascii="FrankRuehl" w:hAnsi="FrankRuehl" w:cs="FrankRuehl"/>
          <w:sz w:val="28"/>
          <w:szCs w:val="28"/>
          <w:rtl/>
        </w:rPr>
        <w:t xml:space="preserve"> בו הורשע הנאש בהתאם להודאתו בעבירה של הובלה ונשיאת נשק, נקבע מתחם ענישה הנע בין 22 ל – 36 חודשי מאסר בפועל.</w:t>
      </w:r>
    </w:p>
    <w:p w14:paraId="796820DE" w14:textId="77777777" w:rsidR="00FD128F" w:rsidRPr="00D865EE" w:rsidRDefault="00FD128F" w:rsidP="00FD128F">
      <w:pPr>
        <w:pStyle w:val="aa"/>
        <w:spacing w:line="360" w:lineRule="auto"/>
        <w:ind w:left="0"/>
        <w:jc w:val="both"/>
        <w:rPr>
          <w:rFonts w:ascii="FrankRuehl" w:hAnsi="FrankRuehl" w:cs="FrankRuehl"/>
          <w:b/>
          <w:bCs/>
          <w:sz w:val="28"/>
          <w:szCs w:val="28"/>
          <w:rtl/>
        </w:rPr>
      </w:pPr>
    </w:p>
    <w:p w14:paraId="2AC1DCC3" w14:textId="77777777" w:rsidR="00FD128F" w:rsidRPr="00D865EE" w:rsidRDefault="00FD128F" w:rsidP="00FD128F">
      <w:pPr>
        <w:pStyle w:val="aa"/>
        <w:spacing w:line="360" w:lineRule="auto"/>
        <w:ind w:left="0"/>
        <w:jc w:val="both"/>
        <w:rPr>
          <w:rFonts w:ascii="FrankRuehl" w:hAnsi="FrankRuehl" w:cs="FrankRuehl"/>
          <w:b/>
          <w:bCs/>
          <w:sz w:val="28"/>
          <w:szCs w:val="28"/>
          <w:rtl/>
        </w:rPr>
      </w:pPr>
      <w:r w:rsidRPr="00D865EE">
        <w:rPr>
          <w:rFonts w:ascii="FrankRuehl" w:hAnsi="FrankRuehl" w:cs="FrankRuehl"/>
          <w:b/>
          <w:bCs/>
          <w:sz w:val="28"/>
          <w:szCs w:val="28"/>
          <w:rtl/>
        </w:rPr>
        <w:t xml:space="preserve">דיון והכרעה- </w:t>
      </w:r>
    </w:p>
    <w:p w14:paraId="6A3EDEE8" w14:textId="77777777" w:rsidR="00FD128F" w:rsidRPr="00D865EE" w:rsidRDefault="00FD128F" w:rsidP="00FD128F">
      <w:pPr>
        <w:pStyle w:val="aa"/>
        <w:spacing w:line="360" w:lineRule="auto"/>
        <w:ind w:left="0"/>
        <w:jc w:val="both"/>
        <w:rPr>
          <w:rFonts w:ascii="FrankRuehl" w:hAnsi="FrankRuehl" w:cs="FrankRuehl"/>
          <w:b/>
          <w:bCs/>
          <w:sz w:val="28"/>
          <w:szCs w:val="28"/>
          <w:rtl/>
        </w:rPr>
      </w:pPr>
    </w:p>
    <w:p w14:paraId="08FA61B8" w14:textId="77777777" w:rsidR="00FD128F" w:rsidRPr="00D865EE" w:rsidRDefault="00FD128F" w:rsidP="00FD128F">
      <w:pPr>
        <w:pStyle w:val="aa"/>
        <w:numPr>
          <w:ilvl w:val="0"/>
          <w:numId w:val="1"/>
        </w:numPr>
        <w:spacing w:line="360" w:lineRule="auto"/>
        <w:ind w:left="0"/>
        <w:jc w:val="both"/>
        <w:rPr>
          <w:rFonts w:ascii="FrankRuehl" w:hAnsi="FrankRuehl" w:cs="FrankRuehl"/>
          <w:sz w:val="28"/>
          <w:szCs w:val="28"/>
        </w:rPr>
      </w:pPr>
      <w:r w:rsidRPr="00D865EE">
        <w:rPr>
          <w:rFonts w:ascii="FrankRuehl" w:hAnsi="FrankRuehl" w:cs="FrankRuehl"/>
          <w:sz w:val="28"/>
          <w:szCs w:val="28"/>
          <w:rtl/>
        </w:rPr>
        <w:t>ב</w:t>
      </w:r>
      <w:hyperlink r:id="rId23" w:history="1">
        <w:r w:rsidR="008730D7" w:rsidRPr="008730D7">
          <w:rPr>
            <w:rFonts w:ascii="FrankRuehl" w:hAnsi="FrankRuehl" w:cs="FrankRuehl"/>
            <w:color w:val="0000FF"/>
            <w:sz w:val="28"/>
            <w:szCs w:val="28"/>
            <w:u w:val="single"/>
            <w:rtl/>
          </w:rPr>
          <w:t>ע"פ 5602/22</w:t>
        </w:r>
      </w:hyperlink>
      <w:r w:rsidRPr="00D865EE">
        <w:rPr>
          <w:rFonts w:ascii="FrankRuehl" w:hAnsi="FrankRuehl" w:cs="FrankRuehl"/>
          <w:sz w:val="28"/>
          <w:szCs w:val="28"/>
          <w:rtl/>
        </w:rPr>
        <w:t xml:space="preserve"> </w:t>
      </w:r>
      <w:r w:rsidRPr="00D865EE">
        <w:rPr>
          <w:rFonts w:ascii="FrankRuehl" w:hAnsi="FrankRuehl" w:cs="FrankRuehl"/>
          <w:b/>
          <w:bCs/>
          <w:sz w:val="28"/>
          <w:szCs w:val="28"/>
          <w:rtl/>
        </w:rPr>
        <w:t xml:space="preserve">מדינת ישראל נ' פלוני </w:t>
      </w:r>
      <w:r w:rsidRPr="00D865EE">
        <w:rPr>
          <w:rFonts w:ascii="FrankRuehl" w:hAnsi="FrankRuehl" w:cs="FrankRuehl"/>
          <w:sz w:val="28"/>
          <w:szCs w:val="28"/>
          <w:rtl/>
        </w:rPr>
        <w:t>עמד בית המשפט העליון על החומרה הרבה בעבירות הנשק והצורך להכביד יד על העבריינים באמצעות ענישה מחמירה, אף נוכח הוראות תיקון 140 ל</w:t>
      </w:r>
      <w:hyperlink r:id="rId24" w:history="1">
        <w:r w:rsidR="008730D7" w:rsidRPr="008730D7">
          <w:rPr>
            <w:rFonts w:ascii="FrankRuehl" w:hAnsi="FrankRuehl" w:cs="FrankRuehl"/>
            <w:color w:val="0000FF"/>
            <w:sz w:val="28"/>
            <w:szCs w:val="28"/>
            <w:u w:val="single"/>
            <w:rtl/>
          </w:rPr>
          <w:t>חוק העונשין</w:t>
        </w:r>
      </w:hyperlink>
      <w:r w:rsidRPr="00D865EE">
        <w:rPr>
          <w:rFonts w:ascii="FrankRuehl" w:hAnsi="FrankRuehl" w:cs="FrankRuehl"/>
          <w:sz w:val="28"/>
          <w:szCs w:val="28"/>
          <w:rtl/>
        </w:rPr>
        <w:t>. וכך נפסק:</w:t>
      </w:r>
    </w:p>
    <w:p w14:paraId="088397DB" w14:textId="77777777" w:rsidR="00FD128F" w:rsidRPr="00D865EE" w:rsidRDefault="00FD128F" w:rsidP="00FD128F">
      <w:pPr>
        <w:pStyle w:val="aa"/>
        <w:spacing w:line="360" w:lineRule="auto"/>
        <w:ind w:left="0"/>
        <w:jc w:val="both"/>
        <w:rPr>
          <w:rFonts w:ascii="FrankRuehl" w:hAnsi="FrankRuehl" w:cs="FrankRuehl"/>
          <w:sz w:val="28"/>
          <w:szCs w:val="28"/>
          <w:rtl/>
        </w:rPr>
      </w:pPr>
    </w:p>
    <w:p w14:paraId="3B654F07" w14:textId="77777777" w:rsidR="00FD128F" w:rsidRPr="00D865EE" w:rsidRDefault="00FD128F" w:rsidP="00FD128F">
      <w:pPr>
        <w:pStyle w:val="Ruller4"/>
        <w:rPr>
          <w:rFonts w:ascii="FrankRuehl" w:hAnsi="FrankRuehl"/>
          <w:sz w:val="28"/>
        </w:rPr>
      </w:pPr>
      <w:r w:rsidRPr="00D865EE">
        <w:rPr>
          <w:rFonts w:ascii="FrankRuehl" w:hAnsi="FrankRuehl"/>
          <w:sz w:val="28"/>
          <w:rtl/>
        </w:rPr>
        <w:t xml:space="preserve">"בעניין </w:t>
      </w:r>
      <w:r w:rsidRPr="00D865EE">
        <w:rPr>
          <w:rFonts w:ascii="FrankRuehl" w:hAnsi="FrankRuehl"/>
          <w:b/>
          <w:spacing w:val="0"/>
          <w:sz w:val="28"/>
          <w:rtl/>
        </w:rPr>
        <w:t>סובח</w:t>
      </w:r>
      <w:r w:rsidRPr="00D865EE">
        <w:rPr>
          <w:rFonts w:ascii="FrankRuehl" w:hAnsi="FrankRuehl"/>
          <w:sz w:val="28"/>
          <w:rtl/>
        </w:rPr>
        <w:t xml:space="preserve">, עמד חברנו, השופט </w:t>
      </w:r>
      <w:r w:rsidRPr="00D865EE">
        <w:rPr>
          <w:rFonts w:ascii="FrankRuehl" w:hAnsi="FrankRuehl"/>
          <w:b/>
          <w:spacing w:val="0"/>
          <w:sz w:val="28"/>
          <w:rtl/>
        </w:rPr>
        <w:t xml:space="preserve">י' אלרון </w:t>
      </w:r>
      <w:r w:rsidRPr="00D865EE">
        <w:rPr>
          <w:rFonts w:ascii="FrankRuehl" w:hAnsi="FrankRuehl"/>
          <w:sz w:val="28"/>
          <w:rtl/>
        </w:rPr>
        <w:t xml:space="preserve">(בהסכמת השופט </w:t>
      </w:r>
      <w:r w:rsidRPr="00D865EE">
        <w:rPr>
          <w:rFonts w:ascii="FrankRuehl" w:hAnsi="FrankRuehl"/>
          <w:b/>
          <w:spacing w:val="0"/>
          <w:sz w:val="28"/>
          <w:rtl/>
        </w:rPr>
        <w:t>מ' מזוז</w:t>
      </w:r>
      <w:r w:rsidRPr="00D865EE">
        <w:rPr>
          <w:rFonts w:ascii="FrankRuehl" w:hAnsi="FrankRuehl"/>
          <w:sz w:val="28"/>
          <w:rtl/>
        </w:rPr>
        <w:t xml:space="preserve"> ובהסכמתי שלי) על המציאות העגומה שהשימוש הלא חוקי בנשק חם – אשר נעשה כמעט מדי יום ביומו – היה לחלק בלתי נפרד ממנה. במסגרת זו, ציין השופט </w:t>
      </w:r>
      <w:r w:rsidRPr="00D865EE">
        <w:rPr>
          <w:rFonts w:ascii="FrankRuehl" w:hAnsi="FrankRuehl"/>
          <w:b/>
          <w:spacing w:val="0"/>
          <w:sz w:val="28"/>
          <w:rtl/>
        </w:rPr>
        <w:t>אלרון</w:t>
      </w:r>
      <w:r w:rsidRPr="00D865EE">
        <w:rPr>
          <w:rFonts w:ascii="FrankRuehl" w:hAnsi="FrankRuehl"/>
          <w:sz w:val="28"/>
          <w:rtl/>
        </w:rPr>
        <w:t xml:space="preserve"> כי מציאות זאת כפתה עלינו צורך חברתי דחוף ואקוטי להחמיר עם עברייני נשק לסוגיהם; ואלה היו דבריו:</w:t>
      </w:r>
    </w:p>
    <w:p w14:paraId="3895884D" w14:textId="77777777" w:rsidR="00FD128F" w:rsidRPr="00D865EE" w:rsidRDefault="00FD128F" w:rsidP="00FD128F">
      <w:pPr>
        <w:pStyle w:val="Ruller5"/>
        <w:rPr>
          <w:rFonts w:ascii="FrankRuehl" w:hAnsi="FrankRuehl"/>
          <w:sz w:val="28"/>
          <w:rtl/>
        </w:rPr>
      </w:pPr>
      <w:r w:rsidRPr="00D865EE">
        <w:rPr>
          <w:rFonts w:ascii="FrankRuehl" w:hAnsi="FrankRuehl"/>
          <w:sz w:val="28"/>
          <w:rtl/>
        </w:rPr>
        <w:t xml:space="preserve">"[...] לעיתים מדיניות הענישה הנוהגת ביחס לעבירה מסוימת אינה מספקת, ועל בית המשפט להורות על החמרה בענישה על מנת לקדם ולהגן על הערכים אשר ביסודה, ובכך לבלום את נפיצותן של עבירות מסוימות ההופכות ל"מכת מדינה", ולתת ביטוי לחומרה שיש לייחס להן. המקרה שלפנינו נמנה לטעמי עם אותם מקרים חריגים אשר בהם נדרשת התערבותו של בית משפט זה בשבתו כערכאת ערעור, וזאת לנוכח מדיניות הענישה המחמירה אשר יש לנקוט כלפי עבירות הכוללות שימוש בנשק חם כאמצעי ליישוב סכסוכים. 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 על רקע המציאות אותה אנו חווים למרבה הצער מדי יום, אנו עדים לקריאה ציבורית נרגשת להגברת האכיפה כלפי עבירות נשק – ולהחמרה במדיניות הענישה הנוהגת." (ראו עניין </w:t>
      </w:r>
      <w:r w:rsidRPr="00D865EE">
        <w:rPr>
          <w:rFonts w:ascii="FrankRuehl" w:hAnsi="FrankRuehl"/>
          <w:b/>
          <w:spacing w:val="0"/>
          <w:sz w:val="28"/>
          <w:rtl/>
        </w:rPr>
        <w:t>סובח</w:t>
      </w:r>
      <w:r w:rsidRPr="00D865EE">
        <w:rPr>
          <w:rFonts w:ascii="FrankRuehl" w:hAnsi="FrankRuehl"/>
          <w:sz w:val="28"/>
          <w:rtl/>
        </w:rPr>
        <w:t>, פסקאות 16-15).</w:t>
      </w:r>
    </w:p>
    <w:p w14:paraId="5B9AB3C2" w14:textId="77777777" w:rsidR="00FD128F" w:rsidRPr="00D865EE" w:rsidRDefault="00FD128F" w:rsidP="00FD128F">
      <w:pPr>
        <w:pStyle w:val="Ruller5"/>
        <w:rPr>
          <w:rFonts w:ascii="FrankRuehl" w:hAnsi="FrankRuehl"/>
          <w:sz w:val="28"/>
          <w:rtl/>
        </w:rPr>
      </w:pPr>
    </w:p>
    <w:p w14:paraId="58EF05BF" w14:textId="77777777" w:rsidR="00FD128F" w:rsidRPr="00D865EE" w:rsidRDefault="00FD128F" w:rsidP="00FD128F">
      <w:pPr>
        <w:pStyle w:val="Ruller4"/>
        <w:rPr>
          <w:rFonts w:ascii="FrankRuehl" w:hAnsi="FrankRuehl"/>
          <w:sz w:val="28"/>
        </w:rPr>
      </w:pPr>
      <w:r w:rsidRPr="00D865EE">
        <w:rPr>
          <w:rFonts w:ascii="FrankRuehl" w:hAnsi="FrankRuehl"/>
          <w:sz w:val="28"/>
          <w:rtl/>
        </w:rPr>
        <w:t xml:space="preserve"> בית משפט זה יישם את מדיניות ההחמרה האמורה </w:t>
      </w:r>
      <w:r w:rsidRPr="00D865EE">
        <w:rPr>
          <w:rFonts w:ascii="FrankRuehl" w:hAnsi="FrankRuehl"/>
          <w:b/>
          <w:spacing w:val="0"/>
          <w:sz w:val="28"/>
          <w:rtl/>
        </w:rPr>
        <w:t>ביחס לכלל עבירות נשק</w:t>
      </w:r>
      <w:r w:rsidRPr="00D865EE">
        <w:rPr>
          <w:rFonts w:ascii="FrankRuehl" w:hAnsi="FrankRuehl"/>
          <w:sz w:val="28"/>
          <w:rtl/>
        </w:rPr>
        <w:t xml:space="preserve"> בשורה ארוכה של פסקי דין (ראו, למשל: </w:t>
      </w:r>
      <w:hyperlink r:id="rId25" w:history="1">
        <w:r w:rsidR="008730D7" w:rsidRPr="008730D7">
          <w:rPr>
            <w:rFonts w:ascii="FrankRuehl" w:hAnsi="FrankRuehl"/>
            <w:color w:val="0000FF"/>
            <w:sz w:val="28"/>
            <w:u w:val="single"/>
            <w:rtl/>
          </w:rPr>
          <w:t>ע"פ 5522/20</w:t>
        </w:r>
      </w:hyperlink>
      <w:r w:rsidRPr="00D865EE">
        <w:rPr>
          <w:rFonts w:ascii="FrankRuehl" w:hAnsi="FrankRuehl"/>
          <w:sz w:val="28"/>
          <w:rtl/>
        </w:rPr>
        <w:t xml:space="preserve"> </w:t>
      </w:r>
      <w:r w:rsidRPr="00D865EE">
        <w:rPr>
          <w:rFonts w:ascii="FrankRuehl" w:hAnsi="FrankRuehl"/>
          <w:b/>
          <w:spacing w:val="0"/>
          <w:sz w:val="28"/>
          <w:rtl/>
        </w:rPr>
        <w:t>חלייחל נ' מדינת ישראל</w:t>
      </w:r>
      <w:r w:rsidRPr="00D865EE">
        <w:rPr>
          <w:rFonts w:ascii="FrankRuehl" w:hAnsi="FrankRuehl"/>
          <w:sz w:val="28"/>
          <w:rtl/>
        </w:rPr>
        <w:t xml:space="preserve"> </w:t>
      </w:r>
      <w:r w:rsidRPr="00D865EE">
        <w:rPr>
          <w:rFonts w:ascii="FrankRuehl" w:hAnsi="FrankRuehl"/>
          <w:spacing w:val="0"/>
          <w:sz w:val="28"/>
          <w:rtl/>
        </w:rPr>
        <w:t xml:space="preserve">[פורסם בנבו] </w:t>
      </w:r>
      <w:r w:rsidRPr="00D865EE">
        <w:rPr>
          <w:rFonts w:ascii="FrankRuehl" w:hAnsi="FrankRuehl"/>
          <w:sz w:val="28"/>
          <w:rtl/>
        </w:rPr>
        <w:t xml:space="preserve">(24.2.2021) (להלן: עניין </w:t>
      </w:r>
      <w:r w:rsidRPr="00D865EE">
        <w:rPr>
          <w:rFonts w:ascii="FrankRuehl" w:hAnsi="FrankRuehl"/>
          <w:b/>
          <w:spacing w:val="0"/>
          <w:sz w:val="28"/>
          <w:rtl/>
        </w:rPr>
        <w:t>חלייחל</w:t>
      </w:r>
      <w:r w:rsidRPr="00D865EE">
        <w:rPr>
          <w:rFonts w:ascii="FrankRuehl" w:hAnsi="FrankRuehl"/>
          <w:sz w:val="28"/>
          <w:rtl/>
        </w:rPr>
        <w:t xml:space="preserve">); </w:t>
      </w:r>
      <w:hyperlink r:id="rId26" w:history="1">
        <w:r w:rsidR="008730D7" w:rsidRPr="008730D7">
          <w:rPr>
            <w:rFonts w:ascii="FrankRuehl" w:hAnsi="FrankRuehl"/>
            <w:color w:val="0000FF"/>
            <w:sz w:val="28"/>
            <w:u w:val="single"/>
            <w:rtl/>
          </w:rPr>
          <w:t>ע"פ 4207/21</w:t>
        </w:r>
      </w:hyperlink>
      <w:r w:rsidRPr="00D865EE">
        <w:rPr>
          <w:rFonts w:ascii="FrankRuehl" w:hAnsi="FrankRuehl"/>
          <w:sz w:val="28"/>
          <w:rtl/>
        </w:rPr>
        <w:t xml:space="preserve"> </w:t>
      </w:r>
      <w:r w:rsidRPr="00D865EE">
        <w:rPr>
          <w:rFonts w:ascii="FrankRuehl" w:hAnsi="FrankRuehl"/>
          <w:b/>
          <w:spacing w:val="0"/>
          <w:sz w:val="28"/>
          <w:rtl/>
        </w:rPr>
        <w:t>נורי נ' מדינת ישראל</w:t>
      </w:r>
      <w:r w:rsidRPr="00D865EE">
        <w:rPr>
          <w:rFonts w:ascii="FrankRuehl" w:hAnsi="FrankRuehl"/>
          <w:sz w:val="28"/>
          <w:rtl/>
        </w:rPr>
        <w:t xml:space="preserve"> </w:t>
      </w:r>
      <w:r w:rsidRPr="00D865EE">
        <w:rPr>
          <w:rFonts w:ascii="FrankRuehl" w:hAnsi="FrankRuehl"/>
          <w:spacing w:val="0"/>
          <w:sz w:val="28"/>
          <w:rtl/>
        </w:rPr>
        <w:t xml:space="preserve">[פורסם בנבו] </w:t>
      </w:r>
      <w:r w:rsidRPr="00D865EE">
        <w:rPr>
          <w:rFonts w:ascii="FrankRuehl" w:hAnsi="FrankRuehl"/>
          <w:sz w:val="28"/>
          <w:rtl/>
        </w:rPr>
        <w:t xml:space="preserve">(28.7.2021) (להלן: עניין </w:t>
      </w:r>
      <w:r w:rsidRPr="00D865EE">
        <w:rPr>
          <w:rFonts w:ascii="FrankRuehl" w:hAnsi="FrankRuehl"/>
          <w:b/>
          <w:spacing w:val="0"/>
          <w:sz w:val="28"/>
          <w:rtl/>
        </w:rPr>
        <w:t>נורי</w:t>
      </w:r>
      <w:r w:rsidRPr="00D865EE">
        <w:rPr>
          <w:rFonts w:ascii="FrankRuehl" w:hAnsi="FrankRuehl"/>
          <w:sz w:val="28"/>
          <w:rtl/>
        </w:rPr>
        <w:t xml:space="preserve">); </w:t>
      </w:r>
      <w:hyperlink r:id="rId27" w:history="1">
        <w:r w:rsidR="008730D7" w:rsidRPr="008730D7">
          <w:rPr>
            <w:rFonts w:ascii="FrankRuehl" w:hAnsi="FrankRuehl"/>
            <w:color w:val="0000FF"/>
            <w:sz w:val="28"/>
            <w:u w:val="single"/>
            <w:rtl/>
          </w:rPr>
          <w:t>ע"פ 4456/21</w:t>
        </w:r>
      </w:hyperlink>
      <w:r w:rsidRPr="00D865EE">
        <w:rPr>
          <w:rFonts w:ascii="FrankRuehl" w:hAnsi="FrankRuehl"/>
          <w:sz w:val="28"/>
          <w:rtl/>
        </w:rPr>
        <w:t xml:space="preserve"> </w:t>
      </w:r>
      <w:r w:rsidRPr="00D865EE">
        <w:rPr>
          <w:rFonts w:ascii="FrankRuehl" w:hAnsi="FrankRuehl"/>
          <w:b/>
          <w:spacing w:val="0"/>
          <w:sz w:val="28"/>
          <w:rtl/>
        </w:rPr>
        <w:t xml:space="preserve">מדינת ישראל נ' אבו עבסה </w:t>
      </w:r>
      <w:r w:rsidRPr="00D865EE">
        <w:rPr>
          <w:rFonts w:ascii="FrankRuehl" w:hAnsi="FrankRuehl"/>
          <w:spacing w:val="0"/>
          <w:sz w:val="28"/>
          <w:rtl/>
        </w:rPr>
        <w:t xml:space="preserve">[פורסם בנבו] </w:t>
      </w:r>
      <w:r w:rsidRPr="00D865EE">
        <w:rPr>
          <w:rFonts w:ascii="FrankRuehl" w:hAnsi="FrankRuehl"/>
          <w:sz w:val="28"/>
          <w:rtl/>
        </w:rPr>
        <w:t xml:space="preserve">(23.1.2022); </w:t>
      </w:r>
      <w:hyperlink r:id="rId28" w:history="1">
        <w:r w:rsidR="008730D7" w:rsidRPr="008730D7">
          <w:rPr>
            <w:rFonts w:ascii="FrankRuehl" w:hAnsi="FrankRuehl"/>
            <w:color w:val="0000FF"/>
            <w:sz w:val="28"/>
            <w:u w:val="single"/>
            <w:rtl/>
          </w:rPr>
          <w:t>ע"פ 8869/21</w:t>
        </w:r>
      </w:hyperlink>
      <w:r w:rsidRPr="00D865EE">
        <w:rPr>
          <w:rFonts w:ascii="FrankRuehl" w:hAnsi="FrankRuehl"/>
          <w:sz w:val="28"/>
          <w:rtl/>
        </w:rPr>
        <w:t xml:space="preserve"> </w:t>
      </w:r>
      <w:r w:rsidRPr="00D865EE">
        <w:rPr>
          <w:rFonts w:ascii="FrankRuehl" w:hAnsi="FrankRuehl"/>
          <w:b/>
          <w:spacing w:val="0"/>
          <w:sz w:val="28"/>
          <w:rtl/>
        </w:rPr>
        <w:t>מדינת ישראל נ' קואסמה</w:t>
      </w:r>
      <w:r w:rsidRPr="00D865EE">
        <w:rPr>
          <w:rFonts w:ascii="FrankRuehl" w:hAnsi="FrankRuehl"/>
          <w:sz w:val="28"/>
          <w:rtl/>
        </w:rPr>
        <w:t xml:space="preserve"> </w:t>
      </w:r>
      <w:r w:rsidRPr="00D865EE">
        <w:rPr>
          <w:rFonts w:ascii="FrankRuehl" w:hAnsi="FrankRuehl"/>
          <w:spacing w:val="0"/>
          <w:sz w:val="28"/>
          <w:rtl/>
        </w:rPr>
        <w:t xml:space="preserve">[פורסם בנבו] </w:t>
      </w:r>
      <w:r w:rsidRPr="00D865EE">
        <w:rPr>
          <w:rFonts w:ascii="FrankRuehl" w:hAnsi="FrankRuehl"/>
          <w:sz w:val="28"/>
          <w:rtl/>
        </w:rPr>
        <w:t xml:space="preserve">(13.3.2022) (להלן: עניין </w:t>
      </w:r>
      <w:r w:rsidRPr="00D865EE">
        <w:rPr>
          <w:rFonts w:ascii="FrankRuehl" w:hAnsi="FrankRuehl"/>
          <w:b/>
          <w:spacing w:val="0"/>
          <w:sz w:val="28"/>
          <w:rtl/>
        </w:rPr>
        <w:t>קואסמה</w:t>
      </w:r>
      <w:r w:rsidRPr="00D865EE">
        <w:rPr>
          <w:rFonts w:ascii="FrankRuehl" w:hAnsi="FrankRuehl"/>
          <w:sz w:val="28"/>
          <w:rtl/>
        </w:rPr>
        <w:t xml:space="preserve">); </w:t>
      </w:r>
      <w:hyperlink r:id="rId29" w:history="1">
        <w:r w:rsidR="008730D7" w:rsidRPr="008730D7">
          <w:rPr>
            <w:rFonts w:ascii="FrankRuehl" w:hAnsi="FrankRuehl"/>
            <w:color w:val="0000FF"/>
            <w:sz w:val="28"/>
            <w:u w:val="single"/>
            <w:rtl/>
          </w:rPr>
          <w:t>ע"פ 147/21</w:t>
        </w:r>
      </w:hyperlink>
      <w:r w:rsidRPr="00D865EE">
        <w:rPr>
          <w:rFonts w:ascii="FrankRuehl" w:hAnsi="FrankRuehl"/>
          <w:sz w:val="28"/>
          <w:rtl/>
        </w:rPr>
        <w:t xml:space="preserve"> </w:t>
      </w:r>
      <w:r w:rsidRPr="00D865EE">
        <w:rPr>
          <w:rFonts w:ascii="FrankRuehl" w:hAnsi="FrankRuehl"/>
          <w:b/>
          <w:spacing w:val="0"/>
          <w:sz w:val="28"/>
          <w:rtl/>
        </w:rPr>
        <w:t>מדינת ישראל נ' ביטון</w:t>
      </w:r>
      <w:r w:rsidRPr="00D865EE">
        <w:rPr>
          <w:rFonts w:ascii="FrankRuehl" w:hAnsi="FrankRuehl"/>
          <w:sz w:val="28"/>
          <w:rtl/>
        </w:rPr>
        <w:t xml:space="preserve"> </w:t>
      </w:r>
      <w:r w:rsidRPr="00D865EE">
        <w:rPr>
          <w:rFonts w:ascii="FrankRuehl" w:hAnsi="FrankRuehl"/>
          <w:spacing w:val="0"/>
          <w:sz w:val="28"/>
          <w:rtl/>
        </w:rPr>
        <w:t xml:space="preserve">[פורסם בנבו] </w:t>
      </w:r>
      <w:r w:rsidRPr="00D865EE">
        <w:rPr>
          <w:rFonts w:ascii="FrankRuehl" w:hAnsi="FrankRuehl"/>
          <w:sz w:val="28"/>
          <w:rtl/>
        </w:rPr>
        <w:t xml:space="preserve">(14.2.2021) (להלן: עניין </w:t>
      </w:r>
      <w:r w:rsidRPr="00D865EE">
        <w:rPr>
          <w:rFonts w:ascii="FrankRuehl" w:hAnsi="FrankRuehl"/>
          <w:b/>
          <w:spacing w:val="0"/>
          <w:sz w:val="28"/>
          <w:rtl/>
        </w:rPr>
        <w:t>ביטון</w:t>
      </w:r>
      <w:r w:rsidRPr="00D865EE">
        <w:rPr>
          <w:rFonts w:ascii="FrankRuehl" w:hAnsi="FrankRuehl"/>
          <w:sz w:val="28"/>
          <w:rtl/>
        </w:rPr>
        <w:t xml:space="preserve">); </w:t>
      </w:r>
      <w:hyperlink r:id="rId30" w:history="1">
        <w:r w:rsidR="008730D7" w:rsidRPr="008730D7">
          <w:rPr>
            <w:rFonts w:ascii="FrankRuehl" w:hAnsi="FrankRuehl"/>
            <w:color w:val="0000FF"/>
            <w:sz w:val="28"/>
            <w:u w:val="single"/>
            <w:rtl/>
          </w:rPr>
          <w:t>ע"פ 579/22</w:t>
        </w:r>
      </w:hyperlink>
      <w:r w:rsidRPr="00D865EE">
        <w:rPr>
          <w:rFonts w:ascii="FrankRuehl" w:hAnsi="FrankRuehl"/>
          <w:sz w:val="28"/>
          <w:rtl/>
        </w:rPr>
        <w:t xml:space="preserve"> </w:t>
      </w:r>
      <w:r w:rsidRPr="00D865EE">
        <w:rPr>
          <w:rFonts w:ascii="FrankRuehl" w:hAnsi="FrankRuehl"/>
          <w:b/>
          <w:spacing w:val="0"/>
          <w:sz w:val="28"/>
          <w:rtl/>
        </w:rPr>
        <w:t>מדינת ישראל נ' טחאינה</w:t>
      </w:r>
      <w:r w:rsidRPr="00D865EE">
        <w:rPr>
          <w:rFonts w:ascii="FrankRuehl" w:hAnsi="FrankRuehl"/>
          <w:sz w:val="28"/>
          <w:rtl/>
        </w:rPr>
        <w:t xml:space="preserve"> </w:t>
      </w:r>
      <w:r w:rsidRPr="00D865EE">
        <w:rPr>
          <w:rFonts w:ascii="FrankRuehl" w:hAnsi="FrankRuehl"/>
          <w:spacing w:val="0"/>
          <w:sz w:val="28"/>
          <w:rtl/>
        </w:rPr>
        <w:t xml:space="preserve">[פורסם בנבו] </w:t>
      </w:r>
      <w:r w:rsidRPr="00D865EE">
        <w:rPr>
          <w:rFonts w:ascii="FrankRuehl" w:hAnsi="FrankRuehl"/>
          <w:sz w:val="28"/>
          <w:rtl/>
        </w:rPr>
        <w:t xml:space="preserve">(13.6.2022)). </w:t>
      </w:r>
    </w:p>
    <w:p w14:paraId="64BC5C48" w14:textId="77777777" w:rsidR="00FD128F" w:rsidRPr="00D865EE" w:rsidRDefault="00FD128F" w:rsidP="00FD128F">
      <w:pPr>
        <w:pStyle w:val="Ruller4"/>
        <w:numPr>
          <w:ilvl w:val="0"/>
          <w:numId w:val="0"/>
        </w:numPr>
        <w:rPr>
          <w:rFonts w:ascii="FrankRuehl" w:hAnsi="FrankRuehl"/>
          <w:sz w:val="28"/>
        </w:rPr>
      </w:pPr>
    </w:p>
    <w:p w14:paraId="292D2594" w14:textId="77777777" w:rsidR="00FD128F" w:rsidRPr="00D865EE" w:rsidRDefault="00FD128F" w:rsidP="00FD128F">
      <w:pPr>
        <w:pStyle w:val="Ruller4"/>
        <w:rPr>
          <w:rFonts w:ascii="FrankRuehl" w:hAnsi="FrankRuehl"/>
          <w:sz w:val="28"/>
        </w:rPr>
      </w:pPr>
      <w:r w:rsidRPr="00D865EE">
        <w:rPr>
          <w:rFonts w:ascii="FrankRuehl" w:hAnsi="FrankRuehl"/>
          <w:sz w:val="28"/>
          <w:rtl/>
        </w:rPr>
        <w:t xml:space="preserve">מדיניות בלתי-מתפשרת זו קיבלה באחרונה ביטוי סטטוטורי </w:t>
      </w:r>
      <w:hyperlink r:id="rId31" w:history="1">
        <w:r w:rsidR="00C91DFB" w:rsidRPr="00C91DFB">
          <w:rPr>
            <w:rStyle w:val="Hyperlink"/>
            <w:rFonts w:ascii="FrankRuehl" w:hAnsi="FrankRuehl"/>
            <w:sz w:val="28"/>
            <w:rtl/>
          </w:rPr>
          <w:t>בסעיף 144(ז)</w:t>
        </w:r>
      </w:hyperlink>
      <w:r w:rsidRPr="00D865EE">
        <w:rPr>
          <w:rFonts w:ascii="FrankRuehl" w:hAnsi="FrankRuehl"/>
          <w:sz w:val="28"/>
          <w:rtl/>
        </w:rPr>
        <w:t xml:space="preserve"> לחוק אשר חוקק במסגרת תיקון מס' 140 (ראו: </w:t>
      </w:r>
      <w:hyperlink r:id="rId32" w:history="1">
        <w:r w:rsidR="008730D7" w:rsidRPr="008730D7">
          <w:rPr>
            <w:rFonts w:ascii="FrankRuehl" w:hAnsi="FrankRuehl"/>
            <w:color w:val="0000FF"/>
            <w:sz w:val="28"/>
            <w:u w:val="single"/>
            <w:rtl/>
          </w:rPr>
          <w:t>חוק העונשין</w:t>
        </w:r>
      </w:hyperlink>
      <w:r w:rsidRPr="00D865EE">
        <w:rPr>
          <w:rFonts w:ascii="FrankRuehl" w:hAnsi="FrankRuehl"/>
          <w:sz w:val="28"/>
          <w:rtl/>
        </w:rPr>
        <w:t xml:space="preserve"> (תיקון מס' 140 – הוראת שעה), התשפ"ב-2021, ס"ח 2938). </w:t>
      </w:r>
    </w:p>
    <w:p w14:paraId="44075610" w14:textId="77777777" w:rsidR="00FD128F" w:rsidRPr="00D865EE" w:rsidRDefault="00FD128F" w:rsidP="00FD128F">
      <w:pPr>
        <w:pStyle w:val="Ruller4"/>
        <w:rPr>
          <w:rFonts w:ascii="FrankRuehl" w:hAnsi="FrankRuehl"/>
          <w:sz w:val="28"/>
        </w:rPr>
      </w:pPr>
      <w:r w:rsidRPr="00D865EE">
        <w:rPr>
          <w:rFonts w:ascii="FrankRuehl" w:hAnsi="FrankRuehl"/>
          <w:sz w:val="28"/>
          <w:rtl/>
        </w:rPr>
        <w:t xml:space="preserve">למדיניות זו התייחסתי ונתתי הסבר מפורט בעניין </w:t>
      </w:r>
      <w:r w:rsidRPr="00D865EE">
        <w:rPr>
          <w:rFonts w:ascii="FrankRuehl" w:hAnsi="FrankRuehl"/>
          <w:b/>
          <w:spacing w:val="0"/>
          <w:sz w:val="28"/>
          <w:rtl/>
        </w:rPr>
        <w:t>ביטון</w:t>
      </w:r>
      <w:r w:rsidRPr="00D865EE">
        <w:rPr>
          <w:rFonts w:ascii="FrankRuehl" w:hAnsi="FrankRuehl"/>
          <w:sz w:val="28"/>
          <w:rtl/>
        </w:rPr>
        <w:t xml:space="preserve">, בהסכמת הנשיאה </w:t>
      </w:r>
      <w:r w:rsidRPr="00D865EE">
        <w:rPr>
          <w:rFonts w:ascii="FrankRuehl" w:hAnsi="FrankRuehl"/>
          <w:b/>
          <w:spacing w:val="0"/>
          <w:sz w:val="28"/>
          <w:rtl/>
        </w:rPr>
        <w:t>א' חיות</w:t>
      </w:r>
      <w:r w:rsidRPr="00D865EE">
        <w:rPr>
          <w:rFonts w:ascii="FrankRuehl" w:hAnsi="FrankRuehl"/>
          <w:sz w:val="28"/>
          <w:rtl/>
        </w:rPr>
        <w:t xml:space="preserve"> והשופטת </w:t>
      </w:r>
      <w:r w:rsidRPr="00D865EE">
        <w:rPr>
          <w:rFonts w:ascii="FrankRuehl" w:hAnsi="FrankRuehl"/>
          <w:b/>
          <w:spacing w:val="0"/>
          <w:sz w:val="28"/>
          <w:rtl/>
        </w:rPr>
        <w:t>י' וילנר</w:t>
      </w:r>
      <w:r w:rsidRPr="00D865EE">
        <w:rPr>
          <w:rFonts w:ascii="FrankRuehl" w:hAnsi="FrankRuehl"/>
          <w:sz w:val="28"/>
          <w:rtl/>
        </w:rPr>
        <w:t xml:space="preserve">: </w:t>
      </w:r>
    </w:p>
    <w:p w14:paraId="687D7F99" w14:textId="77777777" w:rsidR="00FD128F" w:rsidRPr="00D865EE" w:rsidRDefault="00FD128F" w:rsidP="00FD128F">
      <w:pPr>
        <w:pStyle w:val="Ruller5"/>
        <w:rPr>
          <w:rFonts w:ascii="FrankRuehl" w:hAnsi="FrankRuehl"/>
          <w:sz w:val="28"/>
        </w:rPr>
      </w:pPr>
      <w:r w:rsidRPr="00D865EE">
        <w:rPr>
          <w:rFonts w:ascii="FrankRuehl" w:hAnsi="FrankRuehl"/>
          <w:sz w:val="28"/>
          <w:rtl/>
        </w:rPr>
        <w:t xml:space="preserve"> </w:t>
      </w:r>
    </w:p>
    <w:p w14:paraId="3194FDFB" w14:textId="77777777" w:rsidR="00FD128F" w:rsidRPr="00D865EE" w:rsidRDefault="00FD128F" w:rsidP="00FD128F">
      <w:pPr>
        <w:pStyle w:val="Ruller5"/>
        <w:rPr>
          <w:rFonts w:ascii="FrankRuehl" w:hAnsi="FrankRuehl"/>
          <w:sz w:val="28"/>
        </w:rPr>
      </w:pPr>
      <w:r w:rsidRPr="00D865EE">
        <w:rPr>
          <w:rFonts w:ascii="FrankRuehl" w:hAnsi="FrankRuehl"/>
          <w:sz w:val="28"/>
          <w:rtl/>
        </w:rPr>
        <w:t xml:space="preserve">"עבירות נשק לסוגיהן היו זה מכבר למכת מדינה. האיסורים על עבירות כאמור באים להגן על ערכים חברתיים שכוללים שמירה על חיי אדם ועל שלמות גופו, וכן שמירה על סדרי חיים תקינים ושלווים שאינם מופרעים על ידי איש האוחז באקדח, ברובה, או בתת-מקלע. יתירה מכך: </w:t>
      </w:r>
      <w:r w:rsidRPr="00D865EE">
        <w:rPr>
          <w:rFonts w:ascii="FrankRuehl" w:hAnsi="FrankRuehl"/>
          <w:b/>
          <w:spacing w:val="0"/>
          <w:sz w:val="28"/>
          <w:rtl/>
        </w:rPr>
        <w:t>עסקינן באיסורים על מעשי הכנה לקראת ביצועם של מעשים פליליים חמורים ומסוכנים עד-מאד, אשר נעשים באמצעות כלי ירייה ואשר כוללים איומים, תקיפה, ירי במקום מגורים, גרימת חבלה והמתה.</w:t>
      </w:r>
      <w:r w:rsidRPr="00D865EE">
        <w:rPr>
          <w:rFonts w:ascii="FrankRuehl" w:hAnsi="FrankRuehl"/>
          <w:sz w:val="28"/>
          <w:rtl/>
        </w:rPr>
        <w:t xml:space="preserve"> בדרך כלל, מעשי הכנה שאינם מגיעים כדי ניסיון לעבור עבירה פלילית אינם בני עונשין; ואולם, לא כך הוא כאשר מדובר במעשי הכנה שחומרתם מגיעה כדי סיכון ממשי וחמור לפרט ולחברה כאחד (ראו: ש"ז פלר </w:t>
      </w:r>
      <w:hyperlink r:id="rId33" w:history="1">
        <w:r w:rsidR="008730D7" w:rsidRPr="008730D7">
          <w:rPr>
            <w:rFonts w:ascii="FrankRuehl" w:hAnsi="FrankRuehl"/>
            <w:b/>
            <w:color w:val="0000FF"/>
            <w:spacing w:val="0"/>
            <w:sz w:val="28"/>
            <w:u w:val="single"/>
            <w:rtl/>
          </w:rPr>
          <w:t>יסודות בדיני עונשין</w:t>
        </w:r>
      </w:hyperlink>
      <w:r w:rsidRPr="00D865EE">
        <w:rPr>
          <w:rFonts w:ascii="FrankRuehl" w:hAnsi="FrankRuehl"/>
          <w:sz w:val="28"/>
          <w:rtl/>
        </w:rPr>
        <w:t xml:space="preserve"> 52-48 (כרך ב', תשמ"ז)). על מעשי הכנה כאלה נענשים בחומרה, ואין זה מקרי שעצם הרכישה או ההחזקה של כלי נשק בלא רשות על פי דין להחזקתו גוררת אחריה עונש מרבי של שבע שנות מאסר, כאמור בסעיף 144(א) ל</w:t>
      </w:r>
      <w:hyperlink r:id="rId34" w:history="1">
        <w:r w:rsidR="008730D7" w:rsidRPr="008730D7">
          <w:rPr>
            <w:rFonts w:ascii="FrankRuehl" w:hAnsi="FrankRuehl"/>
            <w:color w:val="0000FF"/>
            <w:sz w:val="28"/>
            <w:u w:val="single"/>
            <w:rtl/>
          </w:rPr>
          <w:t>חוק העונשין</w:t>
        </w:r>
      </w:hyperlink>
      <w:r w:rsidRPr="00D865EE">
        <w:rPr>
          <w:rFonts w:ascii="FrankRuehl" w:hAnsi="FrankRuehl"/>
          <w:sz w:val="28"/>
          <w:rtl/>
        </w:rPr>
        <w:t>. עונש זה ועונשים אחרים, שחלקם חמורים אף יותר, אשר מוטלים על עברייני נשק, מהווים חלק ממלחמתה הבלתי מתפשרת של החברה בנגע ששמו זילות חיי אדם והקלות הבלתי נסבלת של הלחיצה על ההדק. [...] הטלת עונשים חמורים ומרתיעים על עברייני נשק היא עיקר תרומתם של בתי המשפט למיגור התופעה ולהרחקת העבריין עם האקדח משגרת חייהם של אזרחי מדינה שומרי חוק." (ראו שם, בפסקאות 7 ו-10; ההדגשה הוספה – א.ש.).</w:t>
      </w:r>
    </w:p>
    <w:p w14:paraId="3BE04127" w14:textId="77777777" w:rsidR="00FD128F" w:rsidRPr="00D865EE" w:rsidRDefault="00FD128F" w:rsidP="00FD128F">
      <w:pPr>
        <w:pStyle w:val="Ruller5"/>
        <w:rPr>
          <w:rFonts w:ascii="FrankRuehl" w:hAnsi="FrankRuehl"/>
          <w:sz w:val="28"/>
          <w:rtl/>
        </w:rPr>
      </w:pPr>
    </w:p>
    <w:p w14:paraId="25304D23" w14:textId="77777777" w:rsidR="00FD128F" w:rsidRPr="00D865EE" w:rsidRDefault="00FD128F" w:rsidP="00FD128F">
      <w:pPr>
        <w:pStyle w:val="Ruller5"/>
        <w:rPr>
          <w:rFonts w:ascii="FrankRuehl" w:hAnsi="FrankRuehl"/>
          <w:sz w:val="28"/>
          <w:rtl/>
        </w:rPr>
      </w:pPr>
    </w:p>
    <w:p w14:paraId="490BF4A2" w14:textId="77777777" w:rsidR="00FD128F" w:rsidRPr="00D865EE" w:rsidRDefault="00FD128F" w:rsidP="00FD128F">
      <w:pPr>
        <w:pStyle w:val="aa"/>
        <w:spacing w:line="360" w:lineRule="auto"/>
        <w:ind w:left="0"/>
        <w:jc w:val="both"/>
        <w:rPr>
          <w:rFonts w:ascii="FrankRuehl" w:hAnsi="FrankRuehl" w:cs="FrankRuehl"/>
          <w:sz w:val="28"/>
          <w:szCs w:val="28"/>
          <w:rtl/>
        </w:rPr>
      </w:pPr>
      <w:r w:rsidRPr="00D865EE">
        <w:rPr>
          <w:rFonts w:ascii="FrankRuehl" w:hAnsi="FrankRuehl" w:cs="FrankRuehl"/>
          <w:sz w:val="28"/>
          <w:szCs w:val="28"/>
          <w:rtl/>
        </w:rPr>
        <w:t xml:space="preserve">בהמשך לדברים אלה הבהרתי, בפסק הדין שניתן באחרונה בהסכמת חבריי השופטים </w:t>
      </w:r>
      <w:r w:rsidRPr="00D865EE">
        <w:rPr>
          <w:rFonts w:ascii="FrankRuehl" w:hAnsi="FrankRuehl" w:cs="FrankRuehl"/>
          <w:b/>
          <w:sz w:val="28"/>
          <w:szCs w:val="28"/>
          <w:rtl/>
        </w:rPr>
        <w:t>י' אלרון</w:t>
      </w:r>
      <w:r w:rsidRPr="00D865EE">
        <w:rPr>
          <w:rFonts w:ascii="FrankRuehl" w:hAnsi="FrankRuehl" w:cs="FrankRuehl"/>
          <w:sz w:val="28"/>
          <w:szCs w:val="28"/>
          <w:rtl/>
        </w:rPr>
        <w:t xml:space="preserve"> ו</w:t>
      </w:r>
      <w:r w:rsidRPr="00D865EE">
        <w:rPr>
          <w:rFonts w:ascii="FrankRuehl" w:hAnsi="FrankRuehl" w:cs="FrankRuehl"/>
          <w:b/>
          <w:sz w:val="28"/>
          <w:szCs w:val="28"/>
          <w:rtl/>
        </w:rPr>
        <w:t>י' כשר</w:t>
      </w:r>
      <w:r w:rsidRPr="00D865EE">
        <w:rPr>
          <w:rFonts w:ascii="FrankRuehl" w:hAnsi="FrankRuehl" w:cs="FrankRuehl"/>
          <w:sz w:val="28"/>
          <w:szCs w:val="28"/>
          <w:rtl/>
        </w:rPr>
        <w:t xml:space="preserve">, כי הענישה המחמירה והבלתי מתפשרת כאמור צריכה לחול ללא סייגים על כל נאשם בגיר באשר הוא, שכן "בטיפולנו בעבירות [נשק] מסוג זה ובמבצעיהן, להרתעת היחיד והרבים ולהרחקת עברייני הנשק מהחברה על ידי השמתם בין כותלי הכלא לתקופות ממושכות יש מעמד בכורה", ועל כן "ככלל, יעדים עונשיים אלו מוחקים מניה וביה את בקשת העבריין לשיקום [...] גם כאשר מדובר בעבריין צעיר שהסתבך לראשונה בפלילים ובקשתו לשיקום כנה ואף זוכה לתמיכתו של שירות המבחן" (ראו: </w:t>
      </w:r>
      <w:hyperlink r:id="rId35" w:history="1">
        <w:r w:rsidR="008730D7" w:rsidRPr="008730D7">
          <w:rPr>
            <w:rFonts w:ascii="FrankRuehl" w:hAnsi="FrankRuehl" w:cs="FrankRuehl"/>
            <w:color w:val="0000FF"/>
            <w:sz w:val="28"/>
            <w:szCs w:val="28"/>
            <w:u w:val="single"/>
            <w:rtl/>
          </w:rPr>
          <w:t>ע"פ 4077/22</w:t>
        </w:r>
      </w:hyperlink>
      <w:r w:rsidRPr="00D865EE">
        <w:rPr>
          <w:rFonts w:ascii="FrankRuehl" w:hAnsi="FrankRuehl" w:cs="FrankRuehl"/>
          <w:sz w:val="28"/>
          <w:szCs w:val="28"/>
          <w:rtl/>
        </w:rPr>
        <w:t xml:space="preserve"> </w:t>
      </w:r>
      <w:r w:rsidRPr="00D865EE">
        <w:rPr>
          <w:rFonts w:ascii="FrankRuehl" w:hAnsi="FrankRuehl" w:cs="FrankRuehl"/>
          <w:b/>
          <w:sz w:val="28"/>
          <w:szCs w:val="28"/>
          <w:rtl/>
        </w:rPr>
        <w:t>פלוני נ' מדינת ישראל</w:t>
      </w:r>
      <w:r w:rsidRPr="00D865EE">
        <w:rPr>
          <w:rFonts w:ascii="FrankRuehl" w:hAnsi="FrankRuehl" w:cs="FrankRuehl"/>
          <w:sz w:val="28"/>
          <w:szCs w:val="28"/>
          <w:rtl/>
        </w:rPr>
        <w:t>, פסקה 12 [פורסם בנבו] (‏28.7.2022))".</w:t>
      </w:r>
    </w:p>
    <w:p w14:paraId="6AB4B82D" w14:textId="77777777" w:rsidR="00FD128F" w:rsidRPr="00D865EE" w:rsidRDefault="00FD128F" w:rsidP="00FD128F">
      <w:pPr>
        <w:pStyle w:val="aa"/>
        <w:spacing w:line="360" w:lineRule="auto"/>
        <w:ind w:left="0"/>
        <w:jc w:val="both"/>
        <w:rPr>
          <w:rFonts w:ascii="FrankRuehl" w:hAnsi="FrankRuehl" w:cs="FrankRuehl"/>
          <w:sz w:val="28"/>
          <w:szCs w:val="28"/>
        </w:rPr>
      </w:pPr>
    </w:p>
    <w:p w14:paraId="320A8192" w14:textId="77777777" w:rsidR="00FD128F" w:rsidRPr="00D865EE" w:rsidRDefault="00FD128F" w:rsidP="00FD128F">
      <w:pPr>
        <w:pStyle w:val="aa"/>
        <w:numPr>
          <w:ilvl w:val="0"/>
          <w:numId w:val="1"/>
        </w:numPr>
        <w:spacing w:line="360" w:lineRule="auto"/>
        <w:ind w:left="0"/>
        <w:jc w:val="both"/>
        <w:rPr>
          <w:rFonts w:ascii="FrankRuehl" w:hAnsi="FrankRuehl" w:cs="FrankRuehl"/>
          <w:sz w:val="28"/>
          <w:szCs w:val="28"/>
        </w:rPr>
      </w:pPr>
      <w:r w:rsidRPr="00D865EE">
        <w:rPr>
          <w:rFonts w:ascii="FrankRuehl" w:hAnsi="FrankRuehl" w:cs="FrankRuehl"/>
          <w:sz w:val="28"/>
          <w:szCs w:val="28"/>
          <w:rtl/>
        </w:rPr>
        <w:t xml:space="preserve">הערכים המוגנים שנפגעו הם שמירה על חיי אדם, שלמות גופו ונפשו, הגנה על שלום הציבור וביטחונו, הגנה על הסדר הציבורי ועל  אורח חיים תקין ובטוח. </w:t>
      </w:r>
    </w:p>
    <w:p w14:paraId="5819951B" w14:textId="77777777" w:rsidR="00FD128F" w:rsidRPr="00D865EE" w:rsidRDefault="00FD128F" w:rsidP="00FD128F">
      <w:pPr>
        <w:pStyle w:val="aa"/>
        <w:spacing w:line="360" w:lineRule="auto"/>
        <w:ind w:left="0"/>
        <w:jc w:val="both"/>
        <w:rPr>
          <w:rFonts w:ascii="FrankRuehl" w:hAnsi="FrankRuehl" w:cs="FrankRuehl"/>
          <w:sz w:val="28"/>
          <w:szCs w:val="28"/>
        </w:rPr>
      </w:pPr>
    </w:p>
    <w:p w14:paraId="687A0931" w14:textId="77777777" w:rsidR="00FD128F" w:rsidRPr="00D865EE" w:rsidRDefault="00FD128F" w:rsidP="00FD128F">
      <w:pPr>
        <w:pStyle w:val="aa"/>
        <w:numPr>
          <w:ilvl w:val="0"/>
          <w:numId w:val="1"/>
        </w:numPr>
        <w:spacing w:line="360" w:lineRule="auto"/>
        <w:ind w:left="0"/>
        <w:jc w:val="both"/>
        <w:rPr>
          <w:rFonts w:ascii="FrankRuehl" w:hAnsi="FrankRuehl" w:cs="FrankRuehl"/>
          <w:sz w:val="28"/>
          <w:szCs w:val="28"/>
          <w:rtl/>
        </w:rPr>
      </w:pPr>
      <w:r w:rsidRPr="00D865EE">
        <w:rPr>
          <w:rFonts w:ascii="FrankRuehl" w:hAnsi="FrankRuehl" w:cs="FrankRuehl"/>
          <w:sz w:val="28"/>
          <w:szCs w:val="28"/>
          <w:rtl/>
        </w:rPr>
        <w:t>מתחם הענישה שביקשה המאשימה לקבוע עומד על 27 – 51 חודשי מאסר וסבורני שמדובר במתחם ענישה מקל, שכן על פי  פסקי הדין שהוגשו על ידי ב"כ המאשימה, מתחם הענישה ההולם עבירה של נשיאת נשק ללא עבירה נוספת נע בין 30 ל – 42 חודשי מאסר בפועל לצד ענישה נלווית ובתיק זה הורשע הנאשם גם בעבירה של שיבוש מהלכי משפט. לחלקו התחתון של המתחם משמעות פחותה שכן אין בכוונתי למקם את הנאשם בתחתיתו של המתחם, אף לא באמצעו, שכן לנאשם עבר פלילי מכביד, נוהלו הוכחות ונטילת האחריות באה רק במסגרת הטיעונים לעונש.</w:t>
      </w:r>
    </w:p>
    <w:p w14:paraId="2CBF9B95" w14:textId="77777777" w:rsidR="00FD128F" w:rsidRPr="00D865EE" w:rsidRDefault="00FD128F" w:rsidP="00FD128F">
      <w:pPr>
        <w:pStyle w:val="aa"/>
        <w:spacing w:line="360" w:lineRule="auto"/>
        <w:ind w:left="0"/>
        <w:jc w:val="both"/>
        <w:rPr>
          <w:rFonts w:ascii="FrankRuehl" w:hAnsi="FrankRuehl" w:cs="FrankRuehl"/>
          <w:sz w:val="28"/>
          <w:szCs w:val="28"/>
        </w:rPr>
      </w:pPr>
      <w:r w:rsidRPr="00D865EE">
        <w:rPr>
          <w:rFonts w:ascii="FrankRuehl" w:hAnsi="FrankRuehl" w:cs="FrankRuehl"/>
          <w:sz w:val="28"/>
          <w:szCs w:val="28"/>
          <w:rtl/>
        </w:rPr>
        <w:t>לאור האמור הנני קובעת מתחם ענישה לעבירות בהן הורשע הנאשם הנע בין 33 ל – 45 חודשי מאסר בפועל.</w:t>
      </w:r>
    </w:p>
    <w:p w14:paraId="4DC0637E" w14:textId="77777777" w:rsidR="00FD128F" w:rsidRPr="00D865EE" w:rsidRDefault="00FD128F" w:rsidP="00FD128F">
      <w:pPr>
        <w:pStyle w:val="aa"/>
        <w:spacing w:line="360" w:lineRule="auto"/>
        <w:ind w:left="0"/>
        <w:jc w:val="both"/>
        <w:rPr>
          <w:rFonts w:ascii="FrankRuehl" w:hAnsi="FrankRuehl" w:cs="FrankRuehl"/>
          <w:sz w:val="28"/>
          <w:szCs w:val="28"/>
        </w:rPr>
      </w:pPr>
    </w:p>
    <w:p w14:paraId="68B5B3BC" w14:textId="77777777" w:rsidR="00FD128F" w:rsidRPr="00D865EE" w:rsidRDefault="00FD128F" w:rsidP="00FD128F">
      <w:pPr>
        <w:pStyle w:val="aa"/>
        <w:numPr>
          <w:ilvl w:val="0"/>
          <w:numId w:val="1"/>
        </w:numPr>
        <w:spacing w:line="360" w:lineRule="auto"/>
        <w:ind w:left="0"/>
        <w:jc w:val="both"/>
        <w:rPr>
          <w:rFonts w:ascii="FrankRuehl" w:hAnsi="FrankRuehl" w:cs="FrankRuehl"/>
          <w:sz w:val="28"/>
          <w:szCs w:val="28"/>
          <w:rtl/>
        </w:rPr>
      </w:pPr>
      <w:r w:rsidRPr="00D865EE">
        <w:rPr>
          <w:rFonts w:ascii="FrankRuehl" w:hAnsi="FrankRuehl" w:cs="FrankRuehl"/>
          <w:sz w:val="28"/>
          <w:szCs w:val="28"/>
          <w:rtl/>
        </w:rPr>
        <w:t>כאמור, לנאשם הרשעות קודמות ומאסר על תנאי בר הפעלה, מאסר על תנאי בן שנה.</w:t>
      </w:r>
    </w:p>
    <w:p w14:paraId="1DBD20C5" w14:textId="77777777" w:rsidR="00FD128F" w:rsidRPr="00D865EE" w:rsidRDefault="00FD128F" w:rsidP="00FD128F">
      <w:pPr>
        <w:pStyle w:val="aa"/>
        <w:spacing w:line="360" w:lineRule="auto"/>
        <w:ind w:left="0"/>
        <w:jc w:val="both"/>
        <w:rPr>
          <w:rFonts w:ascii="FrankRuehl" w:hAnsi="FrankRuehl" w:cs="FrankRuehl"/>
          <w:sz w:val="28"/>
          <w:szCs w:val="28"/>
        </w:rPr>
      </w:pPr>
      <w:r w:rsidRPr="00D865EE">
        <w:rPr>
          <w:rFonts w:ascii="FrankRuehl" w:hAnsi="FrankRuehl" w:cs="FrankRuehl"/>
          <w:sz w:val="28"/>
          <w:szCs w:val="28"/>
          <w:rtl/>
        </w:rPr>
        <w:t>כפסיקת בית המשפט העליון והחוק, "כאשר מופע עונש מאסר על תנא בעקבות ביצוע עבירה נוספת, ככלל , ירוצו תקופות המאסר "בזו אחר זו"; סטייה מנוקדת המוצא תעשה רק מ"טעמים שישמו" (</w:t>
      </w:r>
      <w:hyperlink r:id="rId36" w:history="1">
        <w:r w:rsidR="00C91DFB" w:rsidRPr="00C91DFB">
          <w:rPr>
            <w:rStyle w:val="Hyperlink"/>
            <w:rFonts w:ascii="FrankRuehl" w:hAnsi="FrankRuehl" w:cs="FrankRuehl"/>
            <w:sz w:val="28"/>
            <w:szCs w:val="28"/>
            <w:rtl/>
          </w:rPr>
          <w:t>סעיף 58</w:t>
        </w:r>
      </w:hyperlink>
      <w:r w:rsidRPr="00D865EE">
        <w:rPr>
          <w:rFonts w:ascii="FrankRuehl" w:hAnsi="FrankRuehl" w:cs="FrankRuehl"/>
          <w:sz w:val="28"/>
          <w:szCs w:val="28"/>
          <w:rtl/>
        </w:rPr>
        <w:t xml:space="preserve"> ל</w:t>
      </w:r>
      <w:hyperlink r:id="rId37" w:history="1">
        <w:r w:rsidR="008730D7" w:rsidRPr="008730D7">
          <w:rPr>
            <w:rFonts w:ascii="FrankRuehl" w:hAnsi="FrankRuehl" w:cs="FrankRuehl"/>
            <w:color w:val="0000FF"/>
            <w:sz w:val="28"/>
            <w:szCs w:val="28"/>
            <w:u w:val="single"/>
            <w:rtl/>
          </w:rPr>
          <w:t>חוק העונשין</w:t>
        </w:r>
      </w:hyperlink>
      <w:r w:rsidRPr="00D865EE">
        <w:rPr>
          <w:rFonts w:ascii="FrankRuehl" w:hAnsi="FrankRuehl" w:cs="FrankRuehl"/>
          <w:sz w:val="28"/>
          <w:szCs w:val="28"/>
          <w:rtl/>
        </w:rPr>
        <w:t>...)</w:t>
      </w:r>
    </w:p>
    <w:p w14:paraId="7B9EE780" w14:textId="77777777" w:rsidR="00FD128F" w:rsidRPr="00D865EE" w:rsidRDefault="00FD128F" w:rsidP="00FD128F">
      <w:pPr>
        <w:pStyle w:val="aa"/>
        <w:spacing w:line="360" w:lineRule="auto"/>
        <w:ind w:left="0"/>
        <w:jc w:val="both"/>
        <w:rPr>
          <w:rFonts w:ascii="FrankRuehl" w:hAnsi="FrankRuehl" w:cs="FrankRuehl"/>
          <w:sz w:val="28"/>
          <w:szCs w:val="28"/>
          <w:rtl/>
        </w:rPr>
      </w:pPr>
      <w:r w:rsidRPr="00D865EE">
        <w:rPr>
          <w:rFonts w:ascii="FrankRuehl" w:hAnsi="FrankRuehl" w:cs="FrankRuehl"/>
          <w:sz w:val="28"/>
          <w:szCs w:val="28"/>
          <w:rtl/>
        </w:rPr>
        <w:t>הנאשם לא הורתע מהעונש שהוטל עליו , עונש מאסר בן 30 חודשים ובעוד מאסר על תנאי בן 12 חודשים מרחף מעל ראשו, ביצע את העבירה נושא גזר דין זה.</w:t>
      </w:r>
    </w:p>
    <w:p w14:paraId="1A2413B6" w14:textId="77777777" w:rsidR="00FD128F" w:rsidRPr="00D865EE" w:rsidRDefault="00FD128F" w:rsidP="00FD128F">
      <w:pPr>
        <w:pStyle w:val="aa"/>
        <w:spacing w:line="360" w:lineRule="auto"/>
        <w:ind w:left="0"/>
        <w:jc w:val="both"/>
        <w:rPr>
          <w:rFonts w:ascii="FrankRuehl" w:hAnsi="FrankRuehl" w:cs="FrankRuehl"/>
          <w:sz w:val="28"/>
          <w:szCs w:val="28"/>
          <w:rtl/>
        </w:rPr>
      </w:pPr>
      <w:r w:rsidRPr="00D865EE">
        <w:rPr>
          <w:rFonts w:ascii="FrankRuehl" w:hAnsi="FrankRuehl" w:cs="FrankRuehl"/>
          <w:sz w:val="28"/>
          <w:szCs w:val="28"/>
          <w:rtl/>
        </w:rPr>
        <w:t>בנסיבות אלה, אין מנוס מהפעלת המאסר המותנה במצטבר לעונש שיוטל על הנאשם .</w:t>
      </w:r>
    </w:p>
    <w:p w14:paraId="7514EA7B" w14:textId="77777777" w:rsidR="00FD128F" w:rsidRPr="00D865EE" w:rsidRDefault="00FD128F" w:rsidP="00FD128F">
      <w:pPr>
        <w:pStyle w:val="aa"/>
        <w:spacing w:line="360" w:lineRule="auto"/>
        <w:ind w:left="0"/>
        <w:jc w:val="both"/>
        <w:rPr>
          <w:rFonts w:ascii="FrankRuehl" w:hAnsi="FrankRuehl" w:cs="FrankRuehl"/>
          <w:sz w:val="28"/>
          <w:szCs w:val="28"/>
          <w:rtl/>
        </w:rPr>
      </w:pPr>
    </w:p>
    <w:p w14:paraId="3E7467D2" w14:textId="77777777" w:rsidR="00FD128F" w:rsidRPr="00D865EE" w:rsidRDefault="00FD128F" w:rsidP="00FD128F">
      <w:pPr>
        <w:pStyle w:val="aa"/>
        <w:numPr>
          <w:ilvl w:val="0"/>
          <w:numId w:val="1"/>
        </w:numPr>
        <w:spacing w:line="360" w:lineRule="auto"/>
        <w:ind w:left="0"/>
        <w:jc w:val="both"/>
        <w:rPr>
          <w:rFonts w:ascii="FrankRuehl" w:hAnsi="FrankRuehl" w:cs="FrankRuehl"/>
          <w:sz w:val="28"/>
          <w:szCs w:val="28"/>
        </w:rPr>
      </w:pPr>
      <w:r w:rsidRPr="00D865EE">
        <w:rPr>
          <w:rFonts w:ascii="FrankRuehl" w:hAnsi="FrankRuehl" w:cs="FrankRuehl"/>
          <w:sz w:val="28"/>
          <w:szCs w:val="28"/>
          <w:rtl/>
        </w:rPr>
        <w:t>הנאשם ניהל הוכחות ורק ביום בו נשמעו הטיעונים לעונש החליט ליטול אחריות על מעשיו, לאחר שניתנה הכרעת דין מפורטת בעניינו. בשל האמור אין הוא זכאי להטבה הניתנת למי שנטל אחריות וחסך מזמנו של בית המשפט, אם כי נטילת אחריות זו תובא בחשבון בגזירת דינו, ולו בהקלה קלה במיקומו במתחם הענישה.</w:t>
      </w:r>
    </w:p>
    <w:p w14:paraId="12BFB5F0" w14:textId="77777777" w:rsidR="00FD128F" w:rsidRPr="00D865EE" w:rsidRDefault="00FD128F" w:rsidP="00FD128F">
      <w:pPr>
        <w:pStyle w:val="aa"/>
        <w:spacing w:line="360" w:lineRule="auto"/>
        <w:ind w:left="0"/>
        <w:jc w:val="both"/>
        <w:rPr>
          <w:rFonts w:ascii="FrankRuehl" w:hAnsi="FrankRuehl" w:cs="FrankRuehl"/>
          <w:sz w:val="28"/>
          <w:szCs w:val="28"/>
        </w:rPr>
      </w:pPr>
    </w:p>
    <w:p w14:paraId="5FB37913" w14:textId="77777777" w:rsidR="00FD128F" w:rsidRPr="00D865EE" w:rsidRDefault="00FD128F" w:rsidP="00FD128F">
      <w:pPr>
        <w:pStyle w:val="aa"/>
        <w:numPr>
          <w:ilvl w:val="0"/>
          <w:numId w:val="1"/>
        </w:numPr>
        <w:spacing w:line="360" w:lineRule="auto"/>
        <w:ind w:left="0"/>
        <w:jc w:val="both"/>
        <w:rPr>
          <w:rFonts w:ascii="FrankRuehl" w:hAnsi="FrankRuehl" w:cs="FrankRuehl"/>
          <w:sz w:val="28"/>
          <w:szCs w:val="28"/>
        </w:rPr>
      </w:pPr>
      <w:r w:rsidRPr="00D865EE">
        <w:rPr>
          <w:rFonts w:ascii="FrankRuehl" w:hAnsi="FrankRuehl" w:cs="FrankRuehl"/>
          <w:sz w:val="28"/>
          <w:szCs w:val="28"/>
          <w:rtl/>
        </w:rPr>
        <w:t>לאור האמור הנני גוזרת על הנאשם את העונשים הבאים:</w:t>
      </w:r>
    </w:p>
    <w:p w14:paraId="0338B349" w14:textId="77777777" w:rsidR="00FD128F" w:rsidRPr="00D865EE" w:rsidRDefault="00FD128F" w:rsidP="00FD128F">
      <w:pPr>
        <w:pStyle w:val="aa"/>
        <w:numPr>
          <w:ilvl w:val="0"/>
          <w:numId w:val="2"/>
        </w:numPr>
        <w:spacing w:line="360" w:lineRule="auto"/>
        <w:jc w:val="both"/>
        <w:rPr>
          <w:rFonts w:ascii="FrankRuehl" w:hAnsi="FrankRuehl" w:cs="FrankRuehl"/>
          <w:sz w:val="28"/>
          <w:szCs w:val="28"/>
        </w:rPr>
      </w:pPr>
      <w:r w:rsidRPr="00D865EE">
        <w:rPr>
          <w:rFonts w:ascii="FrankRuehl" w:hAnsi="FrankRuehl" w:cs="FrankRuehl"/>
          <w:sz w:val="28"/>
          <w:szCs w:val="28"/>
          <w:rtl/>
        </w:rPr>
        <w:t>40 ח</w:t>
      </w:r>
      <w:r>
        <w:rPr>
          <w:rFonts w:ascii="FrankRuehl" w:hAnsi="FrankRuehl" w:cs="FrankRuehl"/>
          <w:sz w:val="28"/>
          <w:szCs w:val="28"/>
          <w:rtl/>
        </w:rPr>
        <w:t xml:space="preserve">ודשי מאסר בפועל החל מיום מעצרו </w:t>
      </w:r>
      <w:r>
        <w:rPr>
          <w:rFonts w:ascii="FrankRuehl" w:hAnsi="FrankRuehl" w:cs="FrankRuehl" w:hint="cs"/>
          <w:sz w:val="28"/>
          <w:szCs w:val="28"/>
          <w:rtl/>
        </w:rPr>
        <w:t>31.1.24.</w:t>
      </w:r>
    </w:p>
    <w:p w14:paraId="3142A1C8" w14:textId="77777777" w:rsidR="00FD128F" w:rsidRPr="00D865EE" w:rsidRDefault="00FD128F" w:rsidP="00FD128F">
      <w:pPr>
        <w:pStyle w:val="aa"/>
        <w:numPr>
          <w:ilvl w:val="0"/>
          <w:numId w:val="2"/>
        </w:numPr>
        <w:spacing w:line="360" w:lineRule="auto"/>
        <w:jc w:val="both"/>
        <w:rPr>
          <w:rFonts w:ascii="FrankRuehl" w:hAnsi="FrankRuehl" w:cs="FrankRuehl"/>
          <w:sz w:val="28"/>
          <w:szCs w:val="28"/>
        </w:rPr>
      </w:pPr>
      <w:r w:rsidRPr="00D865EE">
        <w:rPr>
          <w:rFonts w:ascii="FrankRuehl" w:hAnsi="FrankRuehl" w:cs="FrankRuehl"/>
          <w:sz w:val="28"/>
          <w:szCs w:val="28"/>
          <w:rtl/>
        </w:rPr>
        <w:t>הנני מפעילה את המאסר המותנה מ</w:t>
      </w:r>
      <w:hyperlink r:id="rId38" w:history="1">
        <w:r w:rsidR="008730D7" w:rsidRPr="008730D7">
          <w:rPr>
            <w:rFonts w:ascii="FrankRuehl" w:hAnsi="FrankRuehl" w:cs="FrankRuehl"/>
            <w:color w:val="0000FF"/>
            <w:sz w:val="28"/>
            <w:szCs w:val="28"/>
            <w:u w:val="single"/>
            <w:rtl/>
          </w:rPr>
          <w:t>ת.פ. (מחוזי מרכז) 65762-01-20</w:t>
        </w:r>
      </w:hyperlink>
      <w:r w:rsidRPr="00D865EE">
        <w:rPr>
          <w:rFonts w:ascii="FrankRuehl" w:hAnsi="FrankRuehl" w:cs="FrankRuehl"/>
          <w:sz w:val="28"/>
          <w:szCs w:val="28"/>
          <w:rtl/>
        </w:rPr>
        <w:t>, מאסר מותנה בן 12 חודשים שירוצה במצטבר לעונש המאסר כך שסך הכל ירצה הנאשם 52 חודשי מאסר בפועל.</w:t>
      </w:r>
    </w:p>
    <w:p w14:paraId="64453A37" w14:textId="77777777" w:rsidR="00FD128F" w:rsidRPr="00D865EE" w:rsidRDefault="00FD128F" w:rsidP="00FD128F">
      <w:pPr>
        <w:pStyle w:val="aa"/>
        <w:numPr>
          <w:ilvl w:val="0"/>
          <w:numId w:val="2"/>
        </w:numPr>
        <w:spacing w:line="360" w:lineRule="auto"/>
        <w:jc w:val="both"/>
        <w:rPr>
          <w:rFonts w:ascii="FrankRuehl" w:hAnsi="FrankRuehl" w:cs="FrankRuehl"/>
          <w:sz w:val="28"/>
          <w:szCs w:val="28"/>
        </w:rPr>
      </w:pPr>
      <w:r w:rsidRPr="00D865EE">
        <w:rPr>
          <w:rFonts w:ascii="FrankRuehl" w:hAnsi="FrankRuehl" w:cs="FrankRuehl"/>
          <w:sz w:val="28"/>
          <w:szCs w:val="28"/>
          <w:rtl/>
        </w:rPr>
        <w:t>12 חודשי מאסר על תנאי והתנאי הוא שתוך 3 שנים מיום שחרורו ממאסר לא יעבור הנאשם עבירת נשק שהיא פשע.</w:t>
      </w:r>
    </w:p>
    <w:p w14:paraId="4ED7488A" w14:textId="77777777" w:rsidR="00FD128F" w:rsidRPr="00D865EE" w:rsidRDefault="00FD128F" w:rsidP="00FD128F">
      <w:pPr>
        <w:pStyle w:val="aa"/>
        <w:numPr>
          <w:ilvl w:val="0"/>
          <w:numId w:val="2"/>
        </w:numPr>
        <w:spacing w:line="360" w:lineRule="auto"/>
        <w:jc w:val="both"/>
        <w:rPr>
          <w:rFonts w:ascii="FrankRuehl" w:hAnsi="FrankRuehl" w:cs="FrankRuehl"/>
          <w:sz w:val="28"/>
          <w:szCs w:val="28"/>
        </w:rPr>
      </w:pPr>
      <w:r w:rsidRPr="00D865EE">
        <w:rPr>
          <w:rFonts w:ascii="FrankRuehl" w:hAnsi="FrankRuehl" w:cs="FrankRuehl"/>
          <w:sz w:val="28"/>
          <w:szCs w:val="28"/>
          <w:rtl/>
        </w:rPr>
        <w:t>חודשיים מאסר על תנאי והתנאי הוא שתוך שנתיים מיום שחרורו ממאסר לא יעבור הנאשם עבירה של שיבוש מהלכי משפט.</w:t>
      </w:r>
    </w:p>
    <w:p w14:paraId="3406B9F0" w14:textId="77777777" w:rsidR="00FD128F" w:rsidRPr="00D865EE" w:rsidRDefault="008730D7" w:rsidP="00FD128F">
      <w:pPr>
        <w:pStyle w:val="aa"/>
        <w:numPr>
          <w:ilvl w:val="0"/>
          <w:numId w:val="2"/>
        </w:numPr>
        <w:spacing w:line="360" w:lineRule="auto"/>
        <w:jc w:val="both"/>
        <w:rPr>
          <w:rFonts w:ascii="FrankRuehl" w:hAnsi="FrankRuehl" w:cs="FrankRuehl"/>
          <w:sz w:val="28"/>
          <w:szCs w:val="28"/>
        </w:rPr>
      </w:pPr>
      <w:r w:rsidRPr="008730D7">
        <w:rPr>
          <w:rFonts w:ascii="FrankRuehl" w:hAnsi="FrankRuehl" w:cs="FrankRuehl"/>
          <w:color w:val="FFFFFF"/>
          <w:sz w:val="2"/>
          <w:szCs w:val="2"/>
          <w:rtl/>
        </w:rPr>
        <w:t>5129371</w:t>
      </w:r>
      <w:r w:rsidR="00FD128F" w:rsidRPr="00D865EE">
        <w:rPr>
          <w:rFonts w:ascii="FrankRuehl" w:hAnsi="FrankRuehl" w:cs="FrankRuehl"/>
          <w:sz w:val="28"/>
          <w:szCs w:val="28"/>
          <w:rtl/>
        </w:rPr>
        <w:t>קנס בסך 5,000 ₪ או 30 ימי מאסר תמורתו.</w:t>
      </w:r>
    </w:p>
    <w:p w14:paraId="011803EF" w14:textId="77777777" w:rsidR="00FD128F" w:rsidRPr="00D865EE" w:rsidRDefault="008730D7" w:rsidP="00FD128F">
      <w:pPr>
        <w:pStyle w:val="aa"/>
        <w:spacing w:line="360" w:lineRule="auto"/>
        <w:ind w:left="0"/>
        <w:jc w:val="both"/>
        <w:rPr>
          <w:rFonts w:ascii="FrankRuehl" w:hAnsi="FrankRuehl" w:cs="FrankRuehl"/>
          <w:b/>
          <w:bCs/>
          <w:sz w:val="28"/>
          <w:szCs w:val="28"/>
        </w:rPr>
      </w:pPr>
      <w:r w:rsidRPr="008730D7">
        <w:rPr>
          <w:rFonts w:ascii="FrankRuehl" w:hAnsi="FrankRuehl" w:cs="FrankRuehl"/>
          <w:b/>
          <w:bCs/>
          <w:color w:val="FFFFFF"/>
          <w:sz w:val="2"/>
          <w:szCs w:val="2"/>
          <w:rtl/>
        </w:rPr>
        <w:t>54678313</w:t>
      </w:r>
      <w:r w:rsidR="00FD128F" w:rsidRPr="00D865EE">
        <w:rPr>
          <w:rFonts w:ascii="FrankRuehl" w:hAnsi="FrankRuehl" w:cs="FrankRuehl"/>
          <w:b/>
          <w:bCs/>
          <w:sz w:val="28"/>
          <w:szCs w:val="28"/>
          <w:rtl/>
        </w:rPr>
        <w:t>זכות ערעור לבית המשפט העליון תוך 45 יום.</w:t>
      </w:r>
    </w:p>
    <w:p w14:paraId="115B8FD7" w14:textId="77777777" w:rsidR="00FD128F" w:rsidRPr="00D865EE" w:rsidRDefault="00FD128F" w:rsidP="00FD128F">
      <w:pPr>
        <w:pStyle w:val="aa"/>
        <w:spacing w:line="360" w:lineRule="auto"/>
        <w:ind w:left="0"/>
        <w:jc w:val="both"/>
        <w:rPr>
          <w:rFonts w:ascii="FrankRuehl" w:hAnsi="FrankRuehl" w:cs="FrankRuehl"/>
          <w:b/>
          <w:bCs/>
          <w:sz w:val="28"/>
          <w:szCs w:val="28"/>
          <w:rtl/>
        </w:rPr>
      </w:pPr>
    </w:p>
    <w:p w14:paraId="00A9DE70" w14:textId="77777777" w:rsidR="00FD128F" w:rsidRPr="00EC3340" w:rsidRDefault="008730D7" w:rsidP="00FD128F">
      <w:pPr>
        <w:rPr>
          <w:rFonts w:ascii="FrankRuehl" w:hAnsi="FrankRuehl" w:cs="FrankRuehl"/>
          <w:sz w:val="28"/>
          <w:szCs w:val="28"/>
          <w:rtl/>
        </w:rPr>
      </w:pPr>
      <w:bookmarkStart w:id="9" w:name="Nitan"/>
      <w:r>
        <w:rPr>
          <w:rFonts w:ascii="FrankRuehl" w:hAnsi="FrankRuehl" w:cs="FrankRuehl"/>
          <w:sz w:val="28"/>
          <w:szCs w:val="28"/>
          <w:rtl/>
        </w:rPr>
        <w:t xml:space="preserve">ניתן היום,  ג' ניסן תשפ"ה, 01 אפריל 2025, במעמד הצדדים. </w:t>
      </w:r>
      <w:bookmarkEnd w:id="9"/>
    </w:p>
    <w:p w14:paraId="0FC71790" w14:textId="77777777" w:rsidR="00FD128F" w:rsidRPr="00D865EE" w:rsidRDefault="00FD128F" w:rsidP="008730D7">
      <w:pPr>
        <w:jc w:val="center"/>
      </w:pPr>
      <w:r w:rsidRPr="00D865EE">
        <w:rPr>
          <w:rFonts w:ascii="FrankRuehl" w:hAnsi="FrankRuehl" w:cs="FrankRuehl"/>
          <w:sz w:val="28"/>
          <w:szCs w:val="28"/>
          <w:rtl/>
        </w:rPr>
        <w:t xml:space="preserve">   </w:t>
      </w:r>
      <w:r w:rsidRPr="00D865EE">
        <w:rPr>
          <w:rFonts w:ascii="FrankRuehl" w:hAnsi="FrankRuehl" w:cs="FrankRuehl"/>
          <w:sz w:val="28"/>
          <w:szCs w:val="28"/>
          <w:rtl/>
        </w:rPr>
        <w:tab/>
      </w:r>
      <w:r w:rsidRPr="00D865EE">
        <w:rPr>
          <w:rFonts w:ascii="FrankRuehl" w:hAnsi="FrankRuehl" w:cs="FrankRuehl"/>
          <w:sz w:val="28"/>
          <w:szCs w:val="28"/>
          <w:rtl/>
        </w:rPr>
        <w:tab/>
      </w:r>
      <w:r w:rsidRPr="00D865EE">
        <w:rPr>
          <w:rFonts w:ascii="FrankRuehl" w:hAnsi="FrankRuehl" w:cs="FrankRuehl"/>
          <w:sz w:val="28"/>
          <w:szCs w:val="28"/>
          <w:rtl/>
        </w:rPr>
        <w:tab/>
      </w:r>
      <w:r w:rsidRPr="00D865EE">
        <w:rPr>
          <w:rFonts w:ascii="FrankRuehl" w:hAnsi="FrankRuehl" w:cs="FrankRuehl"/>
          <w:sz w:val="28"/>
          <w:szCs w:val="28"/>
          <w:rtl/>
        </w:rPr>
        <w:tab/>
      </w:r>
      <w:r w:rsidRPr="00D865EE">
        <w:rPr>
          <w:rFonts w:ascii="FrankRuehl" w:hAnsi="FrankRuehl" w:cs="FrankRuehl"/>
          <w:sz w:val="28"/>
          <w:szCs w:val="28"/>
          <w:rtl/>
        </w:rPr>
        <w:tab/>
      </w:r>
    </w:p>
    <w:p w14:paraId="63DFB93B" w14:textId="77777777" w:rsidR="00FD128F" w:rsidRPr="00D865EE" w:rsidRDefault="00FD128F" w:rsidP="00FD128F">
      <w:pPr>
        <w:jc w:val="center"/>
        <w:rPr>
          <w:rFonts w:ascii="FrankRuehl" w:hAnsi="FrankRuehl" w:cs="FrankRuehl"/>
          <w:sz w:val="28"/>
          <w:szCs w:val="28"/>
          <w:rtl/>
        </w:rPr>
      </w:pPr>
    </w:p>
    <w:p w14:paraId="18D1E5D3" w14:textId="77777777" w:rsidR="00916021" w:rsidRPr="008730D7" w:rsidRDefault="00916021" w:rsidP="008730D7">
      <w:pPr>
        <w:keepNext/>
        <w:rPr>
          <w:rFonts w:ascii="David" w:hAnsi="David"/>
          <w:color w:val="000000"/>
          <w:sz w:val="22"/>
          <w:szCs w:val="22"/>
          <w:rtl/>
        </w:rPr>
      </w:pPr>
    </w:p>
    <w:p w14:paraId="476A9DE1" w14:textId="77777777" w:rsidR="008730D7" w:rsidRPr="008730D7" w:rsidRDefault="008730D7" w:rsidP="008730D7">
      <w:pPr>
        <w:keepNext/>
        <w:rPr>
          <w:rFonts w:ascii="David" w:hAnsi="David"/>
          <w:color w:val="000000"/>
          <w:sz w:val="22"/>
          <w:szCs w:val="22"/>
          <w:rtl/>
        </w:rPr>
      </w:pPr>
      <w:r w:rsidRPr="008730D7">
        <w:rPr>
          <w:rFonts w:ascii="David" w:hAnsi="David"/>
          <w:color w:val="000000"/>
          <w:sz w:val="22"/>
          <w:szCs w:val="22"/>
          <w:rtl/>
        </w:rPr>
        <w:t>מיכל ברנט 54678313</w:t>
      </w:r>
    </w:p>
    <w:p w14:paraId="60378C7D" w14:textId="77777777" w:rsidR="008730D7" w:rsidRDefault="008730D7" w:rsidP="008730D7">
      <w:r w:rsidRPr="008730D7">
        <w:rPr>
          <w:color w:val="000000"/>
          <w:rtl/>
        </w:rPr>
        <w:t>נוסח מסמך זה כפוף לשינויי ניסוח ועריכה</w:t>
      </w:r>
    </w:p>
    <w:p w14:paraId="4E1589C0" w14:textId="77777777" w:rsidR="008730D7" w:rsidRDefault="008730D7" w:rsidP="008730D7">
      <w:pPr>
        <w:rPr>
          <w:rtl/>
        </w:rPr>
      </w:pPr>
    </w:p>
    <w:p w14:paraId="2B526BA2" w14:textId="77777777" w:rsidR="008730D7" w:rsidRDefault="008730D7" w:rsidP="008730D7">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p w14:paraId="13F7FA60" w14:textId="77777777" w:rsidR="008730D7" w:rsidRPr="008730D7" w:rsidRDefault="008730D7" w:rsidP="008730D7">
      <w:pPr>
        <w:jc w:val="center"/>
        <w:rPr>
          <w:color w:val="0000FF"/>
          <w:u w:val="single"/>
        </w:rPr>
      </w:pPr>
    </w:p>
    <w:sectPr w:rsidR="008730D7" w:rsidRPr="008730D7" w:rsidSect="008730D7">
      <w:headerReference w:type="even" r:id="rId40"/>
      <w:headerReference w:type="default" r:id="rId41"/>
      <w:footerReference w:type="even" r:id="rId42"/>
      <w:footerReference w:type="default" r:id="rId4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FE8590" w14:textId="77777777" w:rsidR="00FA0893" w:rsidRDefault="00FA0893" w:rsidP="00A47D07">
      <w:r>
        <w:separator/>
      </w:r>
    </w:p>
  </w:endnote>
  <w:endnote w:type="continuationSeparator" w:id="0">
    <w:p w14:paraId="4E852F18" w14:textId="77777777" w:rsidR="00FA0893" w:rsidRDefault="00FA0893" w:rsidP="00A47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E6AAD0" w14:textId="77777777" w:rsidR="008730D7" w:rsidRDefault="008730D7" w:rsidP="008730D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F33A9A7" w14:textId="77777777" w:rsidR="00146E87" w:rsidRPr="008730D7" w:rsidRDefault="008730D7" w:rsidP="008730D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9F13B" w14:textId="77777777" w:rsidR="008730D7" w:rsidRDefault="008730D7" w:rsidP="008730D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97FB8">
      <w:rPr>
        <w:rFonts w:ascii="FrankRuehl" w:hAnsi="FrankRuehl" w:cs="FrankRuehl"/>
        <w:noProof/>
        <w:rtl/>
      </w:rPr>
      <w:t>1</w:t>
    </w:r>
    <w:r>
      <w:rPr>
        <w:rFonts w:ascii="FrankRuehl" w:hAnsi="FrankRuehl" w:cs="FrankRuehl"/>
        <w:rtl/>
      </w:rPr>
      <w:fldChar w:fldCharType="end"/>
    </w:r>
  </w:p>
  <w:p w14:paraId="068817FD" w14:textId="77777777" w:rsidR="00146E87" w:rsidRPr="008730D7" w:rsidRDefault="008730D7" w:rsidP="008730D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DDB0B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99D9C" w14:textId="77777777" w:rsidR="00FA0893" w:rsidRDefault="00FA0893" w:rsidP="00A47D07">
      <w:r>
        <w:separator/>
      </w:r>
    </w:p>
  </w:footnote>
  <w:footnote w:type="continuationSeparator" w:id="0">
    <w:p w14:paraId="45B08A01" w14:textId="77777777" w:rsidR="00FA0893" w:rsidRDefault="00FA0893" w:rsidP="00A47D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A7DFF" w14:textId="77777777" w:rsidR="008730D7" w:rsidRPr="008730D7" w:rsidRDefault="008730D7" w:rsidP="008730D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24517-02-24</w:t>
    </w:r>
    <w:r>
      <w:rPr>
        <w:rFonts w:ascii="David" w:hAnsi="David"/>
        <w:color w:val="000000"/>
        <w:sz w:val="22"/>
        <w:szCs w:val="22"/>
        <w:rtl/>
      </w:rPr>
      <w:tab/>
      <w:t xml:space="preserve"> מדינת ישראל נ' מוחמד חאג' יחיא</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6DACAB" w14:textId="77777777" w:rsidR="008730D7" w:rsidRPr="008730D7" w:rsidRDefault="008730D7" w:rsidP="008730D7">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24517-02-24</w:t>
    </w:r>
    <w:r>
      <w:rPr>
        <w:rFonts w:ascii="David" w:hAnsi="David"/>
        <w:color w:val="000000"/>
        <w:sz w:val="22"/>
        <w:szCs w:val="22"/>
        <w:rtl/>
      </w:rPr>
      <w:tab/>
      <w:t xml:space="preserve"> מדינת ישראל נ' מוחמד חאג' יחיא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001B"/>
    <w:multiLevelType w:val="hybridMultilevel"/>
    <w:tmpl w:val="B2C4B5E4"/>
    <w:lvl w:ilvl="0" w:tplc="5F9C772A">
      <w:start w:val="1"/>
      <w:numFmt w:val="decimal"/>
      <w:pStyle w:val="Ruller4"/>
      <w:lvlText w:val="%1."/>
      <w:lvlJc w:val="left"/>
      <w:pPr>
        <w:tabs>
          <w:tab w:val="num" w:pos="907"/>
        </w:tabs>
        <w:ind w:left="0" w:firstLine="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65EC6CB3"/>
    <w:multiLevelType w:val="hybridMultilevel"/>
    <w:tmpl w:val="057004EE"/>
    <w:lvl w:ilvl="0" w:tplc="A2C84E94">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6A263D8"/>
    <w:multiLevelType w:val="hybridMultilevel"/>
    <w:tmpl w:val="6142993E"/>
    <w:lvl w:ilvl="0" w:tplc="877C03F6">
      <w:start w:val="1"/>
      <w:numFmt w:val="decimal"/>
      <w:lvlText w:val="%1."/>
      <w:lvlJc w:val="left"/>
      <w:pPr>
        <w:ind w:left="720" w:hanging="360"/>
      </w:pPr>
      <w:rPr>
        <w:lang w:bidi="he-I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344508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400688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726381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D128F"/>
    <w:rsid w:val="00146E87"/>
    <w:rsid w:val="007F5A81"/>
    <w:rsid w:val="008730D7"/>
    <w:rsid w:val="00916021"/>
    <w:rsid w:val="009A4E4C"/>
    <w:rsid w:val="00A47D07"/>
    <w:rsid w:val="00AA106F"/>
    <w:rsid w:val="00C91DFB"/>
    <w:rsid w:val="00F97FB8"/>
    <w:rsid w:val="00FA0893"/>
    <w:rsid w:val="00FD12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CAD769F"/>
  <w15:chartTrackingRefBased/>
  <w15:docId w15:val="{429563D7-F58C-49CF-AF0A-BE555D8CB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D128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D128F"/>
    <w:pPr>
      <w:tabs>
        <w:tab w:val="center" w:pos="4153"/>
        <w:tab w:val="right" w:pos="8306"/>
      </w:tabs>
    </w:pPr>
  </w:style>
  <w:style w:type="character" w:customStyle="1" w:styleId="a4">
    <w:name w:val="כותרת עליונה תו"/>
    <w:link w:val="a3"/>
    <w:rsid w:val="00FD128F"/>
    <w:rPr>
      <w:rFonts w:ascii="Times New Roman" w:eastAsia="Times New Roman" w:hAnsi="Times New Roman" w:cs="David"/>
      <w:sz w:val="24"/>
      <w:szCs w:val="24"/>
    </w:rPr>
  </w:style>
  <w:style w:type="paragraph" w:styleId="a5">
    <w:name w:val="footer"/>
    <w:basedOn w:val="a"/>
    <w:link w:val="a6"/>
    <w:rsid w:val="00FD128F"/>
    <w:pPr>
      <w:tabs>
        <w:tab w:val="center" w:pos="4153"/>
        <w:tab w:val="right" w:pos="8306"/>
      </w:tabs>
    </w:pPr>
  </w:style>
  <w:style w:type="character" w:customStyle="1" w:styleId="a6">
    <w:name w:val="כותרת תחתונה תו"/>
    <w:link w:val="a5"/>
    <w:rsid w:val="00FD128F"/>
    <w:rPr>
      <w:rFonts w:ascii="Times New Roman" w:eastAsia="Times New Roman" w:hAnsi="Times New Roman" w:cs="David"/>
      <w:sz w:val="24"/>
      <w:szCs w:val="24"/>
    </w:rPr>
  </w:style>
  <w:style w:type="table" w:styleId="a7">
    <w:name w:val="Table Grid"/>
    <w:basedOn w:val="a1"/>
    <w:rsid w:val="00FD128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D128F"/>
  </w:style>
  <w:style w:type="character" w:customStyle="1" w:styleId="a9">
    <w:name w:val="פיסקת רשימה תו"/>
    <w:link w:val="aa"/>
    <w:locked/>
    <w:rsid w:val="00FD128F"/>
  </w:style>
  <w:style w:type="paragraph" w:styleId="aa">
    <w:name w:val="List Paragraph"/>
    <w:basedOn w:val="a"/>
    <w:link w:val="a9"/>
    <w:qFormat/>
    <w:rsid w:val="00FD128F"/>
    <w:pPr>
      <w:spacing w:after="160" w:line="252" w:lineRule="auto"/>
      <w:ind w:left="720"/>
      <w:contextualSpacing/>
    </w:pPr>
    <w:rPr>
      <w:rFonts w:ascii="Calibri" w:eastAsia="Calibri" w:hAnsi="Calibri" w:cs="Arial"/>
      <w:sz w:val="22"/>
      <w:szCs w:val="22"/>
    </w:rPr>
  </w:style>
  <w:style w:type="character" w:styleId="Hyperlink">
    <w:name w:val="Hyperlink"/>
    <w:rsid w:val="00FD128F"/>
    <w:rPr>
      <w:color w:val="0000FF"/>
      <w:u w:val="single"/>
    </w:rPr>
  </w:style>
  <w:style w:type="paragraph" w:customStyle="1" w:styleId="Ruller5">
    <w:name w:val="Ruller5"/>
    <w:basedOn w:val="a"/>
    <w:rsid w:val="00FD128F"/>
    <w:pPr>
      <w:overflowPunct w:val="0"/>
      <w:autoSpaceDE w:val="0"/>
      <w:autoSpaceDN w:val="0"/>
      <w:adjustRightInd w:val="0"/>
      <w:ind w:left="1642" w:right="1282"/>
      <w:jc w:val="both"/>
    </w:pPr>
    <w:rPr>
      <w:rFonts w:ascii="Arial TUR" w:hAnsi="Arial TUR" w:cs="FrankRuehl"/>
      <w:spacing w:val="10"/>
      <w:sz w:val="22"/>
      <w:szCs w:val="28"/>
    </w:rPr>
  </w:style>
  <w:style w:type="paragraph" w:customStyle="1" w:styleId="Ruller4">
    <w:name w:val="Ruller 4 ממוספר"/>
    <w:basedOn w:val="a"/>
    <w:next w:val="a"/>
    <w:rsid w:val="00FD128F"/>
    <w:pPr>
      <w:numPr>
        <w:numId w:val="3"/>
      </w:numPr>
      <w:tabs>
        <w:tab w:val="left" w:pos="800"/>
      </w:tabs>
      <w:overflowPunct w:val="0"/>
      <w:autoSpaceDE w:val="0"/>
      <w:autoSpaceDN w:val="0"/>
      <w:adjustRightInd w:val="0"/>
      <w:spacing w:line="360" w:lineRule="auto"/>
      <w:jc w:val="both"/>
    </w:pPr>
    <w:rPr>
      <w:rFonts w:ascii="Garamond" w:hAnsi="Garamond" w:cs="FrankRuehl"/>
      <w:spacing w:val="1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30315066" TargetMode="External"/><Relationship Id="rId26" Type="http://schemas.openxmlformats.org/officeDocument/2006/relationships/hyperlink" Target="http://www.nevo.co.il/case/27708542"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case/32721670" TargetMode="External"/><Relationship Id="rId34" Type="http://schemas.openxmlformats.org/officeDocument/2006/relationships/hyperlink" Target="http://www.nevo.co.il/law/70301" TargetMode="External"/><Relationship Id="rId42"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26905927" TargetMode="External"/><Relationship Id="rId29" Type="http://schemas.openxmlformats.org/officeDocument/2006/relationships/hyperlink" Target="http://www.nevo.co.il/case/2730927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44"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28883087" TargetMode="External"/><Relationship Id="rId23" Type="http://schemas.openxmlformats.org/officeDocument/2006/relationships/hyperlink" Target="http://www.nevo.co.il/case/28883087" TargetMode="External"/><Relationship Id="rId28" Type="http://schemas.openxmlformats.org/officeDocument/2006/relationships/hyperlink" Target="http://www.nevo.co.il/case/28200855" TargetMode="External"/><Relationship Id="rId36" Type="http://schemas.openxmlformats.org/officeDocument/2006/relationships/hyperlink" Target="http://www.nevo.co.il/law/70301/58" TargetMode="External"/><Relationship Id="rId10" Type="http://schemas.openxmlformats.org/officeDocument/2006/relationships/hyperlink" Target="http://www.nevo.co.il/law/70301/144.g" TargetMode="External"/><Relationship Id="rId19" Type="http://schemas.openxmlformats.org/officeDocument/2006/relationships/hyperlink" Target="http://www.nevo.co.il/case/29867910" TargetMode="External"/><Relationship Id="rId31" Type="http://schemas.openxmlformats.org/officeDocument/2006/relationships/hyperlink" Target="http://www.nevo.co.il/law/70301/144.g"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244" TargetMode="External"/><Relationship Id="rId22" Type="http://schemas.openxmlformats.org/officeDocument/2006/relationships/hyperlink" Target="http://www.nevo.co.il/case/30240437" TargetMode="External"/><Relationship Id="rId27" Type="http://schemas.openxmlformats.org/officeDocument/2006/relationships/hyperlink" Target="http://www.nevo.co.il/case/27734980" TargetMode="External"/><Relationship Id="rId30" Type="http://schemas.openxmlformats.org/officeDocument/2006/relationships/hyperlink" Target="http://www.nevo.co.il/case/28266138" TargetMode="External"/><Relationship Id="rId35" Type="http://schemas.openxmlformats.org/officeDocument/2006/relationships/hyperlink" Target="http://www.nevo.co.il/case/28697227" TargetMode="External"/><Relationship Id="rId43" Type="http://schemas.openxmlformats.org/officeDocument/2006/relationships/footer" Target="footer2.xml"/><Relationship Id="rId8" Type="http://schemas.openxmlformats.org/officeDocument/2006/relationships/hyperlink" Target="http://www.nevo.co.il/law/70301/58" TargetMode="Externa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case/30168342" TargetMode="External"/><Relationship Id="rId25" Type="http://schemas.openxmlformats.org/officeDocument/2006/relationships/hyperlink" Target="http://www.nevo.co.il/case/26905927" TargetMode="External"/><Relationship Id="rId33" Type="http://schemas.openxmlformats.org/officeDocument/2006/relationships/hyperlink" Target="http://www.nevo.co.il/safrut/bookgroup/412" TargetMode="External"/><Relationship Id="rId38" Type="http://schemas.openxmlformats.org/officeDocument/2006/relationships/hyperlink" Target="http://www.nevo.co.il/case/26401868" TargetMode="External"/><Relationship Id="rId20" Type="http://schemas.openxmlformats.org/officeDocument/2006/relationships/hyperlink" Target="http://www.nevo.co.il/case/29837216"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2368</Words>
  <Characters>11842</Characters>
  <Application>Microsoft Office Word</Application>
  <DocSecurity>0</DocSecurity>
  <Lines>98</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14182</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3211386</vt:i4>
      </vt:variant>
      <vt:variant>
        <vt:i4>96</vt:i4>
      </vt:variant>
      <vt:variant>
        <vt:i4>0</vt:i4>
      </vt:variant>
      <vt:variant>
        <vt:i4>5</vt:i4>
      </vt:variant>
      <vt:variant>
        <vt:lpwstr>http://www.nevo.co.il/case/26401868</vt:lpwstr>
      </vt:variant>
      <vt:variant>
        <vt:lpwstr/>
      </vt:variant>
      <vt:variant>
        <vt:i4>7995492</vt:i4>
      </vt:variant>
      <vt:variant>
        <vt:i4>93</vt:i4>
      </vt:variant>
      <vt:variant>
        <vt:i4>0</vt:i4>
      </vt:variant>
      <vt:variant>
        <vt:i4>5</vt:i4>
      </vt:variant>
      <vt:variant>
        <vt:lpwstr>http://www.nevo.co.il/law/70301</vt:lpwstr>
      </vt:variant>
      <vt:variant>
        <vt:lpwstr/>
      </vt:variant>
      <vt:variant>
        <vt:i4>7143520</vt:i4>
      </vt:variant>
      <vt:variant>
        <vt:i4>90</vt:i4>
      </vt:variant>
      <vt:variant>
        <vt:i4>0</vt:i4>
      </vt:variant>
      <vt:variant>
        <vt:i4>5</vt:i4>
      </vt:variant>
      <vt:variant>
        <vt:lpwstr>http://www.nevo.co.il/law/70301/58</vt:lpwstr>
      </vt:variant>
      <vt:variant>
        <vt:lpwstr/>
      </vt:variant>
      <vt:variant>
        <vt:i4>3211383</vt:i4>
      </vt:variant>
      <vt:variant>
        <vt:i4>87</vt:i4>
      </vt:variant>
      <vt:variant>
        <vt:i4>0</vt:i4>
      </vt:variant>
      <vt:variant>
        <vt:i4>5</vt:i4>
      </vt:variant>
      <vt:variant>
        <vt:lpwstr>http://www.nevo.co.il/case/28697227</vt:lpwstr>
      </vt:variant>
      <vt:variant>
        <vt:lpwstr/>
      </vt:variant>
      <vt:variant>
        <vt:i4>7995492</vt:i4>
      </vt:variant>
      <vt:variant>
        <vt:i4>84</vt:i4>
      </vt:variant>
      <vt:variant>
        <vt:i4>0</vt:i4>
      </vt:variant>
      <vt:variant>
        <vt:i4>5</vt:i4>
      </vt:variant>
      <vt:variant>
        <vt:lpwstr>http://www.nevo.co.il/law/70301</vt:lpwstr>
      </vt:variant>
      <vt:variant>
        <vt:lpwstr/>
      </vt:variant>
      <vt:variant>
        <vt:i4>2097193</vt:i4>
      </vt:variant>
      <vt:variant>
        <vt:i4>81</vt:i4>
      </vt:variant>
      <vt:variant>
        <vt:i4>0</vt:i4>
      </vt:variant>
      <vt:variant>
        <vt:i4>5</vt:i4>
      </vt:variant>
      <vt:variant>
        <vt:lpwstr>http://www.nevo.co.il/safrut/bookgroup/412</vt:lpwstr>
      </vt:variant>
      <vt:variant>
        <vt:lpwstr/>
      </vt:variant>
      <vt:variant>
        <vt:i4>7995492</vt:i4>
      </vt:variant>
      <vt:variant>
        <vt:i4>78</vt:i4>
      </vt:variant>
      <vt:variant>
        <vt:i4>0</vt:i4>
      </vt:variant>
      <vt:variant>
        <vt:i4>5</vt:i4>
      </vt:variant>
      <vt:variant>
        <vt:lpwstr>http://www.nevo.co.il/law/70301</vt:lpwstr>
      </vt:variant>
      <vt:variant>
        <vt:lpwstr/>
      </vt:variant>
      <vt:variant>
        <vt:i4>5177424</vt:i4>
      </vt:variant>
      <vt:variant>
        <vt:i4>75</vt:i4>
      </vt:variant>
      <vt:variant>
        <vt:i4>0</vt:i4>
      </vt:variant>
      <vt:variant>
        <vt:i4>5</vt:i4>
      </vt:variant>
      <vt:variant>
        <vt:lpwstr>http://www.nevo.co.il/law/70301/144.g</vt:lpwstr>
      </vt:variant>
      <vt:variant>
        <vt:lpwstr/>
      </vt:variant>
      <vt:variant>
        <vt:i4>3473531</vt:i4>
      </vt:variant>
      <vt:variant>
        <vt:i4>72</vt:i4>
      </vt:variant>
      <vt:variant>
        <vt:i4>0</vt:i4>
      </vt:variant>
      <vt:variant>
        <vt:i4>5</vt:i4>
      </vt:variant>
      <vt:variant>
        <vt:lpwstr>http://www.nevo.co.il/case/28266138</vt:lpwstr>
      </vt:variant>
      <vt:variant>
        <vt:lpwstr/>
      </vt:variant>
      <vt:variant>
        <vt:i4>4128881</vt:i4>
      </vt:variant>
      <vt:variant>
        <vt:i4>69</vt:i4>
      </vt:variant>
      <vt:variant>
        <vt:i4>0</vt:i4>
      </vt:variant>
      <vt:variant>
        <vt:i4>5</vt:i4>
      </vt:variant>
      <vt:variant>
        <vt:lpwstr>http://www.nevo.co.il/case/27309272</vt:lpwstr>
      </vt:variant>
      <vt:variant>
        <vt:lpwstr/>
      </vt:variant>
      <vt:variant>
        <vt:i4>3473524</vt:i4>
      </vt:variant>
      <vt:variant>
        <vt:i4>66</vt:i4>
      </vt:variant>
      <vt:variant>
        <vt:i4>0</vt:i4>
      </vt:variant>
      <vt:variant>
        <vt:i4>5</vt:i4>
      </vt:variant>
      <vt:variant>
        <vt:lpwstr>http://www.nevo.co.il/case/28200855</vt:lpwstr>
      </vt:variant>
      <vt:variant>
        <vt:lpwstr/>
      </vt:variant>
      <vt:variant>
        <vt:i4>3735673</vt:i4>
      </vt:variant>
      <vt:variant>
        <vt:i4>63</vt:i4>
      </vt:variant>
      <vt:variant>
        <vt:i4>0</vt:i4>
      </vt:variant>
      <vt:variant>
        <vt:i4>5</vt:i4>
      </vt:variant>
      <vt:variant>
        <vt:lpwstr>http://www.nevo.co.il/case/27734980</vt:lpwstr>
      </vt:variant>
      <vt:variant>
        <vt:lpwstr/>
      </vt:variant>
      <vt:variant>
        <vt:i4>3735670</vt:i4>
      </vt:variant>
      <vt:variant>
        <vt:i4>60</vt:i4>
      </vt:variant>
      <vt:variant>
        <vt:i4>0</vt:i4>
      </vt:variant>
      <vt:variant>
        <vt:i4>5</vt:i4>
      </vt:variant>
      <vt:variant>
        <vt:lpwstr>http://www.nevo.co.il/case/27708542</vt:lpwstr>
      </vt:variant>
      <vt:variant>
        <vt:lpwstr/>
      </vt:variant>
      <vt:variant>
        <vt:i4>3932283</vt:i4>
      </vt:variant>
      <vt:variant>
        <vt:i4>57</vt:i4>
      </vt:variant>
      <vt:variant>
        <vt:i4>0</vt:i4>
      </vt:variant>
      <vt:variant>
        <vt:i4>5</vt:i4>
      </vt:variant>
      <vt:variant>
        <vt:lpwstr>http://www.nevo.co.il/case/26905927</vt:lpwstr>
      </vt:variant>
      <vt:variant>
        <vt:lpwstr/>
      </vt:variant>
      <vt:variant>
        <vt:i4>7995492</vt:i4>
      </vt:variant>
      <vt:variant>
        <vt:i4>54</vt:i4>
      </vt:variant>
      <vt:variant>
        <vt:i4>0</vt:i4>
      </vt:variant>
      <vt:variant>
        <vt:i4>5</vt:i4>
      </vt:variant>
      <vt:variant>
        <vt:lpwstr>http://www.nevo.co.il/law/70301</vt:lpwstr>
      </vt:variant>
      <vt:variant>
        <vt:lpwstr/>
      </vt:variant>
      <vt:variant>
        <vt:i4>3211380</vt:i4>
      </vt:variant>
      <vt:variant>
        <vt:i4>51</vt:i4>
      </vt:variant>
      <vt:variant>
        <vt:i4>0</vt:i4>
      </vt:variant>
      <vt:variant>
        <vt:i4>5</vt:i4>
      </vt:variant>
      <vt:variant>
        <vt:lpwstr>http://www.nevo.co.il/case/28883087</vt:lpwstr>
      </vt:variant>
      <vt:variant>
        <vt:lpwstr/>
      </vt:variant>
      <vt:variant>
        <vt:i4>3276916</vt:i4>
      </vt:variant>
      <vt:variant>
        <vt:i4>48</vt:i4>
      </vt:variant>
      <vt:variant>
        <vt:i4>0</vt:i4>
      </vt:variant>
      <vt:variant>
        <vt:i4>5</vt:i4>
      </vt:variant>
      <vt:variant>
        <vt:lpwstr>http://www.nevo.co.il/case/30240437</vt:lpwstr>
      </vt:variant>
      <vt:variant>
        <vt:lpwstr/>
      </vt:variant>
      <vt:variant>
        <vt:i4>3276914</vt:i4>
      </vt:variant>
      <vt:variant>
        <vt:i4>45</vt:i4>
      </vt:variant>
      <vt:variant>
        <vt:i4>0</vt:i4>
      </vt:variant>
      <vt:variant>
        <vt:i4>5</vt:i4>
      </vt:variant>
      <vt:variant>
        <vt:lpwstr>http://www.nevo.co.il/case/32721670</vt:lpwstr>
      </vt:variant>
      <vt:variant>
        <vt:lpwstr/>
      </vt:variant>
      <vt:variant>
        <vt:i4>3932284</vt:i4>
      </vt:variant>
      <vt:variant>
        <vt:i4>42</vt:i4>
      </vt:variant>
      <vt:variant>
        <vt:i4>0</vt:i4>
      </vt:variant>
      <vt:variant>
        <vt:i4>5</vt:i4>
      </vt:variant>
      <vt:variant>
        <vt:lpwstr>http://www.nevo.co.il/case/29837216</vt:lpwstr>
      </vt:variant>
      <vt:variant>
        <vt:lpwstr/>
      </vt:variant>
      <vt:variant>
        <vt:i4>3932274</vt:i4>
      </vt:variant>
      <vt:variant>
        <vt:i4>39</vt:i4>
      </vt:variant>
      <vt:variant>
        <vt:i4>0</vt:i4>
      </vt:variant>
      <vt:variant>
        <vt:i4>5</vt:i4>
      </vt:variant>
      <vt:variant>
        <vt:lpwstr>http://www.nevo.co.il/case/29867910</vt:lpwstr>
      </vt:variant>
      <vt:variant>
        <vt:lpwstr/>
      </vt:variant>
      <vt:variant>
        <vt:i4>3342453</vt:i4>
      </vt:variant>
      <vt:variant>
        <vt:i4>36</vt:i4>
      </vt:variant>
      <vt:variant>
        <vt:i4>0</vt:i4>
      </vt:variant>
      <vt:variant>
        <vt:i4>5</vt:i4>
      </vt:variant>
      <vt:variant>
        <vt:lpwstr>http://www.nevo.co.il/case/30315066</vt:lpwstr>
      </vt:variant>
      <vt:variant>
        <vt:lpwstr/>
      </vt:variant>
      <vt:variant>
        <vt:i4>4063345</vt:i4>
      </vt:variant>
      <vt:variant>
        <vt:i4>33</vt:i4>
      </vt:variant>
      <vt:variant>
        <vt:i4>0</vt:i4>
      </vt:variant>
      <vt:variant>
        <vt:i4>5</vt:i4>
      </vt:variant>
      <vt:variant>
        <vt:lpwstr>http://www.nevo.co.il/case/30168342</vt:lpwstr>
      </vt:variant>
      <vt:variant>
        <vt:lpwstr/>
      </vt:variant>
      <vt:variant>
        <vt:i4>3932283</vt:i4>
      </vt:variant>
      <vt:variant>
        <vt:i4>30</vt:i4>
      </vt:variant>
      <vt:variant>
        <vt:i4>0</vt:i4>
      </vt:variant>
      <vt:variant>
        <vt:i4>5</vt:i4>
      </vt:variant>
      <vt:variant>
        <vt:lpwstr>http://www.nevo.co.il/case/26905927</vt:lpwstr>
      </vt:variant>
      <vt:variant>
        <vt:lpwstr/>
      </vt:variant>
      <vt:variant>
        <vt:i4>3211380</vt:i4>
      </vt:variant>
      <vt:variant>
        <vt:i4>27</vt:i4>
      </vt:variant>
      <vt:variant>
        <vt:i4>0</vt:i4>
      </vt:variant>
      <vt:variant>
        <vt:i4>5</vt:i4>
      </vt:variant>
      <vt:variant>
        <vt:lpwstr>http://www.nevo.co.il/case/28883087</vt:lpwstr>
      </vt:variant>
      <vt:variant>
        <vt:lpwstr/>
      </vt:variant>
      <vt:variant>
        <vt:i4>6357095</vt:i4>
      </vt:variant>
      <vt:variant>
        <vt:i4>24</vt:i4>
      </vt:variant>
      <vt:variant>
        <vt:i4>0</vt:i4>
      </vt:variant>
      <vt:variant>
        <vt:i4>5</vt:i4>
      </vt:variant>
      <vt:variant>
        <vt:lpwstr>http://www.nevo.co.il/law/70301/244</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2097193</vt:i4>
      </vt:variant>
      <vt:variant>
        <vt:i4>15</vt:i4>
      </vt:variant>
      <vt:variant>
        <vt:i4>0</vt:i4>
      </vt:variant>
      <vt:variant>
        <vt:i4>5</vt:i4>
      </vt:variant>
      <vt:variant>
        <vt:lpwstr>http://www.nevo.co.il/safrut/bookgroup/412</vt:lpwstr>
      </vt:variant>
      <vt:variant>
        <vt:lpwstr/>
      </vt:variant>
      <vt:variant>
        <vt:i4>6357095</vt:i4>
      </vt:variant>
      <vt:variant>
        <vt:i4>12</vt:i4>
      </vt:variant>
      <vt:variant>
        <vt:i4>0</vt:i4>
      </vt:variant>
      <vt:variant>
        <vt:i4>5</vt:i4>
      </vt:variant>
      <vt:variant>
        <vt:lpwstr>http://www.nevo.co.il/law/70301/244</vt:lpwstr>
      </vt:variant>
      <vt:variant>
        <vt:lpwstr/>
      </vt:variant>
      <vt:variant>
        <vt:i4>5177424</vt:i4>
      </vt:variant>
      <vt:variant>
        <vt:i4>9</vt:i4>
      </vt:variant>
      <vt:variant>
        <vt:i4>0</vt:i4>
      </vt:variant>
      <vt:variant>
        <vt:i4>5</vt:i4>
      </vt:variant>
      <vt:variant>
        <vt:lpwstr>http://www.nevo.co.il/law/70301/144.g</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7143520</vt:i4>
      </vt:variant>
      <vt:variant>
        <vt:i4>3</vt:i4>
      </vt:variant>
      <vt:variant>
        <vt:i4>0</vt:i4>
      </vt:variant>
      <vt:variant>
        <vt:i4>5</vt:i4>
      </vt:variant>
      <vt:variant>
        <vt:lpwstr>http://www.nevo.co.il/law/70301/58</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2025-04-25T11:01:00Z</dcterms:created>
  <dcterms:modified xsi:type="dcterms:W3CDTF">2025-04-25T11:01:00Z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24517</vt:lpwstr>
  </property>
  <property fmtid="{D5CDD505-2E9C-101B-9397-08002B2CF9AE}" pid="6" name="NEWPARTB">
    <vt:lpwstr>02</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מוחמד חאג' יחיא</vt:lpwstr>
  </property>
  <property fmtid="{D5CDD505-2E9C-101B-9397-08002B2CF9AE}" pid="10" name="JUDGE">
    <vt:lpwstr>מיכל ברנט</vt:lpwstr>
  </property>
  <property fmtid="{D5CDD505-2E9C-101B-9397-08002B2CF9AE}" pid="11" name="CITY">
    <vt:lpwstr>מרכז</vt:lpwstr>
  </property>
  <property fmtid="{D5CDD505-2E9C-101B-9397-08002B2CF9AE}" pid="12" name="DATE">
    <vt:lpwstr>20250401</vt:lpwstr>
  </property>
  <property fmtid="{D5CDD505-2E9C-101B-9397-08002B2CF9AE}" pid="13" name="TYPE_N_DATE">
    <vt:lpwstr>39020250401</vt:lpwstr>
  </property>
  <property fmtid="{D5CDD505-2E9C-101B-9397-08002B2CF9AE}" pid="14" name="CASESLISTTMP1">
    <vt:lpwstr>28883087:2;26905927:2;30168342;30315066;29867910;29837216;32721670;30240437;27708542;27734980;28200855;27309272;28266138;28697227;26401868</vt:lpwstr>
  </property>
  <property fmtid="{D5CDD505-2E9C-101B-9397-08002B2CF9AE}" pid="15" name="BOOKGROUPTMP1">
    <vt:lpwstr>412</vt:lpwstr>
  </property>
  <property fmtid="{D5CDD505-2E9C-101B-9397-08002B2CF9AE}" pid="16" name="WORDNUMPAGES">
    <vt:lpwstr>8</vt:lpwstr>
  </property>
  <property fmtid="{D5CDD505-2E9C-101B-9397-08002B2CF9AE}" pid="17" name="TYPE_ABS_DATE">
    <vt:lpwstr>390020250401</vt:lpwstr>
  </property>
  <property fmtid="{D5CDD505-2E9C-101B-9397-08002B2CF9AE}" pid="18" name="ISABSTRACT">
    <vt:lpwstr>Y</vt:lpwstr>
  </property>
  <property fmtid="{D5CDD505-2E9C-101B-9397-08002B2CF9AE}" pid="19" name="LAWLISTTMP1">
    <vt:lpwstr>70301/144.b;244;144.g;058</vt:lpwstr>
  </property>
</Properties>
</file>