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938"/>
        <w:gridCol w:w="1195"/>
        <w:gridCol w:w="3665"/>
        <w:gridCol w:w="99"/>
      </w:tblGrid>
      <w:tr w:rsidR="00AF3CF9" w:rsidRPr="00074993" w14:paraId="1B00D9E0" w14:textId="77777777" w:rsidTr="002E41CC">
        <w:trPr>
          <w:gridAfter w:val="1"/>
          <w:wAfter w:w="99" w:type="dxa"/>
          <w:trHeight w:hRule="exact" w:val="418"/>
          <w:jc w:val="center"/>
        </w:trPr>
        <w:tc>
          <w:tcPr>
            <w:tcW w:w="8721" w:type="dxa"/>
            <w:gridSpan w:val="4"/>
          </w:tcPr>
          <w:p w14:paraId="6FCCB321" w14:textId="77777777" w:rsidR="00AF3CF9" w:rsidRPr="00074993" w:rsidRDefault="00AF3CF9" w:rsidP="003536EF">
            <w:pPr>
              <w:pStyle w:val="a3"/>
              <w:jc w:val="center"/>
              <w:rPr>
                <w:rFonts w:ascii="Tahoma" w:hAnsi="Tahoma" w:cs="Tahoma"/>
                <w:color w:val="000080"/>
                <w:rtl/>
              </w:rPr>
            </w:pPr>
            <w:bookmarkStart w:id="0" w:name="LastJudge"/>
            <w:r w:rsidRPr="00074993">
              <w:rPr>
                <w:rFonts w:ascii="Tahoma" w:hAnsi="Tahoma" w:cs="Tahoma"/>
                <w:b/>
                <w:bCs/>
                <w:color w:val="000080"/>
                <w:rtl/>
              </w:rPr>
              <w:t>בית המשפט המחוזי בירושלים</w:t>
            </w:r>
          </w:p>
        </w:tc>
      </w:tr>
      <w:tr w:rsidR="00AF3CF9" w:rsidRPr="00074993" w14:paraId="17AF1EAB" w14:textId="77777777" w:rsidTr="002E41CC">
        <w:trPr>
          <w:gridAfter w:val="1"/>
          <w:wAfter w:w="99" w:type="dxa"/>
          <w:trHeight w:val="337"/>
          <w:jc w:val="center"/>
        </w:trPr>
        <w:tc>
          <w:tcPr>
            <w:tcW w:w="5056" w:type="dxa"/>
            <w:gridSpan w:val="3"/>
          </w:tcPr>
          <w:p w14:paraId="0AB3149C" w14:textId="77777777" w:rsidR="00AF3CF9" w:rsidRPr="00074993" w:rsidRDefault="00AF3CF9" w:rsidP="003536EF">
            <w:pPr>
              <w:rPr>
                <w:rFonts w:cs="FrankRuehl"/>
                <w:sz w:val="28"/>
                <w:szCs w:val="28"/>
                <w:rtl/>
              </w:rPr>
            </w:pPr>
            <w:r w:rsidRPr="00074993">
              <w:rPr>
                <w:rFonts w:cs="FrankRuehl"/>
                <w:sz w:val="28"/>
                <w:szCs w:val="28"/>
                <w:rtl/>
              </w:rPr>
              <w:t>ת"פ</w:t>
            </w:r>
            <w:r w:rsidRPr="00074993">
              <w:rPr>
                <w:rFonts w:cs="FrankRuehl" w:hint="cs"/>
                <w:sz w:val="28"/>
                <w:szCs w:val="28"/>
                <w:rtl/>
              </w:rPr>
              <w:t xml:space="preserve"> </w:t>
            </w:r>
            <w:r w:rsidRPr="00074993">
              <w:rPr>
                <w:rFonts w:cs="FrankRuehl"/>
                <w:sz w:val="28"/>
                <w:szCs w:val="28"/>
                <w:rtl/>
              </w:rPr>
              <w:t>5214-02-24</w:t>
            </w:r>
            <w:r w:rsidRPr="00074993">
              <w:rPr>
                <w:rFonts w:cs="FrankRuehl" w:hint="cs"/>
                <w:sz w:val="28"/>
                <w:szCs w:val="28"/>
                <w:rtl/>
              </w:rPr>
              <w:t xml:space="preserve"> </w:t>
            </w:r>
            <w:r w:rsidRPr="00074993">
              <w:rPr>
                <w:rFonts w:cs="FrankRuehl"/>
                <w:sz w:val="28"/>
                <w:szCs w:val="28"/>
                <w:rtl/>
              </w:rPr>
              <w:t>מדינת ישראל נ' מוחמד עלי(עציר)</w:t>
            </w:r>
          </w:p>
          <w:p w14:paraId="132A5AEC" w14:textId="77777777" w:rsidR="00AF3CF9" w:rsidRPr="00074993" w:rsidRDefault="00AF3CF9" w:rsidP="003536EF">
            <w:pPr>
              <w:pStyle w:val="a3"/>
              <w:rPr>
                <w:rFonts w:cs="FrankRuehl"/>
                <w:sz w:val="28"/>
                <w:szCs w:val="28"/>
                <w:rtl/>
              </w:rPr>
            </w:pPr>
          </w:p>
        </w:tc>
        <w:tc>
          <w:tcPr>
            <w:tcW w:w="3665" w:type="dxa"/>
          </w:tcPr>
          <w:p w14:paraId="5AEED6B1" w14:textId="77777777" w:rsidR="00AF3CF9" w:rsidRPr="00074993" w:rsidRDefault="00AF3CF9" w:rsidP="003536EF">
            <w:pPr>
              <w:pStyle w:val="a3"/>
              <w:jc w:val="right"/>
              <w:rPr>
                <w:rFonts w:cs="FrankRuehl"/>
                <w:sz w:val="28"/>
                <w:szCs w:val="28"/>
                <w:rtl/>
              </w:rPr>
            </w:pPr>
          </w:p>
        </w:tc>
      </w:tr>
      <w:tr w:rsidR="00AF3CF9" w:rsidRPr="00074993" w14:paraId="505249BF" w14:textId="77777777" w:rsidTr="002E41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4383BD9" w14:textId="77777777" w:rsidR="00AF3CF9" w:rsidRPr="00074993" w:rsidRDefault="00AF3CF9" w:rsidP="00AF3CF9">
            <w:pPr>
              <w:jc w:val="both"/>
              <w:rPr>
                <w:rFonts w:ascii="David" w:hAnsi="David"/>
                <w:sz w:val="26"/>
                <w:szCs w:val="26"/>
              </w:rPr>
            </w:pPr>
            <w:r w:rsidRPr="00074993">
              <w:rPr>
                <w:rFonts w:hint="cs"/>
                <w:rtl/>
              </w:rPr>
              <w:t xml:space="preserve"> </w:t>
            </w:r>
            <w:r w:rsidRPr="00074993">
              <w:rPr>
                <w:rFonts w:ascii="David" w:hAnsi="David" w:hint="cs"/>
                <w:sz w:val="26"/>
                <w:szCs w:val="26"/>
                <w:rtl/>
              </w:rPr>
              <w:t>ל</w:t>
            </w:r>
            <w:r w:rsidRPr="00074993">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6C5CB05F" w14:textId="77777777" w:rsidR="00AF3CF9" w:rsidRPr="00074993" w:rsidRDefault="00AF3CF9" w:rsidP="003536EF">
            <w:pPr>
              <w:rPr>
                <w:rFonts w:ascii="David" w:hAnsi="David"/>
                <w:b/>
                <w:bCs/>
                <w:sz w:val="26"/>
                <w:szCs w:val="26"/>
                <w:rtl/>
              </w:rPr>
            </w:pPr>
            <w:r w:rsidRPr="00074993">
              <w:rPr>
                <w:rFonts w:ascii="David" w:hAnsi="David"/>
                <w:b/>
                <w:bCs/>
                <w:sz w:val="26"/>
                <w:szCs w:val="26"/>
                <w:rtl/>
              </w:rPr>
              <w:t>כבוד השופט מרדכי כדורי</w:t>
            </w:r>
          </w:p>
          <w:p w14:paraId="3AE723B9" w14:textId="77777777" w:rsidR="00AF3CF9" w:rsidRPr="00074993" w:rsidRDefault="00AF3CF9" w:rsidP="00AF3CF9">
            <w:pPr>
              <w:jc w:val="both"/>
              <w:rPr>
                <w:rFonts w:ascii="David" w:hAnsi="David"/>
                <w:sz w:val="26"/>
                <w:szCs w:val="26"/>
              </w:rPr>
            </w:pPr>
          </w:p>
        </w:tc>
      </w:tr>
      <w:tr w:rsidR="00AF3CF9" w:rsidRPr="00074993" w14:paraId="796421C2" w14:textId="77777777" w:rsidTr="002E41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FE4008C" w14:textId="77777777" w:rsidR="00AF3CF9" w:rsidRPr="00074993" w:rsidRDefault="00AF3CF9" w:rsidP="00AF3CF9">
            <w:pPr>
              <w:jc w:val="both"/>
              <w:rPr>
                <w:rFonts w:ascii="David" w:hAnsi="David"/>
                <w:sz w:val="26"/>
                <w:szCs w:val="26"/>
              </w:rPr>
            </w:pPr>
            <w:bookmarkStart w:id="1" w:name="FirstAppellant"/>
            <w:bookmarkStart w:id="2" w:name="FirstLawyer"/>
            <w:r w:rsidRPr="00074993">
              <w:rPr>
                <w:rFonts w:ascii="David" w:hAnsi="David"/>
                <w:sz w:val="26"/>
                <w:szCs w:val="26"/>
                <w:rtl/>
              </w:rPr>
              <w:t>בעניין:</w:t>
            </w:r>
          </w:p>
        </w:tc>
        <w:tc>
          <w:tcPr>
            <w:tcW w:w="2938" w:type="dxa"/>
            <w:tcBorders>
              <w:top w:val="nil"/>
              <w:left w:val="nil"/>
              <w:bottom w:val="nil"/>
              <w:right w:val="nil"/>
            </w:tcBorders>
            <w:shd w:val="clear" w:color="auto" w:fill="auto"/>
          </w:tcPr>
          <w:p w14:paraId="68F5E4BB" w14:textId="77777777" w:rsidR="00AF3CF9" w:rsidRPr="00074993" w:rsidRDefault="00AF3CF9" w:rsidP="00AF3CF9">
            <w:pPr>
              <w:suppressLineNumbers/>
              <w:rPr>
                <w:rFonts w:ascii="David" w:hAnsi="David"/>
                <w:sz w:val="26"/>
                <w:szCs w:val="26"/>
              </w:rPr>
            </w:pPr>
          </w:p>
        </w:tc>
        <w:tc>
          <w:tcPr>
            <w:tcW w:w="4959" w:type="dxa"/>
            <w:gridSpan w:val="3"/>
            <w:tcBorders>
              <w:top w:val="nil"/>
              <w:left w:val="nil"/>
              <w:bottom w:val="nil"/>
              <w:right w:val="nil"/>
            </w:tcBorders>
            <w:shd w:val="clear" w:color="auto" w:fill="auto"/>
            <w:vAlign w:val="center"/>
          </w:tcPr>
          <w:p w14:paraId="3C54CD19" w14:textId="77777777" w:rsidR="00AF3CF9" w:rsidRPr="00074993" w:rsidRDefault="00AF3CF9" w:rsidP="00AF3CF9">
            <w:pPr>
              <w:suppressLineNumbers/>
              <w:rPr>
                <w:rFonts w:ascii="Arial" w:hAnsi="Arial"/>
                <w:b/>
                <w:bCs/>
                <w:sz w:val="26"/>
                <w:szCs w:val="26"/>
                <w:rtl/>
              </w:rPr>
            </w:pPr>
            <w:r w:rsidRPr="00074993">
              <w:rPr>
                <w:rFonts w:ascii="Arial" w:hAnsi="Arial"/>
                <w:b/>
                <w:bCs/>
                <w:sz w:val="26"/>
                <w:szCs w:val="26"/>
                <w:rtl/>
              </w:rPr>
              <w:t>מדינת ישראל</w:t>
            </w:r>
          </w:p>
          <w:p w14:paraId="1C4D18E4" w14:textId="77777777" w:rsidR="00AF3CF9" w:rsidRPr="00074993" w:rsidRDefault="00AF3CF9" w:rsidP="00AF3CF9">
            <w:pPr>
              <w:suppressLineNumbers/>
              <w:rPr>
                <w:rFonts w:ascii="Arial" w:hAnsi="Arial"/>
                <w:sz w:val="26"/>
                <w:szCs w:val="26"/>
                <w:rtl/>
              </w:rPr>
            </w:pPr>
            <w:r w:rsidRPr="00074993">
              <w:rPr>
                <w:rFonts w:ascii="Arial" w:hAnsi="Arial"/>
                <w:sz w:val="26"/>
                <w:szCs w:val="26"/>
                <w:rtl/>
              </w:rPr>
              <w:t>ע"י ב"כ עוה"ד</w:t>
            </w:r>
            <w:r w:rsidRPr="00074993">
              <w:rPr>
                <w:rFonts w:ascii="Arial" w:hAnsi="Arial" w:hint="cs"/>
                <w:sz w:val="26"/>
                <w:szCs w:val="26"/>
                <w:rtl/>
              </w:rPr>
              <w:t xml:space="preserve"> אילה גלברד,</w:t>
            </w:r>
          </w:p>
          <w:p w14:paraId="54C0B061" w14:textId="77777777" w:rsidR="00AF3CF9" w:rsidRPr="00074993" w:rsidRDefault="00AF3CF9" w:rsidP="00AF3CF9">
            <w:pPr>
              <w:suppressLineNumbers/>
              <w:rPr>
                <w:sz w:val="26"/>
                <w:szCs w:val="26"/>
                <w:rtl/>
              </w:rPr>
            </w:pPr>
            <w:r w:rsidRPr="00074993">
              <w:rPr>
                <w:rFonts w:hint="cs"/>
                <w:sz w:val="26"/>
                <w:szCs w:val="26"/>
                <w:rtl/>
              </w:rPr>
              <w:t>אוראל אסולין, אמיר דראושה</w:t>
            </w:r>
          </w:p>
          <w:p w14:paraId="7F3B5300" w14:textId="77777777" w:rsidR="00AF3CF9" w:rsidRPr="00074993" w:rsidRDefault="00AF3CF9" w:rsidP="00AF3CF9">
            <w:pPr>
              <w:suppressLineNumbers/>
              <w:rPr>
                <w:sz w:val="26"/>
                <w:szCs w:val="26"/>
              </w:rPr>
            </w:pPr>
            <w:r w:rsidRPr="00074993">
              <w:rPr>
                <w:rFonts w:hint="cs"/>
                <w:sz w:val="26"/>
                <w:szCs w:val="26"/>
                <w:rtl/>
              </w:rPr>
              <w:t>מפרקליטות מחוז ירושלים (פלילי)</w:t>
            </w:r>
          </w:p>
          <w:p w14:paraId="21EC1812" w14:textId="77777777" w:rsidR="00AF3CF9" w:rsidRPr="00074993" w:rsidRDefault="00AF3CF9" w:rsidP="00AF3CF9">
            <w:pPr>
              <w:suppressLineNumbers/>
              <w:jc w:val="right"/>
            </w:pPr>
            <w:r w:rsidRPr="00074993">
              <w:rPr>
                <w:rFonts w:ascii="Arial" w:hAnsi="Arial" w:hint="cs"/>
                <w:b/>
                <w:bCs/>
                <w:sz w:val="26"/>
                <w:szCs w:val="26"/>
                <w:rtl/>
              </w:rPr>
              <w:t>ה</w:t>
            </w:r>
            <w:r w:rsidRPr="00074993">
              <w:rPr>
                <w:rFonts w:ascii="Arial" w:hAnsi="Arial"/>
                <w:b/>
                <w:bCs/>
                <w:sz w:val="26"/>
                <w:szCs w:val="26"/>
                <w:rtl/>
              </w:rPr>
              <w:t>מאשימה</w:t>
            </w:r>
          </w:p>
        </w:tc>
      </w:tr>
      <w:bookmarkEnd w:id="1"/>
      <w:bookmarkEnd w:id="2"/>
      <w:tr w:rsidR="00AF3CF9" w:rsidRPr="00074993" w14:paraId="53C7C01B" w14:textId="77777777" w:rsidTr="002E41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700AA9" w14:textId="77777777" w:rsidR="00AF3CF9" w:rsidRPr="00074993" w:rsidRDefault="00AF3CF9" w:rsidP="00AF3CF9">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255C08D" w14:textId="77777777" w:rsidR="00AF3CF9" w:rsidRPr="00074993" w:rsidRDefault="00AF3CF9" w:rsidP="00AF3CF9">
            <w:pPr>
              <w:jc w:val="center"/>
              <w:rPr>
                <w:rFonts w:ascii="David" w:hAnsi="David"/>
                <w:b/>
                <w:bCs/>
                <w:sz w:val="26"/>
                <w:szCs w:val="26"/>
                <w:rtl/>
              </w:rPr>
            </w:pPr>
          </w:p>
          <w:p w14:paraId="7EC89BD0" w14:textId="77777777" w:rsidR="00AF3CF9" w:rsidRPr="00074993" w:rsidRDefault="00AF3CF9" w:rsidP="00AF3CF9">
            <w:pPr>
              <w:jc w:val="center"/>
              <w:rPr>
                <w:rFonts w:ascii="David" w:hAnsi="David"/>
                <w:b/>
                <w:bCs/>
                <w:sz w:val="26"/>
                <w:szCs w:val="26"/>
                <w:rtl/>
              </w:rPr>
            </w:pPr>
            <w:r w:rsidRPr="00074993">
              <w:rPr>
                <w:rFonts w:ascii="David" w:hAnsi="David"/>
                <w:b/>
                <w:bCs/>
                <w:sz w:val="26"/>
                <w:szCs w:val="26"/>
                <w:rtl/>
              </w:rPr>
              <w:t>נגד</w:t>
            </w:r>
          </w:p>
          <w:p w14:paraId="710E7C69" w14:textId="77777777" w:rsidR="00AF3CF9" w:rsidRPr="00074993" w:rsidRDefault="00AF3CF9" w:rsidP="00AF3CF9">
            <w:pPr>
              <w:jc w:val="both"/>
              <w:rPr>
                <w:rFonts w:ascii="David" w:hAnsi="David"/>
                <w:sz w:val="26"/>
                <w:szCs w:val="26"/>
              </w:rPr>
            </w:pPr>
          </w:p>
        </w:tc>
      </w:tr>
      <w:tr w:rsidR="00AF3CF9" w:rsidRPr="00074993" w14:paraId="031D04BF" w14:textId="77777777" w:rsidTr="002E41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1219E4E" w14:textId="77777777" w:rsidR="00AF3CF9" w:rsidRPr="00074993" w:rsidRDefault="00AF3CF9" w:rsidP="003536EF">
            <w:pPr>
              <w:rPr>
                <w:rFonts w:ascii="David" w:hAnsi="David"/>
                <w:sz w:val="26"/>
                <w:szCs w:val="26"/>
                <w:rtl/>
              </w:rPr>
            </w:pPr>
          </w:p>
        </w:tc>
        <w:tc>
          <w:tcPr>
            <w:tcW w:w="2938" w:type="dxa"/>
            <w:tcBorders>
              <w:top w:val="nil"/>
              <w:left w:val="nil"/>
              <w:bottom w:val="nil"/>
              <w:right w:val="nil"/>
            </w:tcBorders>
            <w:shd w:val="clear" w:color="auto" w:fill="auto"/>
          </w:tcPr>
          <w:p w14:paraId="71C2EFA6" w14:textId="77777777" w:rsidR="00AF3CF9" w:rsidRPr="00074993" w:rsidRDefault="00AF3CF9" w:rsidP="003536EF">
            <w:pPr>
              <w:rPr>
                <w:rFonts w:ascii="Arial" w:hAnsi="Arial"/>
                <w:b/>
                <w:bCs/>
                <w:sz w:val="26"/>
                <w:szCs w:val="26"/>
                <w:rtl/>
              </w:rPr>
            </w:pPr>
          </w:p>
        </w:tc>
        <w:tc>
          <w:tcPr>
            <w:tcW w:w="4959" w:type="dxa"/>
            <w:gridSpan w:val="3"/>
            <w:tcBorders>
              <w:top w:val="nil"/>
              <w:left w:val="nil"/>
              <w:bottom w:val="nil"/>
              <w:right w:val="nil"/>
            </w:tcBorders>
            <w:shd w:val="clear" w:color="auto" w:fill="auto"/>
            <w:vAlign w:val="center"/>
          </w:tcPr>
          <w:p w14:paraId="5E70A0EC" w14:textId="77777777" w:rsidR="00AF3CF9" w:rsidRPr="00074993" w:rsidRDefault="00AF3CF9" w:rsidP="00AF3CF9">
            <w:pPr>
              <w:suppressLineNumbers/>
              <w:rPr>
                <w:rFonts w:ascii="Arial" w:hAnsi="Arial"/>
                <w:b/>
                <w:bCs/>
                <w:sz w:val="26"/>
                <w:szCs w:val="26"/>
                <w:rtl/>
              </w:rPr>
            </w:pPr>
            <w:r w:rsidRPr="00074993">
              <w:rPr>
                <w:rFonts w:ascii="Arial" w:hAnsi="Arial"/>
                <w:b/>
                <w:bCs/>
                <w:sz w:val="26"/>
                <w:szCs w:val="26"/>
                <w:rtl/>
              </w:rPr>
              <w:t>נאסר מוחמד עלי</w:t>
            </w:r>
          </w:p>
          <w:p w14:paraId="21DA740C" w14:textId="77777777" w:rsidR="00AF3CF9" w:rsidRPr="00074993" w:rsidRDefault="00AF3CF9" w:rsidP="00AF3CF9">
            <w:pPr>
              <w:suppressLineNumbers/>
              <w:rPr>
                <w:rFonts w:ascii="Arial" w:hAnsi="Arial"/>
                <w:sz w:val="26"/>
                <w:szCs w:val="26"/>
                <w:rtl/>
              </w:rPr>
            </w:pPr>
            <w:r w:rsidRPr="00074993">
              <w:rPr>
                <w:rFonts w:ascii="Arial" w:hAnsi="Arial"/>
                <w:sz w:val="26"/>
                <w:szCs w:val="26"/>
                <w:rtl/>
              </w:rPr>
              <w:t>ע"י ב"כ עו"ד</w:t>
            </w:r>
            <w:r w:rsidRPr="00074993">
              <w:rPr>
                <w:rFonts w:ascii="Arial" w:hAnsi="Arial" w:hint="cs"/>
                <w:sz w:val="26"/>
                <w:szCs w:val="26"/>
                <w:rtl/>
              </w:rPr>
              <w:t xml:space="preserve"> מחמוד רבאח</w:t>
            </w:r>
          </w:p>
          <w:p w14:paraId="54A2C2EE" w14:textId="77777777" w:rsidR="00AF3CF9" w:rsidRPr="00074993" w:rsidRDefault="00AF3CF9" w:rsidP="00AF3CF9">
            <w:pPr>
              <w:suppressLineNumbers/>
              <w:jc w:val="right"/>
            </w:pPr>
            <w:r w:rsidRPr="00074993">
              <w:rPr>
                <w:rFonts w:ascii="Arial" w:hAnsi="Arial"/>
                <w:b/>
                <w:bCs/>
                <w:sz w:val="26"/>
                <w:szCs w:val="26"/>
                <w:rtl/>
              </w:rPr>
              <w:t>הנאשם</w:t>
            </w:r>
          </w:p>
        </w:tc>
      </w:tr>
    </w:tbl>
    <w:p w14:paraId="0B4BD687" w14:textId="77777777" w:rsidR="00074993" w:rsidRPr="00074993" w:rsidRDefault="00074993" w:rsidP="00074993">
      <w:pPr>
        <w:spacing w:before="120" w:after="120" w:line="240" w:lineRule="exact"/>
        <w:ind w:left="283" w:hanging="283"/>
        <w:jc w:val="both"/>
        <w:rPr>
          <w:rFonts w:ascii="FrankRuehl" w:hAnsi="FrankRuehl" w:cs="FrankRuehl"/>
          <w:rtl/>
        </w:rPr>
      </w:pPr>
    </w:p>
    <w:p w14:paraId="7771A2ED" w14:textId="77777777" w:rsidR="00074993" w:rsidRPr="00074993" w:rsidRDefault="00074993" w:rsidP="00074993">
      <w:pPr>
        <w:rPr>
          <w:rFonts w:ascii="Arial" w:hAnsi="Arial"/>
          <w:sz w:val="26"/>
          <w:szCs w:val="26"/>
          <w:rtl/>
        </w:rPr>
      </w:pPr>
    </w:p>
    <w:p w14:paraId="5D846389" w14:textId="77777777" w:rsidR="002E41CC" w:rsidRPr="002E41CC" w:rsidRDefault="002E41CC" w:rsidP="002E41CC">
      <w:pPr>
        <w:spacing w:before="120" w:after="120" w:line="240" w:lineRule="exact"/>
        <w:ind w:left="283" w:hanging="283"/>
        <w:jc w:val="both"/>
        <w:rPr>
          <w:rFonts w:ascii="FrankRuehl" w:hAnsi="FrankRuehl" w:cs="FrankRuehl"/>
          <w:rtl/>
        </w:rPr>
      </w:pPr>
      <w:bookmarkStart w:id="3" w:name="LawTable"/>
      <w:bookmarkEnd w:id="3"/>
    </w:p>
    <w:p w14:paraId="3AEB5CA8" w14:textId="77777777" w:rsidR="002E41CC" w:rsidRPr="002E41CC" w:rsidRDefault="002E41CC" w:rsidP="002E41CC">
      <w:pPr>
        <w:spacing w:before="120" w:after="120" w:line="240" w:lineRule="exact"/>
        <w:ind w:left="283" w:hanging="283"/>
        <w:jc w:val="both"/>
        <w:rPr>
          <w:rFonts w:ascii="FrankRuehl" w:hAnsi="FrankRuehl" w:cs="FrankRuehl"/>
          <w:rtl/>
        </w:rPr>
      </w:pPr>
      <w:r w:rsidRPr="002E41CC">
        <w:rPr>
          <w:rFonts w:ascii="FrankRuehl" w:hAnsi="FrankRuehl" w:cs="FrankRuehl"/>
          <w:rtl/>
        </w:rPr>
        <w:t xml:space="preserve">חקיקה שאוזכרה: </w:t>
      </w:r>
    </w:p>
    <w:p w14:paraId="724E635B" w14:textId="77777777" w:rsidR="002E41CC" w:rsidRPr="002E41CC" w:rsidRDefault="002E41CC" w:rsidP="002E41CC">
      <w:pPr>
        <w:spacing w:before="120" w:after="120" w:line="240" w:lineRule="exact"/>
        <w:ind w:left="283" w:hanging="283"/>
        <w:jc w:val="both"/>
        <w:rPr>
          <w:rFonts w:ascii="FrankRuehl" w:hAnsi="FrankRuehl" w:cs="FrankRuehl"/>
          <w:color w:val="0000FF"/>
          <w:rtl/>
        </w:rPr>
      </w:pPr>
      <w:hyperlink r:id="rId6" w:history="1">
        <w:r w:rsidRPr="002E41CC">
          <w:rPr>
            <w:rStyle w:val="Hyperlink"/>
            <w:rFonts w:ascii="FrankRuehl" w:hAnsi="FrankRuehl" w:cs="FrankRuehl"/>
            <w:u w:val="none"/>
            <w:rtl/>
          </w:rPr>
          <w:t>חוק העונשין, תשל"ז-1977</w:t>
        </w:r>
      </w:hyperlink>
      <w:r w:rsidRPr="002E41CC">
        <w:rPr>
          <w:rFonts w:ascii="FrankRuehl" w:hAnsi="FrankRuehl" w:cs="FrankRuehl"/>
          <w:color w:val="0000FF"/>
          <w:rtl/>
        </w:rPr>
        <w:t xml:space="preserve">: סע'  </w:t>
      </w:r>
      <w:hyperlink r:id="rId7" w:history="1">
        <w:r w:rsidRPr="002E41CC">
          <w:rPr>
            <w:rStyle w:val="Hyperlink"/>
            <w:rFonts w:ascii="FrankRuehl" w:hAnsi="FrankRuehl" w:cs="FrankRuehl"/>
            <w:u w:val="none"/>
          </w:rPr>
          <w:t>144</w:t>
        </w:r>
      </w:hyperlink>
      <w:r w:rsidRPr="002E41CC">
        <w:rPr>
          <w:rFonts w:ascii="FrankRuehl" w:hAnsi="FrankRuehl" w:cs="FrankRuehl"/>
          <w:color w:val="0000FF"/>
          <w:rtl/>
        </w:rPr>
        <w:t xml:space="preserve">(ב), </w:t>
      </w:r>
      <w:hyperlink r:id="rId8" w:history="1">
        <w:r w:rsidRPr="002E41CC">
          <w:rPr>
            <w:rStyle w:val="Hyperlink"/>
            <w:rFonts w:ascii="FrankRuehl" w:hAnsi="FrankRuehl" w:cs="FrankRuehl"/>
            <w:u w:val="none"/>
          </w:rPr>
          <w:t>144</w:t>
        </w:r>
      </w:hyperlink>
      <w:r w:rsidRPr="002E41CC">
        <w:rPr>
          <w:rFonts w:ascii="FrankRuehl" w:hAnsi="FrankRuehl" w:cs="FrankRuehl"/>
          <w:color w:val="0000FF"/>
          <w:rtl/>
        </w:rPr>
        <w:t xml:space="preserve">(ב2), </w:t>
      </w:r>
      <w:hyperlink r:id="rId9" w:history="1">
        <w:r w:rsidRPr="002E41CC">
          <w:rPr>
            <w:rStyle w:val="Hyperlink"/>
            <w:rFonts w:ascii="FrankRuehl" w:hAnsi="FrankRuehl" w:cs="FrankRuehl"/>
            <w:u w:val="none"/>
          </w:rPr>
          <w:t>144</w:t>
        </w:r>
      </w:hyperlink>
      <w:r w:rsidRPr="002E41CC">
        <w:rPr>
          <w:rFonts w:ascii="FrankRuehl" w:hAnsi="FrankRuehl" w:cs="FrankRuehl"/>
          <w:color w:val="0000FF"/>
          <w:rtl/>
        </w:rPr>
        <w:t xml:space="preserve">(ז), </w:t>
      </w:r>
      <w:hyperlink r:id="rId10" w:history="1">
        <w:r w:rsidRPr="002E41CC">
          <w:rPr>
            <w:rStyle w:val="Hyperlink"/>
            <w:rFonts w:ascii="FrankRuehl" w:hAnsi="FrankRuehl" w:cs="FrankRuehl"/>
            <w:u w:val="none"/>
          </w:rPr>
          <w:t>144</w:t>
        </w:r>
      </w:hyperlink>
      <w:r w:rsidRPr="002E41CC">
        <w:rPr>
          <w:rFonts w:ascii="FrankRuehl" w:hAnsi="FrankRuehl" w:cs="FrankRuehl"/>
          <w:color w:val="0000FF"/>
          <w:rtl/>
        </w:rPr>
        <w:t xml:space="preserve">(ט), </w:t>
      </w:r>
      <w:hyperlink r:id="rId11" w:history="1">
        <w:r w:rsidRPr="002E41CC">
          <w:rPr>
            <w:rStyle w:val="Hyperlink"/>
            <w:rFonts w:ascii="FrankRuehl" w:hAnsi="FrankRuehl" w:cs="FrankRuehl"/>
            <w:u w:val="none"/>
          </w:rPr>
          <w:t>144</w:t>
        </w:r>
      </w:hyperlink>
      <w:r w:rsidRPr="002E41CC">
        <w:rPr>
          <w:rFonts w:ascii="FrankRuehl" w:hAnsi="FrankRuehl" w:cs="FrankRuehl"/>
          <w:color w:val="0000FF"/>
          <w:rtl/>
        </w:rPr>
        <w:t>(י)</w:t>
      </w:r>
    </w:p>
    <w:p w14:paraId="4446A174" w14:textId="77777777" w:rsidR="002E41CC" w:rsidRPr="002E41CC" w:rsidRDefault="002E41CC" w:rsidP="002E41CC">
      <w:pPr>
        <w:spacing w:before="120" w:after="120" w:line="240" w:lineRule="exact"/>
        <w:ind w:left="283" w:hanging="283"/>
        <w:jc w:val="both"/>
        <w:rPr>
          <w:rFonts w:ascii="FrankRuehl" w:hAnsi="FrankRuehl" w:cs="FrankRuehl"/>
          <w:color w:val="0000FF"/>
          <w:rtl/>
        </w:rPr>
      </w:pPr>
      <w:hyperlink r:id="rId12" w:history="1">
        <w:r w:rsidRPr="002E41CC">
          <w:rPr>
            <w:rStyle w:val="Hyperlink"/>
            <w:rFonts w:ascii="FrankRuehl" w:hAnsi="FrankRuehl" w:cs="FrankRuehl"/>
            <w:u w:val="none"/>
            <w:rtl/>
          </w:rPr>
          <w:t>חוק מאבק בארגוני פשיעה, תשס"ג-2003</w:t>
        </w:r>
      </w:hyperlink>
    </w:p>
    <w:p w14:paraId="64ACC1AB" w14:textId="77777777" w:rsidR="00AF3CF9" w:rsidRDefault="00AF3CF9" w:rsidP="002E41CC">
      <w:pPr>
        <w:rPr>
          <w:rFonts w:ascii="Arial" w:hAnsi="Arial" w:hint="cs"/>
          <w:sz w:val="26"/>
          <w:szCs w:val="26"/>
          <w:rtl/>
        </w:rPr>
      </w:pPr>
      <w:bookmarkStart w:id="4" w:name="LawTable_End"/>
      <w:bookmarkEnd w:id="4"/>
    </w:p>
    <w:p w14:paraId="528EB7DA" w14:textId="77777777" w:rsidR="002E41CC" w:rsidRDefault="002E41CC" w:rsidP="002E41CC">
      <w:pPr>
        <w:rPr>
          <w:rFonts w:ascii="Arial" w:hAnsi="Arial" w:hint="cs"/>
          <w:sz w:val="26"/>
          <w:szCs w:val="26"/>
          <w:rtl/>
        </w:rPr>
      </w:pPr>
    </w:p>
    <w:p w14:paraId="48301444" w14:textId="77777777" w:rsidR="002E41CC" w:rsidRDefault="002E41CC" w:rsidP="002E41CC">
      <w:pPr>
        <w:rPr>
          <w:rFonts w:ascii="Arial" w:hAnsi="Arial" w:hint="cs"/>
          <w:sz w:val="26"/>
          <w:szCs w:val="26"/>
          <w:rtl/>
        </w:rPr>
      </w:pPr>
    </w:p>
    <w:p w14:paraId="77864805" w14:textId="77777777" w:rsidR="002E41CC" w:rsidRPr="002E41CC" w:rsidRDefault="002E41CC" w:rsidP="002E41CC">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F3CF9" w14:paraId="3ACDFA9F" w14:textId="77777777" w:rsidTr="00AF3CF9">
        <w:trPr>
          <w:trHeight w:val="355"/>
          <w:jc w:val="center"/>
        </w:trPr>
        <w:tc>
          <w:tcPr>
            <w:tcW w:w="8820" w:type="dxa"/>
            <w:tcBorders>
              <w:top w:val="nil"/>
              <w:left w:val="nil"/>
              <w:bottom w:val="nil"/>
              <w:right w:val="nil"/>
            </w:tcBorders>
            <w:shd w:val="clear" w:color="auto" w:fill="auto"/>
          </w:tcPr>
          <w:p w14:paraId="7585E76B" w14:textId="77777777" w:rsidR="00074993" w:rsidRPr="00074993" w:rsidRDefault="00074993" w:rsidP="00074993">
            <w:pPr>
              <w:jc w:val="center"/>
              <w:rPr>
                <w:rFonts w:ascii="David" w:hAnsi="David"/>
                <w:b/>
                <w:bCs/>
                <w:sz w:val="32"/>
                <w:szCs w:val="32"/>
                <w:u w:val="single"/>
                <w:rtl/>
              </w:rPr>
            </w:pPr>
            <w:bookmarkStart w:id="5" w:name="PsakDin" w:colFirst="0" w:colLast="0"/>
            <w:bookmarkEnd w:id="0"/>
            <w:r w:rsidRPr="00074993">
              <w:rPr>
                <w:rFonts w:ascii="David" w:hAnsi="David"/>
                <w:b/>
                <w:bCs/>
                <w:sz w:val="32"/>
                <w:szCs w:val="32"/>
                <w:u w:val="single"/>
                <w:rtl/>
              </w:rPr>
              <w:t>גזר דין</w:t>
            </w:r>
          </w:p>
          <w:p w14:paraId="2D0BDA99" w14:textId="77777777" w:rsidR="00AF3CF9" w:rsidRPr="00074993" w:rsidRDefault="00AF3CF9" w:rsidP="00074993">
            <w:pPr>
              <w:jc w:val="center"/>
              <w:rPr>
                <w:rFonts w:ascii="David" w:hAnsi="David"/>
                <w:bCs/>
                <w:sz w:val="32"/>
                <w:szCs w:val="32"/>
                <w:u w:val="single"/>
                <w:rtl/>
              </w:rPr>
            </w:pPr>
          </w:p>
        </w:tc>
      </w:tr>
      <w:bookmarkEnd w:id="5"/>
    </w:tbl>
    <w:p w14:paraId="0B1473D7" w14:textId="77777777" w:rsidR="00AF3CF9" w:rsidRDefault="00AF3CF9" w:rsidP="00AF3CF9">
      <w:pPr>
        <w:rPr>
          <w:rFonts w:ascii="Arial" w:hAnsi="Arial"/>
          <w:b/>
          <w:bCs/>
          <w:sz w:val="26"/>
          <w:szCs w:val="26"/>
          <w:rtl/>
        </w:rPr>
      </w:pPr>
    </w:p>
    <w:p w14:paraId="2AACBCEC" w14:textId="77777777" w:rsidR="00AF3CF9" w:rsidRPr="007007F1" w:rsidRDefault="00AF3CF9" w:rsidP="00AF3CF9">
      <w:pPr>
        <w:spacing w:line="360" w:lineRule="auto"/>
        <w:jc w:val="both"/>
        <w:outlineLvl w:val="0"/>
        <w:rPr>
          <w:rFonts w:ascii="Calibri" w:eastAsia="Calibri" w:hAnsi="Calibri"/>
          <w:b/>
          <w:bCs/>
          <w:u w:val="single"/>
          <w:rtl/>
        </w:rPr>
      </w:pPr>
      <w:r w:rsidRPr="007007F1">
        <w:rPr>
          <w:rFonts w:ascii="Calibri" w:eastAsia="Calibri" w:hAnsi="Calibri"/>
          <w:b/>
          <w:bCs/>
          <w:u w:val="single"/>
          <w:rtl/>
        </w:rPr>
        <w:t>הרקע:</w:t>
      </w:r>
    </w:p>
    <w:p w14:paraId="3FD87DF4" w14:textId="77777777" w:rsidR="00AF3CF9" w:rsidRPr="007007F1" w:rsidRDefault="00AF3CF9" w:rsidP="00AF3CF9">
      <w:pPr>
        <w:spacing w:line="360" w:lineRule="auto"/>
        <w:ind w:left="680" w:hanging="680"/>
        <w:jc w:val="both"/>
        <w:rPr>
          <w:rFonts w:ascii="David" w:eastAsia="Calibri" w:hAnsi="David"/>
          <w:rtl/>
        </w:rPr>
      </w:pPr>
      <w:r w:rsidRPr="007007F1">
        <w:rPr>
          <w:rFonts w:ascii="David" w:hAnsi="David"/>
          <w:rtl/>
        </w:rPr>
        <w:t>1.</w:t>
      </w:r>
      <w:r w:rsidRPr="007007F1">
        <w:rPr>
          <w:rFonts w:ascii="David" w:hAnsi="David"/>
          <w:rtl/>
        </w:rPr>
        <w:tab/>
      </w:r>
      <w:bookmarkStart w:id="6" w:name="ABSTRACT_START"/>
      <w:bookmarkEnd w:id="6"/>
      <w:r w:rsidRPr="007007F1">
        <w:rPr>
          <w:rFonts w:ascii="David" w:hAnsi="David"/>
          <w:rtl/>
        </w:rPr>
        <w:t xml:space="preserve">הנאשם הורשע על פי הודאתו שניתנה במסגרת הסדר טיעון, בשתי עבירות של </w:t>
      </w:r>
      <w:r w:rsidRPr="007007F1">
        <w:rPr>
          <w:rFonts w:ascii="David" w:hAnsi="David"/>
          <w:b/>
          <w:bCs/>
          <w:rtl/>
        </w:rPr>
        <w:t>סחר בנשק ובאבזר נשק</w:t>
      </w:r>
      <w:r w:rsidRPr="007007F1">
        <w:rPr>
          <w:rFonts w:ascii="David" w:hAnsi="David"/>
          <w:rtl/>
        </w:rPr>
        <w:t xml:space="preserve">, לפי </w:t>
      </w:r>
      <w:hyperlink r:id="rId13" w:history="1">
        <w:r w:rsidR="002E41CC" w:rsidRPr="002E41CC">
          <w:rPr>
            <w:rStyle w:val="Hyperlink"/>
            <w:rFonts w:ascii="David" w:hAnsi="David"/>
            <w:color w:val="0000FF"/>
            <w:rtl/>
          </w:rPr>
          <w:t>סעיף 144(ב2)</w:t>
        </w:r>
      </w:hyperlink>
      <w:r w:rsidRPr="007007F1">
        <w:rPr>
          <w:rFonts w:ascii="David" w:hAnsi="David"/>
          <w:rtl/>
        </w:rPr>
        <w:t xml:space="preserve"> ב</w:t>
      </w:r>
      <w:hyperlink r:id="rId14" w:history="1">
        <w:r w:rsidR="00074993" w:rsidRPr="00074993">
          <w:rPr>
            <w:rFonts w:ascii="David" w:hAnsi="David"/>
            <w:color w:val="0000FF"/>
            <w:u w:val="single"/>
            <w:rtl/>
          </w:rPr>
          <w:t>חוק העונשין</w:t>
        </w:r>
      </w:hyperlink>
      <w:r w:rsidRPr="007007F1">
        <w:rPr>
          <w:rFonts w:ascii="David" w:hAnsi="David"/>
          <w:rtl/>
        </w:rPr>
        <w:t>, תשל"ז-1977 (להלן: "</w:t>
      </w:r>
      <w:r w:rsidRPr="007007F1">
        <w:rPr>
          <w:rFonts w:ascii="David" w:hAnsi="David"/>
          <w:b/>
          <w:bCs/>
          <w:rtl/>
        </w:rPr>
        <w:t>חוק העונשין</w:t>
      </w:r>
      <w:r w:rsidRPr="007007F1">
        <w:rPr>
          <w:rFonts w:ascii="David" w:hAnsi="David"/>
          <w:rtl/>
        </w:rPr>
        <w:t xml:space="preserve">"); ובעבירה של </w:t>
      </w:r>
      <w:r w:rsidRPr="007007F1">
        <w:rPr>
          <w:rFonts w:ascii="David" w:hAnsi="David"/>
          <w:b/>
          <w:bCs/>
          <w:rtl/>
        </w:rPr>
        <w:t>נשיאת נשק ואבזר נשק</w:t>
      </w:r>
      <w:r w:rsidRPr="007007F1">
        <w:rPr>
          <w:rFonts w:ascii="David" w:hAnsi="David"/>
          <w:rtl/>
        </w:rPr>
        <w:t xml:space="preserve">, לפי </w:t>
      </w:r>
      <w:hyperlink r:id="rId15" w:history="1">
        <w:r w:rsidR="002E41CC" w:rsidRPr="002E41CC">
          <w:rPr>
            <w:rStyle w:val="Hyperlink"/>
            <w:rFonts w:ascii="David" w:hAnsi="David"/>
            <w:color w:val="0000FF"/>
            <w:rtl/>
          </w:rPr>
          <w:t>סעיף 144(ב)</w:t>
        </w:r>
      </w:hyperlink>
      <w:r w:rsidRPr="007007F1">
        <w:rPr>
          <w:rFonts w:ascii="David" w:hAnsi="David"/>
          <w:rtl/>
        </w:rPr>
        <w:t xml:space="preserve"> רישה וסיפה בחוק העונשין</w:t>
      </w:r>
      <w:bookmarkStart w:id="7" w:name="ABSTRACT_END"/>
      <w:bookmarkEnd w:id="7"/>
      <w:r w:rsidRPr="007007F1">
        <w:rPr>
          <w:rFonts w:ascii="David" w:hAnsi="David"/>
          <w:rtl/>
        </w:rPr>
        <w:t>.</w:t>
      </w:r>
    </w:p>
    <w:p w14:paraId="6F64D9C5" w14:textId="77777777" w:rsidR="00AF3CF9" w:rsidRPr="007007F1" w:rsidRDefault="00AF3CF9" w:rsidP="00AF3CF9">
      <w:pPr>
        <w:spacing w:line="360" w:lineRule="auto"/>
        <w:ind w:left="680" w:hanging="680"/>
        <w:jc w:val="both"/>
        <w:rPr>
          <w:rFonts w:ascii="David" w:hAnsi="David"/>
          <w:rtl/>
        </w:rPr>
      </w:pPr>
    </w:p>
    <w:p w14:paraId="0B035C7F" w14:textId="77777777" w:rsidR="00AF3CF9" w:rsidRPr="007007F1" w:rsidRDefault="00AF3CF9" w:rsidP="00AF3CF9">
      <w:pPr>
        <w:spacing w:line="360" w:lineRule="auto"/>
        <w:ind w:left="680" w:hanging="680"/>
        <w:jc w:val="both"/>
        <w:rPr>
          <w:rFonts w:ascii="David" w:hAnsi="David"/>
          <w:rtl/>
        </w:rPr>
      </w:pPr>
      <w:r w:rsidRPr="007007F1">
        <w:rPr>
          <w:rFonts w:ascii="Calibri" w:hAnsi="Calibri" w:hint="cs"/>
          <w:rtl/>
        </w:rPr>
        <w:t>2.</w:t>
      </w:r>
      <w:r w:rsidRPr="007007F1">
        <w:rPr>
          <w:rFonts w:ascii="Calibri" w:hAnsi="Calibri" w:hint="cs"/>
          <w:rtl/>
        </w:rPr>
        <w:tab/>
        <w:t>הסדר טיעון לא כלל הסכמה בנוגע לעונש.</w:t>
      </w:r>
    </w:p>
    <w:p w14:paraId="1B00266B" w14:textId="77777777" w:rsidR="00AF3CF9" w:rsidRPr="007007F1" w:rsidRDefault="00AF3CF9" w:rsidP="00AF3CF9">
      <w:pPr>
        <w:spacing w:line="360" w:lineRule="auto"/>
        <w:ind w:left="680" w:hanging="680"/>
        <w:jc w:val="both"/>
        <w:rPr>
          <w:rFonts w:ascii="David" w:hAnsi="David"/>
          <w:rtl/>
        </w:rPr>
      </w:pPr>
    </w:p>
    <w:p w14:paraId="6FCE85C6" w14:textId="77777777" w:rsidR="00AF3CF9" w:rsidRPr="007007F1" w:rsidRDefault="00AF3CF9" w:rsidP="00AF3CF9">
      <w:pPr>
        <w:spacing w:line="360" w:lineRule="auto"/>
        <w:jc w:val="both"/>
        <w:outlineLvl w:val="1"/>
        <w:rPr>
          <w:rFonts w:ascii="Calibri" w:hAnsi="Calibri"/>
          <w:rtl/>
        </w:rPr>
      </w:pPr>
      <w:r w:rsidRPr="007007F1">
        <w:rPr>
          <w:rFonts w:ascii="Calibri" w:hAnsi="Calibri"/>
          <w:u w:val="single"/>
          <w:rtl/>
        </w:rPr>
        <w:t>תמצית עובדות כתב האישום:</w:t>
      </w:r>
    </w:p>
    <w:p w14:paraId="60EEF1E4"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3.</w:t>
      </w:r>
      <w:r w:rsidRPr="007007F1">
        <w:rPr>
          <w:rFonts w:ascii="David" w:hAnsi="David"/>
          <w:rtl/>
        </w:rPr>
        <w:tab/>
        <w:t>כתב האישום המתוקן בו הנאשם הודה כולל שני אישומים. על פי המפורט בחלק הכללי, במועדים הרלוונטיים לכתב האישום שוטר 418 שימש כסוכן מטעם משטרת ישראל (להלן: "</w:t>
      </w:r>
      <w:r w:rsidRPr="007007F1">
        <w:rPr>
          <w:rFonts w:ascii="David" w:hAnsi="David"/>
          <w:b/>
          <w:bCs/>
          <w:rtl/>
        </w:rPr>
        <w:t>הסוכן</w:t>
      </w:r>
      <w:r w:rsidRPr="007007F1">
        <w:rPr>
          <w:rFonts w:ascii="David" w:hAnsi="David"/>
          <w:rtl/>
        </w:rPr>
        <w:t>"). הסוכן והנאשם ביצעו עסקאות נשק בתמורה כספית.</w:t>
      </w:r>
    </w:p>
    <w:p w14:paraId="49C2A67F" w14:textId="77777777" w:rsidR="00AF3CF9" w:rsidRPr="007007F1" w:rsidRDefault="00AF3CF9" w:rsidP="00AF3CF9">
      <w:pPr>
        <w:spacing w:line="360" w:lineRule="auto"/>
        <w:ind w:left="680" w:hanging="680"/>
        <w:jc w:val="both"/>
        <w:rPr>
          <w:rFonts w:ascii="David" w:hAnsi="David"/>
          <w:rtl/>
        </w:rPr>
      </w:pPr>
    </w:p>
    <w:p w14:paraId="4B7A3AD7"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4.</w:t>
      </w:r>
      <w:r w:rsidRPr="007007F1">
        <w:rPr>
          <w:rFonts w:ascii="David" w:hAnsi="David"/>
          <w:rtl/>
        </w:rPr>
        <w:tab/>
        <w:t xml:space="preserve">על פי עובדות </w:t>
      </w:r>
      <w:r w:rsidRPr="007007F1">
        <w:rPr>
          <w:rFonts w:ascii="David" w:hAnsi="David"/>
          <w:b/>
          <w:bCs/>
          <w:rtl/>
        </w:rPr>
        <w:t>האישום הראשון</w:t>
      </w:r>
      <w:r w:rsidRPr="007007F1">
        <w:rPr>
          <w:rFonts w:ascii="David" w:hAnsi="David"/>
          <w:rtl/>
        </w:rPr>
        <w:t>, ביום 2/1/2024 הסוכן יצר קשר עם הנאשם לצורך פגישה בשכונת ענאתא בירושלים (להלן: "</w:t>
      </w:r>
      <w:r w:rsidRPr="007007F1">
        <w:rPr>
          <w:rFonts w:ascii="David" w:hAnsi="David"/>
          <w:b/>
          <w:bCs/>
          <w:rtl/>
        </w:rPr>
        <w:t>מקום המפגש</w:t>
      </w:r>
      <w:r w:rsidRPr="007007F1">
        <w:rPr>
          <w:rFonts w:ascii="David" w:hAnsi="David"/>
          <w:rtl/>
        </w:rPr>
        <w:t>"). עובר למפגש, השניים הסכימו כי הסוכן ירכוש מהנאשם אקדח מסוג גלוק ומחסנית תואמת בתמורה לסך של 46,500 ₪.</w:t>
      </w:r>
    </w:p>
    <w:p w14:paraId="2B3028BE" w14:textId="77777777" w:rsidR="00AF3CF9" w:rsidRPr="007007F1" w:rsidRDefault="00AF3CF9" w:rsidP="00AF3CF9">
      <w:pPr>
        <w:spacing w:line="360" w:lineRule="auto"/>
        <w:ind w:left="680" w:hanging="680"/>
        <w:jc w:val="both"/>
        <w:rPr>
          <w:rFonts w:ascii="David" w:hAnsi="David"/>
          <w:rtl/>
        </w:rPr>
      </w:pPr>
    </w:p>
    <w:p w14:paraId="7197C44E"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5.</w:t>
      </w:r>
      <w:r w:rsidRPr="007007F1">
        <w:rPr>
          <w:rFonts w:ascii="David" w:hAnsi="David"/>
          <w:rtl/>
        </w:rPr>
        <w:tab/>
        <w:t>במקום המפגש, הנאשם הוציא ממכנסיו אקדח חצי אוטומטי מסוג גלוק ומחסנית תואמת ריקה. הנאשם פרק את האקדח מספר פעמים, הציג אותו לסוכן ולאחר מכן מסר אותו לידיו. בתמורה הסוכן מסר לנאשם את הסכום שהוסכם ביניהם מראש.</w:t>
      </w:r>
    </w:p>
    <w:p w14:paraId="6652E8E2" w14:textId="77777777" w:rsidR="00AF3CF9" w:rsidRPr="007007F1" w:rsidRDefault="00AF3CF9" w:rsidP="00AF3CF9">
      <w:pPr>
        <w:spacing w:line="360" w:lineRule="auto"/>
        <w:ind w:left="680" w:hanging="680"/>
        <w:jc w:val="both"/>
        <w:rPr>
          <w:rFonts w:ascii="David" w:hAnsi="David"/>
          <w:rtl/>
        </w:rPr>
      </w:pPr>
    </w:p>
    <w:p w14:paraId="15BD0C62"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6.</w:t>
      </w:r>
      <w:r w:rsidRPr="007007F1">
        <w:rPr>
          <w:rFonts w:ascii="David" w:hAnsi="David"/>
          <w:rtl/>
        </w:rPr>
        <w:tab/>
        <w:t xml:space="preserve">לאחר ביצוע העסקה, ולאחר שהסוכן שאל את הנאשם איזה כלי נשק נוספים יש לו, הנאשם הציג לסוכן מספר תמונות של אקדחים ושל כלי נשק ארוכים מסוג </w:t>
      </w:r>
      <w:r w:rsidRPr="007007F1">
        <w:rPr>
          <w:rFonts w:cs="Times New Roman"/>
          <w:sz w:val="20"/>
          <w:szCs w:val="20"/>
        </w:rPr>
        <w:t>M</w:t>
      </w:r>
      <w:r w:rsidRPr="007007F1">
        <w:rPr>
          <w:rFonts w:ascii="David" w:hAnsi="David"/>
        </w:rPr>
        <w:t>16</w:t>
      </w:r>
      <w:r w:rsidRPr="007007F1">
        <w:rPr>
          <w:rFonts w:ascii="David" w:hAnsi="David"/>
          <w:rtl/>
        </w:rPr>
        <w:t xml:space="preserve">, וכן תמונות של הנאשם כשהוא מחזיק בנשק מסוג </w:t>
      </w:r>
      <w:r w:rsidRPr="007007F1">
        <w:rPr>
          <w:rFonts w:cs="Times New Roman"/>
          <w:sz w:val="20"/>
          <w:szCs w:val="20"/>
        </w:rPr>
        <w:t>M</w:t>
      </w:r>
      <w:r w:rsidRPr="007007F1">
        <w:rPr>
          <w:rFonts w:ascii="David" w:hAnsi="David"/>
        </w:rPr>
        <w:t>16</w:t>
      </w:r>
      <w:r w:rsidRPr="007007F1">
        <w:rPr>
          <w:rFonts w:ascii="David" w:hAnsi="David"/>
          <w:rtl/>
        </w:rPr>
        <w:t>. הנאשם הציע לסוכן לרכוש כלי נשק נוספים.</w:t>
      </w:r>
    </w:p>
    <w:p w14:paraId="1090BCC2" w14:textId="77777777" w:rsidR="00AF3CF9" w:rsidRPr="007007F1" w:rsidRDefault="00AF3CF9" w:rsidP="00AF3CF9">
      <w:pPr>
        <w:spacing w:line="360" w:lineRule="auto"/>
        <w:ind w:left="680" w:hanging="680"/>
        <w:jc w:val="both"/>
        <w:rPr>
          <w:rFonts w:ascii="David" w:hAnsi="David"/>
          <w:rtl/>
        </w:rPr>
      </w:pPr>
    </w:p>
    <w:p w14:paraId="1BA617F3"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7.</w:t>
      </w:r>
      <w:r w:rsidRPr="007007F1">
        <w:rPr>
          <w:rFonts w:ascii="David" w:hAnsi="David"/>
          <w:rtl/>
        </w:rPr>
        <w:tab/>
      </w:r>
      <w:r w:rsidRPr="007007F1">
        <w:rPr>
          <w:rFonts w:ascii="David" w:hAnsi="David"/>
          <w:b/>
          <w:bCs/>
          <w:rtl/>
        </w:rPr>
        <w:t>באישום השני</w:t>
      </w:r>
      <w:r w:rsidRPr="007007F1">
        <w:rPr>
          <w:rFonts w:ascii="David" w:hAnsi="David"/>
          <w:rtl/>
        </w:rPr>
        <w:t xml:space="preserve"> מפורט כי בהמשך למתואר לעיל, הנאשם והסוכן המשיכו במשא ומתן לרכישת כלי נשק נוספים. השניים הסכימו כי הסוכן ירכוש מהנאשם שני אקדחים עם מחסניות תואמות, בסך של 95,000 ₪, וקבעו להיפגש לשם כך ביום 21/1/2024. </w:t>
      </w:r>
    </w:p>
    <w:p w14:paraId="4DF184F7" w14:textId="77777777" w:rsidR="00AF3CF9" w:rsidRPr="007007F1" w:rsidRDefault="00AF3CF9" w:rsidP="00AF3CF9">
      <w:pPr>
        <w:spacing w:line="360" w:lineRule="auto"/>
        <w:ind w:left="680" w:hanging="680"/>
        <w:jc w:val="both"/>
        <w:rPr>
          <w:rFonts w:ascii="David" w:hAnsi="David"/>
          <w:rtl/>
        </w:rPr>
      </w:pPr>
    </w:p>
    <w:p w14:paraId="4586E0B4"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8.</w:t>
      </w:r>
      <w:r w:rsidRPr="007007F1">
        <w:rPr>
          <w:rFonts w:ascii="David" w:hAnsi="David"/>
          <w:rtl/>
        </w:rPr>
        <w:tab/>
        <w:t>הנאשם הגיע לפגישה באמצעות רכב מ"ר 73-729-61 (להלן: "</w:t>
      </w:r>
      <w:r w:rsidRPr="007007F1">
        <w:rPr>
          <w:rFonts w:ascii="David" w:hAnsi="David"/>
          <w:b/>
          <w:bCs/>
          <w:rtl/>
        </w:rPr>
        <w:t>הרכב</w:t>
      </w:r>
      <w:r w:rsidRPr="007007F1">
        <w:rPr>
          <w:rFonts w:ascii="David" w:hAnsi="David"/>
          <w:rtl/>
        </w:rPr>
        <w:t xml:space="preserve">"), ומסר לסוכן אקדח חצי אוטומטי מסוג גלוק, אקדח חצי אוטומטי מסוג </w:t>
      </w:r>
      <w:r w:rsidRPr="007007F1">
        <w:rPr>
          <w:rFonts w:cs="Times New Roman"/>
        </w:rPr>
        <w:t>Sig Sauer</w:t>
      </w:r>
      <w:r w:rsidRPr="007007F1">
        <w:rPr>
          <w:rFonts w:ascii="David" w:hAnsi="David"/>
          <w:rtl/>
        </w:rPr>
        <w:t xml:space="preserve"> ושתי מחסניות תואמות. בתמורה שולם לנאשם הסכום שהוסכם. </w:t>
      </w:r>
    </w:p>
    <w:p w14:paraId="62674596" w14:textId="77777777" w:rsidR="00AF3CF9" w:rsidRPr="007007F1" w:rsidRDefault="00AF3CF9" w:rsidP="00AF3CF9">
      <w:pPr>
        <w:spacing w:line="360" w:lineRule="auto"/>
        <w:ind w:left="680" w:hanging="680"/>
        <w:jc w:val="both"/>
        <w:rPr>
          <w:rFonts w:ascii="David" w:hAnsi="David"/>
          <w:rtl/>
        </w:rPr>
      </w:pPr>
    </w:p>
    <w:p w14:paraId="2EE5706C"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9.</w:t>
      </w:r>
      <w:r w:rsidRPr="007007F1">
        <w:rPr>
          <w:rFonts w:ascii="David" w:hAnsi="David"/>
          <w:rtl/>
        </w:rPr>
        <w:tab/>
        <w:t xml:space="preserve">בשלב זה, בעת שהנאשם ספר את כספי התמורה, הוא נעצר על ידי המשטרה. </w:t>
      </w:r>
    </w:p>
    <w:p w14:paraId="3316AC69" w14:textId="77777777" w:rsidR="00AF3CF9" w:rsidRPr="007007F1" w:rsidRDefault="00AF3CF9" w:rsidP="00AF3CF9">
      <w:pPr>
        <w:spacing w:line="360" w:lineRule="auto"/>
        <w:jc w:val="both"/>
        <w:rPr>
          <w:rFonts w:ascii="Calibri" w:eastAsia="Calibri" w:hAnsi="Calibri"/>
          <w:rtl/>
        </w:rPr>
      </w:pPr>
    </w:p>
    <w:p w14:paraId="07E1156F" w14:textId="77777777" w:rsidR="00AF3CF9" w:rsidRPr="007007F1" w:rsidRDefault="00AF3CF9" w:rsidP="00AF3CF9">
      <w:pPr>
        <w:spacing w:line="360" w:lineRule="auto"/>
        <w:jc w:val="both"/>
        <w:outlineLvl w:val="0"/>
        <w:rPr>
          <w:rFonts w:ascii="Calibri" w:eastAsia="Calibri" w:hAnsi="Calibri"/>
          <w:b/>
          <w:bCs/>
          <w:u w:val="single"/>
          <w:rtl/>
        </w:rPr>
      </w:pPr>
      <w:r w:rsidRPr="007007F1">
        <w:rPr>
          <w:rFonts w:ascii="Calibri" w:eastAsia="Calibri" w:hAnsi="Calibri"/>
          <w:b/>
          <w:bCs/>
          <w:u w:val="single"/>
          <w:rtl/>
        </w:rPr>
        <w:t>הראיות לעונש:</w:t>
      </w:r>
    </w:p>
    <w:p w14:paraId="60FFFC45" w14:textId="77777777" w:rsidR="00AF3CF9" w:rsidRPr="007007F1" w:rsidRDefault="00AF3CF9" w:rsidP="00AF3CF9">
      <w:pPr>
        <w:spacing w:line="360" w:lineRule="auto"/>
        <w:ind w:left="680" w:hanging="680"/>
        <w:jc w:val="both"/>
        <w:rPr>
          <w:rFonts w:ascii="David" w:eastAsia="Calibri" w:hAnsi="David"/>
          <w:rtl/>
        </w:rPr>
      </w:pPr>
      <w:r w:rsidRPr="007007F1">
        <w:rPr>
          <w:rFonts w:ascii="David" w:hAnsi="David"/>
          <w:rtl/>
        </w:rPr>
        <w:t>10.</w:t>
      </w:r>
      <w:r w:rsidRPr="007007F1">
        <w:rPr>
          <w:rFonts w:ascii="David" w:hAnsi="David"/>
          <w:rtl/>
        </w:rPr>
        <w:tab/>
        <w:t>לא הוגשו ראיות לעונש מטעם הצדדים.</w:t>
      </w:r>
    </w:p>
    <w:p w14:paraId="577DBEB4" w14:textId="77777777" w:rsidR="00AF3CF9" w:rsidRPr="007007F1" w:rsidRDefault="00AF3CF9" w:rsidP="00AF3CF9">
      <w:pPr>
        <w:spacing w:line="360" w:lineRule="auto"/>
        <w:ind w:left="680" w:hanging="680"/>
        <w:jc w:val="both"/>
        <w:rPr>
          <w:rFonts w:ascii="David" w:hAnsi="David"/>
          <w:rtl/>
        </w:rPr>
      </w:pPr>
    </w:p>
    <w:p w14:paraId="0E09DEDA" w14:textId="77777777" w:rsidR="00AF3CF9" w:rsidRPr="007007F1" w:rsidRDefault="00AF3CF9" w:rsidP="00AF3CF9">
      <w:pPr>
        <w:spacing w:line="360" w:lineRule="auto"/>
        <w:jc w:val="both"/>
        <w:outlineLvl w:val="0"/>
        <w:rPr>
          <w:rFonts w:ascii="Calibri" w:eastAsia="Calibri" w:hAnsi="Calibri"/>
          <w:b/>
          <w:bCs/>
          <w:u w:val="single"/>
          <w:rtl/>
        </w:rPr>
      </w:pPr>
      <w:r w:rsidRPr="007007F1">
        <w:rPr>
          <w:rFonts w:ascii="Calibri" w:eastAsia="Calibri" w:hAnsi="Calibri"/>
          <w:b/>
          <w:bCs/>
          <w:u w:val="single"/>
          <w:rtl/>
        </w:rPr>
        <w:t>תסקיר שירות מבחן:</w:t>
      </w:r>
    </w:p>
    <w:p w14:paraId="2BB71468" w14:textId="77777777" w:rsidR="00AF3CF9" w:rsidRPr="007007F1" w:rsidRDefault="00AF3CF9" w:rsidP="00AF3CF9">
      <w:pPr>
        <w:spacing w:line="360" w:lineRule="auto"/>
        <w:ind w:left="680" w:hanging="680"/>
        <w:jc w:val="both"/>
        <w:rPr>
          <w:rFonts w:ascii="David" w:eastAsia="Calibri" w:hAnsi="David"/>
          <w:rtl/>
        </w:rPr>
      </w:pPr>
      <w:r w:rsidRPr="007007F1">
        <w:rPr>
          <w:rFonts w:ascii="David" w:hAnsi="David"/>
          <w:rtl/>
        </w:rPr>
        <w:t>11.</w:t>
      </w:r>
      <w:r w:rsidRPr="007007F1">
        <w:rPr>
          <w:rFonts w:ascii="David" w:hAnsi="David"/>
          <w:rtl/>
        </w:rPr>
        <w:tab/>
        <w:t xml:space="preserve">שירות המבחן סקר את נסיבותיו האישיות, המשפחתיות וחינוכיות של הנאשם. שירות המבחן התרשם כי מדובר בבחור צעיר כבן 21 ממשפחה נורמטיבית, שלא נרשמו לחובתו הרשעות קודמות ושניהל אורח חיים מתפקד עד לביצוע העבירות המדוברות. </w:t>
      </w:r>
    </w:p>
    <w:p w14:paraId="2996B100" w14:textId="77777777" w:rsidR="00AF3CF9" w:rsidRPr="007007F1" w:rsidRDefault="00AF3CF9" w:rsidP="00AF3CF9">
      <w:pPr>
        <w:spacing w:line="360" w:lineRule="auto"/>
        <w:ind w:left="680" w:hanging="680"/>
        <w:jc w:val="both"/>
        <w:rPr>
          <w:rFonts w:ascii="David" w:hAnsi="David"/>
          <w:rtl/>
        </w:rPr>
      </w:pPr>
    </w:p>
    <w:p w14:paraId="151110F7"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12.</w:t>
      </w:r>
      <w:r w:rsidRPr="007007F1">
        <w:rPr>
          <w:rFonts w:ascii="David" w:hAnsi="David"/>
          <w:rtl/>
        </w:rPr>
        <w:tab/>
        <w:t xml:space="preserve">שירות המבחן מצא כי הנאשם נוטה לצמצם ולהפחית ממידת אחריותו למעשיו ומחומרת העבירות, ולאמץ עמדה קורבנית. הנאשם הציג הסבר שטחי בנוגע למניעיו, התקשה לשתף פעולה, לא הצליח לערוך בקרה פנימית למעשיו והדגיש את הנזק הפוטנציאלי לחייו </w:t>
      </w:r>
      <w:r w:rsidRPr="007007F1">
        <w:rPr>
          <w:rFonts w:ascii="David" w:hAnsi="David"/>
          <w:rtl/>
        </w:rPr>
        <w:lastRenderedPageBreak/>
        <w:t>האישיים. להתרשמות שירות המבחן, הנאשם מתקשה לתת אמון בגורמי טיפול ומגלה כלפיהם חשדנות.</w:t>
      </w:r>
    </w:p>
    <w:p w14:paraId="4AC47D8A" w14:textId="77777777" w:rsidR="00AF3CF9" w:rsidRPr="007007F1" w:rsidRDefault="00AF3CF9" w:rsidP="00AF3CF9">
      <w:pPr>
        <w:spacing w:line="360" w:lineRule="auto"/>
        <w:ind w:left="680" w:hanging="680"/>
        <w:jc w:val="both"/>
        <w:rPr>
          <w:rFonts w:ascii="David" w:hAnsi="David"/>
          <w:rtl/>
        </w:rPr>
      </w:pPr>
    </w:p>
    <w:p w14:paraId="6F10FE9B"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13.</w:t>
      </w:r>
      <w:r w:rsidRPr="007007F1">
        <w:rPr>
          <w:rFonts w:ascii="David" w:hAnsi="David"/>
          <w:rtl/>
        </w:rPr>
        <w:tab/>
        <w:t>לאור כל האמור, שירות המבחן נמנע מהמלצה טיפולית-שיקומית, והמליץ להטיל על הנאשם עונש של מאסר בפועל.</w:t>
      </w:r>
    </w:p>
    <w:p w14:paraId="7A047A97" w14:textId="77777777" w:rsidR="00AF3CF9" w:rsidRPr="007007F1" w:rsidRDefault="00AF3CF9" w:rsidP="00AF3CF9">
      <w:pPr>
        <w:spacing w:line="360" w:lineRule="auto"/>
        <w:jc w:val="both"/>
        <w:rPr>
          <w:rFonts w:ascii="Calibri" w:eastAsia="Calibri" w:hAnsi="Calibri"/>
          <w:rtl/>
        </w:rPr>
      </w:pPr>
    </w:p>
    <w:p w14:paraId="18DFDD7B" w14:textId="77777777" w:rsidR="00AF3CF9" w:rsidRPr="007007F1" w:rsidRDefault="00AF3CF9" w:rsidP="00AF3CF9">
      <w:pPr>
        <w:spacing w:line="360" w:lineRule="auto"/>
        <w:jc w:val="both"/>
        <w:outlineLvl w:val="0"/>
        <w:rPr>
          <w:rFonts w:ascii="Calibri" w:eastAsia="Calibri" w:hAnsi="Calibri"/>
          <w:b/>
          <w:bCs/>
          <w:u w:val="single"/>
          <w:rtl/>
        </w:rPr>
      </w:pPr>
      <w:r w:rsidRPr="007007F1">
        <w:rPr>
          <w:rFonts w:ascii="Calibri" w:eastAsia="Calibri" w:hAnsi="Calibri"/>
          <w:b/>
          <w:bCs/>
          <w:u w:val="single"/>
          <w:rtl/>
        </w:rPr>
        <w:t>הטיעונים לעונש:</w:t>
      </w:r>
    </w:p>
    <w:p w14:paraId="5F407D71" w14:textId="77777777" w:rsidR="00AF3CF9" w:rsidRPr="007007F1" w:rsidRDefault="00AF3CF9" w:rsidP="00AF3CF9">
      <w:pPr>
        <w:spacing w:line="360" w:lineRule="auto"/>
        <w:jc w:val="both"/>
        <w:rPr>
          <w:rFonts w:ascii="Calibri" w:eastAsia="Calibri" w:hAnsi="Calibri"/>
          <w:rtl/>
        </w:rPr>
      </w:pPr>
    </w:p>
    <w:p w14:paraId="48193603" w14:textId="77777777" w:rsidR="00AF3CF9" w:rsidRPr="007007F1" w:rsidRDefault="00AF3CF9" w:rsidP="00AF3CF9">
      <w:pPr>
        <w:spacing w:line="360" w:lineRule="auto"/>
        <w:jc w:val="both"/>
        <w:outlineLvl w:val="1"/>
        <w:rPr>
          <w:rFonts w:ascii="Calibri" w:hAnsi="Calibri"/>
          <w:u w:val="single"/>
          <w:rtl/>
        </w:rPr>
      </w:pPr>
      <w:r w:rsidRPr="007007F1">
        <w:rPr>
          <w:rFonts w:ascii="Calibri" w:hAnsi="Calibri"/>
          <w:u w:val="single"/>
          <w:rtl/>
        </w:rPr>
        <w:t>תמצית טיעוני המאשימה:</w:t>
      </w:r>
    </w:p>
    <w:p w14:paraId="0A39E264"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14.</w:t>
      </w:r>
      <w:r w:rsidRPr="007007F1">
        <w:rPr>
          <w:rFonts w:ascii="David" w:hAnsi="David"/>
          <w:rtl/>
        </w:rPr>
        <w:tab/>
        <w:t xml:space="preserve">לטענת המאשימה, מתחם העונש ההולם למעשה העבירה המפורט באישום הראשון נע בין חמש שנות מאסר בפועל לבין שמונה שנות מאסר בפועל, ולמעשה העבירה שבאישום השני בין שש שנות מאסר בפועל לבין שמונה שנות מאסר בפועל. המאשימה ביקשה להטיל על הנאשם עונש כולל של תשע שנות מאסר בפועל, מאסר על תנאי וקנס משמעותי של מאות אלפי שקלים. עוד ביקשה להורות על חילוט הרכב, ולקבוע כי הנאשם ניהל אורח חיים המבוסס על שימוש בתקבולי עבירה, לפי </w:t>
      </w:r>
      <w:hyperlink r:id="rId16" w:history="1">
        <w:r w:rsidR="002E41CC" w:rsidRPr="002E41CC">
          <w:rPr>
            <w:rStyle w:val="Hyperlink"/>
            <w:rFonts w:ascii="David" w:hAnsi="David"/>
            <w:color w:val="0000FF"/>
            <w:rtl/>
          </w:rPr>
          <w:t>סעיף 144(ט)</w:t>
        </w:r>
      </w:hyperlink>
      <w:r w:rsidRPr="007007F1">
        <w:rPr>
          <w:rFonts w:ascii="David" w:hAnsi="David"/>
          <w:rtl/>
        </w:rPr>
        <w:t xml:space="preserve"> ב</w:t>
      </w:r>
      <w:hyperlink r:id="rId17" w:history="1">
        <w:r w:rsidR="00074993" w:rsidRPr="00074993">
          <w:rPr>
            <w:rFonts w:ascii="David" w:hAnsi="David"/>
            <w:color w:val="0000FF"/>
            <w:u w:val="single"/>
            <w:rtl/>
          </w:rPr>
          <w:t>חוק העונשין</w:t>
        </w:r>
      </w:hyperlink>
      <w:r w:rsidRPr="007007F1">
        <w:rPr>
          <w:rFonts w:ascii="David" w:hAnsi="David"/>
          <w:rtl/>
        </w:rPr>
        <w:t>.</w:t>
      </w:r>
    </w:p>
    <w:p w14:paraId="69AECCE0" w14:textId="77777777" w:rsidR="00AF3CF9" w:rsidRPr="007007F1" w:rsidRDefault="00AF3CF9" w:rsidP="00AF3CF9">
      <w:pPr>
        <w:spacing w:line="360" w:lineRule="auto"/>
        <w:ind w:left="680" w:hanging="680"/>
        <w:jc w:val="both"/>
        <w:rPr>
          <w:rFonts w:ascii="David" w:hAnsi="David"/>
          <w:rtl/>
        </w:rPr>
      </w:pPr>
    </w:p>
    <w:p w14:paraId="71F69034"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15.</w:t>
      </w:r>
      <w:r w:rsidRPr="007007F1">
        <w:rPr>
          <w:rFonts w:ascii="David" w:hAnsi="David"/>
          <w:rtl/>
        </w:rPr>
        <w:tab/>
        <w:t>לעמדת המאשימה, יש לקבוע מתחם ענישה נפרד לכל אחד מהאירועים המפורטים בכתב האישום. לעניין זה טענה כי מעשי העבירה נעשו במועדים שונים, במחשבה פלילית נפרדת ובמהלך פרק זמן ארוך, וכי פוטנציאל הנזק הטמון בכל אחד מהמעשים שונה.</w:t>
      </w:r>
    </w:p>
    <w:p w14:paraId="1B070B23" w14:textId="77777777" w:rsidR="00AF3CF9" w:rsidRPr="007007F1" w:rsidRDefault="00AF3CF9" w:rsidP="00AF3CF9">
      <w:pPr>
        <w:spacing w:line="360" w:lineRule="auto"/>
        <w:ind w:left="680" w:hanging="680"/>
        <w:jc w:val="both"/>
        <w:rPr>
          <w:rFonts w:ascii="David" w:hAnsi="David"/>
          <w:rtl/>
        </w:rPr>
      </w:pPr>
    </w:p>
    <w:p w14:paraId="7842F515"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16.</w:t>
      </w:r>
      <w:r w:rsidRPr="007007F1">
        <w:rPr>
          <w:rFonts w:ascii="David" w:hAnsi="David"/>
          <w:rtl/>
        </w:rPr>
        <w:tab/>
        <w:t>המאשימה הדגישה בטיעוניה את המצוקה בה נתונים תושבי המדינה, במיוחד בני המגזר הערבי, בשל ריבוי העבירות בנשק. לעמדתה, הערכים המוגנים בהם הנאשם פגע במעשיו ידועים, ואין צורך לשוב ולפרטם. לעומת זאת, יש להרחיב ולפרט את הפגיעה ההולכת וגוברת בחפים מפשע, כולל זקנים וילדים, הנקלעים לקו האש של עברייני הנשק על אף שאינם מעורבים בסכסוך כלשהו. עבירות הנשק, כך ציינה, הפכו למכת מדינה בכלל, ובחברה הערבית בפרט, והפכו את המציאות לקשה לתיאור. על מנת להיאבק בהן, כך ציינה, קבע המחוקק עונשי מאסר מינימליים לעבירות של סחר בנשק ושל נשיאת נשק, למשך 45 חודשים ולמשך 30 חודשים, בהתאמה. עונשים נמוכים מכך ניתן להטיל רק בהתקיים טעמים מיוחדים, שאינם מתקיימים בעניינו של הנאשם.</w:t>
      </w:r>
    </w:p>
    <w:p w14:paraId="3BC12FC0" w14:textId="77777777" w:rsidR="00AF3CF9" w:rsidRPr="007007F1" w:rsidRDefault="00AF3CF9" w:rsidP="00AF3CF9">
      <w:pPr>
        <w:spacing w:line="360" w:lineRule="auto"/>
        <w:ind w:left="680" w:hanging="680"/>
        <w:jc w:val="both"/>
        <w:rPr>
          <w:rFonts w:ascii="David" w:hAnsi="David"/>
          <w:rtl/>
        </w:rPr>
      </w:pPr>
    </w:p>
    <w:p w14:paraId="7D519BCF"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17.</w:t>
      </w:r>
      <w:r w:rsidRPr="007007F1">
        <w:rPr>
          <w:rFonts w:ascii="David" w:hAnsi="David"/>
          <w:rtl/>
        </w:rPr>
        <w:tab/>
        <w:t xml:space="preserve">המאשימה עמדה על כך שהנאשם מכר כלי נשק בשתי הזדמנויות שונות, לאחר תכנון, באופן שעלול היה להביא לכך שכלי הנשק יגיעו לידיהם של גורמים עוינים וישמשו לביצוע עבירות פליליות או ביטחוניות. פוטנציאל הנזק הגלום בעבירות שהנאשם עבר, כך טענה, עצום. </w:t>
      </w:r>
    </w:p>
    <w:p w14:paraId="3ED343D8" w14:textId="77777777" w:rsidR="00AF3CF9" w:rsidRPr="007007F1" w:rsidRDefault="00AF3CF9" w:rsidP="00AF3CF9">
      <w:pPr>
        <w:spacing w:line="360" w:lineRule="auto"/>
        <w:jc w:val="both"/>
        <w:rPr>
          <w:rFonts w:ascii="Calibri" w:eastAsia="Calibri" w:hAnsi="Calibri"/>
          <w:rtl/>
        </w:rPr>
      </w:pPr>
    </w:p>
    <w:p w14:paraId="49DE81D2"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18.</w:t>
      </w:r>
      <w:r w:rsidRPr="007007F1">
        <w:rPr>
          <w:rFonts w:ascii="David" w:hAnsi="David"/>
          <w:rtl/>
        </w:rPr>
        <w:tab/>
        <w:t>המאשימה זקפה לזכותו של הנאשם את הודאתו ואת עברו הפלילי הנקי. לחובתו זקפה את האמור בתסקיר בכל הנוגע ליחסו לעבירות שעבר, את המלצת שירות המבחן ואת הצורך להרתיע את הרבים ולהילחם נגד עבירות הנשק.</w:t>
      </w:r>
    </w:p>
    <w:p w14:paraId="782732A6" w14:textId="77777777" w:rsidR="00AF3CF9" w:rsidRPr="007007F1" w:rsidRDefault="00AF3CF9" w:rsidP="00AF3CF9">
      <w:pPr>
        <w:spacing w:line="360" w:lineRule="auto"/>
        <w:ind w:left="680" w:hanging="680"/>
        <w:jc w:val="both"/>
        <w:rPr>
          <w:rFonts w:ascii="David" w:hAnsi="David"/>
          <w:rtl/>
        </w:rPr>
      </w:pPr>
    </w:p>
    <w:p w14:paraId="12CEF096"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19.</w:t>
      </w:r>
      <w:r w:rsidRPr="007007F1">
        <w:rPr>
          <w:rFonts w:ascii="David" w:hAnsi="David"/>
          <w:rtl/>
        </w:rPr>
        <w:tab/>
        <w:t>לעניין בקשתה לקבוע כי הנאשם ניהל אורח חיים המבוסס על שימוש בתקבולי עבירה, המאשימה הדגישה כי העבירות בוצעו בנוגע ליותר מנשק אחד, וכי בתמורה לכלי הנשק שולמה לנאשם תמורה בסכום העולה על 90,000 ₪.</w:t>
      </w:r>
    </w:p>
    <w:p w14:paraId="27F05BB9" w14:textId="77777777" w:rsidR="00AF3CF9" w:rsidRPr="007007F1" w:rsidRDefault="00AF3CF9" w:rsidP="00AF3CF9">
      <w:pPr>
        <w:spacing w:line="360" w:lineRule="auto"/>
        <w:ind w:left="680" w:hanging="680"/>
        <w:jc w:val="both"/>
        <w:rPr>
          <w:rFonts w:ascii="David" w:hAnsi="David"/>
          <w:rtl/>
        </w:rPr>
      </w:pPr>
    </w:p>
    <w:p w14:paraId="4AFB88A5"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20.</w:t>
      </w:r>
      <w:r w:rsidRPr="007007F1">
        <w:rPr>
          <w:rFonts w:ascii="David" w:hAnsi="David"/>
          <w:rtl/>
        </w:rPr>
        <w:tab/>
        <w:t>הרכב שחילוטו מתבקש, טענה המאשימה, רשום על שם אחיו של הנאשם, אך שימש את הנאשם לצורך הגעה לפגישה בה התקיימה העסקה השנייה בינו לבין הסוכן. יצוין כי לאחר הדיון המאשימה הודיעה שמסרה לאחיו של הנאשם, הבעלים הרשום של הרכב, את ההחלטה מיום 21/7/2024, בה נקבע שיתאפשר לו להתנגד לבקשת החילוט עד למועד שנקבע, וכי הוא השיב שאין לו התנגדות לחילוט הרכב.</w:t>
      </w:r>
    </w:p>
    <w:p w14:paraId="2EB603E0" w14:textId="77777777" w:rsidR="00AF3CF9" w:rsidRPr="007007F1" w:rsidRDefault="00AF3CF9" w:rsidP="00AF3CF9">
      <w:pPr>
        <w:spacing w:line="360" w:lineRule="auto"/>
        <w:ind w:left="680" w:hanging="680"/>
        <w:jc w:val="both"/>
        <w:rPr>
          <w:rFonts w:ascii="David" w:hAnsi="David"/>
          <w:rtl/>
        </w:rPr>
      </w:pPr>
    </w:p>
    <w:p w14:paraId="17BF6B5D" w14:textId="77777777" w:rsidR="00AF3CF9" w:rsidRPr="007007F1" w:rsidRDefault="00AF3CF9" w:rsidP="00AF3CF9">
      <w:pPr>
        <w:spacing w:line="360" w:lineRule="auto"/>
        <w:jc w:val="both"/>
        <w:outlineLvl w:val="1"/>
        <w:rPr>
          <w:rFonts w:ascii="Calibri" w:hAnsi="Calibri"/>
          <w:u w:val="single"/>
          <w:rtl/>
        </w:rPr>
      </w:pPr>
      <w:r w:rsidRPr="007007F1">
        <w:rPr>
          <w:rFonts w:ascii="Calibri" w:hAnsi="Calibri"/>
          <w:u w:val="single"/>
          <w:rtl/>
        </w:rPr>
        <w:t>תמצית טיעוני ההגנה:</w:t>
      </w:r>
    </w:p>
    <w:p w14:paraId="25869119"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21.</w:t>
      </w:r>
      <w:r w:rsidRPr="007007F1">
        <w:rPr>
          <w:rFonts w:ascii="David" w:hAnsi="David"/>
          <w:rtl/>
        </w:rPr>
        <w:tab/>
        <w:t>ההגנה טענה כי יש לקבוע מתחם ענישה אחד לכל מעשי העבירה שהנאשם עבר; כי מתחמי הענישה שנקבעו בפסיקה בה נדונו עבירות בנשק, אליה הפנתה, נעים בין 20 חודשי מאסר בפועל לבין 40 עד 50 חודשי מאסר בפועל; וכי מתחייב לקבוע את עונשו של הנאשם בתחתית מתחם הענישה שייקבע.</w:t>
      </w:r>
    </w:p>
    <w:p w14:paraId="36793C68" w14:textId="77777777" w:rsidR="00AF3CF9" w:rsidRPr="007007F1" w:rsidRDefault="00AF3CF9" w:rsidP="00AF3CF9">
      <w:pPr>
        <w:spacing w:line="360" w:lineRule="auto"/>
        <w:ind w:left="680" w:hanging="680"/>
        <w:jc w:val="both"/>
        <w:rPr>
          <w:rFonts w:ascii="David" w:hAnsi="David"/>
          <w:rtl/>
        </w:rPr>
      </w:pPr>
    </w:p>
    <w:p w14:paraId="640F30D4"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22.</w:t>
      </w:r>
      <w:r w:rsidRPr="007007F1">
        <w:rPr>
          <w:rFonts w:ascii="David" w:hAnsi="David"/>
          <w:rtl/>
        </w:rPr>
        <w:tab/>
        <w:t>לעמדת ההגנה, קיים קשר הדוק בין שני מעשי העבירה, שנעברו בסמיכות זמנים ומעורבוֹת בהן אותן נפשות פועלות.</w:t>
      </w:r>
    </w:p>
    <w:p w14:paraId="35D1270F" w14:textId="77777777" w:rsidR="00AF3CF9" w:rsidRPr="007007F1" w:rsidRDefault="00AF3CF9" w:rsidP="00AF3CF9">
      <w:pPr>
        <w:spacing w:line="360" w:lineRule="auto"/>
        <w:ind w:left="680" w:hanging="680"/>
        <w:jc w:val="both"/>
        <w:rPr>
          <w:rFonts w:ascii="David" w:hAnsi="David"/>
          <w:rtl/>
        </w:rPr>
      </w:pPr>
    </w:p>
    <w:p w14:paraId="33D42F76"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23.</w:t>
      </w:r>
      <w:r w:rsidRPr="007007F1">
        <w:rPr>
          <w:rFonts w:ascii="David" w:hAnsi="David"/>
          <w:rtl/>
        </w:rPr>
        <w:tab/>
        <w:t>הסנגור לא התעלם מעונשי המינימום שנקבעו בצדן של העבירות בהן הנאשם הורשע. יחד עם זאת ציין, כי בית המשפט רשאי להטיל חלק מעונש המינימום כעונש מותנה.</w:t>
      </w:r>
    </w:p>
    <w:p w14:paraId="6E2D8081" w14:textId="77777777" w:rsidR="00AF3CF9" w:rsidRPr="007007F1" w:rsidRDefault="00AF3CF9" w:rsidP="00AF3CF9">
      <w:pPr>
        <w:spacing w:line="360" w:lineRule="auto"/>
        <w:ind w:left="680" w:hanging="680"/>
        <w:jc w:val="both"/>
        <w:rPr>
          <w:rFonts w:ascii="David" w:hAnsi="David"/>
          <w:rtl/>
        </w:rPr>
      </w:pPr>
    </w:p>
    <w:p w14:paraId="62A7CF5F"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24.</w:t>
      </w:r>
      <w:r w:rsidRPr="007007F1">
        <w:rPr>
          <w:rFonts w:ascii="David" w:hAnsi="David"/>
          <w:rtl/>
        </w:rPr>
        <w:tab/>
        <w:t>הסנגור הפנה לכך שכתב האישום תוקן במסגרת הסדר הטיעון, בין היתר באופן שנוספה לו העובדה שהסוכן יצר קשר עם הנאשם לצורך קביעת פגישה. לטענתו, לנוכח התיקון האמור יש להניח שהסוכן דרדר את הנאשם לכיוון ביצוע העבירה באישום הראשון.</w:t>
      </w:r>
    </w:p>
    <w:p w14:paraId="5ACB48C0" w14:textId="77777777" w:rsidR="00AF3CF9" w:rsidRPr="007007F1" w:rsidRDefault="00AF3CF9" w:rsidP="00AF3CF9">
      <w:pPr>
        <w:spacing w:line="360" w:lineRule="auto"/>
        <w:ind w:left="680" w:hanging="680"/>
        <w:jc w:val="both"/>
        <w:rPr>
          <w:rFonts w:ascii="David" w:hAnsi="David"/>
          <w:rtl/>
        </w:rPr>
      </w:pPr>
    </w:p>
    <w:p w14:paraId="43B2D467"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25.</w:t>
      </w:r>
      <w:r w:rsidRPr="007007F1">
        <w:rPr>
          <w:rFonts w:ascii="David" w:hAnsi="David"/>
          <w:rtl/>
        </w:rPr>
        <w:tab/>
        <w:t>לעניין העונש המתאים לנאשם בתוך מתחם הענישה הסנגור ציין את גילו הצעיר, כבן 21, עברו הפלילי הנקי, הודאתו, האחריות שקיבל על מעשיו, החרטה שהביע והכרתו במחירים האישיים שהוא משלם. לעמדתו, שירות המבחן נמנע לרוב מהמלצה טיפולית כאשר מדובר בנאשם שהורשע בעבירות חמורות. ודאי, כך טען, שזו תהיה המלצת שירות המבחן גם במקרה זה, לנוכח דברי הנאשם כי עבר את העבירות במטרה להרוויח כסף וכי הוא לא זקוק לטיפול.</w:t>
      </w:r>
    </w:p>
    <w:p w14:paraId="3E8B476A" w14:textId="77777777" w:rsidR="00AF3CF9" w:rsidRPr="007007F1" w:rsidRDefault="00AF3CF9" w:rsidP="00AF3CF9">
      <w:pPr>
        <w:spacing w:line="360" w:lineRule="auto"/>
        <w:ind w:left="680" w:hanging="680"/>
        <w:jc w:val="both"/>
        <w:rPr>
          <w:rFonts w:ascii="David" w:hAnsi="David"/>
          <w:rtl/>
        </w:rPr>
      </w:pPr>
    </w:p>
    <w:p w14:paraId="003F78BD"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26.</w:t>
      </w:r>
      <w:r w:rsidRPr="007007F1">
        <w:rPr>
          <w:rFonts w:ascii="David" w:hAnsi="David"/>
          <w:rtl/>
        </w:rPr>
        <w:tab/>
        <w:t>ההגנה התנגדה לבקשת המאשימה לקבוע כי הנאשם ניהל אורח חיים המבוסס על שימוש בתקבולי עבירה. לעמדתה, יש קושי בקביעה כאמור כשהיא מתבקשת בנוגע לנאשם צעיר שהסתבך עם החוק לראשונה, שעד למעצרו עבד בעבודה קבועה והשתייך למשפחה נורמטיבית, וכאשר התמורה ששולמה לו באישום השני נתפסה במלואה. קביעה כאמור תרמוס את עתידו של הנאשם ותמנע ממנו לקיים אורח חיים נורמטיבי לאחר שיסיים לרצות את עונשו.</w:t>
      </w:r>
    </w:p>
    <w:p w14:paraId="1E07AC3A" w14:textId="77777777" w:rsidR="00AF3CF9" w:rsidRPr="007007F1" w:rsidRDefault="00AF3CF9" w:rsidP="00AF3CF9">
      <w:pPr>
        <w:spacing w:line="360" w:lineRule="auto"/>
        <w:ind w:left="680" w:hanging="680"/>
        <w:jc w:val="both"/>
        <w:rPr>
          <w:rFonts w:ascii="David" w:hAnsi="David"/>
          <w:rtl/>
        </w:rPr>
      </w:pPr>
    </w:p>
    <w:p w14:paraId="2766DE14"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27.</w:t>
      </w:r>
      <w:r w:rsidRPr="007007F1">
        <w:rPr>
          <w:rFonts w:ascii="David" w:hAnsi="David"/>
          <w:rtl/>
        </w:rPr>
        <w:tab/>
        <w:t xml:space="preserve">ההגנה התנגדה גם לחילוט הרכב. לעמדתה, כיוון שהרכב לא שייך לנאשם אלא לאחיו, שלא זומן לדיון, יש לדחות את הבקשה. כאמור, לאחר שנשמעו הטיעונים לעונש התקבלה עמדתו של האח, לפיה הוא לא מתנגד לחילוט הרכב. </w:t>
      </w:r>
    </w:p>
    <w:p w14:paraId="30625F30" w14:textId="77777777" w:rsidR="00AF3CF9" w:rsidRPr="007007F1" w:rsidRDefault="00AF3CF9" w:rsidP="00AF3CF9">
      <w:pPr>
        <w:spacing w:line="360" w:lineRule="auto"/>
        <w:ind w:left="680" w:hanging="680"/>
        <w:jc w:val="both"/>
        <w:rPr>
          <w:rFonts w:ascii="David" w:hAnsi="David"/>
          <w:rtl/>
        </w:rPr>
      </w:pPr>
    </w:p>
    <w:p w14:paraId="48EA7793"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28.</w:t>
      </w:r>
      <w:r w:rsidRPr="007007F1">
        <w:rPr>
          <w:rFonts w:ascii="David" w:hAnsi="David"/>
          <w:rtl/>
        </w:rPr>
        <w:tab/>
        <w:t>הנאשם בדבריו לבית המשפט טען כי הוא יודע שטעה, התחייב שלא לחזור ולטעות, טען שהוא משלם על מעשיו מחיר בכל לילה בו הוא שוהה בבית המעצר, וביקש לגזור עליו עונש מתאים עם תנאים מתאימים וקנס.</w:t>
      </w:r>
    </w:p>
    <w:p w14:paraId="65FA12A6" w14:textId="77777777" w:rsidR="00AF3CF9" w:rsidRPr="007007F1" w:rsidRDefault="00AF3CF9" w:rsidP="00AF3CF9">
      <w:pPr>
        <w:spacing w:line="360" w:lineRule="auto"/>
        <w:jc w:val="both"/>
        <w:rPr>
          <w:rFonts w:ascii="Calibri" w:eastAsia="Calibri" w:hAnsi="Calibri"/>
          <w:rtl/>
        </w:rPr>
      </w:pPr>
    </w:p>
    <w:p w14:paraId="45AA58C0" w14:textId="77777777" w:rsidR="00AF3CF9" w:rsidRPr="007007F1" w:rsidRDefault="00AF3CF9" w:rsidP="00AF3CF9">
      <w:pPr>
        <w:spacing w:line="360" w:lineRule="auto"/>
        <w:jc w:val="both"/>
        <w:outlineLvl w:val="0"/>
        <w:rPr>
          <w:rFonts w:ascii="Calibri" w:eastAsia="Calibri" w:hAnsi="Calibri"/>
          <w:b/>
          <w:bCs/>
          <w:u w:val="single"/>
          <w:rtl/>
        </w:rPr>
      </w:pPr>
      <w:r w:rsidRPr="007007F1">
        <w:rPr>
          <w:rFonts w:ascii="Calibri" w:eastAsia="Calibri" w:hAnsi="Calibri"/>
          <w:b/>
          <w:bCs/>
          <w:u w:val="single"/>
          <w:rtl/>
        </w:rPr>
        <w:t>דיון ומסקנות:</w:t>
      </w:r>
    </w:p>
    <w:p w14:paraId="331B8D8D" w14:textId="77777777" w:rsidR="00AF3CF9" w:rsidRPr="007007F1" w:rsidRDefault="00AF3CF9" w:rsidP="00AF3CF9">
      <w:pPr>
        <w:spacing w:line="360" w:lineRule="auto"/>
        <w:jc w:val="both"/>
        <w:rPr>
          <w:rFonts w:ascii="Calibri" w:eastAsia="Calibri" w:hAnsi="Calibri"/>
          <w:rtl/>
        </w:rPr>
      </w:pPr>
    </w:p>
    <w:p w14:paraId="43121EDB" w14:textId="77777777" w:rsidR="00AF3CF9" w:rsidRPr="007007F1" w:rsidRDefault="00AF3CF9" w:rsidP="00AF3CF9">
      <w:pPr>
        <w:spacing w:line="360" w:lineRule="auto"/>
        <w:jc w:val="both"/>
        <w:outlineLvl w:val="1"/>
        <w:rPr>
          <w:rFonts w:ascii="Calibri" w:hAnsi="Calibri"/>
          <w:u w:val="single"/>
          <w:rtl/>
        </w:rPr>
      </w:pPr>
      <w:r w:rsidRPr="007007F1">
        <w:rPr>
          <w:rFonts w:ascii="Calibri" w:hAnsi="Calibri"/>
          <w:u w:val="single"/>
          <w:rtl/>
        </w:rPr>
        <w:t>העבירות נעברו באירוע אחד:</w:t>
      </w:r>
    </w:p>
    <w:p w14:paraId="2936A016"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29.</w:t>
      </w:r>
      <w:r w:rsidRPr="007007F1">
        <w:rPr>
          <w:rFonts w:ascii="David" w:hAnsi="David"/>
          <w:rtl/>
        </w:rPr>
        <w:tab/>
        <w:t>בשלב הראשון של גזירת הדין בעניינו של נאשם שהורשע במספר עבירות, יש לבחון אם העבירות נעברו ב"אירוע אחד", בגינו ייקבע מתחם ענישה כולל, או ב"כמה אירועים", אזי ייקבעו מתחמי ענישה נפרדים לכל אחד מהאירועים. לצורך כך, יש לבחון האם העבירות מקיימות ביניהן "קשר ענייני הדוק" – אז יש לראות בהן "אירוע אחד", אם לאו – אז הן יראו כ"כמה אירועים". לצורך בחינה זו, ייתן בית המשפט את דעתו על הנסיבות העובדתיות הרלוונטיות לעבירות. בין היתר יבחן: האם ביצוען של העבירות מאופיין בתכנון; האם ניתן להצביע על שיטתיות בביצוע העבירות; האם העבירות התרחשו בסמיכות של זמן או מקום; האם ביצועה של עבירה אחת נועד לאפשר את ביצועה של העבירה האחרת או את ההימלטות לאחר ביצועה; ומה מספר הנפגעים שכלפיהם בוצעו העבירות. כמו כן, על בית המשפט לבחון האם השקפה על העבירות כעל כמה אירועים תהא מלאכותית, באופן שיגרע ממהות העניין בכללותו, או שלא ישקף את סיפור המעשה כהווייתו (</w:t>
      </w:r>
      <w:hyperlink r:id="rId18" w:history="1">
        <w:r w:rsidR="00074993" w:rsidRPr="00074993">
          <w:rPr>
            <w:rFonts w:ascii="David" w:hAnsi="David"/>
            <w:color w:val="0000FF"/>
            <w:u w:val="single"/>
            <w:rtl/>
          </w:rPr>
          <w:t>ע"פ 2240/21</w:t>
        </w:r>
      </w:hyperlink>
      <w:r w:rsidRPr="007007F1">
        <w:rPr>
          <w:rFonts w:ascii="David" w:hAnsi="David"/>
          <w:rtl/>
        </w:rPr>
        <w:t xml:space="preserve"> </w:t>
      </w:r>
      <w:r w:rsidRPr="007007F1">
        <w:rPr>
          <w:rFonts w:ascii="David" w:hAnsi="David"/>
          <w:b/>
          <w:bCs/>
          <w:rtl/>
        </w:rPr>
        <w:t>מדינת ישראל נ' שחר</w:t>
      </w:r>
      <w:r w:rsidRPr="007007F1">
        <w:rPr>
          <w:rFonts w:ascii="David" w:hAnsi="David"/>
          <w:rtl/>
        </w:rPr>
        <w:t>, 8/11/2021).</w:t>
      </w:r>
    </w:p>
    <w:p w14:paraId="2FA82E61" w14:textId="77777777" w:rsidR="00AF3CF9" w:rsidRPr="007007F1" w:rsidRDefault="00AF3CF9" w:rsidP="00AF3CF9">
      <w:pPr>
        <w:spacing w:line="360" w:lineRule="auto"/>
        <w:ind w:left="680" w:hanging="680"/>
        <w:jc w:val="both"/>
        <w:rPr>
          <w:rFonts w:ascii="David" w:hAnsi="David"/>
          <w:rtl/>
        </w:rPr>
      </w:pPr>
    </w:p>
    <w:p w14:paraId="62081687"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30.</w:t>
      </w:r>
      <w:r w:rsidRPr="007007F1">
        <w:rPr>
          <w:rFonts w:ascii="David" w:hAnsi="David"/>
          <w:rtl/>
        </w:rPr>
        <w:tab/>
        <w:t>יישום השיקולים האמורים במקרה זה מביא לידי מסקנה כי קיים קשר הדוק בין מעשי העבירה שהנאשם עבר, וכי יש לראותם כאירוע אחד. שתי עסקאות הנשק בוצעו בנסיבות דומות, במטרה דומה, תחת תוכנית עבריינית דומה, בין אותם צדדים לעסקה, באותה זירה ובזמנים סמוכים. נראה אפוא, כי הגדרתן ככמה אירועים תהיה מלאכותית, ולא תשקף כראוי את המעשים.</w:t>
      </w:r>
    </w:p>
    <w:p w14:paraId="6B552A55" w14:textId="77777777" w:rsidR="00AF3CF9" w:rsidRPr="007007F1" w:rsidRDefault="00AF3CF9" w:rsidP="00AF3CF9">
      <w:pPr>
        <w:spacing w:line="360" w:lineRule="auto"/>
        <w:ind w:left="680" w:hanging="680"/>
        <w:jc w:val="both"/>
        <w:rPr>
          <w:rFonts w:ascii="David" w:hAnsi="David"/>
          <w:rtl/>
        </w:rPr>
      </w:pPr>
    </w:p>
    <w:p w14:paraId="3D45F14B" w14:textId="77777777" w:rsidR="00AF3CF9" w:rsidRPr="007007F1" w:rsidRDefault="00AF3CF9" w:rsidP="00AF3CF9">
      <w:pPr>
        <w:spacing w:line="360" w:lineRule="auto"/>
        <w:jc w:val="both"/>
        <w:outlineLvl w:val="1"/>
        <w:rPr>
          <w:rFonts w:ascii="Calibri" w:hAnsi="Calibri"/>
          <w:u w:val="single"/>
          <w:rtl/>
        </w:rPr>
      </w:pPr>
      <w:r w:rsidRPr="007007F1">
        <w:rPr>
          <w:rFonts w:ascii="Calibri" w:hAnsi="Calibri"/>
          <w:u w:val="single"/>
          <w:rtl/>
        </w:rPr>
        <w:t>מתחם העונש ההולם:</w:t>
      </w:r>
    </w:p>
    <w:p w14:paraId="3F46B22C"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31.</w:t>
      </w:r>
      <w:r w:rsidRPr="007007F1">
        <w:rPr>
          <w:rFonts w:ascii="David" w:hAnsi="David"/>
          <w:rtl/>
        </w:rPr>
        <w:tab/>
        <w:t>הפסיקה עמדה על כך שעבירות הנשק פוגעות בערכים חברתיים רמי מעלה, ובהם: שלום הציבור וביטחונו, והשמירה על סדרי חיים תקינים ושלווים שאינם מופרעים על ידי אדם האוחז נשק בידיו. מדובר בעבירות שהפכו זה מכבר למכת מדינה, ואשר על החברה להילחם בהן כחלק ממלחמתה הבלתי מתפשרת בנגע של זילות חיי אדם והקלות הבלתי נסבלת של הלחיצה על ההדק. החזקת נשק שלא כדין משמשת תשתית למגוון רחב של עבירות אלימות, וזמינותו מעודדת את השימוש בו לצורכי עבירה. יש בסיס להנחה כי מי שמחזיק ונושא כלי בו גלום פוטנציאל קטלני, ללא פיקוח מטעם רשויות המדינה ומבלי שנבחנו מיומנותו לעשות בו שימוש וכשירותו להחזיק בו, עושה זאת למטרות לא כשרות (</w:t>
      </w:r>
      <w:hyperlink r:id="rId19" w:history="1">
        <w:r w:rsidR="00074993" w:rsidRPr="00074993">
          <w:rPr>
            <w:rFonts w:ascii="David" w:hAnsi="David"/>
            <w:color w:val="0000FF"/>
            <w:u w:val="single"/>
            <w:rtl/>
          </w:rPr>
          <w:t>ע"פ 147/21</w:t>
        </w:r>
      </w:hyperlink>
      <w:r w:rsidRPr="007007F1">
        <w:rPr>
          <w:rFonts w:ascii="David" w:hAnsi="David"/>
          <w:rtl/>
        </w:rPr>
        <w:t xml:space="preserve"> </w:t>
      </w:r>
      <w:r w:rsidRPr="007007F1">
        <w:rPr>
          <w:rFonts w:ascii="David" w:hAnsi="David"/>
          <w:b/>
          <w:bCs/>
          <w:rtl/>
        </w:rPr>
        <w:t xml:space="preserve">מדינת ישראל נ' ביטון, </w:t>
      </w:r>
      <w:r w:rsidRPr="007007F1">
        <w:rPr>
          <w:rFonts w:ascii="David" w:hAnsi="David"/>
          <w:rtl/>
        </w:rPr>
        <w:t xml:space="preserve">14/2/2021; </w:t>
      </w:r>
      <w:hyperlink r:id="rId20" w:history="1">
        <w:r w:rsidR="00074993" w:rsidRPr="00074993">
          <w:rPr>
            <w:rFonts w:ascii="David" w:hAnsi="David"/>
            <w:color w:val="0000FF"/>
            <w:u w:val="single"/>
            <w:rtl/>
          </w:rPr>
          <w:t>ע"פ 4406/19</w:t>
        </w:r>
      </w:hyperlink>
      <w:r w:rsidRPr="007007F1">
        <w:rPr>
          <w:rFonts w:ascii="David" w:hAnsi="David"/>
          <w:rtl/>
        </w:rPr>
        <w:t xml:space="preserve"> </w:t>
      </w:r>
      <w:r w:rsidRPr="007007F1">
        <w:rPr>
          <w:rFonts w:ascii="David" w:hAnsi="David"/>
          <w:b/>
          <w:bCs/>
          <w:rtl/>
        </w:rPr>
        <w:t>מדינת ישראל נ' סובח</w:t>
      </w:r>
      <w:r w:rsidRPr="007007F1">
        <w:rPr>
          <w:rFonts w:ascii="David" w:hAnsi="David"/>
          <w:rtl/>
        </w:rPr>
        <w:t xml:space="preserve">, 5/11/2019; </w:t>
      </w:r>
      <w:hyperlink r:id="rId21" w:history="1">
        <w:r w:rsidR="00074993" w:rsidRPr="00074993">
          <w:rPr>
            <w:rFonts w:ascii="David" w:hAnsi="David"/>
            <w:color w:val="0000FF"/>
            <w:u w:val="single"/>
            <w:rtl/>
          </w:rPr>
          <w:t>ע"פ 761/07</w:t>
        </w:r>
      </w:hyperlink>
      <w:r w:rsidRPr="007007F1">
        <w:rPr>
          <w:rFonts w:ascii="David" w:hAnsi="David"/>
          <w:rtl/>
        </w:rPr>
        <w:t xml:space="preserve"> </w:t>
      </w:r>
      <w:r w:rsidRPr="007007F1">
        <w:rPr>
          <w:rFonts w:ascii="David" w:hAnsi="David"/>
          <w:b/>
          <w:bCs/>
          <w:rtl/>
        </w:rPr>
        <w:t>מדינת ישראל נ' אדרי</w:t>
      </w:r>
      <w:r w:rsidRPr="007007F1">
        <w:rPr>
          <w:rFonts w:ascii="David" w:hAnsi="David"/>
          <w:rtl/>
        </w:rPr>
        <w:t>, 22/2/2007).</w:t>
      </w:r>
    </w:p>
    <w:p w14:paraId="162E195B" w14:textId="77777777" w:rsidR="00AF3CF9" w:rsidRPr="007007F1" w:rsidRDefault="00AF3CF9" w:rsidP="00AF3CF9">
      <w:pPr>
        <w:spacing w:line="360" w:lineRule="auto"/>
        <w:ind w:left="680" w:hanging="680"/>
        <w:jc w:val="both"/>
        <w:rPr>
          <w:rFonts w:ascii="David" w:hAnsi="David"/>
          <w:rtl/>
        </w:rPr>
      </w:pPr>
    </w:p>
    <w:p w14:paraId="018F6399"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32.</w:t>
      </w:r>
      <w:r w:rsidRPr="007007F1">
        <w:rPr>
          <w:rFonts w:ascii="David" w:hAnsi="David"/>
          <w:rtl/>
        </w:rPr>
        <w:tab/>
        <w:t>בית המשפט העליון חזר ועמד על כך שסחר בלתי חוקי בנשק מביא לכך שכלי נשק מוצאים את דרכם לידיים עברייניות או למפגעים למיניהם, וסולל את הדרך לפעילות אלימה ובלתי חוקית. לכן נקבע, כי גדיעתה של תופעת הסחר בנשק היא תנאי הכרחי למיגורם של מעשי אלימות חמורים, המתרחשים במקומותינו בתדירות מדאיגה (</w:t>
      </w:r>
      <w:hyperlink r:id="rId22" w:history="1">
        <w:r w:rsidR="00074993" w:rsidRPr="00074993">
          <w:rPr>
            <w:rFonts w:ascii="David" w:hAnsi="David"/>
            <w:color w:val="0000FF"/>
            <w:u w:val="single"/>
            <w:rtl/>
          </w:rPr>
          <w:t>ע"פ 2251/11</w:t>
        </w:r>
      </w:hyperlink>
      <w:r w:rsidRPr="007007F1">
        <w:rPr>
          <w:rFonts w:ascii="David" w:hAnsi="David"/>
          <w:rtl/>
        </w:rPr>
        <w:t xml:space="preserve"> </w:t>
      </w:r>
      <w:r w:rsidRPr="007007F1">
        <w:rPr>
          <w:rFonts w:ascii="David" w:hAnsi="David"/>
          <w:b/>
          <w:bCs/>
          <w:rtl/>
        </w:rPr>
        <w:t>ג'מאל נ' מדינת ישראל</w:t>
      </w:r>
      <w:r w:rsidRPr="007007F1">
        <w:rPr>
          <w:rFonts w:ascii="David" w:hAnsi="David"/>
          <w:rtl/>
        </w:rPr>
        <w:t xml:space="preserve">, 4/12/2011; </w:t>
      </w:r>
      <w:hyperlink r:id="rId23" w:history="1">
        <w:r w:rsidR="00074993" w:rsidRPr="00074993">
          <w:rPr>
            <w:rFonts w:ascii="David" w:hAnsi="David"/>
            <w:color w:val="0000FF"/>
            <w:u w:val="single"/>
            <w:rtl/>
          </w:rPr>
          <w:t>ע"פ 4154/16</w:t>
        </w:r>
      </w:hyperlink>
      <w:r w:rsidRPr="007007F1">
        <w:rPr>
          <w:rFonts w:ascii="David" w:hAnsi="David"/>
          <w:rtl/>
        </w:rPr>
        <w:t xml:space="preserve"> </w:t>
      </w:r>
      <w:r w:rsidRPr="007007F1">
        <w:rPr>
          <w:rFonts w:ascii="David" w:hAnsi="David"/>
          <w:b/>
          <w:bCs/>
          <w:rtl/>
        </w:rPr>
        <w:t>דהוד נ' מדינת ישראל</w:t>
      </w:r>
      <w:r w:rsidRPr="007007F1">
        <w:rPr>
          <w:rFonts w:ascii="David" w:hAnsi="David"/>
          <w:rtl/>
        </w:rPr>
        <w:t>, 19/1/2017).</w:t>
      </w:r>
    </w:p>
    <w:p w14:paraId="74EC8626" w14:textId="77777777" w:rsidR="00AF3CF9" w:rsidRPr="007007F1" w:rsidRDefault="00AF3CF9" w:rsidP="00AF3CF9">
      <w:pPr>
        <w:spacing w:line="360" w:lineRule="auto"/>
        <w:ind w:left="680"/>
        <w:jc w:val="both"/>
        <w:rPr>
          <w:rFonts w:ascii="Calibri" w:eastAsia="Calibri" w:hAnsi="Calibri"/>
          <w:rtl/>
        </w:rPr>
      </w:pPr>
    </w:p>
    <w:p w14:paraId="30E34808"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33.</w:t>
      </w:r>
      <w:r w:rsidRPr="007007F1">
        <w:rPr>
          <w:rFonts w:ascii="David" w:hAnsi="David"/>
          <w:rtl/>
        </w:rPr>
        <w:tab/>
        <w:t>המקרה שלפנינו מביא לידי ביטוי את התופעה מטרידה ביותר של סחר בלתי חוקי בנשק, כלי בו גלום פוטנציאל נזק גבוה העלול להגיע לידי ידיים עברייניות ללא פיקוח מטעם רשויות המדינה. מדובר בתופעה שהפכה זה מכבר למכת מדינה, ושעל בית המשפט לתרום את תרומתו למיגורה. בהתייחס לכך קבע בית המשפט העליון:</w:t>
      </w:r>
    </w:p>
    <w:p w14:paraId="1A4F3366" w14:textId="77777777" w:rsidR="00AF3CF9" w:rsidRPr="007007F1" w:rsidRDefault="00AF3CF9" w:rsidP="00AF3CF9">
      <w:pPr>
        <w:spacing w:line="360" w:lineRule="auto"/>
        <w:ind w:left="680" w:hanging="680"/>
        <w:jc w:val="both"/>
        <w:rPr>
          <w:rFonts w:ascii="David" w:hAnsi="David"/>
          <w:rtl/>
        </w:rPr>
      </w:pPr>
    </w:p>
    <w:p w14:paraId="6B739762" w14:textId="77777777" w:rsidR="00AF3CF9" w:rsidRPr="007007F1" w:rsidRDefault="00AF3CF9" w:rsidP="00AF3CF9">
      <w:pPr>
        <w:spacing w:line="360" w:lineRule="auto"/>
        <w:ind w:left="1785" w:right="864"/>
        <w:jc w:val="both"/>
        <w:rPr>
          <w:rFonts w:ascii="Calibri" w:eastAsia="Calibri" w:hAnsi="Calibri"/>
          <w:b/>
          <w:bCs/>
          <w:rtl/>
        </w:rPr>
      </w:pPr>
      <w:r w:rsidRPr="007007F1">
        <w:rPr>
          <w:rFonts w:ascii="Calibri" w:eastAsia="Calibri" w:hAnsi="Calibri"/>
          <w:b/>
          <w:bCs/>
          <w:rtl/>
        </w:rPr>
        <w:t>"לא פעם הדגשתי כי יש לנקוט במדיניות ענישה ממשית ומשמעותית אשר המסר העונשי הנגזר ממנה הוא כי "שומר נפשו ושלומו – ירחק מעבירות הנשק באשר הן, קלות כחמורות"...</w:t>
      </w:r>
      <w:r w:rsidRPr="007007F1">
        <w:rPr>
          <w:rFonts w:ascii="Calibri" w:eastAsia="Calibri" w:hAnsi="Calibri"/>
          <w:rtl/>
        </w:rPr>
        <w:t xml:space="preserve"> </w:t>
      </w:r>
      <w:r w:rsidRPr="007007F1">
        <w:rPr>
          <w:rFonts w:ascii="Calibri" w:eastAsia="Calibri" w:hAnsi="Calibri"/>
          <w:b/>
          <w:bCs/>
          <w:rtl/>
        </w:rPr>
        <w:t>בתוך כך, על מדיניות הענישה לבכר שיקולים של הרתעת היחיד והרבים ושל הרחקת עברייני הנשק מהחברה על-ידי השמתם מאחורי סורג ובריח לתקופה ממושכת... כך יש לנקוט כלפי "כל חוליות השרשרת העבריינית" של השימוש בנשק לא חוקי... ובוודאי שכך כלפי נאשם בביצוע עסקת סחר בנשק בפועל."</w:t>
      </w:r>
    </w:p>
    <w:p w14:paraId="4C8387CE" w14:textId="77777777" w:rsidR="00AF3CF9" w:rsidRPr="007007F1" w:rsidRDefault="00AF3CF9" w:rsidP="00AF3CF9">
      <w:pPr>
        <w:spacing w:line="360" w:lineRule="auto"/>
        <w:ind w:left="1785" w:right="864"/>
        <w:jc w:val="both"/>
        <w:rPr>
          <w:rFonts w:ascii="Calibri" w:eastAsia="Calibri" w:hAnsi="Calibri"/>
          <w:rtl/>
        </w:rPr>
      </w:pPr>
      <w:r w:rsidRPr="007007F1">
        <w:rPr>
          <w:rFonts w:ascii="Calibri" w:eastAsia="Calibri" w:hAnsi="Calibri"/>
          <w:rtl/>
        </w:rPr>
        <w:t>(</w:t>
      </w:r>
      <w:hyperlink r:id="rId24" w:history="1">
        <w:r w:rsidR="00074993" w:rsidRPr="00074993">
          <w:rPr>
            <w:rFonts w:ascii="Calibri" w:eastAsia="Calibri" w:hAnsi="Calibri" w:hint="cs"/>
            <w:color w:val="0000FF"/>
            <w:u w:val="single"/>
            <w:rtl/>
          </w:rPr>
          <w:t>ע</w:t>
        </w:r>
        <w:r w:rsidR="00074993" w:rsidRPr="00074993">
          <w:rPr>
            <w:rFonts w:ascii="Calibri" w:eastAsia="Calibri" w:hAnsi="Calibri"/>
            <w:color w:val="0000FF"/>
            <w:u w:val="single"/>
            <w:rtl/>
          </w:rPr>
          <w:t>"</w:t>
        </w:r>
        <w:r w:rsidR="00074993" w:rsidRPr="00074993">
          <w:rPr>
            <w:rFonts w:ascii="Calibri" w:eastAsia="Calibri" w:hAnsi="Calibri" w:hint="cs"/>
            <w:color w:val="0000FF"/>
            <w:u w:val="single"/>
            <w:rtl/>
          </w:rPr>
          <w:t>פ</w:t>
        </w:r>
        <w:r w:rsidR="00074993" w:rsidRPr="00074993">
          <w:rPr>
            <w:rFonts w:ascii="Calibri" w:eastAsia="Calibri" w:hAnsi="Calibri"/>
            <w:color w:val="0000FF"/>
            <w:u w:val="single"/>
            <w:rtl/>
          </w:rPr>
          <w:t xml:space="preserve"> 2880/23</w:t>
        </w:r>
      </w:hyperlink>
      <w:r w:rsidRPr="007007F1">
        <w:rPr>
          <w:rFonts w:ascii="Calibri" w:eastAsia="Calibri" w:hAnsi="Calibri"/>
          <w:rtl/>
        </w:rPr>
        <w:t xml:space="preserve"> </w:t>
      </w:r>
      <w:r w:rsidRPr="007007F1">
        <w:rPr>
          <w:rFonts w:ascii="Calibri" w:eastAsia="Calibri" w:hAnsi="Calibri"/>
          <w:b/>
          <w:bCs/>
          <w:rtl/>
        </w:rPr>
        <w:t>מדינת ישראל נ' עיסא</w:t>
      </w:r>
      <w:r w:rsidRPr="007007F1">
        <w:rPr>
          <w:rFonts w:ascii="Calibri" w:eastAsia="Calibri" w:hAnsi="Calibri"/>
          <w:rtl/>
        </w:rPr>
        <w:t>,</w:t>
      </w:r>
      <w:r w:rsidRPr="007007F1">
        <w:rPr>
          <w:rFonts w:ascii="Calibri" w:eastAsia="Calibri" w:hAnsi="Calibri"/>
          <w:b/>
          <w:bCs/>
          <w:rtl/>
        </w:rPr>
        <w:t xml:space="preserve"> </w:t>
      </w:r>
      <w:r w:rsidRPr="007007F1">
        <w:rPr>
          <w:rFonts w:ascii="Calibri" w:eastAsia="Calibri" w:hAnsi="Calibri"/>
          <w:rtl/>
        </w:rPr>
        <w:t>פסקה 11, 25/4/2023).</w:t>
      </w:r>
    </w:p>
    <w:p w14:paraId="6CFDD7C1" w14:textId="77777777" w:rsidR="00AF3CF9" w:rsidRPr="007007F1" w:rsidRDefault="00AF3CF9" w:rsidP="00AF3CF9">
      <w:pPr>
        <w:spacing w:line="360" w:lineRule="auto"/>
        <w:ind w:left="680" w:hanging="680"/>
        <w:jc w:val="both"/>
        <w:rPr>
          <w:rFonts w:ascii="David" w:hAnsi="David"/>
          <w:rtl/>
        </w:rPr>
      </w:pPr>
    </w:p>
    <w:p w14:paraId="614AF2DC" w14:textId="77777777" w:rsidR="00AF3CF9" w:rsidRPr="007007F1" w:rsidRDefault="00AF3CF9" w:rsidP="00AF3CF9">
      <w:pPr>
        <w:spacing w:line="360" w:lineRule="auto"/>
        <w:ind w:left="680" w:hanging="680"/>
        <w:jc w:val="both"/>
        <w:rPr>
          <w:rFonts w:ascii="Calibri" w:eastAsia="Calibri" w:hAnsi="Calibri"/>
          <w:rtl/>
        </w:rPr>
      </w:pPr>
      <w:r w:rsidRPr="007007F1">
        <w:rPr>
          <w:rFonts w:ascii="Calibri" w:eastAsia="Calibri" w:hAnsi="Calibri"/>
          <w:rtl/>
        </w:rPr>
        <w:t>34.</w:t>
      </w:r>
      <w:r w:rsidRPr="007007F1">
        <w:rPr>
          <w:rFonts w:ascii="Calibri" w:eastAsia="Calibri" w:hAnsi="Calibri"/>
          <w:rtl/>
        </w:rPr>
        <w:tab/>
        <w:t>הצורך להיאבק בעבירות הנשק בדרך של החמרת הענישה עולה גם מהוראת השעה (</w:t>
      </w:r>
      <w:r w:rsidR="00074993" w:rsidRPr="002E41CC">
        <w:rPr>
          <w:rFonts w:ascii="Calibri" w:eastAsia="Calibri" w:hAnsi="Calibri" w:hint="cs"/>
          <w:rtl/>
        </w:rPr>
        <w:t>חוק</w:t>
      </w:r>
      <w:r w:rsidR="00074993" w:rsidRPr="002E41CC">
        <w:rPr>
          <w:rFonts w:ascii="Calibri" w:eastAsia="Calibri" w:hAnsi="Calibri"/>
          <w:rtl/>
        </w:rPr>
        <w:t xml:space="preserve"> </w:t>
      </w:r>
      <w:r w:rsidR="00074993" w:rsidRPr="002E41CC">
        <w:rPr>
          <w:rFonts w:ascii="Calibri" w:eastAsia="Calibri" w:hAnsi="Calibri" w:hint="cs"/>
          <w:rtl/>
        </w:rPr>
        <w:t>העונשין</w:t>
      </w:r>
      <w:r w:rsidRPr="007007F1">
        <w:rPr>
          <w:rFonts w:ascii="Calibri" w:eastAsia="Calibri" w:hAnsi="Calibri"/>
          <w:rtl/>
        </w:rPr>
        <w:t xml:space="preserve"> (תיקון מס' 140 – הוראת שעה) התשפ"ב-2021) שנכנסה לתוקף ביום 8/12/2021, בה נקבע עונש מינימום של רבע מהעונש המרבי במספר עבירות נשק (</w:t>
      </w:r>
      <w:hyperlink r:id="rId25" w:history="1">
        <w:r w:rsidR="002E41CC" w:rsidRPr="002E41CC">
          <w:rPr>
            <w:rStyle w:val="Hyperlink"/>
            <w:rFonts w:ascii="Calibri" w:eastAsia="Calibri" w:hAnsi="Calibri"/>
            <w:color w:val="0000FF"/>
            <w:rtl/>
          </w:rPr>
          <w:t>סעיף 144(ז)</w:t>
        </w:r>
      </w:hyperlink>
      <w:r w:rsidRPr="007007F1">
        <w:rPr>
          <w:rFonts w:ascii="Calibri" w:eastAsia="Calibri" w:hAnsi="Calibri"/>
          <w:rtl/>
        </w:rPr>
        <w:t xml:space="preserve"> בחוק העונשין). בהיעדר נימוקים מיוחדים, עונש המינימום לעבירה של נשיאת נשק עומד על 30 חודשי מאסר, ועונש המינימום לעבירה של סחר בנשק עומד על 45 חודשי מאסר, אשר את חלקם של העונשים בית המשפט רשאי להטיל כעונש מותנה.</w:t>
      </w:r>
    </w:p>
    <w:p w14:paraId="1353C38E" w14:textId="77777777" w:rsidR="00AF3CF9" w:rsidRPr="007007F1" w:rsidRDefault="00AF3CF9" w:rsidP="00AF3CF9">
      <w:pPr>
        <w:spacing w:line="360" w:lineRule="auto"/>
        <w:ind w:left="680" w:hanging="680"/>
        <w:jc w:val="both"/>
        <w:rPr>
          <w:rFonts w:ascii="David" w:hAnsi="David"/>
          <w:rtl/>
        </w:rPr>
      </w:pPr>
    </w:p>
    <w:p w14:paraId="0F81EC11" w14:textId="77777777" w:rsidR="00AF3CF9" w:rsidRPr="007007F1" w:rsidRDefault="00AF3CF9" w:rsidP="00AF3CF9">
      <w:pPr>
        <w:spacing w:line="360" w:lineRule="auto"/>
        <w:ind w:left="680" w:hanging="680"/>
        <w:jc w:val="both"/>
        <w:rPr>
          <w:rFonts w:ascii="David" w:hAnsi="David"/>
        </w:rPr>
      </w:pPr>
      <w:r w:rsidRPr="007007F1">
        <w:rPr>
          <w:rFonts w:ascii="David" w:hAnsi="David"/>
          <w:rtl/>
        </w:rPr>
        <w:t>35.</w:t>
      </w:r>
      <w:r w:rsidRPr="007007F1">
        <w:rPr>
          <w:rFonts w:ascii="David" w:hAnsi="David"/>
          <w:rtl/>
        </w:rPr>
        <w:tab/>
        <w:t>במקרה זה, הנאשם פגע בערכים המוגנים במידה משמעותית. הוא מכר לסוכן המשטרתי שלושה כלי נשק תקניים, שהסכנה הטמונה בהם רבה ביותר ושעלולים היו למצוא את דרכם לעבריינים ולמחבלים, בעבור בצע כסף – תמורה בסך 141,000 ₪. בנוסף, עובדות כתב האישום, ובהן: השיחות שנערכו בין הנאשם והסוכן; תיאום פרטי העסקאות מראש; הצגת תמונות של כלי נשק על ידי הנאשם לסוכן; עדכון הנאשם את הסוכן כי ברשותו סחורה חדשה אותה ניתן להציע לאנשים נוספים; והעובדה כי הנאשם עבר את העבירות בעצמו, מבלי שהוא נדרש להסתייע לצורך כך בגורמים נוספים, מלמדות כי העבירות נעברו לאחר תכנון, וכי לנאשם גישה קלה לכלי נשק ויכולת לעבור עבירות בנשק בקלות. טענת הנאשם כי הסוכן דרדר אותו לביצוע העבירות לא עולה מעובדות כתב האישום, ואינה מתיישבת עמן. כזכור, במהלך הפגישה בה התבצעה העסקה הראשונה, הנאשם הציג לסוכן תמונות של אקדחים ורובי סער, וכן תמונות שלו כשהוא מחזיק ברובה סער. יחד עם זאת, העובדה שהסוכן פנה לנאשם לצורך תיאום הפגישה, והעובדה שהנאשם לא סיפק לסוכן תחמושת מתאימה, הן נסיבות שיש להתחשב בהן בקביעת מתחם העונש ההולם.</w:t>
      </w:r>
    </w:p>
    <w:p w14:paraId="0649F49D" w14:textId="77777777" w:rsidR="00AF3CF9" w:rsidRPr="007007F1" w:rsidRDefault="00AF3CF9" w:rsidP="00AF3CF9">
      <w:pPr>
        <w:spacing w:line="360" w:lineRule="auto"/>
        <w:ind w:left="680" w:hanging="680"/>
        <w:jc w:val="both"/>
        <w:rPr>
          <w:rFonts w:ascii="David" w:hAnsi="David"/>
          <w:rtl/>
        </w:rPr>
      </w:pPr>
    </w:p>
    <w:p w14:paraId="5E39D37F"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36.</w:t>
      </w:r>
      <w:r w:rsidRPr="007007F1">
        <w:rPr>
          <w:rFonts w:ascii="David" w:hAnsi="David"/>
          <w:rtl/>
        </w:rPr>
        <w:tab/>
        <w:t>בחינת מדיניות הענישה הנהוגה מלמדת, כי בעבירות של סחר בנשק מוטלים עונשי מאסר ממושכים מאחורי סורג ובריח:</w:t>
      </w:r>
    </w:p>
    <w:p w14:paraId="6B738C45" w14:textId="77777777" w:rsidR="00AF3CF9" w:rsidRPr="007007F1" w:rsidRDefault="00AF3CF9" w:rsidP="00AF3CF9">
      <w:pPr>
        <w:spacing w:line="360" w:lineRule="auto"/>
        <w:ind w:left="680" w:hanging="680"/>
        <w:jc w:val="both"/>
        <w:rPr>
          <w:rFonts w:ascii="David" w:hAnsi="David"/>
          <w:rtl/>
        </w:rPr>
      </w:pPr>
    </w:p>
    <w:p w14:paraId="4AD92ACD" w14:textId="77777777" w:rsidR="00AF3CF9" w:rsidRPr="007007F1" w:rsidRDefault="00AF3CF9" w:rsidP="00AF3CF9">
      <w:pPr>
        <w:spacing w:line="360" w:lineRule="auto"/>
        <w:ind w:left="1360" w:hanging="680"/>
        <w:jc w:val="both"/>
        <w:rPr>
          <w:rFonts w:ascii="Calibri" w:hAnsi="Calibri"/>
          <w:rtl/>
        </w:rPr>
      </w:pPr>
      <w:r w:rsidRPr="007007F1">
        <w:rPr>
          <w:rFonts w:ascii="Calibri" w:hAnsi="Calibri"/>
          <w:rtl/>
        </w:rPr>
        <w:t>א.</w:t>
      </w:r>
      <w:r w:rsidRPr="007007F1">
        <w:rPr>
          <w:rFonts w:ascii="Calibri" w:hAnsi="Calibri"/>
          <w:rtl/>
        </w:rPr>
        <w:tab/>
      </w:r>
      <w:hyperlink r:id="rId26" w:history="1">
        <w:r w:rsidR="00074993" w:rsidRPr="00074993">
          <w:rPr>
            <w:rFonts w:ascii="Calibri" w:hAnsi="Calibri" w:hint="eastAsia"/>
            <w:color w:val="0000FF"/>
            <w:u w:val="single"/>
            <w:rtl/>
          </w:rPr>
          <w:t>ע</w:t>
        </w:r>
        <w:r w:rsidR="00074993" w:rsidRPr="00074993">
          <w:rPr>
            <w:rFonts w:ascii="Calibri" w:hAnsi="Calibri"/>
            <w:color w:val="0000FF"/>
            <w:u w:val="single"/>
            <w:rtl/>
          </w:rPr>
          <w:t>"</w:t>
        </w:r>
        <w:r w:rsidR="00074993" w:rsidRPr="00074993">
          <w:rPr>
            <w:rFonts w:ascii="Calibri" w:hAnsi="Calibri" w:hint="eastAsia"/>
            <w:color w:val="0000FF"/>
            <w:u w:val="single"/>
            <w:rtl/>
          </w:rPr>
          <w:t>פ</w:t>
        </w:r>
        <w:r w:rsidR="00074993" w:rsidRPr="00074993">
          <w:rPr>
            <w:rFonts w:ascii="Calibri" w:hAnsi="Calibri"/>
            <w:color w:val="0000FF"/>
            <w:u w:val="single"/>
            <w:rtl/>
          </w:rPr>
          <w:t xml:space="preserve"> 5393/23</w:t>
        </w:r>
      </w:hyperlink>
      <w:r w:rsidRPr="007007F1">
        <w:rPr>
          <w:rFonts w:ascii="Calibri" w:hAnsi="Calibri"/>
          <w:rtl/>
        </w:rPr>
        <w:t xml:space="preserve"> </w:t>
      </w:r>
      <w:r w:rsidRPr="007007F1">
        <w:rPr>
          <w:rFonts w:ascii="Calibri" w:hAnsi="Calibri"/>
          <w:b/>
          <w:bCs/>
          <w:rtl/>
        </w:rPr>
        <w:t>כבהא נ' מדינת ישראל</w:t>
      </w:r>
      <w:r w:rsidRPr="007007F1">
        <w:rPr>
          <w:rFonts w:ascii="Calibri" w:hAnsi="Calibri"/>
          <w:rtl/>
        </w:rPr>
        <w:t xml:space="preserve">, 25/7/2024: המערער הורשע בעבירות של סחר בנשק והחזקת והובלת נשק, שיוחסו לו בשני אישומים. </w:t>
      </w:r>
      <w:r w:rsidRPr="007007F1">
        <w:rPr>
          <w:rFonts w:ascii="Calibri" w:hAnsi="Calibri"/>
          <w:b/>
          <w:bCs/>
          <w:rtl/>
        </w:rPr>
        <w:t>אישום ראשון</w:t>
      </w:r>
      <w:r w:rsidRPr="007007F1">
        <w:rPr>
          <w:rFonts w:ascii="Calibri" w:hAnsi="Calibri"/>
          <w:rtl/>
        </w:rPr>
        <w:t xml:space="preserve">: המערער הציע לסוכן משטרתי, במספר הזדמנויות, כלי נשק למכירה ומכר לו רובה מסוג </w:t>
      </w:r>
      <w:r w:rsidRPr="007007F1">
        <w:rPr>
          <w:rFonts w:ascii="David" w:hAnsi="David"/>
          <w:sz w:val="20"/>
          <w:szCs w:val="20"/>
        </w:rPr>
        <w:t>M</w:t>
      </w:r>
      <w:r w:rsidRPr="007007F1">
        <w:rPr>
          <w:rFonts w:ascii="David" w:hAnsi="David"/>
        </w:rPr>
        <w:t>16</w:t>
      </w:r>
      <w:r w:rsidRPr="007007F1">
        <w:rPr>
          <w:rFonts w:ascii="Calibri" w:hAnsi="Calibri"/>
          <w:rtl/>
        </w:rPr>
        <w:t xml:space="preserve">, 30 כדורים תואמים, אקדח ושלושה כדורים תואמים, בתמורה לסך של 97,000 ₪. </w:t>
      </w:r>
      <w:r w:rsidRPr="007007F1">
        <w:rPr>
          <w:rFonts w:ascii="Calibri" w:hAnsi="Calibri"/>
          <w:b/>
          <w:bCs/>
          <w:rtl/>
        </w:rPr>
        <w:t>אישום שני:</w:t>
      </w:r>
      <w:r w:rsidRPr="007007F1">
        <w:rPr>
          <w:rFonts w:ascii="Calibri" w:hAnsi="Calibri"/>
          <w:rtl/>
        </w:rPr>
        <w:t xml:space="preserve"> הנאשם הציע לסוכן לרכוש ממנו רובה מסוג קלצ'ניקוב, ונענה בחיוב. כעבור יומיים, הציע לסוכן לרכוש רובה קלצ'ניקוב נוסף וכדורים תואמים. גם להצעה זו נענה הסוכן בחיוב. המערער מכר לסוכן שני רובי קלצ'ניקוב ו-77 כדורים תואמים בתמורה לסך של 99,000 ₪. בית המשפט המחוזי קבע כי מתחם העונש ההולם נע בין שש שנות מאסר בפועל לבין תשע שנות מאסר בפועל, והטיל על המערער עונש מאסר בפועל למשך שמונה שנים. הערעור נדחה.</w:t>
      </w:r>
    </w:p>
    <w:p w14:paraId="084BDE81" w14:textId="77777777" w:rsidR="00AF3CF9" w:rsidRPr="007007F1" w:rsidRDefault="00AF3CF9" w:rsidP="00AF3CF9">
      <w:pPr>
        <w:spacing w:line="360" w:lineRule="auto"/>
        <w:ind w:left="1360" w:hanging="680"/>
        <w:jc w:val="both"/>
        <w:rPr>
          <w:rFonts w:ascii="Calibri" w:hAnsi="Calibri"/>
          <w:rtl/>
        </w:rPr>
      </w:pPr>
    </w:p>
    <w:p w14:paraId="61A3C125" w14:textId="77777777" w:rsidR="00AF3CF9" w:rsidRPr="007007F1" w:rsidRDefault="00AF3CF9" w:rsidP="00AF3CF9">
      <w:pPr>
        <w:spacing w:line="360" w:lineRule="auto"/>
        <w:ind w:left="1360" w:hanging="680"/>
        <w:jc w:val="both"/>
        <w:rPr>
          <w:rFonts w:ascii="Calibri" w:hAnsi="Calibri"/>
          <w:rtl/>
        </w:rPr>
      </w:pPr>
      <w:r w:rsidRPr="007007F1">
        <w:rPr>
          <w:rFonts w:ascii="Calibri" w:hAnsi="Calibri"/>
          <w:rtl/>
        </w:rPr>
        <w:t>ב.</w:t>
      </w:r>
      <w:r w:rsidRPr="007007F1">
        <w:rPr>
          <w:rFonts w:ascii="Calibri" w:hAnsi="Calibri"/>
          <w:rtl/>
        </w:rPr>
        <w:tab/>
      </w:r>
      <w:hyperlink r:id="rId27" w:history="1">
        <w:r w:rsidR="00074993" w:rsidRPr="00074993">
          <w:rPr>
            <w:rFonts w:ascii="Calibri" w:hAnsi="Calibri" w:hint="eastAsia"/>
            <w:color w:val="0000FF"/>
            <w:u w:val="single"/>
            <w:rtl/>
          </w:rPr>
          <w:t>ת</w:t>
        </w:r>
        <w:r w:rsidR="00074993" w:rsidRPr="00074993">
          <w:rPr>
            <w:rFonts w:ascii="Calibri" w:hAnsi="Calibri"/>
            <w:color w:val="0000FF"/>
            <w:u w:val="single"/>
            <w:rtl/>
          </w:rPr>
          <w:t>"</w:t>
        </w:r>
        <w:r w:rsidR="00074993" w:rsidRPr="00074993">
          <w:rPr>
            <w:rFonts w:ascii="Calibri" w:hAnsi="Calibri" w:hint="eastAsia"/>
            <w:color w:val="0000FF"/>
            <w:u w:val="single"/>
            <w:rtl/>
          </w:rPr>
          <w:t>פ</w:t>
        </w:r>
        <w:r w:rsidR="00074993" w:rsidRPr="00074993">
          <w:rPr>
            <w:rFonts w:ascii="Calibri" w:hAnsi="Calibri"/>
            <w:color w:val="0000FF"/>
            <w:u w:val="single"/>
            <w:rtl/>
          </w:rPr>
          <w:t xml:space="preserve"> (</w:t>
        </w:r>
        <w:r w:rsidR="00074993" w:rsidRPr="00074993">
          <w:rPr>
            <w:rFonts w:ascii="Calibri" w:hAnsi="Calibri" w:hint="eastAsia"/>
            <w:color w:val="0000FF"/>
            <w:u w:val="single"/>
            <w:rtl/>
          </w:rPr>
          <w:t>מחוזי</w:t>
        </w:r>
        <w:r w:rsidR="00074993" w:rsidRPr="00074993">
          <w:rPr>
            <w:rFonts w:ascii="Calibri" w:hAnsi="Calibri"/>
            <w:color w:val="0000FF"/>
            <w:u w:val="single"/>
            <w:rtl/>
          </w:rPr>
          <w:t xml:space="preserve"> </w:t>
        </w:r>
        <w:r w:rsidR="00074993" w:rsidRPr="00074993">
          <w:rPr>
            <w:rFonts w:ascii="Calibri" w:hAnsi="Calibri" w:hint="eastAsia"/>
            <w:color w:val="0000FF"/>
            <w:u w:val="single"/>
            <w:rtl/>
          </w:rPr>
          <w:t>ירושלים</w:t>
        </w:r>
        <w:r w:rsidR="00074993" w:rsidRPr="00074993">
          <w:rPr>
            <w:rFonts w:ascii="Calibri" w:hAnsi="Calibri"/>
            <w:color w:val="0000FF"/>
            <w:u w:val="single"/>
            <w:rtl/>
          </w:rPr>
          <w:t>) 37136-09-23</w:t>
        </w:r>
      </w:hyperlink>
      <w:r w:rsidRPr="007007F1">
        <w:rPr>
          <w:rFonts w:ascii="Calibri" w:hAnsi="Calibri"/>
          <w:rtl/>
        </w:rPr>
        <w:t xml:space="preserve"> </w:t>
      </w:r>
      <w:r w:rsidRPr="007007F1">
        <w:rPr>
          <w:rFonts w:ascii="Calibri" w:hAnsi="Calibri"/>
          <w:b/>
          <w:bCs/>
          <w:rtl/>
        </w:rPr>
        <w:t>מדינת ישראל נ' חלאיקה</w:t>
      </w:r>
      <w:r w:rsidRPr="007007F1">
        <w:rPr>
          <w:rFonts w:ascii="Calibri" w:hAnsi="Calibri"/>
          <w:rtl/>
        </w:rPr>
        <w:t xml:space="preserve">, 9/7/2024: גזר דין שניתן נגד נאשמים 1 ו-2. נאשם 1 הורשע בעבירות של סחר בנשק ועסקה אחרת בנשק. נאשם 2 הורשע בשתי עבירות של סחר בנשק. מעשי העבירה בהם הנאשמים הורשעו פורטו בשני אישומים. </w:t>
      </w:r>
      <w:r w:rsidRPr="007007F1">
        <w:rPr>
          <w:rFonts w:ascii="Calibri" w:hAnsi="Calibri"/>
          <w:b/>
          <w:bCs/>
          <w:rtl/>
        </w:rPr>
        <w:t>אישום 1:</w:t>
      </w:r>
      <w:r w:rsidRPr="007007F1">
        <w:rPr>
          <w:rFonts w:ascii="Calibri" w:hAnsi="Calibri"/>
          <w:rtl/>
        </w:rPr>
        <w:t xml:space="preserve"> נאשם 1 התקשר לסוכן ואמר לו שהוא נמצא עם נאשם 2 ושברצונם להתפרנס. נאשם 2 שלח לסוכן תמונות של כלי נשק והצעות מחיר, וקבע פגישה עם הסוכן, יחד עם נאשם 1. בפגישתם עם הסוכן, נאשם 2 הוציא חפץ דמוי רובה סער </w:t>
      </w:r>
      <w:r w:rsidRPr="007007F1">
        <w:rPr>
          <w:rFonts w:ascii="David" w:hAnsi="David"/>
          <w:sz w:val="20"/>
          <w:szCs w:val="20"/>
        </w:rPr>
        <w:t>M</w:t>
      </w:r>
      <w:r w:rsidRPr="007007F1">
        <w:rPr>
          <w:rFonts w:ascii="David" w:hAnsi="David"/>
        </w:rPr>
        <w:t>4</w:t>
      </w:r>
      <w:r w:rsidRPr="007007F1">
        <w:rPr>
          <w:rFonts w:ascii="Calibri" w:hAnsi="Calibri"/>
          <w:rtl/>
        </w:rPr>
        <w:t xml:space="preserve">, ירה מספר כדורים באוויר, פרק את הנשק, הניחו ברכבו של הסוכן וקיבל ממנו תמורה בסך של 45,000 ₪. נאשם 1 קיבל בתמורה לעסקה סך של 1,000 ₪. </w:t>
      </w:r>
      <w:r w:rsidRPr="007007F1">
        <w:rPr>
          <w:rFonts w:ascii="Calibri" w:hAnsi="Calibri"/>
          <w:b/>
          <w:bCs/>
          <w:rtl/>
        </w:rPr>
        <w:t>אישום 2</w:t>
      </w:r>
      <w:r w:rsidRPr="007007F1">
        <w:rPr>
          <w:rFonts w:ascii="Calibri" w:hAnsi="Calibri"/>
          <w:rtl/>
        </w:rPr>
        <w:t>: הסוכן התקשר לנאשם 2 ואמר לו כי הוא מעוניין בנשק שהציע לו. נאשם 1 התקשר לסוכן ואמר לו שגם הוא יגיע לעסקה. הסוכן נפגש עם הנאשמים. ספק הנשק, נאשם 3, הגיע למקום כשהוא נושא רובה סער דמוי</w:t>
      </w:r>
      <w:r w:rsidR="00074993">
        <w:rPr>
          <w:rFonts w:ascii="Calibri" w:hAnsi="Calibri"/>
          <w:rtl/>
        </w:rPr>
        <w:t xml:space="preserve"> </w:t>
      </w:r>
      <w:r w:rsidRPr="007007F1">
        <w:rPr>
          <w:rFonts w:ascii="David" w:hAnsi="David"/>
          <w:sz w:val="20"/>
          <w:szCs w:val="20"/>
        </w:rPr>
        <w:t>M</w:t>
      </w:r>
      <w:r w:rsidRPr="007007F1">
        <w:rPr>
          <w:rFonts w:ascii="David" w:hAnsi="David"/>
        </w:rPr>
        <w:t>16</w:t>
      </w:r>
      <w:r w:rsidR="00074993">
        <w:rPr>
          <w:rFonts w:ascii="Calibri" w:hAnsi="Calibri"/>
          <w:rtl/>
        </w:rPr>
        <w:t xml:space="preserve"> </w:t>
      </w:r>
      <w:r w:rsidRPr="007007F1">
        <w:rPr>
          <w:rFonts w:ascii="Calibri" w:hAnsi="Calibri"/>
          <w:rtl/>
        </w:rPr>
        <w:t>ומחסנית ריקה. אחר ירה מספר כדורים לאוויר, פרק את הנשק והכניס אותו לרכב הסוכן. הסוכן מסר לנאשם 2 בתמורה לנשק ולמחסנית סך של 43,000 ₪. נאשם 2 והאחר ספרו את הכסף, והאחר לקח את הכסף. נאשם 1 קיבל מהסוכן 1,000 ₪. נקבע כי מתחם העונש ההולם למעשיו של נאשם 1 נע בין 40 חודשי מאסר בפועל לבין 80 חודשי מאסר בפועל, וכי מתחם העונש ההולם למעשיו של</w:t>
      </w:r>
      <w:r w:rsidR="00074993">
        <w:rPr>
          <w:rFonts w:ascii="Calibri" w:hAnsi="Calibri"/>
          <w:rtl/>
        </w:rPr>
        <w:t xml:space="preserve"> </w:t>
      </w:r>
      <w:r w:rsidRPr="007007F1">
        <w:rPr>
          <w:rFonts w:ascii="Calibri" w:hAnsi="Calibri"/>
          <w:rtl/>
        </w:rPr>
        <w:t>נאשם 2 נע בין חמש שנות מאסר בפועל לבין שמונה שנות מאסר בפועל</w:t>
      </w:r>
      <w:r w:rsidRPr="007007F1">
        <w:rPr>
          <w:rFonts w:ascii="Calibri" w:hAnsi="Calibri"/>
        </w:rPr>
        <w:t>.</w:t>
      </w:r>
      <w:r w:rsidRPr="007007F1">
        <w:rPr>
          <w:rFonts w:ascii="Calibri" w:hAnsi="Calibri"/>
          <w:rtl/>
        </w:rPr>
        <w:t xml:space="preserve"> </w:t>
      </w:r>
    </w:p>
    <w:p w14:paraId="623590D1" w14:textId="77777777" w:rsidR="00AF3CF9" w:rsidRPr="007007F1" w:rsidRDefault="00AF3CF9" w:rsidP="00AF3CF9">
      <w:pPr>
        <w:spacing w:line="360" w:lineRule="auto"/>
        <w:ind w:left="680" w:hanging="680"/>
        <w:jc w:val="both"/>
        <w:rPr>
          <w:rFonts w:ascii="David" w:hAnsi="David"/>
          <w:rtl/>
        </w:rPr>
      </w:pPr>
    </w:p>
    <w:p w14:paraId="3C017CBD" w14:textId="77777777" w:rsidR="00AF3CF9" w:rsidRPr="007007F1" w:rsidRDefault="00AF3CF9" w:rsidP="00AF3CF9">
      <w:pPr>
        <w:spacing w:line="360" w:lineRule="auto"/>
        <w:ind w:left="1360" w:hanging="680"/>
        <w:jc w:val="both"/>
        <w:rPr>
          <w:rFonts w:ascii="Calibri" w:hAnsi="Calibri"/>
          <w:rtl/>
        </w:rPr>
      </w:pPr>
      <w:r w:rsidRPr="007007F1">
        <w:rPr>
          <w:rFonts w:ascii="Calibri" w:hAnsi="Calibri"/>
          <w:rtl/>
        </w:rPr>
        <w:t>ג.</w:t>
      </w:r>
      <w:r w:rsidRPr="007007F1">
        <w:rPr>
          <w:rFonts w:ascii="Calibri" w:hAnsi="Calibri"/>
          <w:rtl/>
        </w:rPr>
        <w:tab/>
      </w:r>
      <w:hyperlink r:id="rId28" w:history="1">
        <w:r w:rsidR="00074993" w:rsidRPr="00074993">
          <w:rPr>
            <w:color w:val="0000FF"/>
            <w:u w:val="single"/>
            <w:rtl/>
          </w:rPr>
          <w:t>ת"פ (מחוזי ירושלים) 54460-03-21</w:t>
        </w:r>
      </w:hyperlink>
      <w:r>
        <w:rPr>
          <w:rtl/>
        </w:rPr>
        <w:t xml:space="preserve"> </w:t>
      </w:r>
      <w:r>
        <w:rPr>
          <w:b/>
          <w:bCs/>
          <w:rtl/>
        </w:rPr>
        <w:t>מדינת ישראל נ' טסמה</w:t>
      </w:r>
      <w:r>
        <w:rPr>
          <w:rtl/>
        </w:rPr>
        <w:t xml:space="preserve">, 30/1/2023: גזר דין שניתן בעניינו של נאשם שהורשע, בין היתר, בשתי עבירות של סחר בנשק ותחמושת, שתי עבירות של נשיאת נשק ושתי עבירות של נשיאת תחמושת ואבזר תחמושת. הנאשם מכר לסוכן, בשני מועדים שונים, שני אקדחי הזנקה שהוסבו לירי, מחסניות תואמות ותחמושת. בגין עבירות אלה נקבע מתחם ענישה הנע בין 30 לבין 60 חודשי מאסר בפועל. </w:t>
      </w:r>
      <w:r w:rsidRPr="007007F1">
        <w:rPr>
          <w:rFonts w:ascii="Calibri" w:hAnsi="Calibri"/>
          <w:rtl/>
        </w:rPr>
        <w:t xml:space="preserve"> </w:t>
      </w:r>
    </w:p>
    <w:p w14:paraId="201B3E32" w14:textId="77777777" w:rsidR="00AF3CF9" w:rsidRPr="007007F1" w:rsidRDefault="00AF3CF9" w:rsidP="00AF3CF9">
      <w:pPr>
        <w:spacing w:line="360" w:lineRule="auto"/>
        <w:ind w:left="1360" w:hanging="680"/>
        <w:jc w:val="both"/>
        <w:rPr>
          <w:rFonts w:ascii="Calibri" w:hAnsi="Calibri"/>
        </w:rPr>
      </w:pPr>
    </w:p>
    <w:p w14:paraId="502DCE58" w14:textId="77777777" w:rsidR="00AF3CF9" w:rsidRPr="007007F1" w:rsidRDefault="00AF3CF9" w:rsidP="00AF3CF9">
      <w:pPr>
        <w:spacing w:line="360" w:lineRule="auto"/>
        <w:ind w:left="1360" w:hanging="680"/>
        <w:jc w:val="both"/>
        <w:rPr>
          <w:rFonts w:ascii="Calibri" w:hAnsi="Calibri"/>
        </w:rPr>
      </w:pPr>
      <w:r w:rsidRPr="007007F1">
        <w:rPr>
          <w:rFonts w:ascii="Calibri" w:hAnsi="Calibri"/>
          <w:rtl/>
        </w:rPr>
        <w:t>ד.</w:t>
      </w:r>
      <w:r w:rsidRPr="007007F1">
        <w:rPr>
          <w:rFonts w:ascii="Calibri" w:hAnsi="Calibri"/>
          <w:rtl/>
        </w:rPr>
        <w:tab/>
      </w:r>
      <w:hyperlink r:id="rId29" w:history="1">
        <w:r w:rsidR="00074993" w:rsidRPr="00074993">
          <w:rPr>
            <w:rFonts w:ascii="Calibri" w:hAnsi="Calibri" w:hint="eastAsia"/>
            <w:color w:val="0000FF"/>
            <w:u w:val="single"/>
            <w:rtl/>
          </w:rPr>
          <w:t>ת</w:t>
        </w:r>
        <w:r w:rsidR="00074993" w:rsidRPr="00074993">
          <w:rPr>
            <w:rFonts w:ascii="Calibri" w:hAnsi="Calibri"/>
            <w:color w:val="0000FF"/>
            <w:u w:val="single"/>
            <w:rtl/>
          </w:rPr>
          <w:t>"</w:t>
        </w:r>
        <w:r w:rsidR="00074993" w:rsidRPr="00074993">
          <w:rPr>
            <w:rFonts w:ascii="Calibri" w:hAnsi="Calibri" w:hint="eastAsia"/>
            <w:color w:val="0000FF"/>
            <w:u w:val="single"/>
            <w:rtl/>
          </w:rPr>
          <w:t>פ</w:t>
        </w:r>
        <w:r w:rsidR="00074993" w:rsidRPr="00074993">
          <w:rPr>
            <w:rFonts w:ascii="Calibri" w:hAnsi="Calibri"/>
            <w:color w:val="0000FF"/>
            <w:u w:val="single"/>
            <w:rtl/>
          </w:rPr>
          <w:t xml:space="preserve"> (</w:t>
        </w:r>
        <w:r w:rsidR="00074993" w:rsidRPr="00074993">
          <w:rPr>
            <w:rFonts w:ascii="Calibri" w:hAnsi="Calibri" w:hint="eastAsia"/>
            <w:color w:val="0000FF"/>
            <w:u w:val="single"/>
            <w:rtl/>
          </w:rPr>
          <w:t>מחוזי</w:t>
        </w:r>
        <w:r w:rsidR="00074993" w:rsidRPr="00074993">
          <w:rPr>
            <w:rFonts w:ascii="Calibri" w:hAnsi="Calibri"/>
            <w:color w:val="0000FF"/>
            <w:u w:val="single"/>
            <w:rtl/>
          </w:rPr>
          <w:t xml:space="preserve"> </w:t>
        </w:r>
        <w:r w:rsidR="00074993" w:rsidRPr="00074993">
          <w:rPr>
            <w:rFonts w:ascii="Calibri" w:hAnsi="Calibri" w:hint="eastAsia"/>
            <w:color w:val="0000FF"/>
            <w:u w:val="single"/>
            <w:rtl/>
          </w:rPr>
          <w:t>ב</w:t>
        </w:r>
        <w:r w:rsidR="00074993" w:rsidRPr="00074993">
          <w:rPr>
            <w:rFonts w:ascii="Calibri" w:hAnsi="Calibri"/>
            <w:color w:val="0000FF"/>
            <w:u w:val="single"/>
            <w:rtl/>
          </w:rPr>
          <w:t>"</w:t>
        </w:r>
        <w:r w:rsidR="00074993" w:rsidRPr="00074993">
          <w:rPr>
            <w:rFonts w:ascii="Calibri" w:hAnsi="Calibri" w:hint="eastAsia"/>
            <w:color w:val="0000FF"/>
            <w:u w:val="single"/>
            <w:rtl/>
          </w:rPr>
          <w:t>ש</w:t>
        </w:r>
        <w:r w:rsidR="00074993" w:rsidRPr="00074993">
          <w:rPr>
            <w:rFonts w:ascii="Calibri" w:hAnsi="Calibri"/>
            <w:color w:val="0000FF"/>
            <w:u w:val="single"/>
            <w:rtl/>
          </w:rPr>
          <w:t>) 18039-10-21</w:t>
        </w:r>
      </w:hyperlink>
      <w:r w:rsidRPr="007007F1">
        <w:rPr>
          <w:rFonts w:ascii="Calibri" w:hAnsi="Calibri"/>
          <w:rtl/>
        </w:rPr>
        <w:t xml:space="preserve"> </w:t>
      </w:r>
      <w:r w:rsidRPr="007007F1">
        <w:rPr>
          <w:rFonts w:ascii="Calibri" w:hAnsi="Calibri"/>
          <w:b/>
          <w:bCs/>
          <w:rtl/>
        </w:rPr>
        <w:t>מדינת ישראל נ' שניור</w:t>
      </w:r>
      <w:r w:rsidRPr="007007F1">
        <w:rPr>
          <w:rFonts w:ascii="Calibri" w:hAnsi="Calibri"/>
          <w:rtl/>
        </w:rPr>
        <w:t>, 15/1/2023: הנאשם הורשע בשתי עבירות של סחר בנשק, לאחר שמכר לסוכן משטרתי בשתי הזדמנויות שני אקדחים, מחסנית ותחמושת. נקבע כי מתחם העונש ההולם נע בין 40 לבין 60 חודשי מאסר בפועל.</w:t>
      </w:r>
    </w:p>
    <w:p w14:paraId="0851D911" w14:textId="77777777" w:rsidR="00AF3CF9" w:rsidRPr="007007F1" w:rsidRDefault="00AF3CF9" w:rsidP="00AF3CF9">
      <w:pPr>
        <w:spacing w:line="360" w:lineRule="auto"/>
        <w:ind w:left="1360" w:hanging="680"/>
        <w:jc w:val="both"/>
        <w:rPr>
          <w:rFonts w:ascii="Calibri" w:hAnsi="Calibri"/>
        </w:rPr>
      </w:pPr>
    </w:p>
    <w:p w14:paraId="47012583" w14:textId="77777777" w:rsidR="00AF3CF9" w:rsidRPr="007007F1" w:rsidRDefault="00AF3CF9" w:rsidP="00AF3CF9">
      <w:pPr>
        <w:spacing w:line="360" w:lineRule="auto"/>
        <w:ind w:left="1360" w:hanging="680"/>
        <w:jc w:val="both"/>
        <w:rPr>
          <w:rFonts w:ascii="Calibri" w:hAnsi="Calibri"/>
          <w:b/>
          <w:bCs/>
          <w:rtl/>
        </w:rPr>
      </w:pPr>
      <w:r w:rsidRPr="007007F1">
        <w:rPr>
          <w:rFonts w:ascii="Calibri" w:hAnsi="Calibri"/>
          <w:rtl/>
        </w:rPr>
        <w:t>ה.</w:t>
      </w:r>
      <w:r w:rsidRPr="007007F1">
        <w:rPr>
          <w:rFonts w:ascii="Calibri" w:hAnsi="Calibri"/>
          <w:rtl/>
        </w:rPr>
        <w:tab/>
      </w:r>
      <w:hyperlink r:id="rId30" w:history="1">
        <w:r w:rsidR="00074993" w:rsidRPr="00074993">
          <w:rPr>
            <w:rFonts w:ascii="Calibri" w:hAnsi="Calibri" w:hint="eastAsia"/>
            <w:color w:val="0000FF"/>
            <w:u w:val="single"/>
            <w:rtl/>
          </w:rPr>
          <w:t>ת</w:t>
        </w:r>
        <w:r w:rsidR="00074993" w:rsidRPr="00074993">
          <w:rPr>
            <w:rFonts w:ascii="Calibri" w:hAnsi="Calibri"/>
            <w:color w:val="0000FF"/>
            <w:u w:val="single"/>
            <w:rtl/>
          </w:rPr>
          <w:t>"</w:t>
        </w:r>
        <w:r w:rsidR="00074993" w:rsidRPr="00074993">
          <w:rPr>
            <w:rFonts w:ascii="Calibri" w:hAnsi="Calibri" w:hint="eastAsia"/>
            <w:color w:val="0000FF"/>
            <w:u w:val="single"/>
            <w:rtl/>
          </w:rPr>
          <w:t>פ</w:t>
        </w:r>
        <w:r w:rsidR="00074993" w:rsidRPr="00074993">
          <w:rPr>
            <w:rFonts w:ascii="Calibri" w:hAnsi="Calibri"/>
            <w:color w:val="0000FF"/>
            <w:u w:val="single"/>
            <w:rtl/>
          </w:rPr>
          <w:t xml:space="preserve"> (</w:t>
        </w:r>
        <w:r w:rsidR="00074993" w:rsidRPr="00074993">
          <w:rPr>
            <w:rFonts w:ascii="Calibri" w:hAnsi="Calibri" w:hint="eastAsia"/>
            <w:color w:val="0000FF"/>
            <w:u w:val="single"/>
            <w:rtl/>
          </w:rPr>
          <w:t>מחוזי</w:t>
        </w:r>
        <w:r w:rsidR="00074993" w:rsidRPr="00074993">
          <w:rPr>
            <w:rFonts w:ascii="Calibri" w:hAnsi="Calibri"/>
            <w:color w:val="0000FF"/>
            <w:u w:val="single"/>
            <w:rtl/>
          </w:rPr>
          <w:t xml:space="preserve"> </w:t>
        </w:r>
        <w:r w:rsidR="00074993" w:rsidRPr="00074993">
          <w:rPr>
            <w:rFonts w:ascii="Calibri" w:hAnsi="Calibri" w:hint="eastAsia"/>
            <w:color w:val="0000FF"/>
            <w:u w:val="single"/>
            <w:rtl/>
          </w:rPr>
          <w:t>ירושלים</w:t>
        </w:r>
        <w:r w:rsidR="00074993" w:rsidRPr="00074993">
          <w:rPr>
            <w:rFonts w:ascii="Calibri" w:hAnsi="Calibri"/>
            <w:color w:val="0000FF"/>
            <w:u w:val="single"/>
            <w:rtl/>
          </w:rPr>
          <w:t>) 69933-03-23</w:t>
        </w:r>
      </w:hyperlink>
      <w:r w:rsidRPr="007007F1">
        <w:rPr>
          <w:rFonts w:ascii="Calibri" w:hAnsi="Calibri"/>
          <w:rtl/>
        </w:rPr>
        <w:t xml:space="preserve"> </w:t>
      </w:r>
      <w:r w:rsidRPr="007007F1">
        <w:rPr>
          <w:rFonts w:ascii="Calibri" w:hAnsi="Calibri"/>
          <w:b/>
          <w:bCs/>
          <w:rtl/>
        </w:rPr>
        <w:t>מדינת ישראל נ' מוחמד ג'ומעה</w:t>
      </w:r>
      <w:r w:rsidRPr="007007F1">
        <w:rPr>
          <w:rFonts w:ascii="Calibri" w:hAnsi="Calibri"/>
          <w:rtl/>
        </w:rPr>
        <w:t xml:space="preserve">, 30/6/2024: הנאשם הורשע בעבירות של סחר בנשק וניסיון לסחר נשק. אדם אחר ניהל מו"מ עם סוכן משטרתי, שלח לו תמונה של אקדח וביקש תמורתו 22,000 ₪. האחר אמר לסוכן שהנאשם יביא את האקדח למקום המפגש. לאחר תיאום בין הנאשם לסוכן הם נפגשו. הנאשם מסר לסוכן אקדח הזנקה מוסב לירי קליעים ומחסנית, אך סירב לבקשת הסוכן לבצע ירי. הנאשם התקשר לאחר, ולאחר מכן אמר לו שהוסכם שהסוכן ייסע לבד לקרבת מקום לבצע ירי. לאחר הירי הסוכן שילם לנאשם 21,000 ₪. במקרה אחר, האחר סיכם עם הסוכן למכור לו </w:t>
      </w:r>
      <w:r w:rsidRPr="007007F1">
        <w:rPr>
          <w:rFonts w:ascii="David" w:hAnsi="David"/>
          <w:sz w:val="20"/>
          <w:szCs w:val="20"/>
        </w:rPr>
        <w:t>M</w:t>
      </w:r>
      <w:r w:rsidRPr="007007F1">
        <w:rPr>
          <w:rFonts w:ascii="David" w:hAnsi="David"/>
        </w:rPr>
        <w:t>16</w:t>
      </w:r>
      <w:r w:rsidRPr="007007F1">
        <w:rPr>
          <w:rFonts w:ascii="Calibri" w:hAnsi="Calibri"/>
          <w:rtl/>
        </w:rPr>
        <w:t xml:space="preserve"> בתמורה לסך 43,000 ₪, והסכימו שהסוכן יאסוף את הנשק מהנאשם. הנאשם נעצר כאשר המתין לסוכן, וברשותו נשק מפורק דמוי רובה סער </w:t>
      </w:r>
      <w:r w:rsidRPr="007007F1">
        <w:rPr>
          <w:rFonts w:ascii="David" w:hAnsi="David"/>
          <w:sz w:val="20"/>
          <w:szCs w:val="20"/>
        </w:rPr>
        <w:t>M</w:t>
      </w:r>
      <w:r w:rsidRPr="007007F1">
        <w:rPr>
          <w:rFonts w:ascii="David" w:hAnsi="David"/>
        </w:rPr>
        <w:t>16</w:t>
      </w:r>
      <w:r w:rsidRPr="007007F1">
        <w:rPr>
          <w:rFonts w:cs="Times New Roman"/>
          <w:rtl/>
        </w:rPr>
        <w:t xml:space="preserve"> </w:t>
      </w:r>
      <w:r w:rsidRPr="007007F1">
        <w:rPr>
          <w:rFonts w:ascii="Calibri" w:hAnsi="Calibri"/>
          <w:rtl/>
        </w:rPr>
        <w:t>שהוסב לירי תחמושת בקליבר 5.56 מ"מ ומכיל חלקי כלי נשק תקניים. המתחם נקבע בין 42 ועד 64 חודשי מאסר: "</w:t>
      </w:r>
      <w:r w:rsidRPr="007007F1">
        <w:rPr>
          <w:rFonts w:ascii="Calibri" w:hAnsi="Calibri"/>
          <w:b/>
          <w:bCs/>
          <w:rtl/>
        </w:rPr>
        <w:t>בפרט בשים לב לחלקו של הנאשם בעסקה, כשלא הוא היה מקור הנשק, לא הוא היה זה שתיאם את העסקה ולא הוא זה שקיבל את התמורה, אלא רק תמורת תיווך של כ-500 ₪, ובשים לב לטיבם של כלי הנשק...</w:t>
      </w:r>
      <w:r w:rsidRPr="007007F1">
        <w:rPr>
          <w:rFonts w:ascii="Calibri" w:hAnsi="Calibri"/>
          <w:rtl/>
        </w:rPr>
        <w:t>".</w:t>
      </w:r>
    </w:p>
    <w:p w14:paraId="1208DF3F" w14:textId="77777777" w:rsidR="00AF3CF9" w:rsidRPr="007007F1" w:rsidRDefault="00AF3CF9" w:rsidP="00AF3CF9">
      <w:pPr>
        <w:spacing w:line="360" w:lineRule="auto"/>
        <w:ind w:left="1360" w:hanging="680"/>
        <w:jc w:val="both"/>
        <w:rPr>
          <w:rFonts w:ascii="Calibri" w:hAnsi="Calibri"/>
          <w:rtl/>
        </w:rPr>
      </w:pPr>
    </w:p>
    <w:p w14:paraId="79692064" w14:textId="77777777" w:rsidR="00AF3CF9" w:rsidRPr="007007F1" w:rsidRDefault="00AF3CF9" w:rsidP="00AF3CF9">
      <w:pPr>
        <w:spacing w:line="360" w:lineRule="auto"/>
        <w:ind w:left="1360" w:hanging="680"/>
        <w:jc w:val="both"/>
        <w:rPr>
          <w:rFonts w:ascii="Calibri" w:hAnsi="Calibri"/>
          <w:rtl/>
        </w:rPr>
      </w:pPr>
      <w:r w:rsidRPr="007007F1">
        <w:rPr>
          <w:rFonts w:ascii="Calibri" w:hAnsi="Calibri"/>
          <w:rtl/>
        </w:rPr>
        <w:t>ו.</w:t>
      </w:r>
      <w:r w:rsidRPr="007007F1">
        <w:rPr>
          <w:rFonts w:ascii="Calibri" w:hAnsi="Calibri"/>
          <w:rtl/>
        </w:rPr>
        <w:tab/>
      </w:r>
      <w:hyperlink r:id="rId31" w:history="1">
        <w:r w:rsidR="00074993" w:rsidRPr="00074993">
          <w:rPr>
            <w:rFonts w:ascii="Calibri" w:hAnsi="Calibri" w:hint="eastAsia"/>
            <w:color w:val="0000FF"/>
            <w:u w:val="single"/>
            <w:rtl/>
          </w:rPr>
          <w:t>ת</w:t>
        </w:r>
        <w:r w:rsidR="00074993" w:rsidRPr="00074993">
          <w:rPr>
            <w:rFonts w:ascii="Calibri" w:hAnsi="Calibri"/>
            <w:color w:val="0000FF"/>
            <w:u w:val="single"/>
            <w:rtl/>
          </w:rPr>
          <w:t>"</w:t>
        </w:r>
        <w:r w:rsidR="00074993" w:rsidRPr="00074993">
          <w:rPr>
            <w:rFonts w:ascii="Calibri" w:hAnsi="Calibri" w:hint="eastAsia"/>
            <w:color w:val="0000FF"/>
            <w:u w:val="single"/>
            <w:rtl/>
          </w:rPr>
          <w:t>פ</w:t>
        </w:r>
        <w:r w:rsidR="00074993" w:rsidRPr="00074993">
          <w:rPr>
            <w:rFonts w:ascii="Calibri" w:hAnsi="Calibri"/>
            <w:color w:val="0000FF"/>
            <w:u w:val="single"/>
            <w:rtl/>
          </w:rPr>
          <w:t xml:space="preserve"> (</w:t>
        </w:r>
        <w:r w:rsidR="00074993" w:rsidRPr="00074993">
          <w:rPr>
            <w:rFonts w:ascii="Calibri" w:hAnsi="Calibri" w:hint="eastAsia"/>
            <w:color w:val="0000FF"/>
            <w:u w:val="single"/>
            <w:rtl/>
          </w:rPr>
          <w:t>מחוזי</w:t>
        </w:r>
        <w:r w:rsidR="00074993" w:rsidRPr="00074993">
          <w:rPr>
            <w:rFonts w:ascii="Calibri" w:hAnsi="Calibri"/>
            <w:color w:val="0000FF"/>
            <w:u w:val="single"/>
            <w:rtl/>
          </w:rPr>
          <w:t xml:space="preserve"> </w:t>
        </w:r>
        <w:r w:rsidR="00074993" w:rsidRPr="00074993">
          <w:rPr>
            <w:rFonts w:ascii="Calibri" w:hAnsi="Calibri" w:hint="eastAsia"/>
            <w:color w:val="0000FF"/>
            <w:u w:val="single"/>
            <w:rtl/>
          </w:rPr>
          <w:t>ירושלים</w:t>
        </w:r>
        <w:r w:rsidR="00074993" w:rsidRPr="00074993">
          <w:rPr>
            <w:rFonts w:ascii="Calibri" w:hAnsi="Calibri"/>
            <w:color w:val="0000FF"/>
            <w:u w:val="single"/>
            <w:rtl/>
          </w:rPr>
          <w:t>) 37722-09-23</w:t>
        </w:r>
      </w:hyperlink>
      <w:r w:rsidRPr="007007F1">
        <w:rPr>
          <w:rFonts w:ascii="Calibri" w:hAnsi="Calibri"/>
          <w:rtl/>
        </w:rPr>
        <w:t xml:space="preserve"> </w:t>
      </w:r>
      <w:r w:rsidRPr="007007F1">
        <w:rPr>
          <w:rFonts w:ascii="Calibri" w:hAnsi="Calibri"/>
          <w:b/>
          <w:bCs/>
          <w:rtl/>
        </w:rPr>
        <w:t>מדינת ישראל נ' נמרי</w:t>
      </w:r>
      <w:r w:rsidRPr="007007F1">
        <w:rPr>
          <w:rFonts w:ascii="Calibri" w:hAnsi="Calibri"/>
          <w:rtl/>
        </w:rPr>
        <w:t>, 2/6/2024: גזר דין שניתן נגד שני נאשמים, אב ובנו. האב, נאשם 2, עמד בקשר עם הסוכן והפנה אליו את הבן, נאשם 1, שמכר לסוכן אקדח תקני, מחסנית תואמת וארבעה כדורים, בתמורה לסך של 38,000 ₪. נאשם 2 לא נכח בפגישה בה העסקה בוצעה. נקבע כי מתחם העונש ההולם למעשיו של נאשם 1 נע בין 30 חודשי מאסר בפועל לבין 60 חודשי מאסר בפועל, ולמעשיו של נאשם 2 בין 20 לבין 40 חודשי מאסר בפועל.</w:t>
      </w:r>
    </w:p>
    <w:p w14:paraId="510C987C" w14:textId="77777777" w:rsidR="00AF3CF9" w:rsidRPr="007007F1" w:rsidRDefault="00AF3CF9" w:rsidP="00AF3CF9">
      <w:pPr>
        <w:spacing w:line="360" w:lineRule="auto"/>
        <w:ind w:left="720"/>
        <w:contextualSpacing/>
        <w:jc w:val="both"/>
        <w:rPr>
          <w:rFonts w:ascii="Calibri" w:eastAsia="Calibri" w:hAnsi="Calibri"/>
        </w:rPr>
      </w:pPr>
    </w:p>
    <w:p w14:paraId="6B42A622" w14:textId="77777777" w:rsidR="00AF3CF9" w:rsidRPr="007007F1" w:rsidRDefault="00AF3CF9" w:rsidP="00AF3CF9">
      <w:pPr>
        <w:spacing w:line="360" w:lineRule="auto"/>
        <w:ind w:left="680" w:hanging="680"/>
        <w:jc w:val="both"/>
        <w:rPr>
          <w:rFonts w:ascii="David" w:hAnsi="David"/>
          <w:u w:val="single"/>
          <w:rtl/>
        </w:rPr>
      </w:pPr>
      <w:r w:rsidRPr="007007F1">
        <w:rPr>
          <w:rFonts w:ascii="David" w:hAnsi="David"/>
          <w:rtl/>
        </w:rPr>
        <w:t>37.</w:t>
      </w:r>
      <w:r w:rsidRPr="007007F1">
        <w:rPr>
          <w:rFonts w:ascii="David" w:hAnsi="David"/>
          <w:rtl/>
        </w:rPr>
        <w:tab/>
        <w:t>לאור כל המפורט לעיל בדבר הערכים החברתיים שנפגעו מביצוע העבירות, מידת הפגיעה בהם, מדיניות הענישה הנהוגה והנסיבות הקשורות בביצוע העבירות, אני סבור כי מתחם העונש ההולם למעשיו של הנאשם נע בין 46 חודשי מאסר בפועל לבין 69 חודשי מאסר בפועל.</w:t>
      </w:r>
    </w:p>
    <w:p w14:paraId="76EC656D" w14:textId="77777777" w:rsidR="00AF3CF9" w:rsidRPr="007007F1" w:rsidRDefault="00AF3CF9" w:rsidP="00AF3CF9">
      <w:pPr>
        <w:spacing w:line="360" w:lineRule="auto"/>
        <w:ind w:left="680" w:hanging="680"/>
        <w:jc w:val="both"/>
        <w:rPr>
          <w:rFonts w:ascii="David" w:hAnsi="David"/>
          <w:u w:val="single"/>
          <w:rtl/>
        </w:rPr>
      </w:pPr>
    </w:p>
    <w:p w14:paraId="65FC0932" w14:textId="77777777" w:rsidR="00AF3CF9" w:rsidRPr="007007F1" w:rsidRDefault="00AF3CF9" w:rsidP="00AF3CF9">
      <w:pPr>
        <w:spacing w:line="360" w:lineRule="auto"/>
        <w:jc w:val="both"/>
        <w:outlineLvl w:val="1"/>
        <w:rPr>
          <w:rFonts w:ascii="Calibri" w:hAnsi="Calibri"/>
          <w:rtl/>
        </w:rPr>
      </w:pPr>
      <w:r w:rsidRPr="007007F1">
        <w:rPr>
          <w:rFonts w:ascii="Calibri" w:hAnsi="Calibri"/>
          <w:u w:val="single"/>
          <w:rtl/>
        </w:rPr>
        <w:t>העונש המתאים לנאשם</w:t>
      </w:r>
      <w:r w:rsidRPr="007007F1">
        <w:rPr>
          <w:rFonts w:ascii="Calibri" w:hAnsi="Calibri"/>
          <w:rtl/>
        </w:rPr>
        <w:t>:</w:t>
      </w:r>
    </w:p>
    <w:p w14:paraId="10F9B416"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38.</w:t>
      </w:r>
      <w:r w:rsidRPr="007007F1">
        <w:rPr>
          <w:rFonts w:ascii="David" w:hAnsi="David"/>
          <w:rtl/>
        </w:rPr>
        <w:tab/>
        <w:t xml:space="preserve">לצורך קביעת העונש המתאים לנאשם בתוך מתחם הענישה שנקבע יש להביא בחשבון, לטובתו של הנאשם, את הודאתו בשלב מוקדם מאוד של ההליך הפלילי, עוד במסגרת הדיון המקדמי. יש בכך כדי לתמוך בדבריו בבית המשפט, כי הוא מכיר בטעותו ומתחייב שלא לחזור על מעשיו, ולבסס תקווה כי הוא אכן יימנע מלשוב ולעבור עבירות דומות לאחר שירצה את עונשו. עוד עומדים לטובתו של הנאשם עברו הפלילי הנקי, ואורח החיים המתפקד שניהל עד לביצוע העבירות. </w:t>
      </w:r>
    </w:p>
    <w:p w14:paraId="567E5934" w14:textId="77777777" w:rsidR="00AF3CF9" w:rsidRPr="007007F1" w:rsidRDefault="00AF3CF9" w:rsidP="00AF3CF9">
      <w:pPr>
        <w:spacing w:line="360" w:lineRule="auto"/>
        <w:ind w:left="680" w:hanging="680"/>
        <w:jc w:val="both"/>
        <w:rPr>
          <w:rFonts w:ascii="David" w:hAnsi="David"/>
          <w:rtl/>
        </w:rPr>
      </w:pPr>
    </w:p>
    <w:p w14:paraId="4830F5FC"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39.</w:t>
      </w:r>
      <w:r w:rsidRPr="007007F1">
        <w:rPr>
          <w:rFonts w:ascii="David" w:hAnsi="David"/>
          <w:rtl/>
        </w:rPr>
        <w:tab/>
        <w:t>לחובתו של הנאשם עומדת הימנעותו מלקבל עליו אחריות מלאה למעשיו, כפי שבא לידי ביטוי בנטייתו לצמצם ולהפחית ממידת אחריותו ומחומרת העבירות, ובנטייתו לאמץ עמדה קורבנית, כמפורט בתסקיר.</w:t>
      </w:r>
    </w:p>
    <w:p w14:paraId="19599313" w14:textId="77777777" w:rsidR="00AF3CF9" w:rsidRPr="007007F1" w:rsidRDefault="00AF3CF9" w:rsidP="00AF3CF9">
      <w:pPr>
        <w:spacing w:line="360" w:lineRule="auto"/>
        <w:ind w:left="680" w:hanging="680"/>
        <w:jc w:val="both"/>
        <w:rPr>
          <w:rFonts w:ascii="David" w:hAnsi="David"/>
          <w:rtl/>
        </w:rPr>
      </w:pPr>
    </w:p>
    <w:p w14:paraId="1C6C012B"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40.</w:t>
      </w:r>
      <w:r w:rsidRPr="007007F1">
        <w:rPr>
          <w:rFonts w:ascii="David" w:hAnsi="David"/>
          <w:rtl/>
        </w:rPr>
        <w:tab/>
        <w:t xml:space="preserve">בסופו של דבר, אני מוצא לתת משקל רב יותר לשיקולים האמורים לקולה, ולהטיל על הנאשם עונש המצוי בחלקו התחתון של מתחם העונש ההולם, גם אם לא ברף התחתון. </w:t>
      </w:r>
    </w:p>
    <w:p w14:paraId="76758A1C" w14:textId="77777777" w:rsidR="00AF3CF9" w:rsidRPr="007007F1" w:rsidRDefault="00AF3CF9" w:rsidP="00AF3CF9">
      <w:pPr>
        <w:spacing w:line="360" w:lineRule="auto"/>
        <w:ind w:left="680" w:hanging="680"/>
        <w:jc w:val="both"/>
        <w:rPr>
          <w:rFonts w:ascii="David" w:hAnsi="David"/>
          <w:rtl/>
        </w:rPr>
      </w:pPr>
    </w:p>
    <w:p w14:paraId="16405CEB" w14:textId="77777777" w:rsidR="00AF3CF9" w:rsidRPr="007007F1" w:rsidRDefault="00AF3CF9" w:rsidP="00AF3CF9">
      <w:pPr>
        <w:spacing w:line="360" w:lineRule="auto"/>
        <w:jc w:val="both"/>
        <w:outlineLvl w:val="1"/>
        <w:rPr>
          <w:rFonts w:ascii="Calibri" w:hAnsi="Calibri"/>
          <w:u w:val="single"/>
          <w:rtl/>
        </w:rPr>
      </w:pPr>
      <w:r w:rsidRPr="007007F1">
        <w:rPr>
          <w:rFonts w:ascii="Calibri" w:hAnsi="Calibri"/>
          <w:u w:val="single"/>
          <w:rtl/>
        </w:rPr>
        <w:t>סוגיית הקביעה כי הנאשם ניהל אורח חיים המבוסס על שימוש בתקבולי עבירה:</w:t>
      </w:r>
    </w:p>
    <w:p w14:paraId="3E3969E1"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41.</w:t>
      </w:r>
      <w:r w:rsidRPr="007007F1">
        <w:rPr>
          <w:rFonts w:ascii="David" w:hAnsi="David"/>
          <w:rtl/>
        </w:rPr>
        <w:tab/>
        <w:t>בתיקון ל</w:t>
      </w:r>
      <w:hyperlink r:id="rId32" w:history="1">
        <w:r w:rsidR="00074993" w:rsidRPr="00074993">
          <w:rPr>
            <w:rFonts w:ascii="David" w:hAnsi="David"/>
            <w:color w:val="0000FF"/>
            <w:u w:val="single"/>
            <w:rtl/>
          </w:rPr>
          <w:t>חוק העונשין</w:t>
        </w:r>
      </w:hyperlink>
      <w:r w:rsidRPr="007007F1">
        <w:rPr>
          <w:rFonts w:ascii="David" w:hAnsi="David"/>
          <w:rtl/>
        </w:rPr>
        <w:t xml:space="preserve"> משנת 2023 הוסף </w:t>
      </w:r>
      <w:hyperlink r:id="rId33" w:history="1">
        <w:r w:rsidR="002E41CC" w:rsidRPr="002E41CC">
          <w:rPr>
            <w:rStyle w:val="Hyperlink"/>
            <w:rFonts w:ascii="David" w:hAnsi="David"/>
            <w:color w:val="0000FF"/>
            <w:rtl/>
          </w:rPr>
          <w:t>סעיף 144(ט)</w:t>
        </w:r>
      </w:hyperlink>
      <w:r w:rsidRPr="007007F1">
        <w:rPr>
          <w:rFonts w:ascii="David" w:hAnsi="David"/>
          <w:rtl/>
        </w:rPr>
        <w:t>, המסמיך את בית המשפט לקבוע, לבקשת תובע, כי נאשם שהורשע בעבירה של סחר בנשק ניהל אורח חיים המבוסס על שימוש בתקבולי עבירה. קביעה כאמור אפשרית בהתקיים אחת החלופות הבאות: העבירה בוצעה לגבי יותר מנשק אחד; הנאשם הורשע בעבירה נוספת של ייצוא, ייבוא, ייצוא או סחר בנשק בשש השנים שקדמו להרשעה באותה עבירה; העבירה נעברה בזיקה לארגון פשיעה כהגדרתו ב</w:t>
      </w:r>
      <w:hyperlink r:id="rId34" w:history="1">
        <w:r w:rsidR="00074993" w:rsidRPr="00074993">
          <w:rPr>
            <w:rFonts w:ascii="David" w:hAnsi="David"/>
            <w:color w:val="0000FF"/>
            <w:u w:val="single"/>
            <w:rtl/>
          </w:rPr>
          <w:t>חוק מאבק בארגוני פשיעה</w:t>
        </w:r>
      </w:hyperlink>
      <w:r w:rsidRPr="007007F1">
        <w:rPr>
          <w:rFonts w:ascii="David" w:hAnsi="David"/>
          <w:rtl/>
        </w:rPr>
        <w:t xml:space="preserve">, התשס"ג-2003; שווי תקבולי העבירה הוא 50,000 ₪ או יותר. </w:t>
      </w:r>
      <w:hyperlink r:id="rId35" w:history="1">
        <w:r w:rsidR="002E41CC" w:rsidRPr="002E41CC">
          <w:rPr>
            <w:rStyle w:val="Hyperlink"/>
            <w:rFonts w:ascii="David" w:hAnsi="David" w:hint="eastAsia"/>
            <w:color w:val="0000FF"/>
            <w:rtl/>
          </w:rPr>
          <w:t>סעיף</w:t>
        </w:r>
        <w:r w:rsidR="002E41CC" w:rsidRPr="002E41CC">
          <w:rPr>
            <w:rStyle w:val="Hyperlink"/>
            <w:rFonts w:ascii="David" w:hAnsi="David"/>
            <w:color w:val="0000FF"/>
            <w:rtl/>
          </w:rPr>
          <w:t xml:space="preserve"> 144(י)</w:t>
        </w:r>
      </w:hyperlink>
      <w:r>
        <w:rPr>
          <w:rFonts w:ascii="David" w:hAnsi="David" w:hint="cs"/>
          <w:rtl/>
        </w:rPr>
        <w:t xml:space="preserve"> ב</w:t>
      </w:r>
      <w:hyperlink r:id="rId36" w:history="1">
        <w:r w:rsidR="00074993" w:rsidRPr="00074993">
          <w:rPr>
            <w:rFonts w:ascii="David" w:hAnsi="David"/>
            <w:color w:val="0000FF"/>
            <w:u w:val="single"/>
            <w:rtl/>
          </w:rPr>
          <w:t>חוק העונשין</w:t>
        </w:r>
      </w:hyperlink>
      <w:r>
        <w:rPr>
          <w:rFonts w:ascii="David" w:hAnsi="David" w:hint="cs"/>
          <w:rtl/>
        </w:rPr>
        <w:t xml:space="preserve"> מורה כי </w:t>
      </w:r>
      <w:r w:rsidRPr="007007F1">
        <w:rPr>
          <w:rFonts w:ascii="David" w:hAnsi="David"/>
          <w:rtl/>
        </w:rPr>
        <w:t>אם בית המשפט קבע כאמור, עליו לצוות בגזר הדין על חילוט כל רכוש של הנאשם שהושג בעבירה של ייצוא, ייבוא, ייצוא או סחר בנשק, אלא אם מתקיימות נסיבות הקבועות בחוק.</w:t>
      </w:r>
    </w:p>
    <w:p w14:paraId="3B9FB3A8" w14:textId="77777777" w:rsidR="00AF3CF9" w:rsidRPr="007007F1" w:rsidRDefault="00AF3CF9" w:rsidP="00AF3CF9">
      <w:pPr>
        <w:spacing w:line="360" w:lineRule="auto"/>
        <w:ind w:left="680" w:hanging="680"/>
        <w:jc w:val="both"/>
        <w:rPr>
          <w:rFonts w:ascii="David" w:hAnsi="David"/>
          <w:rtl/>
        </w:rPr>
      </w:pPr>
    </w:p>
    <w:p w14:paraId="78BC027A"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42.</w:t>
      </w:r>
      <w:r w:rsidRPr="007007F1">
        <w:rPr>
          <w:rFonts w:ascii="David" w:hAnsi="David"/>
          <w:rtl/>
        </w:rPr>
        <w:tab/>
        <w:t>קביעה כנזכר לעיל אינה מנדטורית, אלא נתונה לשיקול דעתו של בית המשפט. בפסיקה טרם התוו השיקולים שיישקלו על ידי בית משפט בדונו בבקשה כאמור מטעמו של תובע. כעולה מדברי ההסבר לתיקון החקיקה (הצעת חוק המאבק בכלי הנשק הבלתי חוקיים (תיקון חקיקה וחקיקת שעה), התשפ"ג-2023; ה"ח הכנסת 955), הוא נועד לקבוע הסדר חילוט מיוחד לגבי אדם שהורשע בעבירה של סחר בנשק ומנהל אורח חיים עברייני המבוסס על תקבולי עבירה. במקרה דנן, הגם שמתקיימים שניים מן התנאים המסמיכים את בית המשפט להיעתר לבקשת התובע (העבירה בוצעה ביותר מנשק אחד, והתמורה ששולמה לנאשם עולה על 50,000 ₪), לא מצאתי להיעתר לבקשת המאשימה. זאת, בהינתן האמור בתסקיר בדבר אורח החיים המתפקד שהנאשם ניהל עד לאירועים, המקהה את ההנחה כי הוא ניהל אורח חיים עברייני המבוסס על תקבולי עבירה, ובהתחשב במסקנות העולות מהודאתו בשלב מוקדם של ההליכים, כנזכר לעיל.</w:t>
      </w:r>
    </w:p>
    <w:p w14:paraId="5FB80957" w14:textId="77777777" w:rsidR="00AF3CF9" w:rsidRPr="007007F1" w:rsidRDefault="00AF3CF9" w:rsidP="00AF3CF9">
      <w:pPr>
        <w:spacing w:line="360" w:lineRule="auto"/>
        <w:ind w:left="680" w:hanging="680"/>
        <w:jc w:val="both"/>
        <w:rPr>
          <w:rFonts w:ascii="David" w:hAnsi="David"/>
          <w:rtl/>
        </w:rPr>
      </w:pPr>
    </w:p>
    <w:p w14:paraId="324B34BC" w14:textId="77777777" w:rsidR="00AF3CF9" w:rsidRPr="007007F1" w:rsidRDefault="00AF3CF9" w:rsidP="00AF3CF9">
      <w:pPr>
        <w:spacing w:line="360" w:lineRule="auto"/>
        <w:jc w:val="both"/>
        <w:outlineLvl w:val="1"/>
        <w:rPr>
          <w:rFonts w:ascii="Calibri" w:hAnsi="Calibri"/>
          <w:u w:val="single"/>
          <w:rtl/>
        </w:rPr>
      </w:pPr>
      <w:r w:rsidRPr="007007F1">
        <w:rPr>
          <w:rFonts w:ascii="Calibri" w:hAnsi="Calibri"/>
          <w:u w:val="single"/>
          <w:rtl/>
        </w:rPr>
        <w:t>חילוט הרכב:</w:t>
      </w:r>
    </w:p>
    <w:p w14:paraId="0A32D9E1"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43.</w:t>
      </w:r>
      <w:r w:rsidRPr="007007F1">
        <w:rPr>
          <w:rFonts w:ascii="David" w:hAnsi="David"/>
          <w:rtl/>
        </w:rPr>
        <w:tab/>
        <w:t xml:space="preserve">הנאשם הורשע במספר עבירות חמורות. ההרשעה מתייחסת למעשה עבירה שנעשה ברכב. אין ספק כי הרכב שימש לביצוע העבירה: הוא נכלל במפורש בכתב האישום; והשימוש בו תרם תרומה פיזית אפקטיבית לביצוע העבירות באישום השני, לאחר שהנאשם הגיע למקום באמצעות הרכב (השוו: </w:t>
      </w:r>
      <w:hyperlink r:id="rId37" w:history="1">
        <w:r w:rsidR="00074993" w:rsidRPr="00074993">
          <w:rPr>
            <w:rFonts w:ascii="David" w:hAnsi="David"/>
            <w:color w:val="0000FF"/>
            <w:u w:val="single"/>
            <w:rtl/>
          </w:rPr>
          <w:t>בש"פ 7992/22</w:t>
        </w:r>
      </w:hyperlink>
      <w:r w:rsidRPr="007007F1">
        <w:rPr>
          <w:rFonts w:ascii="David" w:hAnsi="David"/>
          <w:rtl/>
        </w:rPr>
        <w:t xml:space="preserve"> </w:t>
      </w:r>
      <w:r w:rsidRPr="007007F1">
        <w:rPr>
          <w:rFonts w:ascii="David" w:hAnsi="David"/>
          <w:b/>
          <w:bCs/>
          <w:rtl/>
        </w:rPr>
        <w:t>נורי נ' מדינת ישראל</w:t>
      </w:r>
      <w:r w:rsidRPr="007007F1">
        <w:rPr>
          <w:rFonts w:ascii="David" w:hAnsi="David"/>
          <w:rtl/>
        </w:rPr>
        <w:t>, 1/3/2023). התנגדות ההגנה לחילוט הרכב לא התבססה אלא על כך שלא ניתנה לבעלים הרשום של הרכב, אחיו של הנאשם, זכות טיעון. ברם, כאמור, בינתיים התקבלה עמדתו של הבעלים הרשום, לפיה הוא לא מתנגד לחילוט הרכב. לאור האמור, יש להיעתר לבקשת המאשימה בעניין זה.</w:t>
      </w:r>
    </w:p>
    <w:p w14:paraId="5BDD4E73" w14:textId="77777777" w:rsidR="00AF3CF9" w:rsidRPr="007007F1" w:rsidRDefault="00AF3CF9" w:rsidP="00AF3CF9">
      <w:pPr>
        <w:spacing w:line="360" w:lineRule="auto"/>
        <w:jc w:val="both"/>
        <w:rPr>
          <w:rFonts w:ascii="Calibri" w:eastAsia="Calibri" w:hAnsi="Calibri"/>
          <w:rtl/>
        </w:rPr>
      </w:pPr>
    </w:p>
    <w:p w14:paraId="54177714" w14:textId="77777777" w:rsidR="00AF3CF9" w:rsidRPr="007007F1" w:rsidRDefault="00AF3CF9" w:rsidP="00AF3CF9">
      <w:pPr>
        <w:spacing w:line="360" w:lineRule="auto"/>
        <w:jc w:val="both"/>
        <w:outlineLvl w:val="0"/>
        <w:rPr>
          <w:rFonts w:ascii="Calibri" w:eastAsia="Calibri" w:hAnsi="Calibri"/>
          <w:b/>
          <w:bCs/>
          <w:u w:val="single"/>
          <w:rtl/>
        </w:rPr>
      </w:pPr>
      <w:r w:rsidRPr="007007F1">
        <w:rPr>
          <w:rFonts w:ascii="Calibri" w:eastAsia="Calibri" w:hAnsi="Calibri"/>
          <w:b/>
          <w:bCs/>
          <w:u w:val="single"/>
          <w:rtl/>
        </w:rPr>
        <w:t>התוצאה:</w:t>
      </w:r>
    </w:p>
    <w:p w14:paraId="23402A49" w14:textId="77777777" w:rsidR="00AF3CF9" w:rsidRPr="007007F1" w:rsidRDefault="00AF3CF9" w:rsidP="00AF3CF9">
      <w:pPr>
        <w:spacing w:line="360" w:lineRule="auto"/>
        <w:ind w:left="680" w:hanging="680"/>
        <w:jc w:val="both"/>
        <w:rPr>
          <w:rFonts w:ascii="David" w:eastAsia="Calibri" w:hAnsi="David"/>
          <w:rtl/>
        </w:rPr>
      </w:pPr>
      <w:r w:rsidRPr="007007F1">
        <w:rPr>
          <w:rFonts w:ascii="David" w:hAnsi="David"/>
          <w:rtl/>
        </w:rPr>
        <w:t>44.</w:t>
      </w:r>
      <w:r w:rsidRPr="007007F1">
        <w:rPr>
          <w:rFonts w:ascii="David" w:hAnsi="David"/>
          <w:rtl/>
        </w:rPr>
        <w:tab/>
        <w:t>לאור כל האמור לעיל אני דן את הנאשם לעונשים הבאים:</w:t>
      </w:r>
    </w:p>
    <w:p w14:paraId="6FA2FB33" w14:textId="77777777" w:rsidR="00AF3CF9" w:rsidRPr="007007F1" w:rsidRDefault="00AF3CF9" w:rsidP="00AF3CF9">
      <w:pPr>
        <w:spacing w:line="360" w:lineRule="auto"/>
        <w:ind w:left="680" w:hanging="680"/>
        <w:jc w:val="both"/>
        <w:rPr>
          <w:rFonts w:ascii="David" w:hAnsi="David"/>
          <w:rtl/>
        </w:rPr>
      </w:pPr>
    </w:p>
    <w:p w14:paraId="5A8BB4B5" w14:textId="77777777" w:rsidR="00AF3CF9" w:rsidRPr="007007F1" w:rsidRDefault="00AF3CF9" w:rsidP="00AF3CF9">
      <w:pPr>
        <w:spacing w:line="360" w:lineRule="auto"/>
        <w:ind w:left="1360" w:hanging="680"/>
        <w:jc w:val="both"/>
        <w:rPr>
          <w:rFonts w:ascii="Calibri" w:hAnsi="Calibri"/>
          <w:rtl/>
        </w:rPr>
      </w:pPr>
      <w:r w:rsidRPr="007007F1">
        <w:rPr>
          <w:rFonts w:ascii="Calibri" w:hAnsi="Calibri"/>
          <w:rtl/>
        </w:rPr>
        <w:t>א.</w:t>
      </w:r>
      <w:r w:rsidRPr="007007F1">
        <w:rPr>
          <w:rFonts w:ascii="Calibri" w:hAnsi="Calibri"/>
          <w:rtl/>
        </w:rPr>
        <w:tab/>
        <w:t>מאסר בפועל למשך 49 חודשים, שיימנו החל ממועד מעצרו ביום 21/1/2024.</w:t>
      </w:r>
    </w:p>
    <w:p w14:paraId="3CA07439" w14:textId="77777777" w:rsidR="00AF3CF9" w:rsidRPr="007007F1" w:rsidRDefault="00AF3CF9" w:rsidP="00AF3CF9">
      <w:pPr>
        <w:spacing w:line="360" w:lineRule="auto"/>
        <w:ind w:left="1360" w:hanging="680"/>
        <w:jc w:val="both"/>
        <w:rPr>
          <w:rFonts w:ascii="Calibri" w:hAnsi="Calibri"/>
          <w:rtl/>
        </w:rPr>
      </w:pPr>
    </w:p>
    <w:p w14:paraId="72977AD5" w14:textId="77777777" w:rsidR="00AF3CF9" w:rsidRPr="007007F1" w:rsidRDefault="00AF3CF9" w:rsidP="00AF3CF9">
      <w:pPr>
        <w:spacing w:line="360" w:lineRule="auto"/>
        <w:ind w:left="1360" w:hanging="680"/>
        <w:jc w:val="both"/>
        <w:rPr>
          <w:rFonts w:ascii="Calibri" w:hAnsi="Calibri"/>
          <w:rtl/>
        </w:rPr>
      </w:pPr>
      <w:r w:rsidRPr="007007F1">
        <w:rPr>
          <w:rFonts w:ascii="Calibri" w:hAnsi="Calibri"/>
          <w:rtl/>
        </w:rPr>
        <w:t>ב.</w:t>
      </w:r>
      <w:r w:rsidRPr="007007F1">
        <w:rPr>
          <w:rFonts w:ascii="Calibri" w:hAnsi="Calibri"/>
          <w:rtl/>
        </w:rPr>
        <w:tab/>
        <w:t>מאסר למשך 10 חודשים, וזאת על תנאי למשך שלוש שנים מיום שחרורו ממאסר, אם יעבור עבירה בנשק מסוג פשע.</w:t>
      </w:r>
    </w:p>
    <w:p w14:paraId="38502C33" w14:textId="77777777" w:rsidR="00AF3CF9" w:rsidRPr="007007F1" w:rsidRDefault="00AF3CF9" w:rsidP="00AF3CF9">
      <w:pPr>
        <w:spacing w:line="360" w:lineRule="auto"/>
        <w:ind w:left="1360" w:hanging="680"/>
        <w:jc w:val="both"/>
        <w:rPr>
          <w:rFonts w:ascii="Calibri" w:hAnsi="Calibri"/>
          <w:rtl/>
        </w:rPr>
      </w:pPr>
    </w:p>
    <w:p w14:paraId="76BC6CE0" w14:textId="77777777" w:rsidR="00AF3CF9" w:rsidRPr="007007F1" w:rsidRDefault="00AF3CF9" w:rsidP="00AF3CF9">
      <w:pPr>
        <w:spacing w:line="360" w:lineRule="auto"/>
        <w:ind w:left="1360" w:hanging="680"/>
        <w:jc w:val="both"/>
        <w:rPr>
          <w:rFonts w:ascii="Calibri" w:hAnsi="Calibri"/>
          <w:rtl/>
        </w:rPr>
      </w:pPr>
      <w:r w:rsidRPr="007007F1">
        <w:rPr>
          <w:rFonts w:ascii="Calibri" w:hAnsi="Calibri"/>
          <w:rtl/>
        </w:rPr>
        <w:t>ג.</w:t>
      </w:r>
      <w:r w:rsidRPr="007007F1">
        <w:rPr>
          <w:rFonts w:ascii="Calibri" w:hAnsi="Calibri"/>
          <w:rtl/>
        </w:rPr>
        <w:tab/>
        <w:t>מאסר למשך חמישה חודשים, וזאת על תנאי למשך שלוש שנים מיום שחרורו ממאסר, אם יעבור עבירה בנשק מסוג עוון.</w:t>
      </w:r>
    </w:p>
    <w:p w14:paraId="35A9D11A" w14:textId="77777777" w:rsidR="00AF3CF9" w:rsidRPr="007007F1" w:rsidRDefault="00AF3CF9" w:rsidP="00AF3CF9">
      <w:pPr>
        <w:spacing w:line="360" w:lineRule="auto"/>
        <w:ind w:left="1360" w:hanging="680"/>
        <w:jc w:val="both"/>
        <w:rPr>
          <w:rFonts w:ascii="Calibri" w:hAnsi="Calibri"/>
          <w:rtl/>
        </w:rPr>
      </w:pPr>
    </w:p>
    <w:p w14:paraId="4EC79282" w14:textId="77777777" w:rsidR="00AF3CF9" w:rsidRPr="007007F1" w:rsidRDefault="00AF3CF9" w:rsidP="00AF3CF9">
      <w:pPr>
        <w:spacing w:line="360" w:lineRule="auto"/>
        <w:ind w:left="1360" w:hanging="680"/>
        <w:jc w:val="both"/>
        <w:rPr>
          <w:rFonts w:ascii="Calibri" w:hAnsi="Calibri"/>
          <w:rtl/>
        </w:rPr>
      </w:pPr>
      <w:r>
        <w:rPr>
          <w:rFonts w:ascii="Calibri" w:hAnsi="Calibri" w:hint="cs"/>
          <w:rtl/>
        </w:rPr>
        <w:t>ד</w:t>
      </w:r>
      <w:r>
        <w:rPr>
          <w:rFonts w:ascii="Calibri" w:hAnsi="Calibri"/>
          <w:rtl/>
        </w:rPr>
        <w:t>.</w:t>
      </w:r>
      <w:r>
        <w:rPr>
          <w:rFonts w:ascii="Calibri" w:hAnsi="Calibri"/>
          <w:rtl/>
        </w:rPr>
        <w:tab/>
        <w:t xml:space="preserve">קנס בסך של </w:t>
      </w:r>
      <w:r>
        <w:rPr>
          <w:rFonts w:ascii="Calibri" w:hAnsi="Calibri" w:hint="cs"/>
          <w:rtl/>
        </w:rPr>
        <w:t>4</w:t>
      </w:r>
      <w:r w:rsidRPr="007007F1">
        <w:rPr>
          <w:rFonts w:ascii="Calibri" w:hAnsi="Calibri"/>
          <w:rtl/>
        </w:rPr>
        <w:t>0,000 ₪. הקנס ישולם בעשרה תשלומים שווים ורצופים החל מיום 1/1/2025.</w:t>
      </w:r>
    </w:p>
    <w:p w14:paraId="594C6AAE" w14:textId="77777777" w:rsidR="00AF3CF9" w:rsidRPr="007007F1" w:rsidRDefault="00AF3CF9" w:rsidP="00AF3CF9">
      <w:pPr>
        <w:spacing w:line="360" w:lineRule="auto"/>
        <w:ind w:left="1360" w:hanging="680"/>
        <w:jc w:val="both"/>
        <w:rPr>
          <w:rFonts w:ascii="Calibri" w:hAnsi="Calibri"/>
          <w:rtl/>
        </w:rPr>
      </w:pPr>
    </w:p>
    <w:p w14:paraId="63A56CCD" w14:textId="77777777" w:rsidR="00AF3CF9" w:rsidRPr="007007F1" w:rsidRDefault="00AF3CF9" w:rsidP="00AF3CF9">
      <w:pPr>
        <w:spacing w:line="360" w:lineRule="auto"/>
        <w:ind w:left="1360" w:hanging="680"/>
        <w:jc w:val="both"/>
        <w:rPr>
          <w:rFonts w:ascii="Calibri" w:hAnsi="Calibri"/>
          <w:rtl/>
        </w:rPr>
      </w:pPr>
      <w:r>
        <w:rPr>
          <w:rFonts w:ascii="Calibri" w:hAnsi="Calibri" w:hint="cs"/>
          <w:rtl/>
        </w:rPr>
        <w:t>ה</w:t>
      </w:r>
      <w:r w:rsidRPr="007007F1">
        <w:rPr>
          <w:rFonts w:ascii="Calibri" w:hAnsi="Calibri"/>
          <w:rtl/>
        </w:rPr>
        <w:t>.</w:t>
      </w:r>
      <w:r w:rsidRPr="007007F1">
        <w:rPr>
          <w:rFonts w:ascii="Calibri" w:hAnsi="Calibri"/>
          <w:rtl/>
        </w:rPr>
        <w:tab/>
        <w:t>הרכב יחולט.</w:t>
      </w:r>
    </w:p>
    <w:p w14:paraId="5C4BDB46" w14:textId="77777777" w:rsidR="00AF3CF9" w:rsidRPr="007007F1" w:rsidRDefault="00AF3CF9" w:rsidP="00AF3CF9">
      <w:pPr>
        <w:spacing w:line="360" w:lineRule="auto"/>
        <w:ind w:left="1360" w:hanging="680"/>
        <w:jc w:val="both"/>
        <w:rPr>
          <w:rFonts w:ascii="Calibri" w:hAnsi="Calibri"/>
          <w:rtl/>
        </w:rPr>
      </w:pPr>
    </w:p>
    <w:p w14:paraId="6527EE5C" w14:textId="77777777" w:rsidR="00AF3CF9" w:rsidRPr="007007F1" w:rsidRDefault="00AF3CF9" w:rsidP="00AF3CF9">
      <w:pPr>
        <w:spacing w:line="360" w:lineRule="auto"/>
        <w:ind w:left="1360" w:hanging="680"/>
        <w:jc w:val="both"/>
        <w:rPr>
          <w:rFonts w:ascii="Calibri" w:hAnsi="Calibri"/>
          <w:rtl/>
        </w:rPr>
      </w:pPr>
    </w:p>
    <w:p w14:paraId="47F028C5" w14:textId="77777777" w:rsidR="00AF3CF9" w:rsidRPr="007007F1" w:rsidRDefault="00AF3CF9" w:rsidP="00AF3CF9">
      <w:pPr>
        <w:spacing w:line="360" w:lineRule="auto"/>
        <w:ind w:left="680" w:hanging="680"/>
        <w:jc w:val="both"/>
        <w:rPr>
          <w:rFonts w:ascii="David" w:hAnsi="David"/>
          <w:rtl/>
        </w:rPr>
      </w:pPr>
      <w:r w:rsidRPr="007007F1">
        <w:rPr>
          <w:rFonts w:ascii="David" w:hAnsi="David"/>
          <w:rtl/>
        </w:rPr>
        <w:t>זכות ערעור לבית המשפט העליון בתוך 45 יום מהיום.</w:t>
      </w:r>
    </w:p>
    <w:p w14:paraId="6358F63D" w14:textId="77777777" w:rsidR="00AF3CF9" w:rsidRPr="007007F1" w:rsidRDefault="00AF3CF9" w:rsidP="00AF3CF9">
      <w:pPr>
        <w:spacing w:line="360" w:lineRule="auto"/>
        <w:jc w:val="both"/>
        <w:rPr>
          <w:rFonts w:ascii="Calibri" w:eastAsia="Calibri" w:hAnsi="Calibri"/>
          <w:rtl/>
        </w:rPr>
      </w:pPr>
    </w:p>
    <w:p w14:paraId="66EB78D8" w14:textId="77777777" w:rsidR="00AF3CF9" w:rsidRPr="000F2247" w:rsidRDefault="00AF3CF9" w:rsidP="00AF3CF9">
      <w:pPr>
        <w:rPr>
          <w:rFonts w:ascii="Arial" w:hAnsi="Arial"/>
          <w:b/>
          <w:bCs/>
          <w:sz w:val="26"/>
          <w:szCs w:val="26"/>
          <w:rtl/>
        </w:rPr>
      </w:pPr>
    </w:p>
    <w:p w14:paraId="7287EBE1" w14:textId="77777777" w:rsidR="00AF3CF9" w:rsidRPr="00074993" w:rsidRDefault="00074993" w:rsidP="00AF3CF9">
      <w:pPr>
        <w:rPr>
          <w:rFonts w:ascii="Arial" w:hAnsi="Arial"/>
          <w:b/>
          <w:bCs/>
          <w:color w:val="FFFFFF"/>
          <w:sz w:val="2"/>
          <w:szCs w:val="2"/>
          <w:rtl/>
        </w:rPr>
      </w:pPr>
      <w:r w:rsidRPr="00074993">
        <w:rPr>
          <w:rFonts w:ascii="Arial" w:hAnsi="Arial"/>
          <w:b/>
          <w:bCs/>
          <w:color w:val="FFFFFF"/>
          <w:sz w:val="2"/>
          <w:szCs w:val="2"/>
          <w:rtl/>
        </w:rPr>
        <w:t>5129371</w:t>
      </w:r>
    </w:p>
    <w:p w14:paraId="637108C7" w14:textId="77777777" w:rsidR="00AF3CF9" w:rsidRPr="00074993" w:rsidRDefault="00074993" w:rsidP="00AF3CF9">
      <w:pPr>
        <w:rPr>
          <w:rFonts w:ascii="Arial" w:hAnsi="Arial"/>
          <w:b/>
          <w:bCs/>
          <w:color w:val="FFFFFF"/>
          <w:sz w:val="2"/>
          <w:szCs w:val="2"/>
          <w:rtl/>
        </w:rPr>
      </w:pPr>
      <w:r w:rsidRPr="00074993">
        <w:rPr>
          <w:rFonts w:ascii="Arial" w:hAnsi="Arial"/>
          <w:b/>
          <w:bCs/>
          <w:color w:val="FFFFFF"/>
          <w:sz w:val="2"/>
          <w:szCs w:val="2"/>
          <w:rtl/>
        </w:rPr>
        <w:t>54678313</w:t>
      </w:r>
    </w:p>
    <w:p w14:paraId="026AA5D2" w14:textId="77777777" w:rsidR="00AF3CF9" w:rsidRPr="000F2247" w:rsidRDefault="00AF3CF9" w:rsidP="00AF3CF9">
      <w:pPr>
        <w:rPr>
          <w:rFonts w:ascii="Arial" w:hAnsi="Arial"/>
          <w:b/>
          <w:bCs/>
          <w:sz w:val="26"/>
          <w:szCs w:val="26"/>
          <w:rtl/>
        </w:rPr>
      </w:pPr>
    </w:p>
    <w:p w14:paraId="50680F80" w14:textId="77777777" w:rsidR="00AF3CF9" w:rsidRPr="000F2247" w:rsidRDefault="00074993" w:rsidP="00AF3CF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אלול תשפ"ד, 23 ספטמבר 2024, במעמד הצדדים. </w:t>
      </w:r>
      <w:bookmarkEnd w:id="8"/>
      <w:r w:rsidR="00AF3CF9">
        <w:rPr>
          <w:rFonts w:ascii="Arial" w:hAnsi="Arial"/>
          <w:b/>
          <w:bCs/>
          <w:sz w:val="26"/>
          <w:szCs w:val="26"/>
          <w:rtl/>
        </w:rPr>
        <w:tab/>
      </w:r>
      <w:r w:rsidR="00AF3CF9">
        <w:rPr>
          <w:rFonts w:ascii="Arial" w:hAnsi="Arial"/>
          <w:b/>
          <w:bCs/>
          <w:sz w:val="26"/>
          <w:szCs w:val="26"/>
          <w:rtl/>
        </w:rPr>
        <w:tab/>
      </w:r>
      <w:r w:rsidR="00AF3CF9">
        <w:rPr>
          <w:rFonts w:ascii="Arial" w:hAnsi="Arial"/>
          <w:b/>
          <w:bCs/>
          <w:sz w:val="26"/>
          <w:szCs w:val="26"/>
          <w:rtl/>
        </w:rPr>
        <w:tab/>
      </w:r>
      <w:r w:rsidR="00AF3CF9">
        <w:rPr>
          <w:rFonts w:ascii="Arial" w:hAnsi="Arial"/>
          <w:b/>
          <w:bCs/>
          <w:sz w:val="26"/>
          <w:szCs w:val="26"/>
          <w:rtl/>
        </w:rPr>
        <w:tab/>
      </w:r>
      <w:r w:rsidR="00AF3CF9">
        <w:rPr>
          <w:rFonts w:ascii="Arial" w:hAnsi="Arial"/>
          <w:b/>
          <w:bCs/>
          <w:sz w:val="26"/>
          <w:szCs w:val="26"/>
          <w:rtl/>
        </w:rPr>
        <w:tab/>
      </w:r>
      <w:r w:rsidR="00AF3CF9">
        <w:rPr>
          <w:rFonts w:ascii="Arial" w:hAnsi="Arial"/>
          <w:b/>
          <w:bCs/>
          <w:sz w:val="26"/>
          <w:szCs w:val="26"/>
          <w:rtl/>
        </w:rPr>
        <w:tab/>
      </w:r>
      <w:r w:rsidR="00AF3CF9">
        <w:rPr>
          <w:rFonts w:ascii="Arial" w:hAnsi="Arial"/>
          <w:b/>
          <w:bCs/>
          <w:sz w:val="26"/>
          <w:szCs w:val="26"/>
          <w:rtl/>
        </w:rPr>
        <w:tab/>
      </w:r>
      <w:r w:rsidR="00AF3CF9">
        <w:rPr>
          <w:rFonts w:ascii="Arial" w:hAnsi="Arial" w:hint="cs"/>
          <w:b/>
          <w:bCs/>
          <w:sz w:val="26"/>
          <w:szCs w:val="26"/>
          <w:rtl/>
        </w:rPr>
        <w:t xml:space="preserve">      </w:t>
      </w:r>
    </w:p>
    <w:p w14:paraId="432793C5" w14:textId="77777777" w:rsidR="00AF3CF9" w:rsidRPr="000F2247" w:rsidRDefault="00AF3CF9" w:rsidP="00074993">
      <w:pPr>
        <w:jc w:val="center"/>
      </w:pPr>
      <w:r>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05CB71E" w14:textId="77777777" w:rsidR="00074993" w:rsidRDefault="002E41CC" w:rsidP="00074993">
      <w:r w:rsidRPr="002E41CC">
        <w:rPr>
          <w:rFonts w:ascii="Arial" w:hAnsi="Arial"/>
          <w:b/>
          <w:bCs/>
          <w:color w:val="FFFFFF"/>
          <w:sz w:val="2"/>
          <w:szCs w:val="2"/>
          <w:rtl/>
        </w:rPr>
        <w:t>5129371</w:t>
      </w:r>
    </w:p>
    <w:p w14:paraId="5FE9EFD5" w14:textId="77777777" w:rsidR="00074993" w:rsidRDefault="00074993" w:rsidP="00074993">
      <w:pPr>
        <w:rPr>
          <w:rtl/>
        </w:rPr>
      </w:pPr>
    </w:p>
    <w:p w14:paraId="2CA2BAD6" w14:textId="77777777" w:rsidR="00074993" w:rsidRDefault="00074993" w:rsidP="00074993">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79E67244" w14:textId="77777777" w:rsidR="002E41CC" w:rsidRPr="002E41CC" w:rsidRDefault="002E41CC" w:rsidP="002E41CC">
      <w:pPr>
        <w:keepNext/>
        <w:rPr>
          <w:rFonts w:ascii="David" w:hAnsi="David"/>
          <w:color w:val="000000"/>
          <w:sz w:val="22"/>
          <w:szCs w:val="22"/>
          <w:rtl/>
        </w:rPr>
      </w:pPr>
    </w:p>
    <w:p w14:paraId="18BA8255" w14:textId="77777777" w:rsidR="002E41CC" w:rsidRPr="002E41CC" w:rsidRDefault="002E41CC" w:rsidP="002E41CC">
      <w:pPr>
        <w:keepNext/>
        <w:rPr>
          <w:rFonts w:ascii="David" w:hAnsi="David"/>
          <w:color w:val="000000"/>
          <w:sz w:val="22"/>
          <w:szCs w:val="22"/>
          <w:rtl/>
        </w:rPr>
      </w:pPr>
      <w:r w:rsidRPr="002E41CC">
        <w:rPr>
          <w:rFonts w:ascii="David" w:hAnsi="David"/>
          <w:color w:val="000000"/>
          <w:sz w:val="22"/>
          <w:szCs w:val="22"/>
          <w:rtl/>
        </w:rPr>
        <w:t>מרדכי כדורי 54678313-/</w:t>
      </w:r>
    </w:p>
    <w:p w14:paraId="4626B272" w14:textId="77777777" w:rsidR="00074993" w:rsidRPr="00074993" w:rsidRDefault="002E41CC" w:rsidP="002E41CC">
      <w:pPr>
        <w:rPr>
          <w:color w:val="0000FF"/>
          <w:u w:val="single"/>
        </w:rPr>
      </w:pPr>
      <w:r w:rsidRPr="002E41CC">
        <w:rPr>
          <w:color w:val="000000"/>
          <w:u w:val="single"/>
          <w:rtl/>
        </w:rPr>
        <w:t>נוסח מסמך זה כפוף לשינויי ניסוח ועריכה</w:t>
      </w:r>
    </w:p>
    <w:sectPr w:rsidR="00074993" w:rsidRPr="00074993" w:rsidSect="002E41CC">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E8BAF" w14:textId="77777777" w:rsidR="00F746A5" w:rsidRDefault="00F746A5" w:rsidP="00BB62B0">
      <w:r>
        <w:separator/>
      </w:r>
    </w:p>
  </w:endnote>
  <w:endnote w:type="continuationSeparator" w:id="0">
    <w:p w14:paraId="3538F206" w14:textId="77777777" w:rsidR="00F746A5" w:rsidRDefault="00F746A5" w:rsidP="00BB6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64F3" w14:textId="77777777" w:rsidR="002E41CC" w:rsidRDefault="002E41CC" w:rsidP="002E41C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E9A89F5" w14:textId="77777777" w:rsidR="003536EF" w:rsidRPr="002E41CC" w:rsidRDefault="002E41CC" w:rsidP="002E41CC">
    <w:pPr>
      <w:pStyle w:val="a5"/>
      <w:pBdr>
        <w:top w:val="single" w:sz="4" w:space="1" w:color="auto"/>
        <w:between w:val="single" w:sz="4" w:space="0" w:color="auto"/>
      </w:pBdr>
      <w:spacing w:after="60"/>
      <w:jc w:val="center"/>
      <w:rPr>
        <w:rFonts w:ascii="FrankRuehl" w:hAnsi="FrankRuehl" w:cs="FrankRuehl"/>
        <w:color w:val="000000"/>
      </w:rPr>
    </w:pPr>
    <w:r w:rsidRPr="002E41C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9F518" w14:textId="77777777" w:rsidR="002E41CC" w:rsidRDefault="002E41CC" w:rsidP="002E41C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3673F">
      <w:rPr>
        <w:rFonts w:ascii="FrankRuehl" w:hAnsi="FrankRuehl" w:cs="FrankRuehl"/>
        <w:noProof/>
        <w:rtl/>
      </w:rPr>
      <w:t>1</w:t>
    </w:r>
    <w:r>
      <w:rPr>
        <w:rFonts w:ascii="FrankRuehl" w:hAnsi="FrankRuehl" w:cs="FrankRuehl"/>
        <w:rtl/>
      </w:rPr>
      <w:fldChar w:fldCharType="end"/>
    </w:r>
  </w:p>
  <w:p w14:paraId="2F6C6DDD" w14:textId="77777777" w:rsidR="003536EF" w:rsidRPr="002E41CC" w:rsidRDefault="002E41CC" w:rsidP="002E41CC">
    <w:pPr>
      <w:pStyle w:val="a5"/>
      <w:pBdr>
        <w:top w:val="single" w:sz="4" w:space="1" w:color="auto"/>
        <w:between w:val="single" w:sz="4" w:space="0" w:color="auto"/>
      </w:pBdr>
      <w:spacing w:after="60"/>
      <w:jc w:val="center"/>
      <w:rPr>
        <w:rFonts w:ascii="FrankRuehl" w:hAnsi="FrankRuehl" w:cs="FrankRuehl"/>
        <w:color w:val="000000"/>
      </w:rPr>
    </w:pPr>
    <w:r w:rsidRPr="002E41CC">
      <w:rPr>
        <w:rFonts w:ascii="FrankRuehl" w:hAnsi="FrankRuehl" w:cs="FrankRuehl"/>
        <w:color w:val="000000"/>
      </w:rPr>
      <w:pict w14:anchorId="75C86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F2983" w14:textId="77777777" w:rsidR="00F746A5" w:rsidRDefault="00F746A5" w:rsidP="00BB62B0">
      <w:r>
        <w:separator/>
      </w:r>
    </w:p>
  </w:footnote>
  <w:footnote w:type="continuationSeparator" w:id="0">
    <w:p w14:paraId="412ADBD8" w14:textId="77777777" w:rsidR="00F746A5" w:rsidRDefault="00F746A5" w:rsidP="00BB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B5ABB" w14:textId="77777777" w:rsidR="00074993" w:rsidRPr="002E41CC" w:rsidRDefault="002E41CC" w:rsidP="002E41C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5214-02-24</w:t>
    </w:r>
    <w:r>
      <w:rPr>
        <w:rFonts w:ascii="David" w:hAnsi="David"/>
        <w:color w:val="000000"/>
        <w:sz w:val="22"/>
        <w:szCs w:val="22"/>
        <w:rtl/>
      </w:rPr>
      <w:tab/>
      <w:t xml:space="preserve"> מדינת ישראל נ' נאסר מוחמד עלי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EEA57" w14:textId="77777777" w:rsidR="00074993" w:rsidRPr="002E41CC" w:rsidRDefault="002E41CC" w:rsidP="002E41C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5214-02-24</w:t>
    </w:r>
    <w:r>
      <w:rPr>
        <w:rFonts w:ascii="David" w:hAnsi="David"/>
        <w:color w:val="000000"/>
        <w:sz w:val="22"/>
        <w:szCs w:val="22"/>
        <w:rtl/>
      </w:rPr>
      <w:tab/>
      <w:t xml:space="preserve"> מדינת ישראל נ' נאסר מוחמד עלי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3CF9"/>
    <w:rsid w:val="00074993"/>
    <w:rsid w:val="002E41CC"/>
    <w:rsid w:val="003536EF"/>
    <w:rsid w:val="0093673F"/>
    <w:rsid w:val="009A4E4C"/>
    <w:rsid w:val="00AF3CF9"/>
    <w:rsid w:val="00BB62B0"/>
    <w:rsid w:val="00C3478D"/>
    <w:rsid w:val="00DE1398"/>
    <w:rsid w:val="00F746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BC8165"/>
  <w15:chartTrackingRefBased/>
  <w15:docId w15:val="{FE2451FB-167A-41D5-9024-44DEDC93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3CF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F3CF9"/>
    <w:pPr>
      <w:tabs>
        <w:tab w:val="center" w:pos="4153"/>
        <w:tab w:val="right" w:pos="8306"/>
      </w:tabs>
    </w:pPr>
  </w:style>
  <w:style w:type="character" w:customStyle="1" w:styleId="a4">
    <w:name w:val="כותרת עליונה תו"/>
    <w:link w:val="a3"/>
    <w:rsid w:val="00AF3CF9"/>
    <w:rPr>
      <w:rFonts w:ascii="Times New Roman" w:eastAsia="Times New Roman" w:hAnsi="Times New Roman" w:cs="David"/>
      <w:sz w:val="24"/>
      <w:szCs w:val="24"/>
    </w:rPr>
  </w:style>
  <w:style w:type="paragraph" w:styleId="a5">
    <w:name w:val="footer"/>
    <w:basedOn w:val="a"/>
    <w:link w:val="a6"/>
    <w:rsid w:val="00AF3CF9"/>
    <w:pPr>
      <w:tabs>
        <w:tab w:val="center" w:pos="4153"/>
        <w:tab w:val="right" w:pos="8306"/>
      </w:tabs>
    </w:pPr>
  </w:style>
  <w:style w:type="character" w:customStyle="1" w:styleId="a6">
    <w:name w:val="כותרת תחתונה תו"/>
    <w:link w:val="a5"/>
    <w:rsid w:val="00AF3CF9"/>
    <w:rPr>
      <w:rFonts w:ascii="Times New Roman" w:eastAsia="Times New Roman" w:hAnsi="Times New Roman" w:cs="David"/>
      <w:sz w:val="24"/>
      <w:szCs w:val="24"/>
    </w:rPr>
  </w:style>
  <w:style w:type="table" w:styleId="a7">
    <w:name w:val="Table Grid"/>
    <w:basedOn w:val="a1"/>
    <w:rsid w:val="00AF3CF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F3CF9"/>
  </w:style>
  <w:style w:type="character" w:styleId="Hyperlink">
    <w:name w:val="Hyperlink"/>
    <w:rsid w:val="0007499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case/27513365" TargetMode="External"/><Relationship Id="rId26" Type="http://schemas.openxmlformats.org/officeDocument/2006/relationships/hyperlink" Target="http://www.nevo.co.il/case/29839450" TargetMode="External"/><Relationship Id="rId39" Type="http://schemas.openxmlformats.org/officeDocument/2006/relationships/header" Target="header1.xml"/><Relationship Id="rId21" Type="http://schemas.openxmlformats.org/officeDocument/2006/relationships/hyperlink" Target="http://www.nevo.co.il/case/5724364" TargetMode="External"/><Relationship Id="rId34" Type="http://schemas.openxmlformats.org/officeDocument/2006/relationships/hyperlink" Target="http://www.nevo.co.il/law/73701" TargetMode="External"/><Relationship Id="rId42" Type="http://schemas.openxmlformats.org/officeDocument/2006/relationships/footer" Target="footer2.xml"/><Relationship Id="rId7" Type="http://schemas.openxmlformats.org/officeDocument/2006/relationships/hyperlink" Target="http://www.nevo.co.il/law/70301/144.b" TargetMode="External"/><Relationship Id="rId2" Type="http://schemas.openxmlformats.org/officeDocument/2006/relationships/settings" Target="settings.xml"/><Relationship Id="rId16" Type="http://schemas.openxmlformats.org/officeDocument/2006/relationships/hyperlink" Target="http://www.nevo.co.il/law/70301/144.i" TargetMode="External"/><Relationship Id="rId20" Type="http://schemas.openxmlformats.org/officeDocument/2006/relationships/hyperlink" Target="http://www.nevo.co.il/case/25824863" TargetMode="External"/><Relationship Id="rId29" Type="http://schemas.openxmlformats.org/officeDocument/2006/relationships/hyperlink" Target="http://www.nevo.co.il/case/27949716"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j" TargetMode="External"/><Relationship Id="rId24" Type="http://schemas.openxmlformats.org/officeDocument/2006/relationships/hyperlink" Target="http://www.nevo.co.il/case/2956482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9161814"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case/21474520" TargetMode="External"/><Relationship Id="rId28" Type="http://schemas.openxmlformats.org/officeDocument/2006/relationships/hyperlink" Target="http://www.nevo.co.il/case/27500303"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i" TargetMode="External"/><Relationship Id="rId19" Type="http://schemas.openxmlformats.org/officeDocument/2006/relationships/hyperlink" Target="http://www.nevo.co.il/case/27309272" TargetMode="External"/><Relationship Id="rId31" Type="http://schemas.openxmlformats.org/officeDocument/2006/relationships/hyperlink" Target="http://www.nevo.co.il/case/30041990"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g"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821327" TargetMode="External"/><Relationship Id="rId27" Type="http://schemas.openxmlformats.org/officeDocument/2006/relationships/hyperlink" Target="http://www.nevo.co.il/case/30041372" TargetMode="External"/><Relationship Id="rId30" Type="http://schemas.openxmlformats.org/officeDocument/2006/relationships/hyperlink" Target="http://www.nevo.co.il/case/29586671" TargetMode="External"/><Relationship Id="rId35" Type="http://schemas.openxmlformats.org/officeDocument/2006/relationships/hyperlink" Target="http://www.nevo.co.il/law/70301/144.j" TargetMode="External"/><Relationship Id="rId43" Type="http://schemas.openxmlformats.org/officeDocument/2006/relationships/fontTable" Target="fontTable.xml"/><Relationship Id="rId8" Type="http://schemas.openxmlformats.org/officeDocument/2006/relationships/hyperlink" Target="http://www.nevo.co.il/law/70301/144.b2" TargetMode="External"/><Relationship Id="rId3" Type="http://schemas.openxmlformats.org/officeDocument/2006/relationships/webSettings" Target="webSettings.xml"/><Relationship Id="rId12" Type="http://schemas.openxmlformats.org/officeDocument/2006/relationships/hyperlink" Target="http://www.nevo.co.il/law/7370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144.g" TargetMode="External"/><Relationship Id="rId33" Type="http://schemas.openxmlformats.org/officeDocument/2006/relationships/hyperlink" Target="http://www.nevo.co.il/law/70301/144.i"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3504</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20985</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3342451</vt:i4>
      </vt:variant>
      <vt:variant>
        <vt:i4>93</vt:i4>
      </vt:variant>
      <vt:variant>
        <vt:i4>0</vt:i4>
      </vt:variant>
      <vt:variant>
        <vt:i4>5</vt:i4>
      </vt:variant>
      <vt:variant>
        <vt:lpwstr>http://www.nevo.co.il/case/29161814</vt:lpwstr>
      </vt:variant>
      <vt:variant>
        <vt:lpwstr/>
      </vt:variant>
      <vt:variant>
        <vt:i4>7995492</vt:i4>
      </vt:variant>
      <vt:variant>
        <vt:i4>90</vt:i4>
      </vt:variant>
      <vt:variant>
        <vt:i4>0</vt:i4>
      </vt:variant>
      <vt:variant>
        <vt:i4>5</vt:i4>
      </vt:variant>
      <vt:variant>
        <vt:lpwstr>http://www.nevo.co.il/law/70301</vt:lpwstr>
      </vt:variant>
      <vt:variant>
        <vt:lpwstr/>
      </vt:variant>
      <vt:variant>
        <vt:i4>5177424</vt:i4>
      </vt:variant>
      <vt:variant>
        <vt:i4>87</vt:i4>
      </vt:variant>
      <vt:variant>
        <vt:i4>0</vt:i4>
      </vt:variant>
      <vt:variant>
        <vt:i4>5</vt:i4>
      </vt:variant>
      <vt:variant>
        <vt:lpwstr>http://www.nevo.co.il/law/70301/144.j</vt:lpwstr>
      </vt:variant>
      <vt:variant>
        <vt:lpwstr/>
      </vt:variant>
      <vt:variant>
        <vt:i4>7929952</vt:i4>
      </vt:variant>
      <vt:variant>
        <vt:i4>84</vt:i4>
      </vt:variant>
      <vt:variant>
        <vt:i4>0</vt:i4>
      </vt:variant>
      <vt:variant>
        <vt:i4>5</vt:i4>
      </vt:variant>
      <vt:variant>
        <vt:lpwstr>http://www.nevo.co.il/law/73701</vt:lpwstr>
      </vt:variant>
      <vt:variant>
        <vt:lpwstr/>
      </vt:variant>
      <vt:variant>
        <vt:i4>5177424</vt:i4>
      </vt:variant>
      <vt:variant>
        <vt:i4>81</vt:i4>
      </vt:variant>
      <vt:variant>
        <vt:i4>0</vt:i4>
      </vt:variant>
      <vt:variant>
        <vt:i4>5</vt:i4>
      </vt:variant>
      <vt:variant>
        <vt:lpwstr>http://www.nevo.co.il/law/70301/144.i</vt:lpwstr>
      </vt:variant>
      <vt:variant>
        <vt:lpwstr/>
      </vt:variant>
      <vt:variant>
        <vt:i4>7995492</vt:i4>
      </vt:variant>
      <vt:variant>
        <vt:i4>78</vt:i4>
      </vt:variant>
      <vt:variant>
        <vt:i4>0</vt:i4>
      </vt:variant>
      <vt:variant>
        <vt:i4>5</vt:i4>
      </vt:variant>
      <vt:variant>
        <vt:lpwstr>http://www.nevo.co.il/law/70301</vt:lpwstr>
      </vt:variant>
      <vt:variant>
        <vt:lpwstr/>
      </vt:variant>
      <vt:variant>
        <vt:i4>3866745</vt:i4>
      </vt:variant>
      <vt:variant>
        <vt:i4>75</vt:i4>
      </vt:variant>
      <vt:variant>
        <vt:i4>0</vt:i4>
      </vt:variant>
      <vt:variant>
        <vt:i4>5</vt:i4>
      </vt:variant>
      <vt:variant>
        <vt:lpwstr>http://www.nevo.co.il/case/30041990</vt:lpwstr>
      </vt:variant>
      <vt:variant>
        <vt:lpwstr/>
      </vt:variant>
      <vt:variant>
        <vt:i4>3539059</vt:i4>
      </vt:variant>
      <vt:variant>
        <vt:i4>72</vt:i4>
      </vt:variant>
      <vt:variant>
        <vt:i4>0</vt:i4>
      </vt:variant>
      <vt:variant>
        <vt:i4>5</vt:i4>
      </vt:variant>
      <vt:variant>
        <vt:lpwstr>http://www.nevo.co.il/case/29586671</vt:lpwstr>
      </vt:variant>
      <vt:variant>
        <vt:lpwstr/>
      </vt:variant>
      <vt:variant>
        <vt:i4>3342448</vt:i4>
      </vt:variant>
      <vt:variant>
        <vt:i4>69</vt:i4>
      </vt:variant>
      <vt:variant>
        <vt:i4>0</vt:i4>
      </vt:variant>
      <vt:variant>
        <vt:i4>5</vt:i4>
      </vt:variant>
      <vt:variant>
        <vt:lpwstr>http://www.nevo.co.il/case/27949716</vt:lpwstr>
      </vt:variant>
      <vt:variant>
        <vt:lpwstr/>
      </vt:variant>
      <vt:variant>
        <vt:i4>3604592</vt:i4>
      </vt:variant>
      <vt:variant>
        <vt:i4>66</vt:i4>
      </vt:variant>
      <vt:variant>
        <vt:i4>0</vt:i4>
      </vt:variant>
      <vt:variant>
        <vt:i4>5</vt:i4>
      </vt:variant>
      <vt:variant>
        <vt:lpwstr>http://www.nevo.co.il/case/27500303</vt:lpwstr>
      </vt:variant>
      <vt:variant>
        <vt:lpwstr/>
      </vt:variant>
      <vt:variant>
        <vt:i4>3473523</vt:i4>
      </vt:variant>
      <vt:variant>
        <vt:i4>63</vt:i4>
      </vt:variant>
      <vt:variant>
        <vt:i4>0</vt:i4>
      </vt:variant>
      <vt:variant>
        <vt:i4>5</vt:i4>
      </vt:variant>
      <vt:variant>
        <vt:lpwstr>http://www.nevo.co.il/case/30041372</vt:lpwstr>
      </vt:variant>
      <vt:variant>
        <vt:lpwstr/>
      </vt:variant>
      <vt:variant>
        <vt:i4>3539066</vt:i4>
      </vt:variant>
      <vt:variant>
        <vt:i4>60</vt:i4>
      </vt:variant>
      <vt:variant>
        <vt:i4>0</vt:i4>
      </vt:variant>
      <vt:variant>
        <vt:i4>5</vt:i4>
      </vt:variant>
      <vt:variant>
        <vt:lpwstr>http://www.nevo.co.il/case/29839450</vt:lpwstr>
      </vt:variant>
      <vt:variant>
        <vt:lpwstr/>
      </vt:variant>
      <vt:variant>
        <vt:i4>5177424</vt:i4>
      </vt:variant>
      <vt:variant>
        <vt:i4>57</vt:i4>
      </vt:variant>
      <vt:variant>
        <vt:i4>0</vt:i4>
      </vt:variant>
      <vt:variant>
        <vt:i4>5</vt:i4>
      </vt:variant>
      <vt:variant>
        <vt:lpwstr>http://www.nevo.co.il/law/70301/144.g</vt:lpwstr>
      </vt:variant>
      <vt:variant>
        <vt:lpwstr/>
      </vt:variant>
      <vt:variant>
        <vt:i4>3211379</vt:i4>
      </vt:variant>
      <vt:variant>
        <vt:i4>54</vt:i4>
      </vt:variant>
      <vt:variant>
        <vt:i4>0</vt:i4>
      </vt:variant>
      <vt:variant>
        <vt:i4>5</vt:i4>
      </vt:variant>
      <vt:variant>
        <vt:lpwstr>http://www.nevo.co.il/case/29564821</vt:lpwstr>
      </vt:variant>
      <vt:variant>
        <vt:lpwstr/>
      </vt:variant>
      <vt:variant>
        <vt:i4>3145847</vt:i4>
      </vt:variant>
      <vt:variant>
        <vt:i4>51</vt:i4>
      </vt:variant>
      <vt:variant>
        <vt:i4>0</vt:i4>
      </vt:variant>
      <vt:variant>
        <vt:i4>5</vt:i4>
      </vt:variant>
      <vt:variant>
        <vt:lpwstr>http://www.nevo.co.il/case/21474520</vt:lpwstr>
      </vt:variant>
      <vt:variant>
        <vt:lpwstr/>
      </vt:variant>
      <vt:variant>
        <vt:i4>3342463</vt:i4>
      </vt:variant>
      <vt:variant>
        <vt:i4>48</vt:i4>
      </vt:variant>
      <vt:variant>
        <vt:i4>0</vt:i4>
      </vt:variant>
      <vt:variant>
        <vt:i4>5</vt:i4>
      </vt:variant>
      <vt:variant>
        <vt:lpwstr>http://www.nevo.co.il/case/5821327</vt:lpwstr>
      </vt:variant>
      <vt:variant>
        <vt:lpwstr/>
      </vt:variant>
      <vt:variant>
        <vt:i4>3145841</vt:i4>
      </vt:variant>
      <vt:variant>
        <vt:i4>45</vt:i4>
      </vt:variant>
      <vt:variant>
        <vt:i4>0</vt:i4>
      </vt:variant>
      <vt:variant>
        <vt:i4>5</vt:i4>
      </vt:variant>
      <vt:variant>
        <vt:lpwstr>http://www.nevo.co.il/case/5724364</vt:lpwstr>
      </vt:variant>
      <vt:variant>
        <vt:lpwstr/>
      </vt:variant>
      <vt:variant>
        <vt:i4>3670139</vt:i4>
      </vt:variant>
      <vt:variant>
        <vt:i4>42</vt:i4>
      </vt:variant>
      <vt:variant>
        <vt:i4>0</vt:i4>
      </vt:variant>
      <vt:variant>
        <vt:i4>5</vt:i4>
      </vt:variant>
      <vt:variant>
        <vt:lpwstr>http://www.nevo.co.il/case/25824863</vt:lpwstr>
      </vt:variant>
      <vt:variant>
        <vt:lpwstr/>
      </vt:variant>
      <vt:variant>
        <vt:i4>4128881</vt:i4>
      </vt:variant>
      <vt:variant>
        <vt:i4>39</vt:i4>
      </vt:variant>
      <vt:variant>
        <vt:i4>0</vt:i4>
      </vt:variant>
      <vt:variant>
        <vt:i4>5</vt:i4>
      </vt:variant>
      <vt:variant>
        <vt:lpwstr>http://www.nevo.co.il/case/27309272</vt:lpwstr>
      </vt:variant>
      <vt:variant>
        <vt:lpwstr/>
      </vt:variant>
      <vt:variant>
        <vt:i4>3276913</vt:i4>
      </vt:variant>
      <vt:variant>
        <vt:i4>36</vt:i4>
      </vt:variant>
      <vt:variant>
        <vt:i4>0</vt:i4>
      </vt:variant>
      <vt:variant>
        <vt:i4>5</vt:i4>
      </vt:variant>
      <vt:variant>
        <vt:lpwstr>http://www.nevo.co.il/case/27513365</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http://www.nevo.co.il/law/70301/144.i</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7929952</vt:i4>
      </vt:variant>
      <vt:variant>
        <vt:i4>18</vt:i4>
      </vt:variant>
      <vt:variant>
        <vt:i4>0</vt:i4>
      </vt:variant>
      <vt:variant>
        <vt:i4>5</vt:i4>
      </vt:variant>
      <vt:variant>
        <vt:lpwstr>http://www.nevo.co.il/law/73701</vt:lpwstr>
      </vt:variant>
      <vt:variant>
        <vt:lpwstr/>
      </vt:variant>
      <vt:variant>
        <vt:i4>5177424</vt:i4>
      </vt:variant>
      <vt:variant>
        <vt:i4>15</vt:i4>
      </vt:variant>
      <vt:variant>
        <vt:i4>0</vt:i4>
      </vt:variant>
      <vt:variant>
        <vt:i4>5</vt:i4>
      </vt:variant>
      <vt:variant>
        <vt:lpwstr>http://www.nevo.co.il/law/70301/144.j</vt:lpwstr>
      </vt:variant>
      <vt:variant>
        <vt:lpwstr/>
      </vt:variant>
      <vt:variant>
        <vt:i4>5177424</vt:i4>
      </vt:variant>
      <vt:variant>
        <vt:i4>12</vt:i4>
      </vt:variant>
      <vt:variant>
        <vt:i4>0</vt:i4>
      </vt:variant>
      <vt:variant>
        <vt:i4>5</vt:i4>
      </vt:variant>
      <vt:variant>
        <vt:lpwstr>http://www.nevo.co.il/law/70301/144.i</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2025-01-19T17:09:00Z</dcterms:created>
  <dcterms:modified xsi:type="dcterms:W3CDTF">2025-01-19T17:09:00Z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5214</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נאסר מוחמד עלי</vt:lpwstr>
  </property>
  <property fmtid="{D5CDD505-2E9C-101B-9397-08002B2CF9AE}" pid="10" name="LAWYER">
    <vt:lpwstr>אילה גלברד;מחמוד רבאח</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20240923</vt:lpwstr>
  </property>
  <property fmtid="{D5CDD505-2E9C-101B-9397-08002B2CF9AE}" pid="14" name="TYPE_N_DATE">
    <vt:lpwstr>39020240923</vt:lpwstr>
  </property>
  <property fmtid="{D5CDD505-2E9C-101B-9397-08002B2CF9AE}" pid="15" name="CASESLISTTMP1">
    <vt:lpwstr>27513365;27309272;25824863;5724364;5821327;21474520;29564821;29839450;30041372;27500303;27949716;29586671;30041990;29161814</vt:lpwstr>
  </property>
  <property fmtid="{D5CDD505-2E9C-101B-9397-08002B2CF9AE}" pid="16" name="WORDNUMPAGES">
    <vt:lpwstr>11</vt:lpwstr>
  </property>
  <property fmtid="{D5CDD505-2E9C-101B-9397-08002B2CF9AE}" pid="17" name="TYPE_ABS_DATE">
    <vt:lpwstr>390020240923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70301/144.b2;144.b;144.i:2;144.g;144.j</vt:lpwstr>
  </property>
  <property fmtid="{D5CDD505-2E9C-101B-9397-08002B2CF9AE}" pid="37" name="LAWLISTTMP2">
    <vt:lpwstr>73701</vt:lpwstr>
  </property>
</Properties>
</file>