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FF0DC2" w:rsidRPr="00E2226F" w14:paraId="0686976E" w14:textId="77777777" w:rsidTr="00E81AE9">
        <w:trPr>
          <w:trHeight w:hRule="exact" w:val="418"/>
          <w:jc w:val="center"/>
        </w:trPr>
        <w:tc>
          <w:tcPr>
            <w:tcW w:w="8721" w:type="dxa"/>
            <w:gridSpan w:val="2"/>
          </w:tcPr>
          <w:p w14:paraId="3817DD03" w14:textId="77777777" w:rsidR="00FF0DC2" w:rsidRPr="00E2226F" w:rsidRDefault="00FF0DC2" w:rsidP="007575DF">
            <w:pPr>
              <w:pStyle w:val="a3"/>
              <w:jc w:val="center"/>
              <w:rPr>
                <w:rFonts w:ascii="Tahoma" w:hAnsi="Tahoma" w:cs="Tahoma"/>
                <w:color w:val="000080"/>
                <w:rtl/>
              </w:rPr>
            </w:pPr>
            <w:bookmarkStart w:id="0" w:name="LastJudge"/>
            <w:r w:rsidRPr="00E2226F">
              <w:rPr>
                <w:rFonts w:ascii="Tahoma" w:hAnsi="Tahoma" w:cs="Tahoma"/>
                <w:b/>
                <w:bCs/>
                <w:color w:val="000080"/>
                <w:rtl/>
              </w:rPr>
              <w:t>בית המשפט המחוזי בחיפה</w:t>
            </w:r>
          </w:p>
        </w:tc>
      </w:tr>
      <w:tr w:rsidR="00FF0DC2" w:rsidRPr="00E2226F" w14:paraId="23DB2B54" w14:textId="77777777" w:rsidTr="00E81AE9">
        <w:trPr>
          <w:trHeight w:val="337"/>
          <w:jc w:val="center"/>
        </w:trPr>
        <w:tc>
          <w:tcPr>
            <w:tcW w:w="5060" w:type="dxa"/>
          </w:tcPr>
          <w:p w14:paraId="746C1A8B" w14:textId="77777777" w:rsidR="00FF0DC2" w:rsidRPr="00E2226F" w:rsidRDefault="00FF0DC2" w:rsidP="007575DF">
            <w:pPr>
              <w:rPr>
                <w:rFonts w:cs="FrankRuehl"/>
                <w:sz w:val="28"/>
                <w:szCs w:val="28"/>
                <w:rtl/>
              </w:rPr>
            </w:pPr>
            <w:r w:rsidRPr="00E2226F">
              <w:rPr>
                <w:rFonts w:cs="FrankRuehl"/>
                <w:sz w:val="28"/>
                <w:szCs w:val="28"/>
                <w:rtl/>
              </w:rPr>
              <w:t>ת"פ</w:t>
            </w:r>
            <w:r w:rsidRPr="00E2226F">
              <w:rPr>
                <w:rFonts w:cs="FrankRuehl" w:hint="cs"/>
                <w:sz w:val="28"/>
                <w:szCs w:val="28"/>
                <w:rtl/>
              </w:rPr>
              <w:t xml:space="preserve"> </w:t>
            </w:r>
            <w:r w:rsidRPr="00E2226F">
              <w:rPr>
                <w:rFonts w:cs="FrankRuehl"/>
                <w:sz w:val="28"/>
                <w:szCs w:val="28"/>
                <w:rtl/>
              </w:rPr>
              <w:t>63100-02-24</w:t>
            </w:r>
            <w:r w:rsidRPr="00E2226F">
              <w:rPr>
                <w:rFonts w:cs="FrankRuehl" w:hint="cs"/>
                <w:sz w:val="28"/>
                <w:szCs w:val="28"/>
                <w:rtl/>
              </w:rPr>
              <w:t xml:space="preserve"> </w:t>
            </w:r>
            <w:r w:rsidRPr="00E2226F">
              <w:rPr>
                <w:rFonts w:cs="FrankRuehl"/>
                <w:sz w:val="28"/>
                <w:szCs w:val="28"/>
                <w:rtl/>
              </w:rPr>
              <w:t>מדינת ישראל נ' מחאג'נה(עציר)</w:t>
            </w:r>
          </w:p>
          <w:p w14:paraId="7243408D" w14:textId="77777777" w:rsidR="00FF0DC2" w:rsidRPr="00E2226F" w:rsidRDefault="00FF0DC2" w:rsidP="007575DF">
            <w:pPr>
              <w:pStyle w:val="a3"/>
              <w:rPr>
                <w:rFonts w:cs="FrankRuehl"/>
                <w:sz w:val="28"/>
                <w:szCs w:val="28"/>
                <w:rtl/>
              </w:rPr>
            </w:pPr>
          </w:p>
        </w:tc>
        <w:tc>
          <w:tcPr>
            <w:tcW w:w="3661" w:type="dxa"/>
          </w:tcPr>
          <w:p w14:paraId="19105D62" w14:textId="77777777" w:rsidR="00FF0DC2" w:rsidRPr="00E2226F" w:rsidRDefault="00FF0DC2" w:rsidP="007575DF">
            <w:pPr>
              <w:pStyle w:val="a3"/>
              <w:jc w:val="right"/>
              <w:rPr>
                <w:rFonts w:cs="FrankRuehl"/>
                <w:sz w:val="28"/>
                <w:szCs w:val="28"/>
                <w:rtl/>
              </w:rPr>
            </w:pPr>
          </w:p>
        </w:tc>
      </w:tr>
    </w:tbl>
    <w:p w14:paraId="2A1A0E3B" w14:textId="77777777" w:rsidR="00FF0DC2" w:rsidRPr="00E2226F" w:rsidRDefault="00FF0DC2" w:rsidP="00FF0DC2">
      <w:pPr>
        <w:pStyle w:val="a3"/>
        <w:rPr>
          <w:rtl/>
        </w:rPr>
      </w:pPr>
      <w:r w:rsidRPr="00E2226F">
        <w:rPr>
          <w:rFonts w:hint="cs"/>
          <w:rtl/>
        </w:rPr>
        <w:t xml:space="preserve"> </w:t>
      </w:r>
    </w:p>
    <w:p w14:paraId="44A0C9AC" w14:textId="77777777" w:rsidR="00FF0DC2" w:rsidRPr="00E2226F" w:rsidRDefault="00FF0DC2" w:rsidP="00FF0DC2">
      <w:pPr>
        <w:rPr>
          <w:sz w:val="26"/>
          <w:szCs w:val="26"/>
          <w:rtl/>
        </w:rPr>
      </w:pPr>
    </w:p>
    <w:p w14:paraId="676595F6" w14:textId="77777777" w:rsidR="00FF0DC2" w:rsidRPr="00E2226F" w:rsidRDefault="00FF0DC2" w:rsidP="00FF0DC2">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FF0DC2" w:rsidRPr="00E2226F" w14:paraId="3CE835D1" w14:textId="77777777" w:rsidTr="00FF0DC2">
        <w:trPr>
          <w:trHeight w:val="295"/>
          <w:jc w:val="center"/>
        </w:trPr>
        <w:tc>
          <w:tcPr>
            <w:tcW w:w="923" w:type="dxa"/>
            <w:tcBorders>
              <w:top w:val="nil"/>
              <w:left w:val="nil"/>
              <w:bottom w:val="nil"/>
              <w:right w:val="nil"/>
            </w:tcBorders>
            <w:shd w:val="clear" w:color="auto" w:fill="auto"/>
          </w:tcPr>
          <w:p w14:paraId="3F36ED56" w14:textId="77777777" w:rsidR="00FF0DC2" w:rsidRPr="00E2226F" w:rsidRDefault="00FF0DC2" w:rsidP="00FF0DC2">
            <w:pPr>
              <w:jc w:val="both"/>
              <w:rPr>
                <w:rFonts w:ascii="David" w:hAnsi="David"/>
                <w:sz w:val="26"/>
                <w:szCs w:val="26"/>
              </w:rPr>
            </w:pPr>
            <w:r w:rsidRPr="00E2226F">
              <w:rPr>
                <w:rFonts w:ascii="David" w:hAnsi="David" w:hint="cs"/>
                <w:sz w:val="26"/>
                <w:szCs w:val="26"/>
                <w:rtl/>
              </w:rPr>
              <w:t>ל</w:t>
            </w:r>
            <w:r w:rsidRPr="00E2226F">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393BD675" w14:textId="77777777" w:rsidR="00FF0DC2" w:rsidRPr="00E2226F" w:rsidRDefault="00FF0DC2" w:rsidP="007575DF">
            <w:pPr>
              <w:rPr>
                <w:rFonts w:ascii="David" w:hAnsi="David"/>
                <w:sz w:val="26"/>
                <w:szCs w:val="26"/>
                <w:rtl/>
              </w:rPr>
            </w:pPr>
            <w:r w:rsidRPr="00E2226F">
              <w:rPr>
                <w:rFonts w:ascii="David" w:hAnsi="David"/>
                <w:b/>
                <w:bCs/>
                <w:sz w:val="26"/>
                <w:szCs w:val="26"/>
                <w:rtl/>
              </w:rPr>
              <w:t>כבוד השופט  נתנאל בנישו</w:t>
            </w:r>
          </w:p>
          <w:p w14:paraId="479F14A7" w14:textId="77777777" w:rsidR="00FF0DC2" w:rsidRPr="00E2226F" w:rsidRDefault="00FF0DC2" w:rsidP="00FF0DC2">
            <w:pPr>
              <w:jc w:val="both"/>
              <w:rPr>
                <w:rFonts w:ascii="David" w:hAnsi="David"/>
                <w:sz w:val="26"/>
                <w:szCs w:val="26"/>
              </w:rPr>
            </w:pPr>
          </w:p>
        </w:tc>
      </w:tr>
      <w:tr w:rsidR="00FF0DC2" w:rsidRPr="00E2226F" w14:paraId="5B6B9C9E" w14:textId="77777777" w:rsidTr="00FF0DC2">
        <w:trPr>
          <w:trHeight w:val="355"/>
          <w:jc w:val="center"/>
        </w:trPr>
        <w:tc>
          <w:tcPr>
            <w:tcW w:w="923" w:type="dxa"/>
            <w:tcBorders>
              <w:top w:val="nil"/>
              <w:left w:val="nil"/>
              <w:bottom w:val="nil"/>
              <w:right w:val="nil"/>
            </w:tcBorders>
            <w:shd w:val="clear" w:color="auto" w:fill="auto"/>
          </w:tcPr>
          <w:p w14:paraId="33656306" w14:textId="77777777" w:rsidR="00FF0DC2" w:rsidRPr="00E2226F" w:rsidRDefault="00FF0DC2" w:rsidP="00FF0DC2">
            <w:pPr>
              <w:jc w:val="both"/>
              <w:rPr>
                <w:rFonts w:ascii="David" w:hAnsi="David"/>
                <w:sz w:val="26"/>
                <w:szCs w:val="26"/>
              </w:rPr>
            </w:pPr>
            <w:bookmarkStart w:id="1" w:name="FirstAppellant"/>
            <w:r w:rsidRPr="00E2226F">
              <w:rPr>
                <w:rFonts w:ascii="David" w:hAnsi="David"/>
                <w:sz w:val="26"/>
                <w:szCs w:val="26"/>
                <w:rtl/>
              </w:rPr>
              <w:t>בעניין:</w:t>
            </w:r>
          </w:p>
        </w:tc>
        <w:tc>
          <w:tcPr>
            <w:tcW w:w="3219" w:type="dxa"/>
            <w:tcBorders>
              <w:top w:val="nil"/>
              <w:left w:val="nil"/>
              <w:bottom w:val="nil"/>
              <w:right w:val="nil"/>
            </w:tcBorders>
            <w:shd w:val="clear" w:color="auto" w:fill="auto"/>
          </w:tcPr>
          <w:p w14:paraId="5394BDB0" w14:textId="77777777" w:rsidR="00FF0DC2" w:rsidRPr="00E2226F" w:rsidRDefault="00FF0DC2" w:rsidP="00FF0DC2">
            <w:pPr>
              <w:suppressLineNumbers/>
            </w:pPr>
            <w:r w:rsidRPr="00E2226F">
              <w:rPr>
                <w:rFonts w:ascii="Arial" w:hAnsi="Arial" w:hint="cs"/>
                <w:b/>
                <w:bCs/>
                <w:sz w:val="26"/>
                <w:szCs w:val="26"/>
                <w:rtl/>
              </w:rPr>
              <w:t>ה</w:t>
            </w:r>
            <w:r w:rsidRPr="00E2226F">
              <w:rPr>
                <w:rFonts w:ascii="Arial" w:hAnsi="Arial"/>
                <w:b/>
                <w:bCs/>
                <w:sz w:val="26"/>
                <w:szCs w:val="26"/>
                <w:rtl/>
              </w:rPr>
              <w:t>מאשימה</w:t>
            </w:r>
          </w:p>
          <w:p w14:paraId="0C3DE0FB" w14:textId="77777777" w:rsidR="00FF0DC2" w:rsidRPr="00E2226F" w:rsidRDefault="00FF0DC2" w:rsidP="007575DF">
            <w:pPr>
              <w:rPr>
                <w:rFonts w:ascii="David" w:hAnsi="David"/>
                <w:sz w:val="26"/>
                <w:szCs w:val="26"/>
              </w:rPr>
            </w:pPr>
          </w:p>
        </w:tc>
        <w:tc>
          <w:tcPr>
            <w:tcW w:w="4678" w:type="dxa"/>
            <w:tcBorders>
              <w:top w:val="nil"/>
              <w:left w:val="nil"/>
              <w:bottom w:val="nil"/>
              <w:right w:val="nil"/>
            </w:tcBorders>
            <w:shd w:val="clear" w:color="auto" w:fill="auto"/>
            <w:vAlign w:val="center"/>
          </w:tcPr>
          <w:p w14:paraId="3CECC112" w14:textId="77777777" w:rsidR="00FF0DC2" w:rsidRPr="00E2226F" w:rsidRDefault="00FF0DC2" w:rsidP="00FF0DC2">
            <w:pPr>
              <w:suppressLineNumbers/>
              <w:rPr>
                <w:rFonts w:ascii="Arial" w:hAnsi="Arial"/>
                <w:b/>
                <w:bCs/>
                <w:sz w:val="26"/>
                <w:szCs w:val="26"/>
                <w:rtl/>
              </w:rPr>
            </w:pPr>
            <w:r w:rsidRPr="00E2226F">
              <w:rPr>
                <w:rFonts w:ascii="Arial" w:hAnsi="Arial"/>
                <w:b/>
                <w:bCs/>
                <w:sz w:val="26"/>
                <w:szCs w:val="26"/>
                <w:rtl/>
              </w:rPr>
              <w:t>מדינת ישראל</w:t>
            </w:r>
            <w:r w:rsidRPr="00E2226F">
              <w:rPr>
                <w:rFonts w:ascii="Arial" w:hAnsi="Arial" w:hint="cs"/>
                <w:b/>
                <w:bCs/>
                <w:sz w:val="26"/>
                <w:szCs w:val="26"/>
                <w:rtl/>
              </w:rPr>
              <w:t xml:space="preserve"> </w:t>
            </w:r>
          </w:p>
          <w:p w14:paraId="61B798BE" w14:textId="77777777" w:rsidR="00FF0DC2" w:rsidRPr="00E2226F" w:rsidRDefault="00FF0DC2" w:rsidP="00FF0DC2">
            <w:pPr>
              <w:suppressLineNumbers/>
              <w:rPr>
                <w:rFonts w:ascii="David" w:hAnsi="David"/>
                <w:sz w:val="26"/>
                <w:szCs w:val="26"/>
              </w:rPr>
            </w:pPr>
            <w:r w:rsidRPr="00E2226F">
              <w:rPr>
                <w:rFonts w:ascii="Arial" w:hAnsi="Arial"/>
                <w:sz w:val="26"/>
                <w:szCs w:val="26"/>
                <w:rtl/>
              </w:rPr>
              <w:t>ע"י</w:t>
            </w:r>
            <w:r w:rsidRPr="00E2226F">
              <w:rPr>
                <w:rFonts w:ascii="Arial" w:hAnsi="Arial" w:hint="cs"/>
                <w:sz w:val="26"/>
                <w:szCs w:val="26"/>
                <w:rtl/>
              </w:rPr>
              <w:t xml:space="preserve"> פרקליטות מחוז חיפה</w:t>
            </w:r>
          </w:p>
        </w:tc>
      </w:tr>
      <w:bookmarkEnd w:id="1"/>
      <w:tr w:rsidR="00FF0DC2" w:rsidRPr="00E2226F" w14:paraId="7FC7C06D" w14:textId="77777777" w:rsidTr="00FF0DC2">
        <w:trPr>
          <w:trHeight w:val="355"/>
          <w:jc w:val="center"/>
        </w:trPr>
        <w:tc>
          <w:tcPr>
            <w:tcW w:w="923" w:type="dxa"/>
            <w:tcBorders>
              <w:top w:val="nil"/>
              <w:left w:val="nil"/>
              <w:bottom w:val="nil"/>
              <w:right w:val="nil"/>
            </w:tcBorders>
            <w:shd w:val="clear" w:color="auto" w:fill="auto"/>
          </w:tcPr>
          <w:p w14:paraId="4A64534E" w14:textId="77777777" w:rsidR="00FF0DC2" w:rsidRPr="00E2226F" w:rsidRDefault="00FF0DC2" w:rsidP="00FF0DC2">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5DCC57C" w14:textId="77777777" w:rsidR="00FF0DC2" w:rsidRPr="00E2226F" w:rsidRDefault="00FF0DC2" w:rsidP="00FF0DC2">
            <w:pPr>
              <w:jc w:val="center"/>
              <w:rPr>
                <w:rFonts w:ascii="David" w:hAnsi="David"/>
                <w:b/>
                <w:bCs/>
                <w:sz w:val="26"/>
                <w:szCs w:val="26"/>
                <w:rtl/>
              </w:rPr>
            </w:pPr>
          </w:p>
          <w:p w14:paraId="0190D9FA" w14:textId="77777777" w:rsidR="00FF0DC2" w:rsidRPr="00E2226F" w:rsidRDefault="00FF0DC2" w:rsidP="00FF0DC2">
            <w:pPr>
              <w:jc w:val="center"/>
              <w:rPr>
                <w:rFonts w:ascii="David" w:hAnsi="David"/>
                <w:b/>
                <w:bCs/>
                <w:sz w:val="26"/>
                <w:szCs w:val="26"/>
                <w:rtl/>
              </w:rPr>
            </w:pPr>
            <w:r w:rsidRPr="00E2226F">
              <w:rPr>
                <w:rFonts w:ascii="David" w:hAnsi="David"/>
                <w:b/>
                <w:bCs/>
                <w:sz w:val="26"/>
                <w:szCs w:val="26"/>
                <w:rtl/>
              </w:rPr>
              <w:t>נגד</w:t>
            </w:r>
          </w:p>
          <w:p w14:paraId="2D06FA94" w14:textId="77777777" w:rsidR="00FF0DC2" w:rsidRPr="00E2226F" w:rsidRDefault="00FF0DC2" w:rsidP="00FF0DC2">
            <w:pPr>
              <w:jc w:val="both"/>
              <w:rPr>
                <w:rFonts w:ascii="David" w:hAnsi="David"/>
                <w:sz w:val="26"/>
                <w:szCs w:val="26"/>
              </w:rPr>
            </w:pPr>
          </w:p>
        </w:tc>
      </w:tr>
      <w:tr w:rsidR="00FF0DC2" w:rsidRPr="00E2226F" w14:paraId="6467B82D" w14:textId="77777777" w:rsidTr="00FF0DC2">
        <w:trPr>
          <w:trHeight w:val="355"/>
          <w:jc w:val="center"/>
        </w:trPr>
        <w:tc>
          <w:tcPr>
            <w:tcW w:w="923" w:type="dxa"/>
            <w:tcBorders>
              <w:top w:val="nil"/>
              <w:left w:val="nil"/>
              <w:bottom w:val="nil"/>
              <w:right w:val="nil"/>
            </w:tcBorders>
            <w:shd w:val="clear" w:color="auto" w:fill="auto"/>
          </w:tcPr>
          <w:p w14:paraId="2D2E17F0" w14:textId="77777777" w:rsidR="00FF0DC2" w:rsidRPr="00E2226F" w:rsidRDefault="00FF0DC2" w:rsidP="007575DF">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5C59177F" w14:textId="77777777" w:rsidR="00FF0DC2" w:rsidRPr="00E2226F" w:rsidRDefault="00FF0DC2" w:rsidP="007575DF">
            <w:pPr>
              <w:rPr>
                <w:rFonts w:ascii="Arial" w:hAnsi="Arial"/>
                <w:b/>
                <w:bCs/>
                <w:sz w:val="26"/>
                <w:szCs w:val="26"/>
                <w:rtl/>
              </w:rPr>
            </w:pPr>
            <w:r w:rsidRPr="00E2226F">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60E73DA6" w14:textId="77777777" w:rsidR="00FF0DC2" w:rsidRPr="00E2226F" w:rsidRDefault="00FF0DC2" w:rsidP="00FF0DC2">
            <w:pPr>
              <w:suppressLineNumbers/>
              <w:rPr>
                <w:rFonts w:ascii="Arial" w:hAnsi="Arial"/>
                <w:b/>
                <w:bCs/>
                <w:sz w:val="26"/>
                <w:szCs w:val="26"/>
                <w:rtl/>
              </w:rPr>
            </w:pPr>
            <w:r w:rsidRPr="00E2226F">
              <w:rPr>
                <w:rFonts w:ascii="Arial" w:hAnsi="Arial"/>
                <w:b/>
                <w:bCs/>
                <w:sz w:val="26"/>
                <w:szCs w:val="26"/>
                <w:rtl/>
              </w:rPr>
              <w:t>כילאני מחאג'נה (עצ</w:t>
            </w:r>
            <w:r w:rsidRPr="00E2226F">
              <w:rPr>
                <w:rFonts w:ascii="Arial" w:hAnsi="Arial" w:hint="cs"/>
                <w:b/>
                <w:bCs/>
                <w:sz w:val="26"/>
                <w:szCs w:val="26"/>
                <w:rtl/>
              </w:rPr>
              <w:t>ו</w:t>
            </w:r>
            <w:r w:rsidRPr="00E2226F">
              <w:rPr>
                <w:rFonts w:ascii="Arial" w:hAnsi="Arial"/>
                <w:b/>
                <w:bCs/>
                <w:sz w:val="26"/>
                <w:szCs w:val="26"/>
                <w:rtl/>
              </w:rPr>
              <w:t>ר)</w:t>
            </w:r>
            <w:r w:rsidRPr="00E2226F">
              <w:rPr>
                <w:rFonts w:ascii="Arial" w:hAnsi="Arial" w:hint="cs"/>
                <w:b/>
                <w:bCs/>
                <w:sz w:val="26"/>
                <w:szCs w:val="26"/>
                <w:rtl/>
              </w:rPr>
              <w:t xml:space="preserve"> </w:t>
            </w:r>
          </w:p>
          <w:p w14:paraId="2234F355" w14:textId="77777777" w:rsidR="00FF0DC2" w:rsidRPr="00E2226F" w:rsidRDefault="00FF0DC2" w:rsidP="00FF0DC2">
            <w:pPr>
              <w:suppressLineNumbers/>
              <w:rPr>
                <w:rFonts w:ascii="David" w:hAnsi="David"/>
                <w:sz w:val="26"/>
                <w:szCs w:val="26"/>
              </w:rPr>
            </w:pPr>
            <w:r w:rsidRPr="00E2226F">
              <w:rPr>
                <w:rFonts w:ascii="Arial" w:hAnsi="Arial"/>
                <w:sz w:val="26"/>
                <w:szCs w:val="26"/>
                <w:rtl/>
              </w:rPr>
              <w:t>ע"י ב"כ עו</w:t>
            </w:r>
            <w:r w:rsidRPr="00E2226F">
              <w:rPr>
                <w:rFonts w:ascii="Arial" w:hAnsi="Arial" w:hint="cs"/>
                <w:sz w:val="26"/>
                <w:szCs w:val="26"/>
                <w:rtl/>
              </w:rPr>
              <w:t>"ד עומר מסארווה</w:t>
            </w:r>
          </w:p>
        </w:tc>
      </w:tr>
      <w:bookmarkEnd w:id="2"/>
    </w:tbl>
    <w:p w14:paraId="7A118E4E" w14:textId="77777777" w:rsidR="00FF0DC2" w:rsidRPr="00E2226F" w:rsidRDefault="00FF0DC2" w:rsidP="00FF0DC2">
      <w:pPr>
        <w:rPr>
          <w:sz w:val="26"/>
          <w:szCs w:val="26"/>
        </w:rPr>
      </w:pPr>
    </w:p>
    <w:p w14:paraId="0E8D3F20" w14:textId="77777777" w:rsidR="00E81AE9" w:rsidRPr="00E81AE9" w:rsidRDefault="00E81AE9" w:rsidP="00E81AE9">
      <w:pPr>
        <w:spacing w:before="120" w:after="120" w:line="240" w:lineRule="exact"/>
        <w:ind w:left="283" w:hanging="283"/>
        <w:jc w:val="both"/>
        <w:rPr>
          <w:rFonts w:ascii="FrankRuehl" w:hAnsi="FrankRuehl" w:cs="FrankRuehl"/>
          <w:rtl/>
        </w:rPr>
      </w:pPr>
      <w:bookmarkStart w:id="3" w:name="LawTable"/>
      <w:bookmarkEnd w:id="3"/>
      <w:r w:rsidRPr="00E81AE9">
        <w:rPr>
          <w:rFonts w:ascii="FrankRuehl" w:hAnsi="FrankRuehl" w:cs="FrankRuehl"/>
          <w:rtl/>
        </w:rPr>
        <w:t xml:space="preserve">חקיקה שאוזכרה: </w:t>
      </w:r>
    </w:p>
    <w:p w14:paraId="5BBB5A9B" w14:textId="77777777" w:rsidR="00E81AE9" w:rsidRPr="00E81AE9" w:rsidRDefault="00E81AE9" w:rsidP="00E81AE9">
      <w:pPr>
        <w:spacing w:before="120" w:after="120" w:line="240" w:lineRule="exact"/>
        <w:ind w:left="283" w:hanging="283"/>
        <w:jc w:val="both"/>
        <w:rPr>
          <w:rFonts w:ascii="FrankRuehl" w:hAnsi="FrankRuehl" w:cs="FrankRuehl"/>
          <w:color w:val="0000FF"/>
          <w:rtl/>
        </w:rPr>
      </w:pPr>
      <w:hyperlink r:id="rId7" w:history="1">
        <w:r w:rsidRPr="00E81AE9">
          <w:rPr>
            <w:rStyle w:val="Hyperlink"/>
            <w:rFonts w:ascii="FrankRuehl" w:hAnsi="FrankRuehl" w:cs="FrankRuehl"/>
            <w:u w:val="none"/>
            <w:rtl/>
          </w:rPr>
          <w:t>חוק העונשין, תשל"ז-1977</w:t>
        </w:r>
      </w:hyperlink>
      <w:r w:rsidRPr="00E81AE9">
        <w:rPr>
          <w:rFonts w:ascii="FrankRuehl" w:hAnsi="FrankRuehl" w:cs="FrankRuehl"/>
          <w:color w:val="0000FF"/>
          <w:rtl/>
        </w:rPr>
        <w:t xml:space="preserve">: סע'  </w:t>
      </w:r>
      <w:hyperlink r:id="rId8" w:history="1">
        <w:r w:rsidRPr="00E81AE9">
          <w:rPr>
            <w:rStyle w:val="Hyperlink"/>
            <w:rFonts w:ascii="FrankRuehl" w:hAnsi="FrankRuehl" w:cs="FrankRuehl"/>
            <w:u w:val="none"/>
          </w:rPr>
          <w:t>144</w:t>
        </w:r>
      </w:hyperlink>
      <w:r w:rsidRPr="00E81AE9">
        <w:rPr>
          <w:rFonts w:ascii="FrankRuehl" w:hAnsi="FrankRuehl" w:cs="FrankRuehl"/>
          <w:color w:val="0000FF"/>
          <w:rtl/>
        </w:rPr>
        <w:t xml:space="preserve">, </w:t>
      </w:r>
      <w:hyperlink r:id="rId9" w:history="1">
        <w:r w:rsidRPr="00E81AE9">
          <w:rPr>
            <w:rStyle w:val="Hyperlink"/>
            <w:rFonts w:ascii="FrankRuehl" w:hAnsi="FrankRuehl" w:cs="FrankRuehl"/>
            <w:u w:val="none"/>
          </w:rPr>
          <w:t>144</w:t>
        </w:r>
      </w:hyperlink>
      <w:r w:rsidRPr="00E81AE9">
        <w:rPr>
          <w:rFonts w:ascii="FrankRuehl" w:hAnsi="FrankRuehl" w:cs="FrankRuehl"/>
          <w:color w:val="0000FF"/>
          <w:rtl/>
        </w:rPr>
        <w:t xml:space="preserve">(א), </w:t>
      </w:r>
      <w:hyperlink r:id="rId10" w:history="1">
        <w:r w:rsidRPr="00E81AE9">
          <w:rPr>
            <w:rStyle w:val="Hyperlink"/>
            <w:rFonts w:ascii="FrankRuehl" w:hAnsi="FrankRuehl" w:cs="FrankRuehl"/>
            <w:u w:val="none"/>
          </w:rPr>
          <w:t xml:space="preserve">144 </w:t>
        </w:r>
      </w:hyperlink>
      <w:r w:rsidRPr="00E81AE9">
        <w:rPr>
          <w:rFonts w:ascii="FrankRuehl" w:hAnsi="FrankRuehl" w:cs="FrankRuehl"/>
          <w:color w:val="0000FF"/>
          <w:rtl/>
        </w:rPr>
        <w:t xml:space="preserve">(ב), </w:t>
      </w:r>
      <w:hyperlink r:id="rId11" w:history="1">
        <w:r w:rsidRPr="00E81AE9">
          <w:rPr>
            <w:rStyle w:val="Hyperlink"/>
            <w:rFonts w:ascii="FrankRuehl" w:hAnsi="FrankRuehl" w:cs="FrankRuehl"/>
            <w:u w:val="none"/>
            <w:rtl/>
          </w:rPr>
          <w:t>ב2</w:t>
        </w:r>
      </w:hyperlink>
      <w:r w:rsidRPr="00E81AE9">
        <w:rPr>
          <w:rFonts w:ascii="FrankRuehl" w:hAnsi="FrankRuehl" w:cs="FrankRuehl"/>
          <w:color w:val="0000FF"/>
          <w:rtl/>
        </w:rPr>
        <w:t xml:space="preserve">, </w:t>
      </w:r>
      <w:hyperlink r:id="rId12" w:history="1">
        <w:r w:rsidRPr="00E81AE9">
          <w:rPr>
            <w:rStyle w:val="Hyperlink"/>
            <w:rFonts w:ascii="FrankRuehl" w:hAnsi="FrankRuehl" w:cs="FrankRuehl"/>
            <w:u w:val="none"/>
          </w:rPr>
          <w:t xml:space="preserve">144 </w:t>
        </w:r>
      </w:hyperlink>
      <w:r w:rsidRPr="00E81AE9">
        <w:rPr>
          <w:rFonts w:ascii="FrankRuehl" w:hAnsi="FrankRuehl" w:cs="FrankRuehl"/>
          <w:color w:val="0000FF"/>
          <w:rtl/>
        </w:rPr>
        <w:t>(ז)</w:t>
      </w:r>
    </w:p>
    <w:p w14:paraId="3D8FDE0D" w14:textId="77777777" w:rsidR="00FF0DC2" w:rsidRDefault="00FF0DC2" w:rsidP="00E81AE9">
      <w:pPr>
        <w:rPr>
          <w:rFonts w:ascii="Arial" w:hAnsi="Arial" w:hint="cs"/>
          <w:sz w:val="26"/>
          <w:szCs w:val="26"/>
          <w:rtl/>
        </w:rPr>
      </w:pPr>
      <w:bookmarkStart w:id="4" w:name="LawTable_End"/>
      <w:bookmarkEnd w:id="4"/>
    </w:p>
    <w:p w14:paraId="53466839" w14:textId="77777777" w:rsidR="00E81AE9" w:rsidRDefault="00E81AE9" w:rsidP="00E81AE9">
      <w:pPr>
        <w:rPr>
          <w:rFonts w:ascii="Arial" w:hAnsi="Arial" w:hint="cs"/>
          <w:sz w:val="26"/>
          <w:szCs w:val="26"/>
          <w:rtl/>
        </w:rPr>
      </w:pPr>
    </w:p>
    <w:p w14:paraId="4F1921D5" w14:textId="77777777" w:rsidR="00E81AE9" w:rsidRPr="00E81AE9" w:rsidRDefault="00E81AE9" w:rsidP="00E81AE9">
      <w:pPr>
        <w:rPr>
          <w:rFonts w:ascii="Arial" w:hAnsi="Arial"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F0DC2" w14:paraId="7C3BAD56" w14:textId="77777777" w:rsidTr="00FF0DC2">
        <w:trPr>
          <w:trHeight w:val="355"/>
          <w:jc w:val="center"/>
        </w:trPr>
        <w:tc>
          <w:tcPr>
            <w:tcW w:w="8820" w:type="dxa"/>
            <w:tcBorders>
              <w:top w:val="nil"/>
              <w:left w:val="nil"/>
              <w:bottom w:val="nil"/>
              <w:right w:val="nil"/>
            </w:tcBorders>
            <w:shd w:val="clear" w:color="auto" w:fill="auto"/>
          </w:tcPr>
          <w:p w14:paraId="1233BB07" w14:textId="77777777" w:rsidR="00E2226F" w:rsidRPr="00E2226F" w:rsidRDefault="00E2226F" w:rsidP="00E2226F">
            <w:pPr>
              <w:jc w:val="center"/>
              <w:rPr>
                <w:rFonts w:ascii="David" w:hAnsi="David"/>
                <w:b/>
                <w:bCs/>
                <w:sz w:val="32"/>
                <w:szCs w:val="32"/>
                <w:u w:val="single"/>
                <w:rtl/>
              </w:rPr>
            </w:pPr>
            <w:bookmarkStart w:id="5" w:name="PsakDin" w:colFirst="0" w:colLast="0"/>
            <w:bookmarkEnd w:id="0"/>
            <w:r w:rsidRPr="00E2226F">
              <w:rPr>
                <w:rFonts w:ascii="David" w:hAnsi="David"/>
                <w:b/>
                <w:bCs/>
                <w:sz w:val="32"/>
                <w:szCs w:val="32"/>
                <w:u w:val="single"/>
                <w:rtl/>
              </w:rPr>
              <w:t>גזר דין</w:t>
            </w:r>
          </w:p>
          <w:p w14:paraId="659ABC6E" w14:textId="77777777" w:rsidR="00FF0DC2" w:rsidRPr="00E2226F" w:rsidRDefault="00FF0DC2" w:rsidP="00E2226F">
            <w:pPr>
              <w:jc w:val="center"/>
              <w:rPr>
                <w:rFonts w:ascii="David" w:hAnsi="David"/>
                <w:bCs/>
                <w:sz w:val="32"/>
                <w:szCs w:val="32"/>
                <w:u w:val="single"/>
                <w:rtl/>
              </w:rPr>
            </w:pPr>
          </w:p>
        </w:tc>
      </w:tr>
      <w:bookmarkEnd w:id="5"/>
    </w:tbl>
    <w:p w14:paraId="1875B33B" w14:textId="77777777" w:rsidR="00FF0DC2" w:rsidRPr="000F2247" w:rsidRDefault="00FF0DC2" w:rsidP="00FF0DC2">
      <w:pPr>
        <w:rPr>
          <w:rFonts w:ascii="Arial" w:hAnsi="Arial"/>
          <w:b/>
          <w:bCs/>
          <w:sz w:val="26"/>
          <w:szCs w:val="26"/>
          <w:rtl/>
        </w:rPr>
      </w:pPr>
    </w:p>
    <w:p w14:paraId="7669A2FD" w14:textId="77777777" w:rsidR="00FF0DC2" w:rsidRPr="000F2247" w:rsidRDefault="00FF0DC2" w:rsidP="00FF0DC2">
      <w:pPr>
        <w:rPr>
          <w:rFonts w:ascii="Arial" w:hAnsi="Arial"/>
          <w:b/>
          <w:bCs/>
          <w:sz w:val="26"/>
          <w:szCs w:val="26"/>
          <w:rtl/>
        </w:rPr>
      </w:pPr>
    </w:p>
    <w:p w14:paraId="4D9ECBD4" w14:textId="77777777" w:rsidR="00FF0DC2" w:rsidRDefault="00FF0DC2" w:rsidP="00FF0DC2">
      <w:pPr>
        <w:spacing w:line="360" w:lineRule="auto"/>
        <w:jc w:val="both"/>
        <w:rPr>
          <w:rFonts w:ascii="Arial" w:hAnsi="Arial"/>
          <w:b/>
          <w:bCs/>
          <w:sz w:val="26"/>
          <w:szCs w:val="26"/>
          <w:u w:val="single"/>
          <w:rtl/>
        </w:rPr>
      </w:pPr>
      <w:r w:rsidRPr="00CD560F">
        <w:rPr>
          <w:rFonts w:ascii="Arial" w:hAnsi="Arial" w:hint="cs"/>
          <w:b/>
          <w:bCs/>
          <w:sz w:val="26"/>
          <w:szCs w:val="26"/>
          <w:u w:val="single"/>
          <w:rtl/>
        </w:rPr>
        <w:t>כתב האישום המתוקן</w:t>
      </w:r>
    </w:p>
    <w:p w14:paraId="5FFE7109" w14:textId="77777777" w:rsidR="00FF0DC2" w:rsidRPr="000964F7" w:rsidRDefault="00FF0DC2" w:rsidP="00FF0DC2">
      <w:pPr>
        <w:spacing w:line="360" w:lineRule="auto"/>
        <w:jc w:val="both"/>
        <w:rPr>
          <w:rFonts w:ascii="Arial" w:hAnsi="Arial"/>
          <w:b/>
          <w:bCs/>
          <w:sz w:val="12"/>
          <w:szCs w:val="12"/>
          <w:u w:val="single"/>
          <w:rtl/>
        </w:rPr>
      </w:pPr>
    </w:p>
    <w:p w14:paraId="3F434B20" w14:textId="77777777" w:rsidR="00FF0DC2" w:rsidRDefault="00FF0DC2" w:rsidP="00FF0DC2">
      <w:pPr>
        <w:spacing w:line="360" w:lineRule="auto"/>
        <w:jc w:val="both"/>
        <w:rPr>
          <w:rFonts w:ascii="Arial" w:hAnsi="Arial"/>
          <w:sz w:val="26"/>
          <w:szCs w:val="26"/>
          <w:rtl/>
        </w:rPr>
      </w:pPr>
      <w:bookmarkStart w:id="6" w:name="ABSTRACT_START"/>
      <w:bookmarkEnd w:id="6"/>
      <w:r w:rsidRPr="006735D1">
        <w:rPr>
          <w:rFonts w:ascii="Arial" w:hAnsi="Arial" w:hint="cs"/>
          <w:sz w:val="26"/>
          <w:szCs w:val="26"/>
          <w:rtl/>
        </w:rPr>
        <w:t xml:space="preserve">הנאשם הורשע על פי הודאתו, במסגרת הסדר טיעון, בכתב אישום מתוקן, </w:t>
      </w:r>
      <w:r>
        <w:rPr>
          <w:rFonts w:ascii="Arial" w:hAnsi="Arial" w:hint="cs"/>
          <w:sz w:val="26"/>
          <w:szCs w:val="26"/>
          <w:rtl/>
        </w:rPr>
        <w:t>ב</w:t>
      </w:r>
      <w:r w:rsidRPr="006735D1">
        <w:rPr>
          <w:rFonts w:ascii="Arial" w:hAnsi="Arial" w:hint="cs"/>
          <w:sz w:val="26"/>
          <w:szCs w:val="26"/>
          <w:rtl/>
        </w:rPr>
        <w:t>עבירה של החזקת נשק</w:t>
      </w:r>
      <w:r>
        <w:rPr>
          <w:rFonts w:ascii="Arial" w:hAnsi="Arial" w:hint="cs"/>
          <w:sz w:val="26"/>
          <w:szCs w:val="26"/>
          <w:rtl/>
        </w:rPr>
        <w:t xml:space="preserve"> בלא רשות על פי דין (</w:t>
      </w:r>
      <w:hyperlink r:id="rId13" w:history="1">
        <w:r w:rsidR="00E81AE9" w:rsidRPr="00E81AE9">
          <w:rPr>
            <w:rStyle w:val="Hyperlink"/>
            <w:rFonts w:ascii="Arial" w:hAnsi="Arial" w:hint="eastAsia"/>
            <w:color w:val="0000FF"/>
            <w:sz w:val="26"/>
            <w:szCs w:val="26"/>
            <w:rtl/>
          </w:rPr>
          <w:t>סעיף</w:t>
        </w:r>
        <w:r w:rsidR="00E81AE9" w:rsidRPr="00E81AE9">
          <w:rPr>
            <w:rStyle w:val="Hyperlink"/>
            <w:rFonts w:ascii="Arial" w:hAnsi="Arial"/>
            <w:color w:val="0000FF"/>
            <w:sz w:val="26"/>
            <w:szCs w:val="26"/>
            <w:rtl/>
          </w:rPr>
          <w:t xml:space="preserve"> 144(א)</w:t>
        </w:r>
      </w:hyperlink>
      <w:r>
        <w:rPr>
          <w:rFonts w:ascii="Arial" w:hAnsi="Arial" w:hint="cs"/>
          <w:sz w:val="26"/>
          <w:szCs w:val="26"/>
          <w:rtl/>
        </w:rPr>
        <w:t xml:space="preserve"> רישה וסיפא ל</w:t>
      </w:r>
      <w:hyperlink r:id="rId14" w:history="1">
        <w:r w:rsidR="00E2226F" w:rsidRPr="00E2226F">
          <w:rPr>
            <w:rFonts w:ascii="Arial" w:hAnsi="Arial"/>
            <w:color w:val="0000FF"/>
            <w:sz w:val="26"/>
            <w:szCs w:val="26"/>
            <w:u w:val="single"/>
            <w:rtl/>
          </w:rPr>
          <w:t>חוק העונשין</w:t>
        </w:r>
      </w:hyperlink>
      <w:r>
        <w:rPr>
          <w:rFonts w:ascii="Arial" w:hAnsi="Arial" w:hint="cs"/>
          <w:sz w:val="26"/>
          <w:szCs w:val="26"/>
          <w:rtl/>
        </w:rPr>
        <w:t>, תשל"ז-1977)</w:t>
      </w:r>
      <w:r w:rsidRPr="006735D1">
        <w:rPr>
          <w:rFonts w:ascii="Arial" w:hAnsi="Arial" w:hint="cs"/>
          <w:sz w:val="26"/>
          <w:szCs w:val="26"/>
          <w:rtl/>
        </w:rPr>
        <w:t>, בכך שביום 15.2.24</w:t>
      </w:r>
      <w:r>
        <w:rPr>
          <w:rFonts w:ascii="Arial" w:hAnsi="Arial" w:hint="cs"/>
          <w:sz w:val="26"/>
          <w:szCs w:val="26"/>
          <w:rtl/>
        </w:rPr>
        <w:t xml:space="preserve"> החזיק בביתו תיק ובו שני אקדחים חצי אוטומטיים, מסוג </w:t>
      </w:r>
      <w:r>
        <w:rPr>
          <w:rFonts w:ascii="Arial" w:hAnsi="Arial" w:hint="cs"/>
          <w:sz w:val="26"/>
          <w:szCs w:val="26"/>
        </w:rPr>
        <w:t>CZ</w:t>
      </w:r>
      <w:r>
        <w:rPr>
          <w:rFonts w:ascii="Arial" w:hAnsi="Arial" w:hint="cs"/>
          <w:sz w:val="26"/>
          <w:szCs w:val="26"/>
          <w:rtl/>
        </w:rPr>
        <w:t xml:space="preserve"> ו-</w:t>
      </w:r>
      <w:r>
        <w:rPr>
          <w:rFonts w:ascii="Arial" w:hAnsi="Arial" w:hint="cs"/>
          <w:sz w:val="26"/>
          <w:szCs w:val="26"/>
        </w:rPr>
        <w:t>DDG</w:t>
      </w:r>
      <w:r>
        <w:rPr>
          <w:rFonts w:ascii="Arial" w:hAnsi="Arial" w:hint="cs"/>
          <w:sz w:val="26"/>
          <w:szCs w:val="26"/>
          <w:rtl/>
        </w:rPr>
        <w:t xml:space="preserve">, אשר כל אחד מהם היה טעון במחסנית ובה כדורים, וכן שלוש מחסניות נוספות מלאות בתחמושת, וקופסה נוספת המכילה 31 כדורים. </w:t>
      </w:r>
    </w:p>
    <w:p w14:paraId="13A5D0D6" w14:textId="77777777" w:rsidR="00FF0DC2" w:rsidRDefault="00FF0DC2" w:rsidP="00FF0DC2">
      <w:pPr>
        <w:spacing w:line="360" w:lineRule="auto"/>
        <w:jc w:val="both"/>
        <w:rPr>
          <w:rFonts w:ascii="Arial" w:hAnsi="Arial"/>
          <w:sz w:val="26"/>
          <w:szCs w:val="26"/>
          <w:rtl/>
        </w:rPr>
      </w:pPr>
      <w:bookmarkStart w:id="7" w:name="ABSTRACT_END"/>
      <w:bookmarkEnd w:id="7"/>
    </w:p>
    <w:p w14:paraId="5B495CC9" w14:textId="77777777" w:rsidR="00FF0DC2" w:rsidRPr="00226B10" w:rsidRDefault="00FF0DC2" w:rsidP="00FF0DC2">
      <w:pPr>
        <w:spacing w:line="360" w:lineRule="auto"/>
        <w:jc w:val="both"/>
        <w:rPr>
          <w:rFonts w:ascii="Arial" w:hAnsi="Arial"/>
          <w:b/>
          <w:bCs/>
          <w:sz w:val="26"/>
          <w:szCs w:val="26"/>
          <w:u w:val="single"/>
          <w:rtl/>
        </w:rPr>
      </w:pPr>
      <w:r w:rsidRPr="00226B10">
        <w:rPr>
          <w:rFonts w:ascii="Arial" w:hAnsi="Arial" w:hint="cs"/>
          <w:b/>
          <w:bCs/>
          <w:sz w:val="26"/>
          <w:szCs w:val="26"/>
          <w:u w:val="single"/>
          <w:rtl/>
        </w:rPr>
        <w:t>הראיות והטיעונים לעונש</w:t>
      </w:r>
    </w:p>
    <w:p w14:paraId="287969F5" w14:textId="77777777" w:rsidR="00FF0DC2" w:rsidRPr="000964F7" w:rsidRDefault="00FF0DC2" w:rsidP="00FF0DC2">
      <w:pPr>
        <w:spacing w:line="360" w:lineRule="auto"/>
        <w:jc w:val="both"/>
        <w:rPr>
          <w:rFonts w:ascii="Arial" w:hAnsi="Arial"/>
          <w:sz w:val="16"/>
          <w:szCs w:val="16"/>
          <w:rtl/>
        </w:rPr>
      </w:pPr>
    </w:p>
    <w:p w14:paraId="54E294CC"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 xml:space="preserve">במסגרת הטיעונים לעונש העיד אבי הנאשם. </w:t>
      </w:r>
    </w:p>
    <w:p w14:paraId="13734A2D" w14:textId="77777777" w:rsidR="00FF0DC2" w:rsidRDefault="00FF0DC2" w:rsidP="00FF0DC2">
      <w:pPr>
        <w:spacing w:line="360" w:lineRule="auto"/>
        <w:jc w:val="both"/>
        <w:rPr>
          <w:rFonts w:ascii="Arial" w:hAnsi="Arial"/>
          <w:sz w:val="26"/>
          <w:szCs w:val="26"/>
          <w:rtl/>
        </w:rPr>
      </w:pPr>
    </w:p>
    <w:p w14:paraId="48F161AF"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 xml:space="preserve">אבי הנאשם מסר כי משפחתו נתונה לתקיפות חוזרות, אשר עד כה הביאו לרציחת אחיו ולפציעת אחייניו. כן סיפר אבי הנאשם כי בן אחר שלו, אף הוא נפצע מירי ומאז הוא מאושפז. האב הוסיף כי משפחתו משפחה נורמטיבית. עוד מסר האב כי הנאשם היה צפוי </w:t>
      </w:r>
      <w:r>
        <w:rPr>
          <w:rFonts w:ascii="Arial" w:hAnsi="Arial" w:hint="cs"/>
          <w:sz w:val="26"/>
          <w:szCs w:val="26"/>
          <w:rtl/>
        </w:rPr>
        <w:lastRenderedPageBreak/>
        <w:t xml:space="preserve">להתחתן החודש. לבסוף, ציין כי הוא ואשתו חולים והנאשם, שהוא ילד הזקונים, מסייע להם. בתשובה לשאלות ב"כ המאשימה, שלל אבי הנאשם כי הנשק הוחזק לצורך נקמה. </w:t>
      </w:r>
    </w:p>
    <w:p w14:paraId="6F3D5F65" w14:textId="77777777" w:rsidR="00FF0DC2" w:rsidRDefault="00FF0DC2" w:rsidP="00FF0DC2">
      <w:pPr>
        <w:spacing w:line="360" w:lineRule="auto"/>
        <w:jc w:val="both"/>
        <w:rPr>
          <w:rFonts w:ascii="Arial" w:hAnsi="Arial"/>
          <w:sz w:val="26"/>
          <w:szCs w:val="26"/>
          <w:rtl/>
        </w:rPr>
      </w:pPr>
    </w:p>
    <w:p w14:paraId="2081AA51"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 xml:space="preserve">בטיעוניו לעונש, הדגיש </w:t>
      </w:r>
      <w:r w:rsidRPr="009A1ED7">
        <w:rPr>
          <w:rFonts w:ascii="Arial" w:hAnsi="Arial" w:hint="cs"/>
          <w:b/>
          <w:bCs/>
          <w:sz w:val="26"/>
          <w:szCs w:val="26"/>
          <w:rtl/>
        </w:rPr>
        <w:t>ב"כ המאשימה</w:t>
      </w:r>
      <w:r>
        <w:rPr>
          <w:rFonts w:ascii="Arial" w:hAnsi="Arial" w:hint="cs"/>
          <w:sz w:val="26"/>
          <w:szCs w:val="26"/>
          <w:rtl/>
        </w:rPr>
        <w:t xml:space="preserve"> את העובדה כי הוחזקו שני אקדחים טעונים  במחסניות, וכן הוחזקו מחסניות נוספות ותחמושת. לדעת ב"כ המאשימה, לנאשם היה מעין "תיק כוננות", המוכן לשימוש מידי. לדעתו, החזקת נשק מוכן לשימוש כאמור, גם אם לא נעשתה על רקע רצון לנקמה, טומנת בחובה חומרה רבה, בשל פגיעתה בביטחון ובשלום הציבור.</w:t>
      </w:r>
    </w:p>
    <w:p w14:paraId="296FAC62"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 xml:space="preserve">ב"כ המאשימה טען עוד כי ניכרת החמרה באלימות על רקע תפוצת הנשק הלא חוקי, ומכאן המסוכנות הרבה של עבירות מעין זו שבוצעה על ידי הנאשם. </w:t>
      </w:r>
    </w:p>
    <w:p w14:paraId="3C3505F7" w14:textId="77777777" w:rsidR="00FF0DC2" w:rsidRDefault="00FF0DC2" w:rsidP="00FF0DC2">
      <w:pPr>
        <w:spacing w:line="360" w:lineRule="auto"/>
        <w:jc w:val="both"/>
        <w:rPr>
          <w:rFonts w:ascii="Arial" w:hAnsi="Arial"/>
          <w:sz w:val="26"/>
          <w:szCs w:val="26"/>
          <w:rtl/>
        </w:rPr>
      </w:pPr>
    </w:p>
    <w:p w14:paraId="5932B0D1"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 xml:space="preserve">כן נטען כי החזקת נשק לצורך עשיית דין עצמית פוגעת במשילות ומחזקת את תחושת הפחד בחברה, ובפרט בחברה הערבית, בה היא נפוצה. </w:t>
      </w:r>
    </w:p>
    <w:p w14:paraId="08B624D6" w14:textId="77777777" w:rsidR="00FF0DC2" w:rsidRDefault="00FF0DC2" w:rsidP="00FF0DC2">
      <w:pPr>
        <w:jc w:val="both"/>
        <w:rPr>
          <w:rFonts w:ascii="Arial" w:hAnsi="Arial"/>
          <w:sz w:val="26"/>
          <w:szCs w:val="26"/>
          <w:rtl/>
        </w:rPr>
      </w:pPr>
    </w:p>
    <w:p w14:paraId="4EAFD03A" w14:textId="77777777" w:rsidR="00FF0DC2" w:rsidRDefault="00FF0DC2" w:rsidP="00FF0DC2">
      <w:pPr>
        <w:jc w:val="both"/>
        <w:rPr>
          <w:rFonts w:ascii="Arial" w:hAnsi="Arial"/>
          <w:sz w:val="26"/>
          <w:szCs w:val="26"/>
          <w:rtl/>
        </w:rPr>
      </w:pPr>
      <w:r>
        <w:rPr>
          <w:rFonts w:ascii="Arial" w:hAnsi="Arial" w:hint="cs"/>
          <w:sz w:val="26"/>
          <w:szCs w:val="26"/>
          <w:rtl/>
        </w:rPr>
        <w:t xml:space="preserve">הודגש עוד כי מדובר במעשה מתוכנן. </w:t>
      </w:r>
    </w:p>
    <w:p w14:paraId="49D41A89" w14:textId="77777777" w:rsidR="00FF0DC2" w:rsidRDefault="00FF0DC2" w:rsidP="00FF0DC2">
      <w:pPr>
        <w:jc w:val="both"/>
        <w:rPr>
          <w:rFonts w:ascii="Arial" w:hAnsi="Arial"/>
          <w:sz w:val="26"/>
          <w:szCs w:val="26"/>
          <w:rtl/>
        </w:rPr>
      </w:pPr>
    </w:p>
    <w:p w14:paraId="690ACEF6"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באשר למתחם הענישה,  ב"כ המאשימה הפנה לשורה של פסקי דין שניתנו על ידי בית המשפט העליון ובהם נקבע מתחם ענישה הנע בין 20 ל-40 חודשי מאסר לריצוי בפועל.</w:t>
      </w:r>
    </w:p>
    <w:p w14:paraId="5EB2A15C"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 xml:space="preserve"> </w:t>
      </w:r>
    </w:p>
    <w:p w14:paraId="05E53924"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בנוסף, הפנה ב"כ המאשימה לתיקון 140 ל</w:t>
      </w:r>
      <w:hyperlink r:id="rId15" w:history="1">
        <w:r w:rsidR="00E2226F" w:rsidRPr="00E2226F">
          <w:rPr>
            <w:rFonts w:ascii="Arial" w:hAnsi="Arial"/>
            <w:color w:val="0000FF"/>
            <w:sz w:val="26"/>
            <w:szCs w:val="26"/>
            <w:u w:val="single"/>
            <w:rtl/>
          </w:rPr>
          <w:t>חוק העונשין</w:t>
        </w:r>
      </w:hyperlink>
      <w:r>
        <w:rPr>
          <w:rFonts w:ascii="Arial" w:hAnsi="Arial" w:hint="cs"/>
          <w:sz w:val="26"/>
          <w:szCs w:val="26"/>
          <w:rtl/>
        </w:rPr>
        <w:t>, תשל"ז-1977. לפיו, עונש המינימום בעבירה בה הורשע הנאשם עומד על 21 חודשים. עוד התייחס ב"כ המאשימה להנחיית פרקליט המדינה המבטאת את מגמת ההחמרה הנדרשת בעבירות נשק.</w:t>
      </w:r>
    </w:p>
    <w:p w14:paraId="45CDD113" w14:textId="77777777" w:rsidR="00FF0DC2" w:rsidRDefault="00FF0DC2" w:rsidP="00FF0DC2">
      <w:pPr>
        <w:spacing w:line="360" w:lineRule="auto"/>
        <w:jc w:val="both"/>
        <w:rPr>
          <w:rFonts w:ascii="Arial" w:hAnsi="Arial"/>
          <w:sz w:val="26"/>
          <w:szCs w:val="26"/>
          <w:rtl/>
        </w:rPr>
      </w:pPr>
    </w:p>
    <w:p w14:paraId="03DAAC2F"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לאור האמור, סבר ב"כ המאשימה כי יש לקבוע מתחם עונשי הנע בין שנתיים וחצי לבין חמש שנות מאסר. בתוך המתחם, ביקש ב"כ המאשימה להעמיד את העונש ברף הבינוני-תחתון, באופן שייתן ביטוי ראוי הן לצורך בהרתעת היחיד והרבים והן להודאתו של הנאשם באשמה ולעברו הנקי.</w:t>
      </w:r>
    </w:p>
    <w:p w14:paraId="770C3839" w14:textId="77777777" w:rsidR="00FF0DC2" w:rsidRDefault="00FF0DC2" w:rsidP="00FF0DC2">
      <w:pPr>
        <w:spacing w:line="360" w:lineRule="auto"/>
        <w:jc w:val="both"/>
        <w:rPr>
          <w:rFonts w:ascii="Arial" w:hAnsi="Arial"/>
          <w:sz w:val="26"/>
          <w:szCs w:val="26"/>
          <w:rtl/>
        </w:rPr>
      </w:pPr>
    </w:p>
    <w:p w14:paraId="2AD5E8E8" w14:textId="77777777" w:rsidR="00FF0DC2" w:rsidRDefault="00FF0DC2" w:rsidP="00FF0DC2">
      <w:pPr>
        <w:spacing w:line="360" w:lineRule="auto"/>
        <w:jc w:val="both"/>
        <w:rPr>
          <w:rFonts w:ascii="Arial" w:hAnsi="Arial"/>
          <w:sz w:val="26"/>
          <w:szCs w:val="26"/>
          <w:rtl/>
        </w:rPr>
      </w:pPr>
      <w:r w:rsidRPr="009A1ED7">
        <w:rPr>
          <w:rFonts w:ascii="Arial" w:hAnsi="Arial" w:hint="cs"/>
          <w:b/>
          <w:bCs/>
          <w:sz w:val="26"/>
          <w:szCs w:val="26"/>
          <w:rtl/>
        </w:rPr>
        <w:t>ב"כ הנאשם</w:t>
      </w:r>
      <w:r>
        <w:rPr>
          <w:rFonts w:ascii="Arial" w:hAnsi="Arial" w:hint="cs"/>
          <w:sz w:val="26"/>
          <w:szCs w:val="26"/>
          <w:rtl/>
        </w:rPr>
        <w:t xml:space="preserve"> פתח את דבריו בפירוט נסיבותיו האישיות. הנאשם יליד 1995, עובד במאפייה, נעדר עבר פלילי, שלדבריו נקלע לסיטואציה מורכבת וטעה. לדברי הסניגור, מטרת החזקת הנשק לא הייתה לפגוע, אלא להתגונן מפני המתקפות הקשות והאיומים המוחשיים להם נתונה משפחת הנאשם. בעניין זה, הפנה ב"כ הנאשם לתיקים פליליים שנפתחו בנוגע לפגיעות שנגרמו לבני משפחת הנאשם וכן למסמך רפואי בעניין פציעת אחיו. </w:t>
      </w:r>
    </w:p>
    <w:p w14:paraId="6B54CC0B" w14:textId="77777777" w:rsidR="00FF0DC2" w:rsidRDefault="00FF0DC2" w:rsidP="00FF0DC2">
      <w:pPr>
        <w:spacing w:line="360" w:lineRule="auto"/>
        <w:jc w:val="both"/>
        <w:rPr>
          <w:rFonts w:ascii="Arial" w:hAnsi="Arial"/>
          <w:sz w:val="26"/>
          <w:szCs w:val="26"/>
          <w:rtl/>
        </w:rPr>
      </w:pPr>
    </w:p>
    <w:p w14:paraId="2F24B1F1"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lastRenderedPageBreak/>
        <w:t>הסנגור חלק על תיאור ב"כ המאשימה בנוגע למוכנות הנשק לשימוש, כאשר, לשיטתו, החזקת האקדחים בתיק ולא על הגוף מבססת טענה הפוכה, של חוסר יכולת לשימוש מידי.</w:t>
      </w:r>
    </w:p>
    <w:p w14:paraId="2DCB2C6A" w14:textId="77777777" w:rsidR="00FF0DC2" w:rsidRDefault="00FF0DC2" w:rsidP="00FF0DC2">
      <w:pPr>
        <w:spacing w:line="360" w:lineRule="auto"/>
        <w:jc w:val="both"/>
        <w:rPr>
          <w:rFonts w:ascii="Arial" w:hAnsi="Arial"/>
          <w:sz w:val="26"/>
          <w:szCs w:val="26"/>
          <w:rtl/>
        </w:rPr>
      </w:pPr>
    </w:p>
    <w:p w14:paraId="6673AB62"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 xml:space="preserve">הסנגור הוסיף כי היום הנאשם מבין את טעותו. </w:t>
      </w:r>
    </w:p>
    <w:p w14:paraId="7E82B660" w14:textId="77777777" w:rsidR="00FF0DC2" w:rsidRDefault="00FF0DC2" w:rsidP="00FF0DC2">
      <w:pPr>
        <w:spacing w:line="360" w:lineRule="auto"/>
        <w:jc w:val="both"/>
        <w:rPr>
          <w:rFonts w:ascii="Arial" w:hAnsi="Arial"/>
          <w:sz w:val="26"/>
          <w:szCs w:val="26"/>
          <w:rtl/>
        </w:rPr>
      </w:pPr>
    </w:p>
    <w:p w14:paraId="779B70AA"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בהמשך דבריו, סקר הסנגור שורה של פסקי דין, אשר לטעמו מלמדים על מנעד עונשי של שניים עשר עד עשרים חודשים כמתחם הראוי בנסיבות ענייננו.</w:t>
      </w:r>
    </w:p>
    <w:p w14:paraId="213E2A43" w14:textId="77777777" w:rsidR="00FF0DC2" w:rsidRDefault="00FF0DC2" w:rsidP="00FF0DC2">
      <w:pPr>
        <w:spacing w:line="360" w:lineRule="auto"/>
        <w:jc w:val="both"/>
        <w:rPr>
          <w:rFonts w:ascii="Arial" w:hAnsi="Arial"/>
          <w:sz w:val="26"/>
          <w:szCs w:val="26"/>
          <w:rtl/>
        </w:rPr>
      </w:pPr>
    </w:p>
    <w:p w14:paraId="68E81398" w14:textId="77777777" w:rsidR="00FF0DC2" w:rsidRDefault="00FF0DC2" w:rsidP="00FF0DC2">
      <w:pPr>
        <w:spacing w:line="360" w:lineRule="auto"/>
        <w:jc w:val="both"/>
        <w:rPr>
          <w:rFonts w:ascii="Arial" w:hAnsi="Arial"/>
          <w:sz w:val="26"/>
          <w:szCs w:val="26"/>
          <w:rtl/>
        </w:rPr>
      </w:pPr>
      <w:r w:rsidRPr="009A1ED7">
        <w:rPr>
          <w:rFonts w:ascii="Arial" w:hAnsi="Arial" w:hint="cs"/>
          <w:b/>
          <w:bCs/>
          <w:sz w:val="26"/>
          <w:szCs w:val="26"/>
          <w:rtl/>
        </w:rPr>
        <w:t>הנאשם בדברו האחרון</w:t>
      </w:r>
      <w:r>
        <w:rPr>
          <w:rFonts w:ascii="Arial" w:hAnsi="Arial" w:hint="cs"/>
          <w:sz w:val="26"/>
          <w:szCs w:val="26"/>
          <w:rtl/>
        </w:rPr>
        <w:t xml:space="preserve"> מסר כי הוא עשה טעות והוא מצטער עליה וכי הוא מבקש להשתחרר ממאסר, להתחתן ולעבוד.</w:t>
      </w:r>
    </w:p>
    <w:p w14:paraId="2A44A475" w14:textId="77777777" w:rsidR="00FF0DC2" w:rsidRDefault="00FF0DC2" w:rsidP="00FF0DC2">
      <w:pPr>
        <w:spacing w:line="360" w:lineRule="auto"/>
        <w:jc w:val="both"/>
        <w:rPr>
          <w:rFonts w:ascii="Arial" w:hAnsi="Arial"/>
          <w:sz w:val="26"/>
          <w:szCs w:val="26"/>
          <w:rtl/>
        </w:rPr>
      </w:pPr>
    </w:p>
    <w:p w14:paraId="2665E81C" w14:textId="77777777" w:rsidR="00FF0DC2" w:rsidRDefault="00FF0DC2" w:rsidP="00FF0DC2">
      <w:pPr>
        <w:spacing w:line="360" w:lineRule="auto"/>
        <w:jc w:val="both"/>
        <w:rPr>
          <w:rFonts w:ascii="Arial" w:hAnsi="Arial"/>
          <w:b/>
          <w:bCs/>
          <w:sz w:val="26"/>
          <w:szCs w:val="26"/>
          <w:u w:val="single"/>
          <w:rtl/>
        </w:rPr>
      </w:pPr>
      <w:r w:rsidRPr="00226B10">
        <w:rPr>
          <w:rFonts w:ascii="Arial" w:hAnsi="Arial" w:hint="cs"/>
          <w:b/>
          <w:bCs/>
          <w:sz w:val="26"/>
          <w:szCs w:val="26"/>
          <w:u w:val="single"/>
          <w:rtl/>
        </w:rPr>
        <w:t>דיון והכרעה</w:t>
      </w:r>
    </w:p>
    <w:p w14:paraId="2E863837" w14:textId="77777777" w:rsidR="00FF0DC2" w:rsidRPr="000964F7" w:rsidRDefault="00FF0DC2" w:rsidP="00FF0DC2">
      <w:pPr>
        <w:spacing w:line="360" w:lineRule="auto"/>
        <w:jc w:val="both"/>
        <w:rPr>
          <w:rFonts w:ascii="Arial" w:hAnsi="Arial"/>
          <w:b/>
          <w:bCs/>
          <w:sz w:val="10"/>
          <w:szCs w:val="10"/>
          <w:u w:val="single"/>
          <w:rtl/>
        </w:rPr>
      </w:pPr>
    </w:p>
    <w:p w14:paraId="6E2758BD" w14:textId="77777777" w:rsidR="00FF0DC2" w:rsidRPr="00B455FE" w:rsidRDefault="00FF0DC2" w:rsidP="00FF0DC2">
      <w:pPr>
        <w:spacing w:line="360" w:lineRule="auto"/>
        <w:jc w:val="both"/>
        <w:rPr>
          <w:rFonts w:ascii="Arial" w:hAnsi="Arial"/>
          <w:b/>
          <w:bCs/>
          <w:sz w:val="26"/>
          <w:szCs w:val="26"/>
          <w:rtl/>
        </w:rPr>
      </w:pPr>
      <w:r w:rsidRPr="00B455FE">
        <w:rPr>
          <w:rFonts w:ascii="Arial" w:hAnsi="Arial" w:hint="cs"/>
          <w:b/>
          <w:bCs/>
          <w:sz w:val="26"/>
          <w:szCs w:val="26"/>
          <w:rtl/>
        </w:rPr>
        <w:t>הער</w:t>
      </w:r>
      <w:r>
        <w:rPr>
          <w:rFonts w:ascii="Arial" w:hAnsi="Arial" w:hint="cs"/>
          <w:b/>
          <w:bCs/>
          <w:sz w:val="26"/>
          <w:szCs w:val="26"/>
          <w:rtl/>
        </w:rPr>
        <w:t xml:space="preserve">כים </w:t>
      </w:r>
      <w:r w:rsidRPr="00B455FE">
        <w:rPr>
          <w:rFonts w:ascii="Arial" w:hAnsi="Arial" w:hint="cs"/>
          <w:b/>
          <w:bCs/>
          <w:sz w:val="26"/>
          <w:szCs w:val="26"/>
          <w:rtl/>
        </w:rPr>
        <w:t>המוג</w:t>
      </w:r>
      <w:r>
        <w:rPr>
          <w:rFonts w:ascii="Arial" w:hAnsi="Arial" w:hint="cs"/>
          <w:b/>
          <w:bCs/>
          <w:sz w:val="26"/>
          <w:szCs w:val="26"/>
          <w:rtl/>
        </w:rPr>
        <w:t>נים</w:t>
      </w:r>
    </w:p>
    <w:p w14:paraId="768444CA" w14:textId="77777777" w:rsidR="00FF0DC2" w:rsidRDefault="00E81AE9" w:rsidP="00FF0DC2">
      <w:pPr>
        <w:spacing w:line="360" w:lineRule="auto"/>
        <w:jc w:val="both"/>
        <w:rPr>
          <w:rFonts w:ascii="Arial" w:hAnsi="Arial"/>
          <w:sz w:val="26"/>
          <w:szCs w:val="26"/>
          <w:rtl/>
        </w:rPr>
      </w:pPr>
      <w:hyperlink r:id="rId16" w:history="1">
        <w:r w:rsidRPr="00E81AE9">
          <w:rPr>
            <w:rStyle w:val="Hyperlink"/>
            <w:rFonts w:ascii="Arial" w:hAnsi="Arial" w:hint="eastAsia"/>
            <w:color w:val="0000FF"/>
            <w:sz w:val="26"/>
            <w:szCs w:val="26"/>
            <w:rtl/>
          </w:rPr>
          <w:t>סעיף</w:t>
        </w:r>
        <w:r w:rsidRPr="00E81AE9">
          <w:rPr>
            <w:rStyle w:val="Hyperlink"/>
            <w:rFonts w:ascii="Arial" w:hAnsi="Arial"/>
            <w:color w:val="0000FF"/>
            <w:sz w:val="26"/>
            <w:szCs w:val="26"/>
            <w:rtl/>
          </w:rPr>
          <w:t xml:space="preserve"> 144</w:t>
        </w:r>
      </w:hyperlink>
      <w:r w:rsidR="00FF0DC2">
        <w:rPr>
          <w:rFonts w:ascii="Arial" w:hAnsi="Arial" w:hint="cs"/>
          <w:sz w:val="26"/>
          <w:szCs w:val="26"/>
          <w:rtl/>
        </w:rPr>
        <w:t xml:space="preserve"> ל</w:t>
      </w:r>
      <w:hyperlink r:id="rId17" w:history="1">
        <w:r w:rsidR="00E2226F" w:rsidRPr="00E2226F">
          <w:rPr>
            <w:rFonts w:ascii="Arial" w:hAnsi="Arial"/>
            <w:color w:val="0000FF"/>
            <w:sz w:val="26"/>
            <w:szCs w:val="26"/>
            <w:u w:val="single"/>
            <w:rtl/>
          </w:rPr>
          <w:t>חוק העונשין</w:t>
        </w:r>
      </w:hyperlink>
      <w:r w:rsidR="00FF0DC2">
        <w:rPr>
          <w:rFonts w:ascii="Arial" w:hAnsi="Arial" w:hint="cs"/>
          <w:sz w:val="26"/>
          <w:szCs w:val="26"/>
          <w:rtl/>
        </w:rPr>
        <w:t xml:space="preserve"> מגלם בחובו תכליות של הגנה על חיי האדם, שלום הציבור וביטחונו (ראו מיני רבים </w:t>
      </w:r>
      <w:hyperlink r:id="rId18" w:history="1">
        <w:r w:rsidR="00E2226F" w:rsidRPr="00E2226F">
          <w:rPr>
            <w:rFonts w:ascii="Arial" w:hAnsi="Arial"/>
            <w:color w:val="0000FF"/>
            <w:sz w:val="26"/>
            <w:szCs w:val="26"/>
            <w:u w:val="single"/>
            <w:rtl/>
          </w:rPr>
          <w:t>ע"פ 7971/23</w:t>
        </w:r>
      </w:hyperlink>
      <w:r w:rsidR="00FF0DC2">
        <w:rPr>
          <w:rFonts w:ascii="Arial" w:hAnsi="Arial" w:hint="cs"/>
          <w:sz w:val="26"/>
          <w:szCs w:val="26"/>
          <w:rtl/>
        </w:rPr>
        <w:t xml:space="preserve"> </w:t>
      </w:r>
      <w:r w:rsidR="00FF0DC2" w:rsidRPr="00FE73BF">
        <w:rPr>
          <w:rFonts w:ascii="Arial" w:hAnsi="Arial" w:hint="cs"/>
          <w:b/>
          <w:bCs/>
          <w:sz w:val="26"/>
          <w:szCs w:val="26"/>
          <w:rtl/>
        </w:rPr>
        <w:t>אגבאריה</w:t>
      </w:r>
      <w:r w:rsidR="00FF0DC2">
        <w:rPr>
          <w:rFonts w:ascii="Arial" w:hAnsi="Arial" w:hint="cs"/>
          <w:sz w:val="26"/>
          <w:szCs w:val="26"/>
          <w:rtl/>
        </w:rPr>
        <w:t xml:space="preserve"> נ' </w:t>
      </w:r>
      <w:r w:rsidR="00FF0DC2" w:rsidRPr="00FE73BF">
        <w:rPr>
          <w:rFonts w:ascii="Arial" w:hAnsi="Arial" w:hint="cs"/>
          <w:b/>
          <w:bCs/>
          <w:sz w:val="26"/>
          <w:szCs w:val="26"/>
          <w:rtl/>
        </w:rPr>
        <w:t>מדינת ישראל</w:t>
      </w:r>
      <w:r w:rsidR="00FF0DC2">
        <w:rPr>
          <w:rFonts w:ascii="Arial" w:hAnsi="Arial" w:hint="cs"/>
          <w:sz w:val="26"/>
          <w:szCs w:val="26"/>
          <w:rtl/>
        </w:rPr>
        <w:t xml:space="preserve"> (פורסם בנבו, 26.5.24)). </w:t>
      </w:r>
    </w:p>
    <w:p w14:paraId="4B4FFC95" w14:textId="77777777" w:rsidR="00FF0DC2" w:rsidRDefault="00FF0DC2" w:rsidP="00FF0DC2">
      <w:pPr>
        <w:spacing w:line="360" w:lineRule="auto"/>
        <w:jc w:val="both"/>
        <w:rPr>
          <w:rFonts w:ascii="Arial" w:hAnsi="Arial"/>
          <w:sz w:val="26"/>
          <w:szCs w:val="26"/>
          <w:rtl/>
        </w:rPr>
      </w:pPr>
    </w:p>
    <w:p w14:paraId="5699BC11"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הסיכון הכרוך בהחזקת נשק שלא כדין מתבטא בחשש שהמחזיק בנשק יעשה בו שימוש וכן באפשרות כי נשק זה יגיע לידיים אחרות (</w:t>
      </w:r>
      <w:hyperlink r:id="rId19" w:history="1">
        <w:r w:rsidR="00E2226F" w:rsidRPr="00E2226F">
          <w:rPr>
            <w:rFonts w:ascii="Arial" w:hAnsi="Arial"/>
            <w:color w:val="0000FF"/>
            <w:sz w:val="26"/>
            <w:szCs w:val="26"/>
            <w:u w:val="single"/>
            <w:rtl/>
          </w:rPr>
          <w:t>ע"פ 4945/14</w:t>
        </w:r>
      </w:hyperlink>
      <w:r>
        <w:rPr>
          <w:rFonts w:ascii="Arial" w:hAnsi="Arial" w:hint="cs"/>
          <w:sz w:val="26"/>
          <w:szCs w:val="26"/>
          <w:rtl/>
        </w:rPr>
        <w:t xml:space="preserve"> </w:t>
      </w:r>
      <w:r w:rsidRPr="00455CCA">
        <w:rPr>
          <w:rFonts w:ascii="Arial" w:hAnsi="Arial" w:hint="cs"/>
          <w:b/>
          <w:bCs/>
          <w:sz w:val="26"/>
          <w:szCs w:val="26"/>
          <w:rtl/>
        </w:rPr>
        <w:t>מדינת ישראל</w:t>
      </w:r>
      <w:r>
        <w:rPr>
          <w:rFonts w:ascii="Arial" w:hAnsi="Arial" w:hint="cs"/>
          <w:sz w:val="26"/>
          <w:szCs w:val="26"/>
          <w:rtl/>
        </w:rPr>
        <w:t xml:space="preserve"> נ' </w:t>
      </w:r>
      <w:r w:rsidRPr="00455CCA">
        <w:rPr>
          <w:rFonts w:ascii="Arial" w:hAnsi="Arial" w:hint="cs"/>
          <w:b/>
          <w:bCs/>
          <w:sz w:val="26"/>
          <w:szCs w:val="26"/>
          <w:rtl/>
        </w:rPr>
        <w:t>סלימאן</w:t>
      </w:r>
      <w:r>
        <w:rPr>
          <w:rFonts w:ascii="Arial" w:hAnsi="Arial" w:hint="cs"/>
          <w:sz w:val="26"/>
          <w:szCs w:val="26"/>
          <w:rtl/>
        </w:rPr>
        <w:t xml:space="preserve"> (פורסם בנבו, 19.1.14). הוא משליך על הביטחון במרחב הציבורי והפרטי, על תחושת הביטחון, ולא פחות מכך על שלטון החוק, בשל הכרסום המתמיד בייחוד הפעלת הכוח על ידי מי שהוסמך לכך על פי דין. </w:t>
      </w:r>
    </w:p>
    <w:p w14:paraId="62D0AD25" w14:textId="77777777" w:rsidR="00FF0DC2" w:rsidRDefault="00FF0DC2" w:rsidP="00FF0DC2">
      <w:pPr>
        <w:spacing w:line="360" w:lineRule="auto"/>
        <w:jc w:val="both"/>
        <w:rPr>
          <w:rFonts w:ascii="Arial" w:hAnsi="Arial"/>
          <w:sz w:val="26"/>
          <w:szCs w:val="26"/>
          <w:rtl/>
        </w:rPr>
      </w:pPr>
    </w:p>
    <w:p w14:paraId="7A8F3D87" w14:textId="77777777" w:rsidR="00FF0DC2" w:rsidRPr="00505584" w:rsidRDefault="00FF0DC2" w:rsidP="00FF0DC2">
      <w:pPr>
        <w:spacing w:line="360" w:lineRule="auto"/>
        <w:jc w:val="both"/>
        <w:rPr>
          <w:rFonts w:ascii="Arial" w:hAnsi="Arial"/>
          <w:b/>
          <w:bCs/>
          <w:sz w:val="26"/>
          <w:szCs w:val="26"/>
          <w:rtl/>
        </w:rPr>
      </w:pPr>
      <w:r w:rsidRPr="00505584">
        <w:rPr>
          <w:rFonts w:ascii="Arial" w:hAnsi="Arial" w:hint="cs"/>
          <w:b/>
          <w:bCs/>
          <w:sz w:val="26"/>
          <w:szCs w:val="26"/>
          <w:rtl/>
        </w:rPr>
        <w:t>נסיבות הקשורות בביצוע העבירה</w:t>
      </w:r>
    </w:p>
    <w:p w14:paraId="6438631F"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 xml:space="preserve">בבואנו לקבוע את מתחם העונש ההולם למעשה העבירה שבוצעה על ידי הנאשם נעמוד על נסיבותיה של העבירה. </w:t>
      </w:r>
    </w:p>
    <w:p w14:paraId="623F787F" w14:textId="77777777" w:rsidR="00FF0DC2" w:rsidRDefault="00FF0DC2" w:rsidP="00FF0DC2">
      <w:pPr>
        <w:spacing w:line="360" w:lineRule="auto"/>
        <w:jc w:val="both"/>
        <w:rPr>
          <w:rFonts w:ascii="Arial" w:hAnsi="Arial"/>
          <w:sz w:val="26"/>
          <w:szCs w:val="26"/>
          <w:rtl/>
        </w:rPr>
      </w:pPr>
    </w:p>
    <w:p w14:paraId="37FE90FB"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בראש ובראשונה, נדרשת התייחסות לסוג כלי הנשק שהוחזקו ומספרם. בענייננו הנאשם החזיק ב</w:t>
      </w:r>
      <w:r w:rsidRPr="00E94E4F">
        <w:rPr>
          <w:rFonts w:ascii="Arial" w:hAnsi="Arial" w:hint="cs"/>
          <w:sz w:val="26"/>
          <w:szCs w:val="26"/>
          <w:rtl/>
        </w:rPr>
        <w:t>שני כלי נשק</w:t>
      </w:r>
      <w:r>
        <w:rPr>
          <w:rFonts w:ascii="Arial" w:hAnsi="Arial" w:hint="cs"/>
          <w:sz w:val="26"/>
          <w:szCs w:val="26"/>
          <w:rtl/>
        </w:rPr>
        <w:t xml:space="preserve"> תיקנים מסוג אקדח, במחסניות תואמות ובתחמושת לא מועטה. </w:t>
      </w:r>
    </w:p>
    <w:p w14:paraId="3C0CB5CA" w14:textId="77777777" w:rsidR="00FF0DC2" w:rsidRDefault="00FF0DC2" w:rsidP="00FF0DC2">
      <w:pPr>
        <w:spacing w:line="360" w:lineRule="auto"/>
        <w:jc w:val="both"/>
        <w:rPr>
          <w:rFonts w:ascii="Arial" w:hAnsi="Arial"/>
          <w:sz w:val="26"/>
          <w:szCs w:val="26"/>
          <w:rtl/>
        </w:rPr>
      </w:pPr>
    </w:p>
    <w:p w14:paraId="4EA6E099"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 xml:space="preserve">הגם שדרך הגעת כלי הנשק לידיו של הנאשם לא הובהרה, לנוכח מהות העבירה, אין מדובר בשגגה או ב"טעות", כפי שביקש ב"כ הנאשם לצייר זאת. השגת כלי נשק כאמור מחייבת מידה כלשהי של תכנון ועשייה אקטיבית. </w:t>
      </w:r>
    </w:p>
    <w:p w14:paraId="73031BBB" w14:textId="77777777" w:rsidR="00FF0DC2" w:rsidRDefault="00FF0DC2" w:rsidP="00FF0DC2">
      <w:pPr>
        <w:spacing w:line="360" w:lineRule="auto"/>
        <w:jc w:val="both"/>
        <w:rPr>
          <w:rFonts w:ascii="Arial" w:hAnsi="Arial"/>
          <w:sz w:val="26"/>
          <w:szCs w:val="26"/>
          <w:rtl/>
        </w:rPr>
      </w:pPr>
    </w:p>
    <w:p w14:paraId="594BC014"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 xml:space="preserve">יתרה מזו, עלינו להעמיד לנגד עינינו את פוטנציאל הנזק אשר היה עלול להיגרם מהחזקת הנשק ומהשימוש האפשרי בו. בעניין זה, יש להדגיש כי גם אם המניע להחזקת הנשק היה הגנתי, אין בכך להקל עם הנאשם. הצורך במלחמה שערה נגד תופעת החזקת הנשק הבלתי חוקית אינו מתיישב עם תפיסה סלחנית כלפי התופעה כולה, תהא מטרת ההחזקה אשר תהא. </w:t>
      </w:r>
    </w:p>
    <w:p w14:paraId="4A14B5E0" w14:textId="77777777" w:rsidR="00FF0DC2" w:rsidRDefault="00FF0DC2" w:rsidP="00FF0DC2">
      <w:pPr>
        <w:spacing w:line="360" w:lineRule="auto"/>
        <w:jc w:val="both"/>
        <w:rPr>
          <w:rFonts w:ascii="Arial" w:hAnsi="Arial"/>
          <w:sz w:val="26"/>
          <w:szCs w:val="26"/>
          <w:rtl/>
        </w:rPr>
      </w:pPr>
    </w:p>
    <w:p w14:paraId="179240D2"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 xml:space="preserve">זאת ועוד, צמצום תופעת החזקת הנשק הבלתי חוקית והשימוש בו, הפושה בחברה הישראלית בכלל ומגזר הערבי בפרט, אינו מתיישב עם עידוד עשיית דין עצמית באמצעות אותו נשק ואף לא עם השלמה לכך. על כן, התחשבות מופרזת לקולא במניע הגנתי עלולה לחתור תחת השגת התכלית ההרתעתית של הענישה. בהתאמה לכך, נדרש לחדד בכל עת כי רשויות הביטחון, ובראשן משטרת ישראל, הן המוסמכות הבלעדיות למנוע עבריינות ולהגן על האזרח, ואין להסכים עם מציאות בה, בטענה או בתואנה ל"הגנה עצמית", יוחזק נשק בעל פוטנציאל קטלני על ידי מי שלא הורשה לכך. </w:t>
      </w:r>
    </w:p>
    <w:p w14:paraId="60CD8816" w14:textId="77777777" w:rsidR="00FF0DC2" w:rsidRDefault="00FF0DC2" w:rsidP="00FF0DC2">
      <w:pPr>
        <w:spacing w:line="360" w:lineRule="auto"/>
        <w:jc w:val="both"/>
        <w:rPr>
          <w:rFonts w:ascii="Arial" w:hAnsi="Arial"/>
          <w:sz w:val="26"/>
          <w:szCs w:val="26"/>
          <w:rtl/>
        </w:rPr>
      </w:pPr>
    </w:p>
    <w:p w14:paraId="47EA9EFD"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 xml:space="preserve">הדברים זכו להתייחסות מפורשת של בית המשפט העליון בעניין </w:t>
      </w:r>
      <w:r w:rsidRPr="00F403E8">
        <w:rPr>
          <w:rFonts w:ascii="Arial" w:hAnsi="Arial" w:hint="cs"/>
          <w:b/>
          <w:bCs/>
          <w:sz w:val="26"/>
          <w:szCs w:val="26"/>
          <w:rtl/>
        </w:rPr>
        <w:t>סובח</w:t>
      </w:r>
      <w:r>
        <w:rPr>
          <w:rFonts w:ascii="Arial" w:hAnsi="Arial" w:hint="cs"/>
          <w:sz w:val="26"/>
          <w:szCs w:val="26"/>
          <w:rtl/>
        </w:rPr>
        <w:t>:</w:t>
      </w:r>
    </w:p>
    <w:p w14:paraId="0EE23870" w14:textId="77777777" w:rsidR="00FF0DC2" w:rsidRPr="000964F7" w:rsidRDefault="00FF0DC2" w:rsidP="00FF0DC2">
      <w:pPr>
        <w:spacing w:line="360" w:lineRule="auto"/>
        <w:jc w:val="both"/>
        <w:rPr>
          <w:rFonts w:ascii="Arial" w:hAnsi="Arial"/>
          <w:sz w:val="14"/>
          <w:szCs w:val="14"/>
          <w:rtl/>
        </w:rPr>
      </w:pPr>
    </w:p>
    <w:p w14:paraId="179BE314" w14:textId="77777777" w:rsidR="00FF0DC2" w:rsidRDefault="00FF0DC2" w:rsidP="00FF0DC2">
      <w:pPr>
        <w:spacing w:line="360" w:lineRule="auto"/>
        <w:ind w:left="708" w:right="851"/>
        <w:jc w:val="both"/>
        <w:rPr>
          <w:rFonts w:ascii="Arial" w:hAnsi="Arial"/>
          <w:sz w:val="26"/>
          <w:szCs w:val="26"/>
          <w:rtl/>
        </w:rPr>
      </w:pPr>
      <w:r w:rsidRPr="00F403E8">
        <w:rPr>
          <w:rFonts w:ascii="Arial" w:hAnsi="Arial" w:hint="cs"/>
          <w:b/>
          <w:bCs/>
          <w:i/>
          <w:iCs/>
          <w:sz w:val="26"/>
          <w:szCs w:val="26"/>
          <w:rtl/>
        </w:rPr>
        <w:t>"... אף אם הנשק נרכש למטרות "הגנה עצמית", הזמינות של הנשק מעודדת את השימוש בו לביצוע עבירות שונות ולהחרפת תוצאותיהן.."</w:t>
      </w:r>
      <w:r>
        <w:rPr>
          <w:rFonts w:ascii="Arial" w:hAnsi="Arial" w:hint="cs"/>
          <w:sz w:val="26"/>
          <w:szCs w:val="26"/>
          <w:rtl/>
        </w:rPr>
        <w:t xml:space="preserve"> </w:t>
      </w:r>
      <w:r w:rsidRPr="00C2086E">
        <w:rPr>
          <w:rFonts w:ascii="Arial" w:hAnsi="Arial" w:hint="cs"/>
          <w:sz w:val="26"/>
          <w:szCs w:val="26"/>
          <w:rtl/>
        </w:rPr>
        <w:t>(</w:t>
      </w:r>
      <w:hyperlink r:id="rId20" w:history="1">
        <w:r w:rsidR="00E2226F" w:rsidRPr="00E2226F">
          <w:rPr>
            <w:rFonts w:ascii="Arial" w:hAnsi="Arial"/>
            <w:color w:val="0000FF"/>
            <w:sz w:val="26"/>
            <w:szCs w:val="26"/>
            <w:u w:val="single"/>
            <w:rtl/>
          </w:rPr>
          <w:t>ע"פ 4406/19</w:t>
        </w:r>
      </w:hyperlink>
      <w:r w:rsidRPr="00C2086E">
        <w:rPr>
          <w:rFonts w:ascii="Arial" w:hAnsi="Arial" w:hint="cs"/>
          <w:sz w:val="26"/>
          <w:szCs w:val="26"/>
          <w:rtl/>
        </w:rPr>
        <w:t xml:space="preserve"> </w:t>
      </w:r>
      <w:r w:rsidRPr="00C2086E">
        <w:rPr>
          <w:rFonts w:ascii="Arial" w:hAnsi="Arial" w:hint="cs"/>
          <w:b/>
          <w:bCs/>
          <w:sz w:val="26"/>
          <w:szCs w:val="26"/>
          <w:rtl/>
        </w:rPr>
        <w:t>מדינת ישראל</w:t>
      </w:r>
      <w:r w:rsidRPr="00C2086E">
        <w:rPr>
          <w:rFonts w:ascii="Arial" w:hAnsi="Arial" w:hint="cs"/>
          <w:sz w:val="26"/>
          <w:szCs w:val="26"/>
          <w:rtl/>
        </w:rPr>
        <w:t xml:space="preserve"> נ' </w:t>
      </w:r>
      <w:r w:rsidRPr="00C2086E">
        <w:rPr>
          <w:rFonts w:ascii="Arial" w:hAnsi="Arial" w:hint="cs"/>
          <w:b/>
          <w:bCs/>
          <w:sz w:val="26"/>
          <w:szCs w:val="26"/>
          <w:rtl/>
        </w:rPr>
        <w:t xml:space="preserve">סובח </w:t>
      </w:r>
      <w:r w:rsidRPr="00C2086E">
        <w:rPr>
          <w:rFonts w:ascii="Arial" w:hAnsi="Arial" w:hint="cs"/>
          <w:sz w:val="26"/>
          <w:szCs w:val="26"/>
          <w:rtl/>
        </w:rPr>
        <w:t>(פורסם בנבו, 5</w:t>
      </w:r>
      <w:r>
        <w:rPr>
          <w:rFonts w:ascii="Arial" w:hAnsi="Arial" w:hint="cs"/>
          <w:sz w:val="26"/>
          <w:szCs w:val="26"/>
          <w:rtl/>
        </w:rPr>
        <w:t>.</w:t>
      </w:r>
      <w:r w:rsidRPr="00C2086E">
        <w:rPr>
          <w:rFonts w:ascii="Arial" w:hAnsi="Arial" w:hint="cs"/>
          <w:sz w:val="26"/>
          <w:szCs w:val="26"/>
          <w:rtl/>
        </w:rPr>
        <w:t>11</w:t>
      </w:r>
      <w:r>
        <w:rPr>
          <w:rFonts w:ascii="Arial" w:hAnsi="Arial" w:hint="cs"/>
          <w:sz w:val="26"/>
          <w:szCs w:val="26"/>
          <w:rtl/>
        </w:rPr>
        <w:t>.</w:t>
      </w:r>
      <w:r w:rsidRPr="00C2086E">
        <w:rPr>
          <w:rFonts w:ascii="Arial" w:hAnsi="Arial" w:hint="cs"/>
          <w:sz w:val="26"/>
          <w:szCs w:val="26"/>
          <w:rtl/>
        </w:rPr>
        <w:t>19)</w:t>
      </w:r>
    </w:p>
    <w:p w14:paraId="52632731" w14:textId="77777777" w:rsidR="00FF0DC2" w:rsidRPr="000964F7" w:rsidRDefault="00FF0DC2" w:rsidP="00FF0DC2">
      <w:pPr>
        <w:spacing w:line="360" w:lineRule="auto"/>
        <w:jc w:val="both"/>
        <w:rPr>
          <w:rFonts w:ascii="Arial" w:hAnsi="Arial"/>
          <w:sz w:val="16"/>
          <w:szCs w:val="16"/>
          <w:rtl/>
        </w:rPr>
      </w:pPr>
    </w:p>
    <w:p w14:paraId="40E37418"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 xml:space="preserve">אשר על כן, בעוד מניע ברור לשימוש בנשק למטרות פליליות או ביטחוניות ישמש כנסיבה משמעותית להחמרה בעונש, אין במניע "הגנתי" בלבד כדי להקל עם הנאשם.  </w:t>
      </w:r>
    </w:p>
    <w:p w14:paraId="70E988C5" w14:textId="77777777" w:rsidR="00FF0DC2" w:rsidRPr="00701E7E" w:rsidRDefault="00FF0DC2" w:rsidP="00FF0DC2">
      <w:pPr>
        <w:spacing w:line="360" w:lineRule="auto"/>
        <w:jc w:val="both"/>
        <w:rPr>
          <w:rFonts w:ascii="Arial" w:hAnsi="Arial"/>
          <w:sz w:val="26"/>
          <w:szCs w:val="26"/>
          <w:rtl/>
        </w:rPr>
      </w:pPr>
    </w:p>
    <w:p w14:paraId="4A30D56B" w14:textId="77777777" w:rsidR="00FF0DC2" w:rsidRDefault="00FF0DC2" w:rsidP="00FF0DC2">
      <w:pPr>
        <w:spacing w:line="360" w:lineRule="auto"/>
        <w:jc w:val="both"/>
        <w:rPr>
          <w:rFonts w:ascii="Arial" w:hAnsi="Arial"/>
          <w:b/>
          <w:bCs/>
          <w:i/>
          <w:iCs/>
          <w:sz w:val="26"/>
          <w:szCs w:val="26"/>
          <w:rtl/>
        </w:rPr>
      </w:pPr>
      <w:r w:rsidRPr="00701E7E">
        <w:rPr>
          <w:rFonts w:ascii="Arial" w:hAnsi="Arial" w:hint="cs"/>
          <w:sz w:val="26"/>
          <w:szCs w:val="26"/>
          <w:rtl/>
        </w:rPr>
        <w:t xml:space="preserve">הדברים נכונים במיוחד </w:t>
      </w:r>
      <w:r>
        <w:rPr>
          <w:rFonts w:ascii="Arial" w:hAnsi="Arial" w:hint="cs"/>
          <w:sz w:val="26"/>
          <w:szCs w:val="26"/>
          <w:rtl/>
        </w:rPr>
        <w:t xml:space="preserve">בענייננו </w:t>
      </w:r>
      <w:r w:rsidRPr="00701E7E">
        <w:rPr>
          <w:rFonts w:ascii="Arial" w:hAnsi="Arial" w:hint="cs"/>
          <w:sz w:val="26"/>
          <w:szCs w:val="26"/>
          <w:rtl/>
        </w:rPr>
        <w:t>כאשר הנאשם החזיק בשני האקדחים מוכנים לשימוש, טעונים במחסניות מלאות בכדורים ובתחמושת נוספת, גם אם לא בכמות רבה.</w:t>
      </w:r>
      <w:r>
        <w:rPr>
          <w:rFonts w:ascii="Arial" w:hAnsi="Arial" w:hint="cs"/>
          <w:b/>
          <w:bCs/>
          <w:i/>
          <w:iCs/>
          <w:sz w:val="26"/>
          <w:szCs w:val="26"/>
          <w:rtl/>
        </w:rPr>
        <w:t xml:space="preserve"> </w:t>
      </w:r>
    </w:p>
    <w:p w14:paraId="4E783A6B" w14:textId="77777777" w:rsidR="00FF0DC2" w:rsidRDefault="00FF0DC2" w:rsidP="00FF0DC2">
      <w:pPr>
        <w:spacing w:line="360" w:lineRule="auto"/>
        <w:jc w:val="both"/>
        <w:rPr>
          <w:rFonts w:ascii="Arial" w:hAnsi="Arial"/>
          <w:sz w:val="26"/>
          <w:szCs w:val="26"/>
          <w:rtl/>
        </w:rPr>
      </w:pPr>
    </w:p>
    <w:p w14:paraId="7565FED3"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 xml:space="preserve">לצד האמור, עומדת העובדה כי האקדחים והתחמושת הוחזקו בביתו של הנאשם, כאשר אין כל ראיה כי נשא אותם מחוצה לו. </w:t>
      </w:r>
    </w:p>
    <w:p w14:paraId="64EDCA54" w14:textId="77777777" w:rsidR="00FF0DC2" w:rsidRDefault="00FF0DC2" w:rsidP="00FF0DC2">
      <w:pPr>
        <w:spacing w:line="360" w:lineRule="auto"/>
        <w:jc w:val="both"/>
        <w:rPr>
          <w:rFonts w:ascii="Arial" w:hAnsi="Arial"/>
          <w:sz w:val="26"/>
          <w:szCs w:val="26"/>
          <w:rtl/>
        </w:rPr>
      </w:pPr>
    </w:p>
    <w:p w14:paraId="1177E517" w14:textId="77777777" w:rsidR="00FF0DC2" w:rsidRPr="00C73CD4" w:rsidRDefault="00FF0DC2" w:rsidP="00FF0DC2">
      <w:pPr>
        <w:spacing w:line="360" w:lineRule="auto"/>
        <w:jc w:val="both"/>
        <w:rPr>
          <w:rFonts w:ascii="Arial" w:hAnsi="Arial"/>
          <w:sz w:val="26"/>
          <w:szCs w:val="26"/>
          <w:rtl/>
        </w:rPr>
      </w:pPr>
      <w:r>
        <w:rPr>
          <w:rFonts w:ascii="Arial" w:hAnsi="Arial" w:hint="cs"/>
          <w:sz w:val="26"/>
          <w:szCs w:val="26"/>
          <w:rtl/>
        </w:rPr>
        <w:t xml:space="preserve">בדומה, תפיסת כלי הנשק מצמצמת את פוטנציאל הנזק העתידי, נסיבה העומדת לזכות הנאשם, גם אם לא נוצרה בעתיו.  </w:t>
      </w:r>
      <w:r w:rsidRPr="00C73CD4">
        <w:rPr>
          <w:rFonts w:ascii="Arial" w:hAnsi="Arial" w:hint="cs"/>
          <w:sz w:val="26"/>
          <w:szCs w:val="26"/>
          <w:rtl/>
        </w:rPr>
        <w:t xml:space="preserve"> </w:t>
      </w:r>
    </w:p>
    <w:p w14:paraId="3F9C5E66" w14:textId="77777777" w:rsidR="00FF0DC2" w:rsidRPr="00F335D8" w:rsidRDefault="00FF0DC2" w:rsidP="00FF0DC2">
      <w:pPr>
        <w:spacing w:line="360" w:lineRule="auto"/>
        <w:jc w:val="both"/>
        <w:rPr>
          <w:rFonts w:ascii="Arial" w:hAnsi="Arial"/>
          <w:sz w:val="20"/>
          <w:szCs w:val="20"/>
          <w:rtl/>
        </w:rPr>
      </w:pPr>
    </w:p>
    <w:p w14:paraId="6CDE4DFD" w14:textId="77777777" w:rsidR="00FF0DC2" w:rsidRPr="0026375C" w:rsidRDefault="00FF0DC2" w:rsidP="00FF0DC2">
      <w:pPr>
        <w:spacing w:line="360" w:lineRule="auto"/>
        <w:jc w:val="both"/>
        <w:rPr>
          <w:rFonts w:ascii="Arial" w:hAnsi="Arial"/>
          <w:b/>
          <w:bCs/>
          <w:sz w:val="26"/>
          <w:szCs w:val="26"/>
          <w:rtl/>
        </w:rPr>
      </w:pPr>
      <w:r w:rsidRPr="0026375C">
        <w:rPr>
          <w:rFonts w:ascii="Arial" w:hAnsi="Arial" w:hint="cs"/>
          <w:b/>
          <w:bCs/>
          <w:sz w:val="26"/>
          <w:szCs w:val="26"/>
          <w:rtl/>
        </w:rPr>
        <w:t xml:space="preserve">הענישה הנוהגת </w:t>
      </w:r>
    </w:p>
    <w:p w14:paraId="2762C212"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 xml:space="preserve">על רקע פגיעתן הקשה של עבירות הנשק בערכים מרכזיים כהגנה על חי האדם, הביטחון, הסדר הציבורי והמשילות השלטונית, ולאור נפוצות החזקת הנשק שלא כדין, שהוגדרה כ"מכת מדינה" (ראו </w:t>
      </w:r>
      <w:hyperlink r:id="rId21" w:history="1">
        <w:r w:rsidR="00E2226F" w:rsidRPr="00E2226F">
          <w:rPr>
            <w:rFonts w:ascii="Arial" w:hAnsi="Arial"/>
            <w:color w:val="0000FF"/>
            <w:sz w:val="26"/>
            <w:szCs w:val="26"/>
            <w:u w:val="single"/>
            <w:rtl/>
          </w:rPr>
          <w:t>ע"פ 2482/22</w:t>
        </w:r>
      </w:hyperlink>
      <w:r>
        <w:rPr>
          <w:rFonts w:ascii="Arial" w:hAnsi="Arial" w:hint="cs"/>
          <w:sz w:val="26"/>
          <w:szCs w:val="26"/>
          <w:rtl/>
        </w:rPr>
        <w:t xml:space="preserve"> </w:t>
      </w:r>
      <w:r w:rsidRPr="001765C6">
        <w:rPr>
          <w:rFonts w:ascii="Arial" w:hAnsi="Arial" w:hint="cs"/>
          <w:b/>
          <w:bCs/>
          <w:sz w:val="26"/>
          <w:szCs w:val="26"/>
          <w:rtl/>
        </w:rPr>
        <w:t>מדינת ישראל</w:t>
      </w:r>
      <w:r>
        <w:rPr>
          <w:rFonts w:ascii="Arial" w:hAnsi="Arial" w:hint="cs"/>
          <w:sz w:val="26"/>
          <w:szCs w:val="26"/>
          <w:rtl/>
        </w:rPr>
        <w:t xml:space="preserve"> נ' </w:t>
      </w:r>
      <w:r w:rsidRPr="001765C6">
        <w:rPr>
          <w:rFonts w:ascii="Arial" w:hAnsi="Arial" w:hint="cs"/>
          <w:b/>
          <w:bCs/>
          <w:sz w:val="26"/>
          <w:szCs w:val="26"/>
          <w:rtl/>
        </w:rPr>
        <w:t>קדורה</w:t>
      </w:r>
      <w:r>
        <w:rPr>
          <w:rFonts w:ascii="Arial" w:hAnsi="Arial" w:hint="cs"/>
          <w:sz w:val="26"/>
          <w:szCs w:val="26"/>
          <w:rtl/>
        </w:rPr>
        <w:t xml:space="preserve"> (פורסם בנבו, 14.4.22) וכ"מצב חירום לאומי" (ראו עניין </w:t>
      </w:r>
      <w:r w:rsidRPr="00E161E8">
        <w:rPr>
          <w:rFonts w:ascii="Arial" w:hAnsi="Arial" w:hint="cs"/>
          <w:b/>
          <w:bCs/>
          <w:sz w:val="26"/>
          <w:szCs w:val="26"/>
          <w:rtl/>
        </w:rPr>
        <w:t>אגבאריה</w:t>
      </w:r>
      <w:r>
        <w:rPr>
          <w:rFonts w:ascii="Arial" w:hAnsi="Arial" w:hint="cs"/>
          <w:sz w:val="26"/>
          <w:szCs w:val="26"/>
          <w:rtl/>
        </w:rPr>
        <w:t xml:space="preserve"> הנ"ל), ניכרת זה מכבר ההחמרה משמעותית בענישה והודגש לא אחת הצורך בהטלת עונשי מאסר משמעותיים:</w:t>
      </w:r>
    </w:p>
    <w:p w14:paraId="12BBFA65" w14:textId="77777777" w:rsidR="00FF0DC2" w:rsidRPr="000964F7" w:rsidRDefault="00FF0DC2" w:rsidP="00FF0DC2">
      <w:pPr>
        <w:spacing w:line="360" w:lineRule="auto"/>
        <w:jc w:val="both"/>
        <w:rPr>
          <w:rFonts w:ascii="Arial" w:hAnsi="Arial"/>
          <w:sz w:val="12"/>
          <w:szCs w:val="12"/>
          <w:rtl/>
        </w:rPr>
      </w:pPr>
    </w:p>
    <w:p w14:paraId="50819D9A" w14:textId="77777777" w:rsidR="00FF0DC2" w:rsidRPr="00C2086E" w:rsidRDefault="00FF0DC2" w:rsidP="00FF0DC2">
      <w:pPr>
        <w:pStyle w:val="ruller5"/>
        <w:bidi/>
        <w:spacing w:before="0" w:beforeAutospacing="0" w:after="0" w:afterAutospacing="0" w:line="360" w:lineRule="auto"/>
        <w:ind w:left="1642" w:right="1282"/>
        <w:jc w:val="both"/>
        <w:rPr>
          <w:rFonts w:ascii="Arial" w:hAnsi="Arial" w:cs="David"/>
          <w:b/>
          <w:bCs/>
          <w:i/>
          <w:iCs/>
          <w:sz w:val="26"/>
          <w:szCs w:val="26"/>
          <w:rtl/>
        </w:rPr>
      </w:pPr>
      <w:r w:rsidRPr="00C2086E">
        <w:rPr>
          <w:rFonts w:ascii="Arial" w:hAnsi="Arial" w:cs="David"/>
          <w:b/>
          <w:bCs/>
          <w:i/>
          <w:iCs/>
          <w:sz w:val="26"/>
          <w:szCs w:val="26"/>
          <w:rtl/>
        </w:rPr>
        <w:t>"התופעה של החזקת נשק שלא כדין על ידי אזרחים מהווה איום על שלום הציבור ועל הסדר הציבורי. היא</w:t>
      </w:r>
      <w:r w:rsidRPr="00C2086E">
        <w:rPr>
          <w:rFonts w:ascii="Arial" w:hAnsi="Arial" w:cs="David" w:hint="cs"/>
          <w:b/>
          <w:bCs/>
          <w:i/>
          <w:iCs/>
          <w:sz w:val="26"/>
          <w:szCs w:val="26"/>
          <w:rtl/>
        </w:rPr>
        <w:t xml:space="preserve"> </w:t>
      </w:r>
      <w:r w:rsidRPr="00C2086E">
        <w:rPr>
          <w:rFonts w:ascii="Arial" w:hAnsi="Arial" w:cs="David"/>
          <w:b/>
          <w:bCs/>
          <w:i/>
          <w:iCs/>
          <w:sz w:val="26"/>
          <w:szCs w:val="26"/>
          <w:rtl/>
        </w:rPr>
        <w:t>התשתית ו'הגורם בלעד</w:t>
      </w:r>
      <w:r>
        <w:rPr>
          <w:rFonts w:ascii="Arial" w:hAnsi="Arial" w:cs="David" w:hint="cs"/>
          <w:b/>
          <w:bCs/>
          <w:i/>
          <w:iCs/>
          <w:sz w:val="26"/>
          <w:szCs w:val="26"/>
          <w:rtl/>
        </w:rPr>
        <w:t>י</w:t>
      </w:r>
      <w:r w:rsidRPr="00C2086E">
        <w:rPr>
          <w:rFonts w:ascii="Arial" w:hAnsi="Arial" w:cs="David"/>
          <w:b/>
          <w:bCs/>
          <w:i/>
          <w:iCs/>
          <w:sz w:val="26"/>
          <w:szCs w:val="26"/>
          <w:rtl/>
        </w:rPr>
        <w:t>ו אין</w:t>
      </w:r>
      <w:r w:rsidRPr="00C2086E">
        <w:rPr>
          <w:rFonts w:ascii="Arial" w:hAnsi="Arial" w:cs="David"/>
          <w:b/>
          <w:bCs/>
          <w:i/>
          <w:iCs/>
          <w:sz w:val="26"/>
          <w:szCs w:val="26"/>
        </w:rPr>
        <w:t>(causa sine qua non)</w:t>
      </w:r>
      <w:r w:rsidR="00E2226F">
        <w:rPr>
          <w:rFonts w:ascii="Arial" w:hAnsi="Arial" w:cs="David"/>
          <w:b/>
          <w:bCs/>
          <w:i/>
          <w:iCs/>
          <w:sz w:val="26"/>
          <w:szCs w:val="26"/>
        </w:rPr>
        <w:t xml:space="preserve"> </w:t>
      </w:r>
      <w:r w:rsidRPr="00C2086E">
        <w:rPr>
          <w:rFonts w:ascii="Arial" w:hAnsi="Arial" w:cs="David"/>
          <w:b/>
          <w:bCs/>
          <w:i/>
          <w:iCs/>
          <w:sz w:val="26"/>
          <w:szCs w:val="26"/>
          <w:rtl/>
        </w:rPr>
        <w:t xml:space="preserve">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ולהחרפת תוצאותיהן.</w:t>
      </w:r>
    </w:p>
    <w:p w14:paraId="1787FD88" w14:textId="77777777" w:rsidR="00FF0DC2" w:rsidRPr="00C2086E" w:rsidRDefault="00FF0DC2" w:rsidP="00FF0DC2">
      <w:pPr>
        <w:pStyle w:val="ruller5"/>
        <w:bidi/>
        <w:spacing w:before="0" w:beforeAutospacing="0" w:after="0" w:afterAutospacing="0" w:line="360" w:lineRule="auto"/>
        <w:ind w:left="1642" w:right="1282"/>
        <w:jc w:val="both"/>
        <w:rPr>
          <w:rFonts w:ascii="Arial" w:hAnsi="Arial" w:cs="David"/>
          <w:b/>
          <w:bCs/>
          <w:i/>
          <w:iCs/>
          <w:sz w:val="26"/>
          <w:szCs w:val="26"/>
          <w:rtl/>
        </w:rPr>
      </w:pPr>
    </w:p>
    <w:p w14:paraId="5716030D" w14:textId="77777777" w:rsidR="00FF0DC2" w:rsidRDefault="00FF0DC2" w:rsidP="00FF0DC2">
      <w:pPr>
        <w:pStyle w:val="ruller5"/>
        <w:bidi/>
        <w:spacing w:before="0" w:beforeAutospacing="0" w:after="0" w:afterAutospacing="0" w:line="360" w:lineRule="auto"/>
        <w:ind w:left="1642" w:right="1282"/>
        <w:jc w:val="both"/>
        <w:rPr>
          <w:rFonts w:ascii="Arial" w:hAnsi="Arial" w:cs="David"/>
          <w:sz w:val="26"/>
          <w:szCs w:val="26"/>
          <w:rtl/>
        </w:rPr>
      </w:pPr>
      <w:r w:rsidRPr="00C2086E">
        <w:rPr>
          <w:rFonts w:ascii="Arial" w:hAnsi="Arial" w:cs="David"/>
          <w:b/>
          <w:bCs/>
          <w:i/>
          <w:iCs/>
          <w:sz w:val="26"/>
          <w:szCs w:val="26"/>
          <w:rtl/>
        </w:rPr>
        <w:t>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w:t>
      </w:r>
      <w:r w:rsidR="00E2226F">
        <w:rPr>
          <w:rFonts w:ascii="Arial" w:hAnsi="Arial" w:cs="David"/>
          <w:b/>
          <w:bCs/>
          <w:i/>
          <w:iCs/>
          <w:sz w:val="26"/>
          <w:szCs w:val="26"/>
          <w:rtl/>
        </w:rPr>
        <w:t xml:space="preserve"> </w:t>
      </w:r>
      <w:r w:rsidRPr="00C2086E">
        <w:rPr>
          <w:rFonts w:ascii="Arial" w:hAnsi="Arial" w:cs="David"/>
          <w:b/>
          <w:bCs/>
          <w:i/>
          <w:iCs/>
          <w:sz w:val="26"/>
          <w:szCs w:val="26"/>
          <w:rtl/>
        </w:rPr>
        <w:t>[...]</w:t>
      </w:r>
      <w:r w:rsidR="00E2226F">
        <w:rPr>
          <w:rFonts w:ascii="Arial" w:hAnsi="Arial" w:cs="David"/>
          <w:b/>
          <w:bCs/>
          <w:i/>
          <w:iCs/>
          <w:sz w:val="26"/>
          <w:szCs w:val="26"/>
          <w:rtl/>
        </w:rPr>
        <w:t xml:space="preserve"> </w:t>
      </w:r>
      <w:r w:rsidRPr="00C2086E">
        <w:rPr>
          <w:rFonts w:ascii="Arial" w:hAnsi="Arial" w:cs="David"/>
          <w:b/>
          <w:bCs/>
          <w:i/>
          <w:iCs/>
          <w:sz w:val="26"/>
          <w:szCs w:val="26"/>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r w:rsidRPr="00C2086E">
        <w:rPr>
          <w:rFonts w:ascii="Arial" w:hAnsi="Arial" w:cs="David" w:hint="cs"/>
          <w:sz w:val="26"/>
          <w:szCs w:val="26"/>
          <w:rtl/>
        </w:rPr>
        <w:t xml:space="preserve"> (ע</w:t>
      </w:r>
      <w:r>
        <w:rPr>
          <w:rFonts w:ascii="Arial" w:hAnsi="Arial" w:cs="David" w:hint="cs"/>
          <w:sz w:val="26"/>
          <w:szCs w:val="26"/>
          <w:rtl/>
        </w:rPr>
        <w:t xml:space="preserve">ניין </w:t>
      </w:r>
      <w:r w:rsidRPr="00C2086E">
        <w:rPr>
          <w:rFonts w:ascii="Arial" w:hAnsi="Arial" w:cs="David" w:hint="cs"/>
          <w:b/>
          <w:bCs/>
          <w:sz w:val="26"/>
          <w:szCs w:val="26"/>
          <w:rtl/>
        </w:rPr>
        <w:t xml:space="preserve">סובח </w:t>
      </w:r>
      <w:r>
        <w:rPr>
          <w:rFonts w:ascii="Arial" w:hAnsi="Arial" w:cs="David" w:hint="cs"/>
          <w:sz w:val="26"/>
          <w:szCs w:val="26"/>
          <w:rtl/>
        </w:rPr>
        <w:t xml:space="preserve">הנ"ל) </w:t>
      </w:r>
    </w:p>
    <w:p w14:paraId="027FEFDB" w14:textId="77777777" w:rsidR="00FF0DC2" w:rsidRDefault="00FF0DC2" w:rsidP="00FF0DC2">
      <w:pPr>
        <w:pStyle w:val="ruller5"/>
        <w:bidi/>
        <w:spacing w:before="0" w:beforeAutospacing="0" w:after="0" w:afterAutospacing="0" w:line="360" w:lineRule="auto"/>
        <w:ind w:right="1282"/>
        <w:jc w:val="both"/>
        <w:rPr>
          <w:rFonts w:ascii="Arial" w:hAnsi="Arial" w:cs="David"/>
          <w:b/>
          <w:bCs/>
          <w:i/>
          <w:iCs/>
          <w:sz w:val="26"/>
          <w:szCs w:val="26"/>
          <w:rtl/>
        </w:rPr>
      </w:pPr>
    </w:p>
    <w:p w14:paraId="012147C7" w14:textId="77777777" w:rsidR="00FF0DC2" w:rsidRDefault="00FF0DC2" w:rsidP="00FF0DC2">
      <w:pPr>
        <w:pStyle w:val="ruller5"/>
        <w:bidi/>
        <w:spacing w:before="0" w:beforeAutospacing="0" w:after="0" w:afterAutospacing="0" w:line="360" w:lineRule="auto"/>
        <w:jc w:val="both"/>
        <w:rPr>
          <w:rFonts w:ascii="Arial" w:hAnsi="Arial" w:cs="David"/>
          <w:sz w:val="26"/>
          <w:szCs w:val="26"/>
          <w:rtl/>
        </w:rPr>
      </w:pPr>
      <w:r>
        <w:rPr>
          <w:rFonts w:ascii="Arial" w:hAnsi="Arial" w:cs="David" w:hint="cs"/>
          <w:sz w:val="26"/>
          <w:szCs w:val="26"/>
          <w:rtl/>
        </w:rPr>
        <w:t xml:space="preserve">(וראו עוד, מיני רבים, </w:t>
      </w:r>
      <w:r w:rsidRPr="0053041B">
        <w:rPr>
          <w:rFonts w:ascii="Arial" w:hAnsi="Arial" w:cs="David" w:hint="cs"/>
          <w:sz w:val="26"/>
          <w:szCs w:val="26"/>
          <w:rtl/>
        </w:rPr>
        <w:t xml:space="preserve">עניין </w:t>
      </w:r>
      <w:r w:rsidRPr="00107C16">
        <w:rPr>
          <w:rFonts w:ascii="Arial" w:hAnsi="Arial" w:cs="David" w:hint="cs"/>
          <w:b/>
          <w:bCs/>
          <w:sz w:val="26"/>
          <w:szCs w:val="26"/>
          <w:rtl/>
        </w:rPr>
        <w:t>קדורה</w:t>
      </w:r>
      <w:r>
        <w:rPr>
          <w:rFonts w:ascii="Arial" w:hAnsi="Arial" w:cs="David" w:hint="cs"/>
          <w:sz w:val="26"/>
          <w:szCs w:val="26"/>
          <w:rtl/>
        </w:rPr>
        <w:t xml:space="preserve"> הנ"ל, בו מי שהחזיק אקדח, כדורים ורימון הלם עבור אחר נדון לשמונה עשר חודשי מאסר, וכן </w:t>
      </w:r>
      <w:hyperlink r:id="rId22" w:history="1">
        <w:r w:rsidR="00E2226F" w:rsidRPr="00E2226F">
          <w:rPr>
            <w:rFonts w:ascii="Arial" w:hAnsi="Arial" w:cs="David"/>
            <w:color w:val="0000FF"/>
            <w:sz w:val="26"/>
            <w:szCs w:val="26"/>
            <w:u w:val="single"/>
            <w:rtl/>
          </w:rPr>
          <w:t>ע"פ 147/21</w:t>
        </w:r>
      </w:hyperlink>
      <w:r>
        <w:rPr>
          <w:rFonts w:ascii="Arial" w:hAnsi="Arial" w:cs="David" w:hint="cs"/>
          <w:sz w:val="26"/>
          <w:szCs w:val="26"/>
          <w:rtl/>
        </w:rPr>
        <w:t xml:space="preserve"> </w:t>
      </w:r>
      <w:r w:rsidRPr="00107C16">
        <w:rPr>
          <w:rFonts w:ascii="Arial" w:hAnsi="Arial" w:cs="David" w:hint="cs"/>
          <w:b/>
          <w:bCs/>
          <w:sz w:val="26"/>
          <w:szCs w:val="26"/>
          <w:rtl/>
        </w:rPr>
        <w:t>מדינת ישראל</w:t>
      </w:r>
      <w:r>
        <w:rPr>
          <w:rFonts w:ascii="Arial" w:hAnsi="Arial" w:cs="David" w:hint="cs"/>
          <w:sz w:val="26"/>
          <w:szCs w:val="26"/>
          <w:rtl/>
        </w:rPr>
        <w:t xml:space="preserve"> נ' </w:t>
      </w:r>
      <w:r w:rsidRPr="00107C16">
        <w:rPr>
          <w:rFonts w:ascii="Arial" w:hAnsi="Arial" w:cs="David" w:hint="cs"/>
          <w:b/>
          <w:bCs/>
          <w:sz w:val="26"/>
          <w:szCs w:val="26"/>
          <w:rtl/>
        </w:rPr>
        <w:t>ביטון</w:t>
      </w:r>
      <w:r>
        <w:rPr>
          <w:rFonts w:ascii="Arial" w:hAnsi="Arial" w:cs="David" w:hint="cs"/>
          <w:sz w:val="26"/>
          <w:szCs w:val="26"/>
          <w:rtl/>
        </w:rPr>
        <w:t xml:space="preserve"> (פורסם בנבו, 14.2.21) בו נדון נאשם בגין רכישת אקדח, תחמושת ולבנת חבלה שטרם סופקו לו, לשלושים חודשי מאסר לריצוי בפועל)</w:t>
      </w:r>
      <w:r w:rsidRPr="00C2086E">
        <w:rPr>
          <w:rFonts w:ascii="Arial" w:hAnsi="Arial" w:cs="David" w:hint="cs"/>
          <w:sz w:val="26"/>
          <w:szCs w:val="26"/>
          <w:rtl/>
        </w:rPr>
        <w:t>)</w:t>
      </w:r>
      <w:r>
        <w:rPr>
          <w:rFonts w:ascii="Arial" w:hAnsi="Arial" w:cs="David" w:hint="cs"/>
          <w:sz w:val="26"/>
          <w:szCs w:val="26"/>
          <w:rtl/>
        </w:rPr>
        <w:t xml:space="preserve"> </w:t>
      </w:r>
    </w:p>
    <w:p w14:paraId="74CB5F01" w14:textId="77777777" w:rsidR="00FF0DC2" w:rsidRPr="00C2086E" w:rsidRDefault="00FF0DC2" w:rsidP="00FF0DC2">
      <w:pPr>
        <w:pStyle w:val="ruller5"/>
        <w:bidi/>
        <w:spacing w:before="0" w:beforeAutospacing="0" w:after="0" w:afterAutospacing="0" w:line="360" w:lineRule="auto"/>
        <w:jc w:val="both"/>
        <w:rPr>
          <w:rFonts w:ascii="Arial" w:hAnsi="Arial" w:cs="David"/>
          <w:sz w:val="26"/>
          <w:szCs w:val="26"/>
          <w:rtl/>
        </w:rPr>
      </w:pPr>
      <w:r>
        <w:rPr>
          <w:rFonts w:ascii="Arial" w:hAnsi="Arial" w:cs="David" w:hint="cs"/>
          <w:sz w:val="26"/>
          <w:szCs w:val="26"/>
          <w:rtl/>
        </w:rPr>
        <w:t xml:space="preserve">יתרה מזו, מעבר לפוטנציאל הנזק הישיר הטמון בהחזקת נשק בלתי חוקית ובשימוש בו, נדרשים אנו לתת דעתנו להשפעות החברתיות הרוחביות וההרסניות, הנגרמות ההתפשטות  תופעת החזקת הנשק הלא חוקי. זו מייצרת אווירה ציבורית בה "כל דאלים גבר", בעקבותיה נדחק מקומם של גורמי האכיפה והביטחון, ונוצרת "תרבות" כללית אלימה ועבריינית, הרואה בחיוב החזקת נשק ושימוש בו.  </w:t>
      </w:r>
    </w:p>
    <w:p w14:paraId="3908A5AA" w14:textId="77777777" w:rsidR="00FF0DC2" w:rsidRDefault="00E2226F" w:rsidP="00FF0DC2">
      <w:pPr>
        <w:pStyle w:val="ruller4"/>
        <w:bidi/>
        <w:spacing w:before="0" w:beforeAutospacing="0" w:after="0" w:afterAutospacing="0" w:line="360" w:lineRule="auto"/>
        <w:jc w:val="both"/>
        <w:rPr>
          <w:rFonts w:ascii="Arial" w:hAnsi="Arial"/>
          <w:sz w:val="26"/>
          <w:szCs w:val="26"/>
          <w:rtl/>
        </w:rPr>
      </w:pPr>
      <w:r>
        <w:rPr>
          <w:rFonts w:ascii="Arial" w:hAnsi="Arial" w:cs="David"/>
          <w:sz w:val="26"/>
          <w:szCs w:val="26"/>
          <w:rtl/>
        </w:rPr>
        <w:t xml:space="preserve">       </w:t>
      </w:r>
    </w:p>
    <w:p w14:paraId="1BC83E9B" w14:textId="77777777" w:rsidR="00FF0DC2" w:rsidRPr="001734CD" w:rsidRDefault="00FF0DC2" w:rsidP="00FF0DC2">
      <w:pPr>
        <w:spacing w:line="360" w:lineRule="auto"/>
        <w:jc w:val="both"/>
        <w:rPr>
          <w:rFonts w:ascii="Arial" w:hAnsi="Arial"/>
          <w:sz w:val="26"/>
          <w:szCs w:val="26"/>
          <w:rtl/>
        </w:rPr>
      </w:pPr>
      <w:r>
        <w:rPr>
          <w:rFonts w:ascii="Arial" w:hAnsi="Arial" w:hint="cs"/>
          <w:sz w:val="26"/>
          <w:szCs w:val="26"/>
          <w:rtl/>
        </w:rPr>
        <w:t>אל מול הסיכון המוחשי לערכים חברתיים בסיסיים אלה , הודגש משקלם המרכזי של שיקולי ההרתעה, הפרטית והכללית, והעדפתם על פני שיקולי ענישה אחרים (</w:t>
      </w:r>
      <w:r w:rsidRPr="00C4042C">
        <w:rPr>
          <w:rFonts w:ascii="Arial" w:hAnsi="Arial" w:hint="cs"/>
          <w:sz w:val="26"/>
          <w:szCs w:val="26"/>
          <w:rtl/>
        </w:rPr>
        <w:t xml:space="preserve">ראו לדוגמה </w:t>
      </w:r>
      <w:hyperlink r:id="rId23" w:history="1">
        <w:r w:rsidR="00E2226F" w:rsidRPr="00E2226F">
          <w:rPr>
            <w:rFonts w:ascii="Arial" w:hAnsi="Arial"/>
            <w:color w:val="0000FF"/>
            <w:sz w:val="26"/>
            <w:szCs w:val="26"/>
            <w:u w:val="single"/>
            <w:rtl/>
          </w:rPr>
          <w:t>ע"פ 309/22</w:t>
        </w:r>
      </w:hyperlink>
      <w:r>
        <w:rPr>
          <w:rFonts w:ascii="Arial" w:hAnsi="Arial" w:hint="cs"/>
          <w:sz w:val="26"/>
          <w:szCs w:val="26"/>
          <w:rtl/>
        </w:rPr>
        <w:t xml:space="preserve"> </w:t>
      </w:r>
      <w:r w:rsidRPr="00AB56D4">
        <w:rPr>
          <w:rFonts w:ascii="Arial" w:hAnsi="Arial" w:hint="cs"/>
          <w:b/>
          <w:bCs/>
          <w:sz w:val="26"/>
          <w:szCs w:val="26"/>
          <w:rtl/>
        </w:rPr>
        <w:t>מדינת ישראל</w:t>
      </w:r>
      <w:r>
        <w:rPr>
          <w:rFonts w:ascii="Arial" w:hAnsi="Arial" w:hint="cs"/>
          <w:sz w:val="26"/>
          <w:szCs w:val="26"/>
          <w:rtl/>
        </w:rPr>
        <w:t xml:space="preserve"> נ' </w:t>
      </w:r>
      <w:r w:rsidRPr="00AB56D4">
        <w:rPr>
          <w:rFonts w:ascii="Arial" w:hAnsi="Arial" w:hint="cs"/>
          <w:b/>
          <w:bCs/>
          <w:sz w:val="26"/>
          <w:szCs w:val="26"/>
          <w:rtl/>
        </w:rPr>
        <w:t>ביאדסה</w:t>
      </w:r>
      <w:r>
        <w:rPr>
          <w:rFonts w:ascii="Arial" w:hAnsi="Arial" w:hint="cs"/>
          <w:sz w:val="26"/>
          <w:szCs w:val="26"/>
          <w:rtl/>
        </w:rPr>
        <w:t xml:space="preserve"> (פורסם בנבו, 10.5.22), </w:t>
      </w:r>
      <w:hyperlink r:id="rId24" w:history="1">
        <w:r w:rsidR="00E2226F" w:rsidRPr="00E2226F">
          <w:rPr>
            <w:rFonts w:ascii="Arial" w:hAnsi="Arial"/>
            <w:color w:val="0000FF"/>
            <w:sz w:val="26"/>
            <w:szCs w:val="26"/>
            <w:u w:val="single"/>
            <w:rtl/>
          </w:rPr>
          <w:t>ע"פ 1695/22</w:t>
        </w:r>
      </w:hyperlink>
      <w:r>
        <w:rPr>
          <w:rFonts w:ascii="Arial" w:hAnsi="Arial" w:hint="cs"/>
          <w:sz w:val="26"/>
          <w:szCs w:val="26"/>
          <w:rtl/>
        </w:rPr>
        <w:t xml:space="preserve"> </w:t>
      </w:r>
      <w:r w:rsidRPr="00AB56D4">
        <w:rPr>
          <w:rFonts w:ascii="Arial" w:hAnsi="Arial" w:hint="cs"/>
          <w:b/>
          <w:bCs/>
          <w:sz w:val="26"/>
          <w:szCs w:val="26"/>
          <w:rtl/>
        </w:rPr>
        <w:t>מדינת ישראל</w:t>
      </w:r>
      <w:r>
        <w:rPr>
          <w:rFonts w:ascii="Arial" w:hAnsi="Arial" w:hint="cs"/>
          <w:sz w:val="26"/>
          <w:szCs w:val="26"/>
          <w:rtl/>
        </w:rPr>
        <w:t xml:space="preserve"> נ' </w:t>
      </w:r>
      <w:r w:rsidRPr="00AB56D4">
        <w:rPr>
          <w:rFonts w:ascii="Arial" w:hAnsi="Arial" w:hint="cs"/>
          <w:b/>
          <w:bCs/>
          <w:sz w:val="26"/>
          <w:szCs w:val="26"/>
          <w:rtl/>
        </w:rPr>
        <w:t>גאנים</w:t>
      </w:r>
      <w:r>
        <w:rPr>
          <w:rFonts w:ascii="Arial" w:hAnsi="Arial" w:hint="cs"/>
          <w:sz w:val="26"/>
          <w:szCs w:val="26"/>
          <w:rtl/>
        </w:rPr>
        <w:t xml:space="preserve"> (פורסם בנבו, 29.3.22</w:t>
      </w:r>
      <w:r w:rsidRPr="001734CD">
        <w:rPr>
          <w:rFonts w:ascii="Arial" w:hAnsi="Arial" w:hint="cs"/>
          <w:sz w:val="26"/>
          <w:szCs w:val="26"/>
          <w:rtl/>
        </w:rPr>
        <w:t xml:space="preserve">)). </w:t>
      </w:r>
    </w:p>
    <w:p w14:paraId="6C167D99" w14:textId="77777777" w:rsidR="00FF0DC2" w:rsidRPr="00F335D8" w:rsidRDefault="00FF0DC2" w:rsidP="00FF0DC2">
      <w:pPr>
        <w:spacing w:line="360" w:lineRule="auto"/>
        <w:jc w:val="both"/>
        <w:rPr>
          <w:rFonts w:ascii="Arial" w:hAnsi="Arial"/>
          <w:sz w:val="18"/>
          <w:szCs w:val="18"/>
          <w:rtl/>
        </w:rPr>
      </w:pPr>
    </w:p>
    <w:p w14:paraId="35DD46C0"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מגמת ההחמרה האמורה אינה נחלתו הבלעדית של בית המשפט. היא אף מצאה ביטוי בתיקון 140 ל</w:t>
      </w:r>
      <w:hyperlink r:id="rId25" w:history="1">
        <w:r w:rsidR="00E2226F" w:rsidRPr="00E2226F">
          <w:rPr>
            <w:rFonts w:ascii="Arial" w:hAnsi="Arial"/>
            <w:color w:val="0000FF"/>
            <w:sz w:val="26"/>
            <w:szCs w:val="26"/>
            <w:u w:val="single"/>
            <w:rtl/>
          </w:rPr>
          <w:t>חוק העונשין</w:t>
        </w:r>
      </w:hyperlink>
      <w:r>
        <w:rPr>
          <w:rFonts w:ascii="Arial" w:hAnsi="Arial" w:hint="cs"/>
          <w:sz w:val="26"/>
          <w:szCs w:val="26"/>
          <w:rtl/>
        </w:rPr>
        <w:t xml:space="preserve">, תשל"ז- 1977, אשר קבע עונש מזערי בעבירה זו, ממנו מוסמך לחרוג בית המשפט אך בהתקיים "טעמים מיוחדים שיירשמו" (ראו סעיף </w:t>
      </w:r>
      <w:hyperlink r:id="rId26" w:history="1">
        <w:r w:rsidR="00E81AE9" w:rsidRPr="00E81AE9">
          <w:rPr>
            <w:rStyle w:val="Hyperlink"/>
            <w:rFonts w:ascii="Arial" w:hAnsi="Arial"/>
            <w:color w:val="0000FF"/>
            <w:sz w:val="26"/>
            <w:szCs w:val="26"/>
            <w:rtl/>
          </w:rPr>
          <w:t>144 (ז)</w:t>
        </w:r>
      </w:hyperlink>
      <w:r>
        <w:rPr>
          <w:rFonts w:ascii="Arial" w:hAnsi="Arial" w:hint="cs"/>
          <w:sz w:val="26"/>
          <w:szCs w:val="26"/>
          <w:rtl/>
        </w:rPr>
        <w:t xml:space="preserve"> לחוק). </w:t>
      </w:r>
    </w:p>
    <w:p w14:paraId="04F00A72" w14:textId="77777777" w:rsidR="00FF0DC2" w:rsidRPr="00F335D8" w:rsidRDefault="00FF0DC2" w:rsidP="00FF0DC2">
      <w:pPr>
        <w:spacing w:line="360" w:lineRule="auto"/>
        <w:jc w:val="both"/>
        <w:rPr>
          <w:rFonts w:ascii="Arial" w:hAnsi="Arial"/>
          <w:sz w:val="16"/>
          <w:szCs w:val="16"/>
          <w:rtl/>
        </w:rPr>
      </w:pPr>
    </w:p>
    <w:p w14:paraId="07CD70F6"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על רקע כלל האמור, לנוכח הערכים המוגנים עליהם עמדנו, חומרת העבירה ונסיבותיה וכן לאור מדיניות הענישה הנוהגת, הגעתי למסקנה כי במקרה דנן יש לקבוע מתחם עונשי העומד על 24-40 חודשי מאסר לריצוי בפועל.</w:t>
      </w:r>
    </w:p>
    <w:p w14:paraId="6F735406" w14:textId="77777777" w:rsidR="00FF0DC2" w:rsidRPr="00F335D8" w:rsidRDefault="00FF0DC2" w:rsidP="00FF0DC2">
      <w:pPr>
        <w:spacing w:line="360" w:lineRule="auto"/>
        <w:jc w:val="both"/>
        <w:rPr>
          <w:rFonts w:ascii="Arial" w:hAnsi="Arial"/>
          <w:sz w:val="20"/>
          <w:szCs w:val="20"/>
          <w:rtl/>
        </w:rPr>
      </w:pPr>
    </w:p>
    <w:p w14:paraId="366B4F09" w14:textId="77777777" w:rsidR="00FF0DC2" w:rsidRDefault="00FF0DC2" w:rsidP="00FF0DC2">
      <w:pPr>
        <w:spacing w:line="360" w:lineRule="auto"/>
        <w:jc w:val="both"/>
        <w:rPr>
          <w:rFonts w:ascii="Arial" w:hAnsi="Arial"/>
          <w:b/>
          <w:bCs/>
          <w:sz w:val="26"/>
          <w:szCs w:val="26"/>
          <w:u w:val="single"/>
          <w:rtl/>
        </w:rPr>
      </w:pPr>
      <w:r w:rsidRPr="00163E5B">
        <w:rPr>
          <w:rFonts w:ascii="Arial" w:hAnsi="Arial" w:hint="cs"/>
          <w:b/>
          <w:bCs/>
          <w:sz w:val="26"/>
          <w:szCs w:val="26"/>
          <w:u w:val="single"/>
          <w:rtl/>
        </w:rPr>
        <w:t>נסיבות שאינן קשורות בעבירה</w:t>
      </w:r>
    </w:p>
    <w:p w14:paraId="4DC3D2A0" w14:textId="77777777" w:rsidR="00FF0DC2" w:rsidRPr="000964F7" w:rsidRDefault="00FF0DC2" w:rsidP="00FF0DC2">
      <w:pPr>
        <w:spacing w:line="360" w:lineRule="auto"/>
        <w:jc w:val="both"/>
        <w:rPr>
          <w:rFonts w:ascii="Arial" w:hAnsi="Arial"/>
          <w:sz w:val="10"/>
          <w:szCs w:val="10"/>
          <w:rtl/>
        </w:rPr>
      </w:pPr>
    </w:p>
    <w:p w14:paraId="6C743377"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 xml:space="preserve">באשר לנסיבות שאינן קשורות לביצוע העבירה, אין ספק כי יש להתחשב בגילו הצעיר של הנאשם, שטרם מלאו לו 20, בעובדה כי זו מעידתו הראשונה, ובהודאתו המהירה באשמה, אשר יש בה קבלת אחריות. הודאה זו אף מחזקת את דברי החרטה אותם הביע הנאשם בפניי. </w:t>
      </w:r>
    </w:p>
    <w:p w14:paraId="40E75949" w14:textId="77777777" w:rsidR="00FF0DC2" w:rsidRPr="00F335D8" w:rsidRDefault="00FF0DC2" w:rsidP="00FF0DC2">
      <w:pPr>
        <w:spacing w:line="360" w:lineRule="auto"/>
        <w:jc w:val="both"/>
        <w:rPr>
          <w:rFonts w:ascii="Arial" w:hAnsi="Arial"/>
          <w:sz w:val="16"/>
          <w:szCs w:val="16"/>
          <w:rtl/>
        </w:rPr>
      </w:pPr>
    </w:p>
    <w:p w14:paraId="06592582"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עוד מצאתי להתחשב בהשפעת כליאתו של המערער על הוריו, הסובלים ממצב רפואי מורכב, כפי שהובהר מהמסמכים הרפואיים שהוגשו.</w:t>
      </w:r>
    </w:p>
    <w:p w14:paraId="2500937E" w14:textId="77777777" w:rsidR="00FF0DC2" w:rsidRPr="00F335D8" w:rsidRDefault="00FF0DC2" w:rsidP="00FF0DC2">
      <w:pPr>
        <w:spacing w:line="360" w:lineRule="auto"/>
        <w:jc w:val="both"/>
        <w:rPr>
          <w:rFonts w:ascii="Arial" w:hAnsi="Arial"/>
          <w:sz w:val="18"/>
          <w:szCs w:val="18"/>
          <w:rtl/>
        </w:rPr>
      </w:pPr>
    </w:p>
    <w:p w14:paraId="22270325"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 xml:space="preserve">יחד עם זאת, גם בהתחשב בנסיבות אלה, אין מנוס מהטלת עונש מאסר משמעותי, אשר יבטא באופן הולם את צורכי ההרתעה כאמור, להם נתן בית המשפט העליון את הבכורה. </w:t>
      </w:r>
    </w:p>
    <w:p w14:paraId="4DB06906" w14:textId="77777777" w:rsidR="00FF0DC2" w:rsidRDefault="00FF0DC2" w:rsidP="00FF0DC2">
      <w:pPr>
        <w:spacing w:line="360" w:lineRule="auto"/>
        <w:jc w:val="both"/>
        <w:rPr>
          <w:rFonts w:ascii="Arial" w:hAnsi="Arial"/>
          <w:sz w:val="26"/>
          <w:szCs w:val="26"/>
          <w:rtl/>
        </w:rPr>
      </w:pPr>
    </w:p>
    <w:p w14:paraId="03B9E912" w14:textId="77777777" w:rsidR="00FF0DC2" w:rsidRDefault="00FF0DC2" w:rsidP="00FF0DC2">
      <w:pPr>
        <w:spacing w:line="360" w:lineRule="auto"/>
        <w:jc w:val="both"/>
        <w:rPr>
          <w:rFonts w:ascii="Arial" w:hAnsi="Arial"/>
          <w:sz w:val="26"/>
          <w:szCs w:val="26"/>
          <w:rtl/>
        </w:rPr>
      </w:pPr>
    </w:p>
    <w:p w14:paraId="0E2EFB82" w14:textId="77777777" w:rsidR="00FF0DC2" w:rsidRDefault="00FF0DC2" w:rsidP="00FF0DC2">
      <w:pPr>
        <w:spacing w:line="360" w:lineRule="auto"/>
        <w:jc w:val="both"/>
        <w:rPr>
          <w:rFonts w:ascii="Arial" w:hAnsi="Arial"/>
          <w:sz w:val="26"/>
          <w:szCs w:val="26"/>
          <w:rtl/>
        </w:rPr>
      </w:pPr>
    </w:p>
    <w:p w14:paraId="3B7364E5" w14:textId="77777777" w:rsidR="00FF0DC2" w:rsidRDefault="00FF0DC2" w:rsidP="00FF0DC2">
      <w:pPr>
        <w:spacing w:line="360" w:lineRule="auto"/>
        <w:jc w:val="both"/>
        <w:rPr>
          <w:rFonts w:ascii="Arial" w:hAnsi="Arial"/>
          <w:sz w:val="26"/>
          <w:szCs w:val="26"/>
          <w:rtl/>
        </w:rPr>
      </w:pPr>
    </w:p>
    <w:p w14:paraId="54F287A5"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 xml:space="preserve">כך צוין בעניין </w:t>
      </w:r>
      <w:r w:rsidRPr="00163E5B">
        <w:rPr>
          <w:rFonts w:ascii="Arial" w:hAnsi="Arial" w:hint="cs"/>
          <w:b/>
          <w:bCs/>
          <w:sz w:val="26"/>
          <w:szCs w:val="26"/>
          <w:rtl/>
        </w:rPr>
        <w:t>פלוני</w:t>
      </w:r>
      <w:r>
        <w:rPr>
          <w:rFonts w:ascii="Arial" w:hAnsi="Arial" w:hint="cs"/>
          <w:sz w:val="26"/>
          <w:szCs w:val="26"/>
          <w:rtl/>
        </w:rPr>
        <w:t xml:space="preserve">: </w:t>
      </w:r>
    </w:p>
    <w:p w14:paraId="774AB8B4" w14:textId="77777777" w:rsidR="00FF0DC2" w:rsidRPr="00F335D8" w:rsidRDefault="00FF0DC2" w:rsidP="00FF0DC2">
      <w:pPr>
        <w:spacing w:line="360" w:lineRule="auto"/>
        <w:jc w:val="both"/>
        <w:rPr>
          <w:rFonts w:ascii="Arial" w:hAnsi="Arial"/>
          <w:sz w:val="14"/>
          <w:szCs w:val="14"/>
          <w:rtl/>
        </w:rPr>
      </w:pPr>
    </w:p>
    <w:p w14:paraId="089CC396" w14:textId="77777777" w:rsidR="00FF0DC2" w:rsidRDefault="00FF0DC2" w:rsidP="00FF0DC2">
      <w:pPr>
        <w:spacing w:line="360" w:lineRule="auto"/>
        <w:ind w:left="992" w:right="851"/>
        <w:jc w:val="both"/>
        <w:rPr>
          <w:rFonts w:ascii="Arial" w:hAnsi="Arial"/>
          <w:sz w:val="26"/>
          <w:szCs w:val="26"/>
          <w:rtl/>
        </w:rPr>
      </w:pPr>
      <w:r w:rsidRPr="00C31318">
        <w:rPr>
          <w:rFonts w:ascii="Arial" w:hAnsi="Arial" w:hint="cs"/>
          <w:b/>
          <w:bCs/>
          <w:i/>
          <w:iCs/>
          <w:sz w:val="26"/>
          <w:szCs w:val="26"/>
          <w:rtl/>
        </w:rPr>
        <w:t>"...</w:t>
      </w:r>
      <w:r w:rsidRPr="00C31318">
        <w:rPr>
          <w:rFonts w:ascii="Arial" w:hAnsi="Arial"/>
          <w:b/>
          <w:bCs/>
          <w:i/>
          <w:iCs/>
          <w:sz w:val="26"/>
          <w:szCs w:val="26"/>
          <w:rtl/>
        </w:rPr>
        <w:t>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w:t>
      </w:r>
      <w:r>
        <w:rPr>
          <w:rFonts w:ascii="David" w:hAnsi="David" w:hint="cs"/>
          <w:b/>
          <w:bCs/>
          <w:i/>
          <w:iCs/>
          <w:rtl/>
        </w:rPr>
        <w:t>"</w:t>
      </w:r>
      <w:r w:rsidRPr="00C31318">
        <w:rPr>
          <w:rFonts w:ascii="David" w:hAnsi="David"/>
          <w:b/>
          <w:bCs/>
          <w:i/>
          <w:iCs/>
          <w:rtl/>
        </w:rPr>
        <w:t>"</w:t>
      </w:r>
      <w:r w:rsidRPr="00C31318">
        <w:rPr>
          <w:rFonts w:ascii="David" w:hAnsi="David"/>
          <w:rtl/>
        </w:rPr>
        <w:t xml:space="preserve"> </w:t>
      </w:r>
      <w:r w:rsidRPr="00C31318">
        <w:rPr>
          <w:rFonts w:ascii="David" w:hAnsi="David"/>
        </w:rPr>
        <w:t>)</w:t>
      </w:r>
      <w:r w:rsidRPr="00E2226F">
        <w:rPr>
          <w:rFonts w:ascii="Arial" w:hAnsi="Arial" w:hint="cs"/>
          <w:color w:val="000000"/>
          <w:sz w:val="26"/>
          <w:szCs w:val="26"/>
          <w:rtl/>
        </w:rPr>
        <w:t>ע"פ</w:t>
      </w:r>
      <w:r w:rsidRPr="00E2226F">
        <w:rPr>
          <w:rFonts w:ascii="Arial" w:hAnsi="Arial"/>
          <w:color w:val="000000"/>
          <w:sz w:val="26"/>
          <w:szCs w:val="26"/>
          <w:rtl/>
        </w:rPr>
        <w:t xml:space="preserve"> 5602/22</w:t>
      </w:r>
      <w:r w:rsidR="00E2226F">
        <w:rPr>
          <w:rFonts w:ascii="Arial" w:hAnsi="Arial"/>
          <w:sz w:val="26"/>
          <w:szCs w:val="26"/>
        </w:rPr>
        <w:t xml:space="preserve"> </w:t>
      </w:r>
      <w:r w:rsidRPr="00C4042C">
        <w:rPr>
          <w:rFonts w:ascii="Arial" w:hAnsi="Arial"/>
          <w:sz w:val="26"/>
          <w:szCs w:val="26"/>
          <w:rtl/>
        </w:rPr>
        <w:t>מ</w:t>
      </w:r>
      <w:r w:rsidRPr="00163E5B">
        <w:rPr>
          <w:rFonts w:ascii="Arial" w:hAnsi="Arial"/>
          <w:b/>
          <w:bCs/>
          <w:sz w:val="26"/>
          <w:szCs w:val="26"/>
          <w:rtl/>
        </w:rPr>
        <w:t>דינת ישראל</w:t>
      </w:r>
      <w:r w:rsidRPr="00163E5B">
        <w:rPr>
          <w:rFonts w:ascii="Arial" w:hAnsi="Arial"/>
          <w:sz w:val="26"/>
          <w:szCs w:val="26"/>
          <w:rtl/>
        </w:rPr>
        <w:t xml:space="preserve"> נ' </w:t>
      </w:r>
      <w:r w:rsidRPr="00163E5B">
        <w:rPr>
          <w:rFonts w:ascii="Arial" w:hAnsi="Arial"/>
          <w:b/>
          <w:bCs/>
          <w:sz w:val="26"/>
          <w:szCs w:val="26"/>
          <w:rtl/>
        </w:rPr>
        <w:t>פלוני</w:t>
      </w:r>
      <w:r>
        <w:rPr>
          <w:rFonts w:ascii="Arial" w:hAnsi="Arial" w:hint="cs"/>
          <w:sz w:val="26"/>
          <w:szCs w:val="26"/>
          <w:rtl/>
        </w:rPr>
        <w:t xml:space="preserve"> (פורסם בנבו, 14.9.22), וראו גם </w:t>
      </w:r>
      <w:hyperlink r:id="rId27" w:history="1">
        <w:r w:rsidR="00E2226F" w:rsidRPr="00E2226F">
          <w:rPr>
            <w:rFonts w:ascii="Arial" w:hAnsi="Arial"/>
            <w:color w:val="0000FF"/>
            <w:sz w:val="26"/>
            <w:szCs w:val="26"/>
            <w:u w:val="single"/>
            <w:rtl/>
          </w:rPr>
          <w:t>ע"פ 8846/15</w:t>
        </w:r>
      </w:hyperlink>
      <w:r w:rsidR="00E2226F">
        <w:rPr>
          <w:rFonts w:ascii="Arial" w:hAnsi="Arial"/>
          <w:sz w:val="26"/>
          <w:szCs w:val="26"/>
        </w:rPr>
        <w:t xml:space="preserve"> </w:t>
      </w:r>
      <w:r w:rsidRPr="00E82DA9">
        <w:rPr>
          <w:rFonts w:ascii="Arial" w:hAnsi="Arial"/>
          <w:b/>
          <w:bCs/>
          <w:sz w:val="26"/>
          <w:szCs w:val="26"/>
          <w:rtl/>
        </w:rPr>
        <w:t>דראז</w:t>
      </w:r>
      <w:r w:rsidRPr="00E82DA9">
        <w:rPr>
          <w:rFonts w:ascii="Arial" w:hAnsi="Arial"/>
          <w:sz w:val="26"/>
          <w:szCs w:val="26"/>
          <w:rtl/>
        </w:rPr>
        <w:t xml:space="preserve"> נ' </w:t>
      </w:r>
      <w:r w:rsidRPr="00E82DA9">
        <w:rPr>
          <w:rFonts w:ascii="Arial" w:hAnsi="Arial"/>
          <w:b/>
          <w:bCs/>
          <w:sz w:val="26"/>
          <w:szCs w:val="26"/>
          <w:rtl/>
        </w:rPr>
        <w:t>מדינת</w:t>
      </w:r>
      <w:r w:rsidRPr="00E82DA9">
        <w:rPr>
          <w:rFonts w:ascii="Arial" w:hAnsi="Arial"/>
          <w:sz w:val="26"/>
          <w:szCs w:val="26"/>
          <w:rtl/>
        </w:rPr>
        <w:t xml:space="preserve"> </w:t>
      </w:r>
      <w:r w:rsidRPr="00E82DA9">
        <w:rPr>
          <w:rFonts w:ascii="Arial" w:hAnsi="Arial"/>
          <w:b/>
          <w:bCs/>
          <w:sz w:val="26"/>
          <w:szCs w:val="26"/>
          <w:rtl/>
        </w:rPr>
        <w:t>ישראל</w:t>
      </w:r>
      <w:r>
        <w:rPr>
          <w:rFonts w:ascii="Arial" w:hAnsi="Arial" w:hint="cs"/>
          <w:sz w:val="26"/>
          <w:szCs w:val="26"/>
          <w:rtl/>
        </w:rPr>
        <w:t xml:space="preserve"> (</w:t>
      </w:r>
      <w:r w:rsidRPr="00E82DA9">
        <w:rPr>
          <w:rFonts w:ascii="Arial" w:hAnsi="Arial"/>
          <w:sz w:val="26"/>
          <w:szCs w:val="26"/>
          <w:rtl/>
        </w:rPr>
        <w:t>פורסם בנבו</w:t>
      </w:r>
      <w:r>
        <w:rPr>
          <w:rFonts w:ascii="Arial" w:hAnsi="Arial" w:hint="cs"/>
          <w:sz w:val="26"/>
          <w:szCs w:val="26"/>
          <w:rtl/>
        </w:rPr>
        <w:t xml:space="preserve">, 13.6.16), </w:t>
      </w:r>
      <w:hyperlink r:id="rId28" w:history="1">
        <w:r w:rsidR="00E2226F" w:rsidRPr="00E2226F">
          <w:rPr>
            <w:rFonts w:ascii="Arial" w:hAnsi="Arial"/>
            <w:color w:val="0000FF"/>
            <w:sz w:val="26"/>
            <w:szCs w:val="26"/>
            <w:u w:val="single"/>
            <w:rtl/>
          </w:rPr>
          <w:t>ע"פ 5330/20</w:t>
        </w:r>
      </w:hyperlink>
      <w:r>
        <w:rPr>
          <w:rFonts w:ascii="Arial" w:hAnsi="Arial" w:hint="cs"/>
          <w:sz w:val="26"/>
          <w:szCs w:val="26"/>
          <w:rtl/>
        </w:rPr>
        <w:t xml:space="preserve"> </w:t>
      </w:r>
      <w:r w:rsidRPr="00C4042C">
        <w:rPr>
          <w:rFonts w:ascii="Arial" w:hAnsi="Arial" w:hint="cs"/>
          <w:b/>
          <w:bCs/>
          <w:sz w:val="26"/>
          <w:szCs w:val="26"/>
          <w:rtl/>
        </w:rPr>
        <w:t>ענבתאוי</w:t>
      </w:r>
      <w:r>
        <w:rPr>
          <w:rFonts w:ascii="Arial" w:hAnsi="Arial" w:hint="cs"/>
          <w:sz w:val="26"/>
          <w:szCs w:val="26"/>
          <w:rtl/>
        </w:rPr>
        <w:t xml:space="preserve"> נ' </w:t>
      </w:r>
      <w:r w:rsidRPr="00C4042C">
        <w:rPr>
          <w:rFonts w:ascii="Arial" w:hAnsi="Arial" w:hint="cs"/>
          <w:b/>
          <w:bCs/>
          <w:sz w:val="26"/>
          <w:szCs w:val="26"/>
          <w:rtl/>
        </w:rPr>
        <w:t>מדינת ישראל</w:t>
      </w:r>
      <w:r>
        <w:rPr>
          <w:rFonts w:ascii="Arial" w:hAnsi="Arial" w:hint="cs"/>
          <w:sz w:val="26"/>
          <w:szCs w:val="26"/>
          <w:rtl/>
        </w:rPr>
        <w:t xml:space="preserve"> (פורסם בנבו, 22.11.20) וכן עניין </w:t>
      </w:r>
      <w:r w:rsidRPr="00AB56D4">
        <w:rPr>
          <w:rFonts w:ascii="Arial" w:hAnsi="Arial" w:hint="cs"/>
          <w:b/>
          <w:bCs/>
          <w:sz w:val="26"/>
          <w:szCs w:val="26"/>
          <w:rtl/>
        </w:rPr>
        <w:t>אגבראיה</w:t>
      </w:r>
      <w:r>
        <w:rPr>
          <w:rFonts w:ascii="Arial" w:hAnsi="Arial" w:hint="cs"/>
          <w:sz w:val="26"/>
          <w:szCs w:val="26"/>
          <w:rtl/>
        </w:rPr>
        <w:t xml:space="preserve"> הנ"ל))</w:t>
      </w:r>
    </w:p>
    <w:p w14:paraId="0107FE14" w14:textId="77777777" w:rsidR="00FF0DC2" w:rsidRDefault="00FF0DC2" w:rsidP="00FF0DC2">
      <w:pPr>
        <w:spacing w:line="360" w:lineRule="auto"/>
        <w:jc w:val="both"/>
        <w:rPr>
          <w:rFonts w:ascii="Arial" w:hAnsi="Arial"/>
          <w:sz w:val="26"/>
          <w:szCs w:val="26"/>
          <w:rtl/>
        </w:rPr>
      </w:pPr>
    </w:p>
    <w:p w14:paraId="2AAAFBAA" w14:textId="77777777" w:rsidR="00FF0DC2" w:rsidRPr="009A5896" w:rsidRDefault="00FF0DC2" w:rsidP="00FF0DC2">
      <w:pPr>
        <w:spacing w:line="360" w:lineRule="auto"/>
        <w:jc w:val="both"/>
        <w:rPr>
          <w:rFonts w:ascii="Arial" w:hAnsi="Arial"/>
          <w:b/>
          <w:bCs/>
          <w:sz w:val="26"/>
          <w:szCs w:val="26"/>
          <w:u w:val="single"/>
          <w:rtl/>
        </w:rPr>
      </w:pPr>
      <w:r w:rsidRPr="009A5896">
        <w:rPr>
          <w:rFonts w:ascii="Arial" w:hAnsi="Arial" w:hint="cs"/>
          <w:b/>
          <w:bCs/>
          <w:sz w:val="26"/>
          <w:szCs w:val="26"/>
          <w:u w:val="single"/>
          <w:rtl/>
        </w:rPr>
        <w:t>סוף דבר</w:t>
      </w:r>
    </w:p>
    <w:p w14:paraId="7C857DA6"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 xml:space="preserve">העולה מדברנו עד כה, כי הנאשם עירב עצמו בביצוע עבירה חמורה, כאשר החזיק בשני אקדחים, חמש מחסניות ותחמושת תואמת. עבירה זו פוגעת בערכים חברתיים ראשונים במעלה ולה פוטנציאל נזק משמעותי עליו עמדנו. </w:t>
      </w:r>
    </w:p>
    <w:p w14:paraId="28324D4B" w14:textId="77777777" w:rsidR="00FF0DC2" w:rsidRDefault="00FF0DC2" w:rsidP="00FF0DC2">
      <w:pPr>
        <w:spacing w:line="360" w:lineRule="auto"/>
        <w:jc w:val="both"/>
        <w:rPr>
          <w:rFonts w:ascii="Arial" w:hAnsi="Arial"/>
          <w:sz w:val="26"/>
          <w:szCs w:val="26"/>
          <w:rtl/>
        </w:rPr>
      </w:pPr>
    </w:p>
    <w:p w14:paraId="2CCBFB68"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 xml:space="preserve">אי לכך, בהתאם למדיניות הענישה, נדרש להטיל על עליו עונש מאסר משמעותי, אשר יהלום את מהות מעשיו ויבטא כראוי את שיקולי הענישה השונים. </w:t>
      </w:r>
    </w:p>
    <w:p w14:paraId="2878915C" w14:textId="77777777" w:rsidR="00FF0DC2" w:rsidRPr="00F335D8" w:rsidRDefault="00FF0DC2" w:rsidP="00FF0DC2">
      <w:pPr>
        <w:spacing w:line="360" w:lineRule="auto"/>
        <w:jc w:val="both"/>
        <w:rPr>
          <w:rFonts w:ascii="Arial" w:hAnsi="Arial"/>
          <w:sz w:val="18"/>
          <w:szCs w:val="18"/>
          <w:rtl/>
        </w:rPr>
      </w:pPr>
    </w:p>
    <w:p w14:paraId="346D4253"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 xml:space="preserve">לצד האמור, עומדות לזכותו נסיבות אישיות ומשפחתיות מקלות, וכן הודאתו המהירה באשמה. </w:t>
      </w:r>
    </w:p>
    <w:p w14:paraId="5E964411" w14:textId="77777777" w:rsidR="00FF0DC2" w:rsidRPr="00F335D8" w:rsidRDefault="00FF0DC2" w:rsidP="00FF0DC2">
      <w:pPr>
        <w:spacing w:line="360" w:lineRule="auto"/>
        <w:jc w:val="both"/>
        <w:rPr>
          <w:rFonts w:ascii="Arial" w:hAnsi="Arial"/>
          <w:sz w:val="16"/>
          <w:szCs w:val="16"/>
          <w:rtl/>
        </w:rPr>
      </w:pPr>
    </w:p>
    <w:p w14:paraId="45BE18D1"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 xml:space="preserve">על רקע זה, אני סבור שיש לגזור על הנאשם עונש מאסר בפועל קרוב יותר לרף התחתון של מתחם העונש ההולם שנקבע כאמור. אדגיש כי לולא עמדו לנאשם נסיבות הקולא עליהן עמדנו, לשיטתי היה מקום להטיל עונש חמור יותר.  </w:t>
      </w:r>
    </w:p>
    <w:p w14:paraId="28CADF32" w14:textId="77777777" w:rsidR="00FF0DC2" w:rsidRPr="00F335D8" w:rsidRDefault="00FF0DC2" w:rsidP="00FF0DC2">
      <w:pPr>
        <w:spacing w:line="360" w:lineRule="auto"/>
        <w:jc w:val="both"/>
        <w:rPr>
          <w:rFonts w:ascii="Arial" w:hAnsi="Arial"/>
          <w:sz w:val="14"/>
          <w:szCs w:val="14"/>
          <w:rtl/>
        </w:rPr>
      </w:pPr>
    </w:p>
    <w:p w14:paraId="09E14FC4"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 xml:space="preserve">לנוכח נסיבותיו של הנאשם ומשפחתו, אף מצאתי להימנע מהטלת קנס משמעותי, אשר סביר להניח כי ייפול במידה רבה על כתפי הוריו. </w:t>
      </w:r>
    </w:p>
    <w:p w14:paraId="23BDDA70" w14:textId="77777777" w:rsidR="00FF0DC2" w:rsidRPr="00F335D8" w:rsidRDefault="00FF0DC2" w:rsidP="00FF0DC2">
      <w:pPr>
        <w:spacing w:line="360" w:lineRule="auto"/>
        <w:jc w:val="both"/>
        <w:rPr>
          <w:rFonts w:ascii="Arial" w:hAnsi="Arial"/>
          <w:sz w:val="16"/>
          <w:szCs w:val="16"/>
          <w:rtl/>
        </w:rPr>
      </w:pPr>
    </w:p>
    <w:p w14:paraId="4571B20F" w14:textId="77777777" w:rsidR="00FF0DC2" w:rsidRDefault="00FF0DC2" w:rsidP="00FF0DC2">
      <w:pPr>
        <w:spacing w:line="360" w:lineRule="auto"/>
        <w:jc w:val="both"/>
        <w:rPr>
          <w:rFonts w:ascii="Arial" w:hAnsi="Arial"/>
          <w:sz w:val="26"/>
          <w:szCs w:val="26"/>
          <w:rtl/>
        </w:rPr>
      </w:pPr>
    </w:p>
    <w:p w14:paraId="35C8CC35" w14:textId="77777777" w:rsidR="00FF0DC2" w:rsidRDefault="00FF0DC2" w:rsidP="00FF0DC2">
      <w:pPr>
        <w:spacing w:line="360" w:lineRule="auto"/>
        <w:jc w:val="both"/>
        <w:rPr>
          <w:rFonts w:ascii="Arial" w:hAnsi="Arial"/>
          <w:sz w:val="26"/>
          <w:szCs w:val="26"/>
          <w:rtl/>
        </w:rPr>
      </w:pPr>
      <w:r>
        <w:rPr>
          <w:rFonts w:ascii="Arial" w:hAnsi="Arial" w:hint="cs"/>
          <w:sz w:val="26"/>
          <w:szCs w:val="26"/>
          <w:rtl/>
        </w:rPr>
        <w:t>בהתאם לאמור, הנני גוזר על הנאשם את העונשים הבאים:</w:t>
      </w:r>
    </w:p>
    <w:p w14:paraId="734ED029" w14:textId="77777777" w:rsidR="00FF0DC2" w:rsidRPr="00F335D8" w:rsidRDefault="00FF0DC2" w:rsidP="00FF0DC2">
      <w:pPr>
        <w:spacing w:line="360" w:lineRule="auto"/>
        <w:jc w:val="both"/>
        <w:rPr>
          <w:rFonts w:ascii="Arial" w:hAnsi="Arial"/>
          <w:sz w:val="18"/>
          <w:szCs w:val="18"/>
          <w:rtl/>
        </w:rPr>
      </w:pPr>
    </w:p>
    <w:p w14:paraId="3194BCF7" w14:textId="77777777" w:rsidR="00FF0DC2" w:rsidRPr="00A56DFA" w:rsidRDefault="00FF0DC2" w:rsidP="00FF0DC2">
      <w:pPr>
        <w:pStyle w:val="a9"/>
        <w:numPr>
          <w:ilvl w:val="0"/>
          <w:numId w:val="1"/>
        </w:numPr>
        <w:spacing w:line="360" w:lineRule="auto"/>
        <w:jc w:val="both"/>
        <w:rPr>
          <w:rFonts w:ascii="Arial" w:hAnsi="Arial"/>
          <w:b/>
          <w:bCs/>
          <w:sz w:val="26"/>
          <w:szCs w:val="26"/>
        </w:rPr>
      </w:pPr>
      <w:r>
        <w:rPr>
          <w:rFonts w:ascii="Arial" w:hAnsi="Arial" w:hint="cs"/>
          <w:b/>
          <w:bCs/>
          <w:sz w:val="26"/>
          <w:szCs w:val="26"/>
          <w:rtl/>
        </w:rPr>
        <w:t>28</w:t>
      </w:r>
      <w:r w:rsidRPr="00A56DFA">
        <w:rPr>
          <w:rFonts w:ascii="Arial" w:hAnsi="Arial" w:hint="cs"/>
          <w:b/>
          <w:bCs/>
          <w:sz w:val="26"/>
          <w:szCs w:val="26"/>
          <w:rtl/>
        </w:rPr>
        <w:t xml:space="preserve"> חודשי מאסר לריצוי בפועל מיום מעצרו בתיק זה. </w:t>
      </w:r>
    </w:p>
    <w:p w14:paraId="3222242D" w14:textId="77777777" w:rsidR="00FF0DC2" w:rsidRPr="00A56DFA" w:rsidRDefault="00FF0DC2" w:rsidP="00FF0DC2">
      <w:pPr>
        <w:pStyle w:val="a9"/>
        <w:numPr>
          <w:ilvl w:val="0"/>
          <w:numId w:val="1"/>
        </w:numPr>
        <w:spacing w:line="360" w:lineRule="auto"/>
        <w:jc w:val="both"/>
        <w:rPr>
          <w:rFonts w:ascii="Arial" w:hAnsi="Arial"/>
          <w:b/>
          <w:bCs/>
          <w:sz w:val="26"/>
          <w:szCs w:val="26"/>
        </w:rPr>
      </w:pPr>
      <w:r w:rsidRPr="00A56DFA">
        <w:rPr>
          <w:rFonts w:ascii="Arial" w:hAnsi="Arial" w:hint="cs"/>
          <w:b/>
          <w:bCs/>
          <w:sz w:val="26"/>
          <w:szCs w:val="26"/>
          <w:rtl/>
        </w:rPr>
        <w:t xml:space="preserve">12 חודשי מאסר מותנים והתנאי הוא כי במשך 3 שנים מיום שחרורו ממאסר לא יעבור הנאשם עבירה בה הורשע או עבירה לפי סעיפים </w:t>
      </w:r>
      <w:hyperlink r:id="rId29" w:history="1">
        <w:r w:rsidR="00E81AE9" w:rsidRPr="00E81AE9">
          <w:rPr>
            <w:rStyle w:val="Hyperlink"/>
            <w:rFonts w:ascii="Arial" w:hAnsi="Arial"/>
            <w:b/>
            <w:bCs/>
            <w:color w:val="0000FF"/>
            <w:sz w:val="26"/>
            <w:szCs w:val="26"/>
            <w:rtl/>
          </w:rPr>
          <w:t>144 (ב)</w:t>
        </w:r>
      </w:hyperlink>
      <w:r>
        <w:rPr>
          <w:rFonts w:ascii="Arial" w:hAnsi="Arial" w:hint="cs"/>
          <w:b/>
          <w:bCs/>
          <w:sz w:val="26"/>
          <w:szCs w:val="26"/>
          <w:rtl/>
        </w:rPr>
        <w:t xml:space="preserve"> ו-(</w:t>
      </w:r>
      <w:hyperlink r:id="rId30" w:history="1">
        <w:r w:rsidR="00E81AE9" w:rsidRPr="00E81AE9">
          <w:rPr>
            <w:rStyle w:val="Hyperlink"/>
            <w:rFonts w:ascii="Arial" w:hAnsi="Arial" w:hint="eastAsia"/>
            <w:b/>
            <w:bCs/>
            <w:color w:val="0000FF"/>
            <w:sz w:val="26"/>
            <w:szCs w:val="26"/>
            <w:rtl/>
          </w:rPr>
          <w:t>ב</w:t>
        </w:r>
        <w:r w:rsidR="00E81AE9" w:rsidRPr="00E81AE9">
          <w:rPr>
            <w:rStyle w:val="Hyperlink"/>
            <w:rFonts w:ascii="Arial" w:hAnsi="Arial"/>
            <w:b/>
            <w:bCs/>
            <w:color w:val="0000FF"/>
            <w:sz w:val="26"/>
            <w:szCs w:val="26"/>
            <w:rtl/>
          </w:rPr>
          <w:t>2</w:t>
        </w:r>
      </w:hyperlink>
      <w:r>
        <w:rPr>
          <w:rFonts w:ascii="Arial" w:hAnsi="Arial" w:hint="cs"/>
          <w:b/>
          <w:bCs/>
          <w:sz w:val="26"/>
          <w:szCs w:val="26"/>
          <w:rtl/>
        </w:rPr>
        <w:t>) ל</w:t>
      </w:r>
      <w:hyperlink r:id="rId31" w:history="1">
        <w:r w:rsidR="00E2226F" w:rsidRPr="00E2226F">
          <w:rPr>
            <w:rFonts w:ascii="Arial" w:hAnsi="Arial"/>
            <w:b/>
            <w:bCs/>
            <w:color w:val="0000FF"/>
            <w:sz w:val="26"/>
            <w:szCs w:val="26"/>
            <w:u w:val="single"/>
            <w:rtl/>
          </w:rPr>
          <w:t>חוק העונשין</w:t>
        </w:r>
      </w:hyperlink>
      <w:r>
        <w:rPr>
          <w:rFonts w:ascii="Arial" w:hAnsi="Arial" w:hint="cs"/>
          <w:b/>
          <w:bCs/>
          <w:sz w:val="26"/>
          <w:szCs w:val="26"/>
          <w:rtl/>
        </w:rPr>
        <w:t>, תשל"ז-1977</w:t>
      </w:r>
      <w:r w:rsidRPr="00A56DFA">
        <w:rPr>
          <w:rFonts w:ascii="Arial" w:hAnsi="Arial" w:hint="cs"/>
          <w:b/>
          <w:bCs/>
          <w:sz w:val="26"/>
          <w:szCs w:val="26"/>
          <w:rtl/>
        </w:rPr>
        <w:t>.</w:t>
      </w:r>
    </w:p>
    <w:p w14:paraId="62D2A105" w14:textId="77777777" w:rsidR="00FF0DC2" w:rsidRDefault="00FF0DC2" w:rsidP="00FF0DC2">
      <w:pPr>
        <w:pStyle w:val="a9"/>
        <w:numPr>
          <w:ilvl w:val="0"/>
          <w:numId w:val="1"/>
        </w:numPr>
        <w:spacing w:line="360" w:lineRule="auto"/>
        <w:jc w:val="both"/>
        <w:rPr>
          <w:rFonts w:ascii="Arial" w:hAnsi="Arial"/>
          <w:b/>
          <w:bCs/>
          <w:sz w:val="26"/>
          <w:szCs w:val="26"/>
        </w:rPr>
      </w:pPr>
      <w:r w:rsidRPr="00A56DFA">
        <w:rPr>
          <w:rFonts w:ascii="Arial" w:hAnsi="Arial" w:hint="cs"/>
          <w:b/>
          <w:bCs/>
          <w:sz w:val="26"/>
          <w:szCs w:val="26"/>
          <w:rtl/>
        </w:rPr>
        <w:t xml:space="preserve">קנס בסך 5000 ₪ שישולם עד </w:t>
      </w:r>
      <w:r>
        <w:rPr>
          <w:rFonts w:ascii="Arial" w:hAnsi="Arial" w:hint="cs"/>
          <w:b/>
          <w:bCs/>
          <w:sz w:val="26"/>
          <w:szCs w:val="26"/>
          <w:rtl/>
        </w:rPr>
        <w:t xml:space="preserve">ליום 24.6.25. </w:t>
      </w:r>
      <w:r w:rsidRPr="00A56DFA">
        <w:rPr>
          <w:rFonts w:ascii="Arial" w:hAnsi="Arial" w:hint="cs"/>
          <w:b/>
          <w:bCs/>
          <w:sz w:val="26"/>
          <w:szCs w:val="26"/>
          <w:rtl/>
        </w:rPr>
        <w:t xml:space="preserve">לא ישלם הנאשם קנס זה יאסר לתקופה נוספת של חודשיים. </w:t>
      </w:r>
    </w:p>
    <w:p w14:paraId="45783261" w14:textId="77777777" w:rsidR="00FF0DC2" w:rsidRDefault="00FF0DC2" w:rsidP="00FF0DC2">
      <w:pPr>
        <w:pStyle w:val="a9"/>
        <w:spacing w:after="160" w:line="360" w:lineRule="auto"/>
        <w:jc w:val="both"/>
        <w:rPr>
          <w:rFonts w:ascii="Arial" w:hAnsi="Arial"/>
          <w:sz w:val="26"/>
          <w:szCs w:val="26"/>
          <w:rtl/>
        </w:rPr>
      </w:pPr>
    </w:p>
    <w:p w14:paraId="2F318CDB" w14:textId="77777777" w:rsidR="00FF0DC2" w:rsidRPr="000964F7" w:rsidRDefault="00FF0DC2" w:rsidP="00FF0DC2">
      <w:pPr>
        <w:pStyle w:val="a9"/>
        <w:spacing w:after="160" w:line="360" w:lineRule="auto"/>
        <w:jc w:val="both"/>
        <w:rPr>
          <w:rFonts w:ascii="Arial" w:hAnsi="Arial"/>
          <w:sz w:val="26"/>
          <w:szCs w:val="26"/>
          <w:rtl/>
        </w:rPr>
      </w:pPr>
      <w:r w:rsidRPr="000964F7">
        <w:rPr>
          <w:rFonts w:ascii="Arial" w:hAnsi="Arial"/>
          <w:sz w:val="26"/>
          <w:szCs w:val="26"/>
          <w:rtl/>
        </w:rPr>
        <w:t>תשומת לב הנאשם שיש לשלם את הקנס לחשבון המרכז לגביית קנסות, אגרות והוצאות ברשות האכיפה והגבייה, החל מחלוף 3 ימים מיום מתן גזר הדין וזאת באחת מהדרכים הבאות:</w:t>
      </w:r>
    </w:p>
    <w:p w14:paraId="1AF56A54" w14:textId="77777777" w:rsidR="00FF0DC2" w:rsidRPr="000964F7" w:rsidRDefault="00FF0DC2" w:rsidP="00FF0DC2">
      <w:pPr>
        <w:pStyle w:val="a9"/>
        <w:numPr>
          <w:ilvl w:val="0"/>
          <w:numId w:val="2"/>
        </w:numPr>
        <w:spacing w:after="160" w:line="360" w:lineRule="auto"/>
        <w:jc w:val="both"/>
        <w:rPr>
          <w:rFonts w:ascii="Arial" w:hAnsi="Arial"/>
          <w:sz w:val="26"/>
          <w:szCs w:val="26"/>
          <w:rtl/>
        </w:rPr>
      </w:pPr>
      <w:r w:rsidRPr="000964F7">
        <w:rPr>
          <w:rFonts w:ascii="Arial" w:hAnsi="Arial"/>
          <w:sz w:val="26"/>
          <w:szCs w:val="26"/>
          <w:rtl/>
        </w:rPr>
        <w:t xml:space="preserve">בכרטיס אשראי – באתר המקוון של רשות האכיפה והגבייה, </w:t>
      </w:r>
      <w:hyperlink r:id="rId32" w:history="1">
        <w:r w:rsidRPr="000964F7">
          <w:rPr>
            <w:rFonts w:ascii="Arial" w:hAnsi="Arial"/>
            <w:sz w:val="26"/>
            <w:szCs w:val="26"/>
          </w:rPr>
          <w:t>www.eca.gov.il</w:t>
        </w:r>
      </w:hyperlink>
      <w:r w:rsidRPr="000964F7">
        <w:rPr>
          <w:rFonts w:ascii="Arial" w:hAnsi="Arial"/>
          <w:sz w:val="26"/>
          <w:szCs w:val="26"/>
        </w:rPr>
        <w:t xml:space="preserve"> </w:t>
      </w:r>
      <w:r w:rsidR="00E2226F">
        <w:rPr>
          <w:rFonts w:ascii="Arial" w:hAnsi="Arial"/>
          <w:sz w:val="26"/>
          <w:szCs w:val="26"/>
          <w:rtl/>
        </w:rPr>
        <w:t xml:space="preserve"> </w:t>
      </w:r>
      <w:r w:rsidRPr="000964F7">
        <w:rPr>
          <w:rFonts w:ascii="Arial" w:hAnsi="Arial"/>
          <w:sz w:val="26"/>
          <w:szCs w:val="26"/>
          <w:rtl/>
        </w:rPr>
        <w:t>או חפש בגוגל " תשלום גביית קנסות".</w:t>
      </w:r>
    </w:p>
    <w:p w14:paraId="53FCD7E7" w14:textId="77777777" w:rsidR="00FF0DC2" w:rsidRPr="000964F7" w:rsidRDefault="00FF0DC2" w:rsidP="00FF0DC2">
      <w:pPr>
        <w:pStyle w:val="a9"/>
        <w:numPr>
          <w:ilvl w:val="0"/>
          <w:numId w:val="2"/>
        </w:numPr>
        <w:spacing w:after="160" w:line="360" w:lineRule="auto"/>
        <w:jc w:val="both"/>
        <w:rPr>
          <w:rFonts w:ascii="Arial" w:hAnsi="Arial"/>
          <w:sz w:val="26"/>
          <w:szCs w:val="26"/>
          <w:rtl/>
        </w:rPr>
      </w:pPr>
      <w:r w:rsidRPr="000964F7">
        <w:rPr>
          <w:rFonts w:ascii="Arial" w:hAnsi="Arial"/>
          <w:sz w:val="26"/>
          <w:szCs w:val="26"/>
          <w:rtl/>
        </w:rPr>
        <w:t>מוקד שירות טלפוני בשרות עצמי (מרכז גבייה)</w:t>
      </w:r>
      <w:r w:rsidR="00E2226F">
        <w:rPr>
          <w:rFonts w:ascii="Arial" w:hAnsi="Arial"/>
          <w:sz w:val="26"/>
          <w:szCs w:val="26"/>
          <w:rtl/>
        </w:rPr>
        <w:t xml:space="preserve"> </w:t>
      </w:r>
      <w:r w:rsidRPr="000964F7">
        <w:rPr>
          <w:rFonts w:ascii="Arial" w:hAnsi="Arial"/>
          <w:sz w:val="26"/>
          <w:szCs w:val="26"/>
          <w:rtl/>
        </w:rPr>
        <w:t xml:space="preserve"> – בטלפון 35592* או בטלפון 073-2055000 (ניתן לפנות לנציגים לקבלת מידע במספרים הללו).</w:t>
      </w:r>
    </w:p>
    <w:p w14:paraId="25F3AC62" w14:textId="77777777" w:rsidR="00FF0DC2" w:rsidRPr="000964F7" w:rsidRDefault="00FF0DC2" w:rsidP="00FF0DC2">
      <w:pPr>
        <w:pStyle w:val="a9"/>
        <w:numPr>
          <w:ilvl w:val="0"/>
          <w:numId w:val="2"/>
        </w:numPr>
        <w:spacing w:after="160" w:line="360" w:lineRule="auto"/>
        <w:jc w:val="both"/>
        <w:rPr>
          <w:rFonts w:ascii="Arial" w:hAnsi="Arial"/>
          <w:sz w:val="26"/>
          <w:szCs w:val="26"/>
          <w:rtl/>
        </w:rPr>
      </w:pPr>
      <w:r w:rsidRPr="000964F7">
        <w:rPr>
          <w:rFonts w:ascii="Arial" w:hAnsi="Arial"/>
          <w:sz w:val="26"/>
          <w:szCs w:val="26"/>
          <w:rtl/>
        </w:rPr>
        <w:t>במזומן בכל סניף של בנק הדואר – בהצגת תעודת זהות בלבד (אין צורך בשוברי תשלום).</w:t>
      </w:r>
    </w:p>
    <w:p w14:paraId="102901EC" w14:textId="77777777" w:rsidR="00FF0DC2" w:rsidRDefault="00FF0DC2" w:rsidP="00FF0DC2">
      <w:pPr>
        <w:pStyle w:val="a9"/>
        <w:spacing w:line="360" w:lineRule="auto"/>
        <w:jc w:val="both"/>
        <w:rPr>
          <w:rFonts w:ascii="Arial" w:hAnsi="Arial"/>
          <w:sz w:val="26"/>
          <w:szCs w:val="26"/>
          <w:rtl/>
        </w:rPr>
      </w:pPr>
    </w:p>
    <w:p w14:paraId="103B77CE" w14:textId="77777777" w:rsidR="00FF0DC2" w:rsidRPr="000964F7" w:rsidRDefault="00FF0DC2" w:rsidP="00FF0DC2">
      <w:pPr>
        <w:pStyle w:val="a9"/>
        <w:spacing w:line="360" w:lineRule="auto"/>
        <w:jc w:val="both"/>
        <w:rPr>
          <w:rFonts w:ascii="Arial" w:hAnsi="Arial"/>
          <w:b/>
          <w:bCs/>
          <w:sz w:val="26"/>
          <w:szCs w:val="26"/>
          <w:rtl/>
        </w:rPr>
      </w:pPr>
      <w:r w:rsidRPr="000964F7">
        <w:rPr>
          <w:rFonts w:ascii="Arial" w:hAnsi="Arial" w:hint="cs"/>
          <w:b/>
          <w:bCs/>
          <w:sz w:val="26"/>
          <w:szCs w:val="26"/>
          <w:rtl/>
        </w:rPr>
        <w:t>זכות ערעור לבית המשפט העליון תוך 45 ימים מהיום.</w:t>
      </w:r>
    </w:p>
    <w:p w14:paraId="546FCEBC" w14:textId="77777777" w:rsidR="00FF0DC2" w:rsidRDefault="00FF0DC2" w:rsidP="00FF0DC2">
      <w:pPr>
        <w:jc w:val="both"/>
        <w:rPr>
          <w:rFonts w:ascii="Arial" w:hAnsi="Arial"/>
          <w:b/>
          <w:bCs/>
          <w:sz w:val="26"/>
          <w:szCs w:val="26"/>
          <w:rtl/>
        </w:rPr>
      </w:pPr>
    </w:p>
    <w:p w14:paraId="605AE547" w14:textId="77777777" w:rsidR="00FF0DC2" w:rsidRPr="00E2226F" w:rsidRDefault="00E2226F" w:rsidP="00FF0DC2">
      <w:pPr>
        <w:jc w:val="both"/>
        <w:rPr>
          <w:rFonts w:ascii="Arial" w:hAnsi="Arial"/>
          <w:b/>
          <w:bCs/>
          <w:color w:val="FFFFFF"/>
          <w:sz w:val="2"/>
          <w:szCs w:val="2"/>
          <w:rtl/>
        </w:rPr>
      </w:pPr>
      <w:r w:rsidRPr="00E2226F">
        <w:rPr>
          <w:rFonts w:ascii="Arial" w:hAnsi="Arial"/>
          <w:b/>
          <w:bCs/>
          <w:color w:val="FFFFFF"/>
          <w:sz w:val="2"/>
          <w:szCs w:val="2"/>
          <w:rtl/>
        </w:rPr>
        <w:t>5129371</w:t>
      </w:r>
    </w:p>
    <w:p w14:paraId="1A1AAC9D" w14:textId="77777777" w:rsidR="00FF0DC2" w:rsidRDefault="00E2226F" w:rsidP="00FF0DC2">
      <w:pPr>
        <w:spacing w:line="360" w:lineRule="auto"/>
        <w:jc w:val="both"/>
        <w:rPr>
          <w:rFonts w:ascii="Arial" w:hAnsi="Arial"/>
          <w:b/>
          <w:bCs/>
          <w:sz w:val="26"/>
          <w:szCs w:val="26"/>
          <w:rtl/>
        </w:rPr>
      </w:pPr>
      <w:bookmarkStart w:id="8" w:name="Nitan"/>
      <w:r w:rsidRPr="00E2226F">
        <w:rPr>
          <w:rFonts w:ascii="Arial" w:hAnsi="Arial"/>
          <w:b/>
          <w:bCs/>
          <w:color w:val="FFFFFF"/>
          <w:sz w:val="2"/>
          <w:szCs w:val="2"/>
          <w:rtl/>
        </w:rPr>
        <w:t>54678313</w:t>
      </w:r>
      <w:r>
        <w:rPr>
          <w:rFonts w:ascii="Arial" w:hAnsi="Arial"/>
          <w:b/>
          <w:bCs/>
          <w:sz w:val="26"/>
          <w:szCs w:val="26"/>
          <w:rtl/>
        </w:rPr>
        <w:t xml:space="preserve">ניתן היום,  י"ט סיוון תשפ"ד, 25 יוני 2024, בפומבי, במעמד הנאשם, בא כוחו וב"כ </w:t>
      </w:r>
      <w:bookmarkEnd w:id="8"/>
      <w:r w:rsidR="00FF0DC2">
        <w:rPr>
          <w:rFonts w:ascii="Arial" w:hAnsi="Arial" w:hint="cs"/>
          <w:b/>
          <w:bCs/>
          <w:sz w:val="26"/>
          <w:szCs w:val="26"/>
          <w:rtl/>
        </w:rPr>
        <w:t>המאשימה</w:t>
      </w:r>
      <w:r w:rsidR="00FF0DC2" w:rsidRPr="000F2247">
        <w:rPr>
          <w:rFonts w:ascii="Arial" w:hAnsi="Arial"/>
          <w:b/>
          <w:bCs/>
          <w:sz w:val="26"/>
          <w:szCs w:val="26"/>
          <w:rtl/>
        </w:rPr>
        <w:t>.</w:t>
      </w:r>
    </w:p>
    <w:p w14:paraId="0C5CB205" w14:textId="77777777" w:rsidR="00FF0DC2" w:rsidRDefault="00FF0DC2" w:rsidP="00FF0DC2">
      <w:pPr>
        <w:spacing w:line="360" w:lineRule="auto"/>
        <w:jc w:val="both"/>
        <w:rPr>
          <w:rFonts w:ascii="Arial" w:hAnsi="Arial"/>
          <w:b/>
          <w:bCs/>
          <w:sz w:val="26"/>
          <w:szCs w:val="26"/>
          <w:rtl/>
        </w:rPr>
      </w:pPr>
    </w:p>
    <w:p w14:paraId="5B261905" w14:textId="77777777" w:rsidR="00FF0DC2" w:rsidRPr="000F2247" w:rsidRDefault="00FF0DC2" w:rsidP="00FF0DC2">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5F9ABF4A" w14:textId="77777777" w:rsidR="00E2226F" w:rsidRDefault="00E2226F" w:rsidP="00E2226F">
      <w:pPr>
        <w:rPr>
          <w:rtl/>
        </w:rPr>
      </w:pPr>
    </w:p>
    <w:p w14:paraId="4EA957FE" w14:textId="77777777" w:rsidR="00E2226F" w:rsidRDefault="00E2226F" w:rsidP="00E2226F">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51A18A82" w14:textId="77777777" w:rsidR="00E81AE9" w:rsidRPr="00E81AE9" w:rsidRDefault="00E81AE9" w:rsidP="00E81AE9">
      <w:pPr>
        <w:keepNext/>
        <w:rPr>
          <w:rFonts w:ascii="David" w:hAnsi="David"/>
          <w:color w:val="000000"/>
          <w:sz w:val="22"/>
          <w:szCs w:val="22"/>
          <w:rtl/>
        </w:rPr>
      </w:pPr>
    </w:p>
    <w:p w14:paraId="3D4B71E5" w14:textId="77777777" w:rsidR="00E81AE9" w:rsidRPr="00E81AE9" w:rsidRDefault="00E81AE9" w:rsidP="00E81AE9">
      <w:pPr>
        <w:keepNext/>
        <w:rPr>
          <w:rFonts w:ascii="David" w:hAnsi="David"/>
          <w:color w:val="000000"/>
          <w:sz w:val="22"/>
          <w:szCs w:val="22"/>
          <w:rtl/>
        </w:rPr>
      </w:pPr>
      <w:r w:rsidRPr="00E81AE9">
        <w:rPr>
          <w:rFonts w:ascii="David" w:hAnsi="David"/>
          <w:color w:val="000000"/>
          <w:sz w:val="22"/>
          <w:szCs w:val="22"/>
          <w:rtl/>
        </w:rPr>
        <w:t>נתנאל בנישו 54678313-/</w:t>
      </w:r>
    </w:p>
    <w:p w14:paraId="125D41C6" w14:textId="77777777" w:rsidR="00E2226F" w:rsidRPr="00E2226F" w:rsidRDefault="00E81AE9" w:rsidP="00E81AE9">
      <w:pPr>
        <w:rPr>
          <w:color w:val="0000FF"/>
          <w:u w:val="single"/>
        </w:rPr>
      </w:pPr>
      <w:r w:rsidRPr="00E81AE9">
        <w:rPr>
          <w:color w:val="000000"/>
          <w:u w:val="single"/>
          <w:rtl/>
        </w:rPr>
        <w:t>נוסח מסמך זה כפוף לשינויי ניסוח ועריכה</w:t>
      </w:r>
    </w:p>
    <w:sectPr w:rsidR="00E2226F" w:rsidRPr="00E2226F" w:rsidSect="00E81AE9">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25951C" w14:textId="77777777" w:rsidR="008B6327" w:rsidRDefault="008B6327" w:rsidP="003128B1">
      <w:r>
        <w:separator/>
      </w:r>
    </w:p>
  </w:endnote>
  <w:endnote w:type="continuationSeparator" w:id="0">
    <w:p w14:paraId="73E6732C" w14:textId="77777777" w:rsidR="008B6327" w:rsidRDefault="008B6327" w:rsidP="00312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8229D" w14:textId="77777777" w:rsidR="00E81AE9" w:rsidRDefault="00E81AE9" w:rsidP="00E81AE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F84B82E" w14:textId="77777777" w:rsidR="007575DF" w:rsidRPr="00E81AE9" w:rsidRDefault="00E81AE9" w:rsidP="00E81AE9">
    <w:pPr>
      <w:pStyle w:val="a5"/>
      <w:pBdr>
        <w:top w:val="single" w:sz="4" w:space="1" w:color="auto"/>
        <w:between w:val="single" w:sz="4" w:space="0" w:color="auto"/>
      </w:pBdr>
      <w:spacing w:after="60"/>
      <w:jc w:val="center"/>
      <w:rPr>
        <w:rFonts w:ascii="FrankRuehl" w:hAnsi="FrankRuehl" w:cs="FrankRuehl"/>
        <w:color w:val="000000"/>
      </w:rPr>
    </w:pPr>
    <w:r w:rsidRPr="00E81AE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BC2AF" w14:textId="77777777" w:rsidR="00E81AE9" w:rsidRDefault="00E81AE9" w:rsidP="00E81AE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55587">
      <w:rPr>
        <w:rFonts w:ascii="FrankRuehl" w:hAnsi="FrankRuehl" w:cs="FrankRuehl"/>
        <w:noProof/>
        <w:rtl/>
      </w:rPr>
      <w:t>1</w:t>
    </w:r>
    <w:r>
      <w:rPr>
        <w:rFonts w:ascii="FrankRuehl" w:hAnsi="FrankRuehl" w:cs="FrankRuehl"/>
        <w:rtl/>
      </w:rPr>
      <w:fldChar w:fldCharType="end"/>
    </w:r>
  </w:p>
  <w:p w14:paraId="65A89AC0" w14:textId="77777777" w:rsidR="007575DF" w:rsidRPr="00E81AE9" w:rsidRDefault="00E81AE9" w:rsidP="00E81AE9">
    <w:pPr>
      <w:pStyle w:val="a5"/>
      <w:pBdr>
        <w:top w:val="single" w:sz="4" w:space="1" w:color="auto"/>
        <w:between w:val="single" w:sz="4" w:space="0" w:color="auto"/>
      </w:pBdr>
      <w:spacing w:after="60"/>
      <w:jc w:val="center"/>
      <w:rPr>
        <w:rFonts w:ascii="FrankRuehl" w:hAnsi="FrankRuehl" w:cs="FrankRuehl"/>
        <w:color w:val="000000"/>
      </w:rPr>
    </w:pPr>
    <w:r w:rsidRPr="00E81AE9">
      <w:rPr>
        <w:rFonts w:ascii="FrankRuehl" w:hAnsi="FrankRuehl" w:cs="FrankRuehl"/>
        <w:color w:val="000000"/>
      </w:rPr>
      <w:pict w14:anchorId="526092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D38F2" w14:textId="77777777" w:rsidR="008B6327" w:rsidRDefault="008B6327" w:rsidP="003128B1">
      <w:r>
        <w:separator/>
      </w:r>
    </w:p>
  </w:footnote>
  <w:footnote w:type="continuationSeparator" w:id="0">
    <w:p w14:paraId="42A7A333" w14:textId="77777777" w:rsidR="008B6327" w:rsidRDefault="008B6327" w:rsidP="003128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210EB" w14:textId="77777777" w:rsidR="00E2226F" w:rsidRPr="00E81AE9" w:rsidRDefault="00E81AE9" w:rsidP="00E81AE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63100-02-24</w:t>
    </w:r>
    <w:r>
      <w:rPr>
        <w:rFonts w:ascii="David" w:hAnsi="David"/>
        <w:color w:val="000000"/>
        <w:sz w:val="22"/>
        <w:szCs w:val="22"/>
        <w:rtl/>
      </w:rPr>
      <w:tab/>
      <w:t xml:space="preserve"> מדינת ישראל נ' כילאני מחאג'נה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4C44B" w14:textId="77777777" w:rsidR="00E2226F" w:rsidRPr="00E81AE9" w:rsidRDefault="00E81AE9" w:rsidP="00E81AE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63100-02-24</w:t>
    </w:r>
    <w:r>
      <w:rPr>
        <w:rFonts w:ascii="David" w:hAnsi="David"/>
        <w:color w:val="000000"/>
        <w:sz w:val="22"/>
        <w:szCs w:val="22"/>
        <w:rtl/>
      </w:rPr>
      <w:tab/>
      <w:t xml:space="preserve"> מדינת ישראל נ' כילאני מחאג'נה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A6FF5"/>
    <w:multiLevelType w:val="hybridMultilevel"/>
    <w:tmpl w:val="27E87BE4"/>
    <w:lvl w:ilvl="0" w:tplc="30D4A5E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64267A"/>
    <w:multiLevelType w:val="hybridMultilevel"/>
    <w:tmpl w:val="77020196"/>
    <w:lvl w:ilvl="0" w:tplc="73D2DE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7656228">
    <w:abstractNumId w:val="0"/>
  </w:num>
  <w:num w:numId="2" w16cid:durableId="1120881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F0DC2"/>
    <w:rsid w:val="003128B1"/>
    <w:rsid w:val="00655587"/>
    <w:rsid w:val="00674B59"/>
    <w:rsid w:val="007575DF"/>
    <w:rsid w:val="008B6327"/>
    <w:rsid w:val="009A4E4C"/>
    <w:rsid w:val="009B044C"/>
    <w:rsid w:val="00E2226F"/>
    <w:rsid w:val="00E81AE9"/>
    <w:rsid w:val="00FF0D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673D7C"/>
  <w15:chartTrackingRefBased/>
  <w15:docId w15:val="{9CAE9A8B-B7CD-44AF-A58C-94E53C22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F0DC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F0DC2"/>
    <w:pPr>
      <w:tabs>
        <w:tab w:val="center" w:pos="4153"/>
        <w:tab w:val="right" w:pos="8306"/>
      </w:tabs>
    </w:pPr>
  </w:style>
  <w:style w:type="character" w:customStyle="1" w:styleId="a4">
    <w:name w:val="כותרת עליונה תו"/>
    <w:link w:val="a3"/>
    <w:rsid w:val="00FF0DC2"/>
    <w:rPr>
      <w:rFonts w:ascii="Times New Roman" w:eastAsia="Times New Roman" w:hAnsi="Times New Roman" w:cs="David"/>
      <w:sz w:val="24"/>
      <w:szCs w:val="24"/>
    </w:rPr>
  </w:style>
  <w:style w:type="paragraph" w:styleId="a5">
    <w:name w:val="footer"/>
    <w:basedOn w:val="a"/>
    <w:link w:val="a6"/>
    <w:rsid w:val="00FF0DC2"/>
    <w:pPr>
      <w:tabs>
        <w:tab w:val="center" w:pos="4153"/>
        <w:tab w:val="right" w:pos="8306"/>
      </w:tabs>
    </w:pPr>
  </w:style>
  <w:style w:type="character" w:customStyle="1" w:styleId="a6">
    <w:name w:val="כותרת תחתונה תו"/>
    <w:link w:val="a5"/>
    <w:rsid w:val="00FF0DC2"/>
    <w:rPr>
      <w:rFonts w:ascii="Times New Roman" w:eastAsia="Times New Roman" w:hAnsi="Times New Roman" w:cs="David"/>
      <w:sz w:val="24"/>
      <w:szCs w:val="24"/>
    </w:rPr>
  </w:style>
  <w:style w:type="table" w:styleId="a7">
    <w:name w:val="Table Grid"/>
    <w:basedOn w:val="a1"/>
    <w:rsid w:val="00FF0DC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F0DC2"/>
  </w:style>
  <w:style w:type="paragraph" w:customStyle="1" w:styleId="ruller5">
    <w:name w:val="ruller5"/>
    <w:basedOn w:val="a"/>
    <w:rsid w:val="00FF0DC2"/>
    <w:pPr>
      <w:bidi w:val="0"/>
      <w:spacing w:before="100" w:beforeAutospacing="1" w:after="100" w:afterAutospacing="1"/>
    </w:pPr>
    <w:rPr>
      <w:rFonts w:cs="Times New Roman"/>
    </w:rPr>
  </w:style>
  <w:style w:type="paragraph" w:customStyle="1" w:styleId="ruller4">
    <w:name w:val="ruller4"/>
    <w:basedOn w:val="a"/>
    <w:rsid w:val="00FF0DC2"/>
    <w:pPr>
      <w:bidi w:val="0"/>
      <w:spacing w:before="100" w:beforeAutospacing="1" w:after="100" w:afterAutospacing="1"/>
    </w:pPr>
    <w:rPr>
      <w:rFonts w:cs="Times New Roman"/>
    </w:rPr>
  </w:style>
  <w:style w:type="paragraph" w:styleId="a9">
    <w:name w:val="List Paragraph"/>
    <w:basedOn w:val="a"/>
    <w:qFormat/>
    <w:rsid w:val="00FF0DC2"/>
    <w:pPr>
      <w:ind w:left="720"/>
      <w:contextualSpacing/>
    </w:pPr>
  </w:style>
  <w:style w:type="character" w:styleId="Hyperlink">
    <w:name w:val="Hyperlink"/>
    <w:rsid w:val="00E2226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30168342" TargetMode="External"/><Relationship Id="rId26" Type="http://schemas.openxmlformats.org/officeDocument/2006/relationships/hyperlink" Target="http://www.nevo.co.il/law/70301/144.g" TargetMode="External"/><Relationship Id="rId39" Type="http://schemas.openxmlformats.org/officeDocument/2006/relationships/theme" Target="theme/theme1.xml"/><Relationship Id="rId21" Type="http://schemas.openxmlformats.org/officeDocument/2006/relationships/hyperlink" Target="http://www.nevo.co.il/case/28513828"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144.g"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144" TargetMode="External"/><Relationship Id="rId20" Type="http://schemas.openxmlformats.org/officeDocument/2006/relationships/hyperlink" Target="http://www.nevo.co.il/case/25824863" TargetMode="External"/><Relationship Id="rId29" Type="http://schemas.openxmlformats.org/officeDocument/2006/relationships/hyperlink" Target="http://www.nevo.co.il/law/70301/144.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2" TargetMode="External"/><Relationship Id="rId24" Type="http://schemas.openxmlformats.org/officeDocument/2006/relationships/hyperlink" Target="http://www.nevo.co.il/case/28384637" TargetMode="External"/><Relationship Id="rId32" Type="http://schemas.openxmlformats.org/officeDocument/2006/relationships/hyperlink" Target="http://www.eca.gov.il"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8243273" TargetMode="External"/><Relationship Id="rId28" Type="http://schemas.openxmlformats.org/officeDocument/2006/relationships/hyperlink" Target="http://www.nevo.co.il/case/26888657" TargetMode="External"/><Relationship Id="rId36" Type="http://schemas.openxmlformats.org/officeDocument/2006/relationships/footer" Target="footer1.xml"/><Relationship Id="rId10" Type="http://schemas.openxmlformats.org/officeDocument/2006/relationships/hyperlink" Target="http://www.nevo.co.il/law/70301/144.b" TargetMode="External"/><Relationship Id="rId19" Type="http://schemas.openxmlformats.org/officeDocument/2006/relationships/hyperlink" Target="http://www.nevo.co.il/case/17065136"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7309272" TargetMode="External"/><Relationship Id="rId27" Type="http://schemas.openxmlformats.org/officeDocument/2006/relationships/hyperlink" Target="http://www.nevo.co.il/case/20817891" TargetMode="External"/><Relationship Id="rId30" Type="http://schemas.openxmlformats.org/officeDocument/2006/relationships/hyperlink" Target="http://www.nevo.co.il/law/70301/144.b2" TargetMode="External"/><Relationship Id="rId35" Type="http://schemas.openxmlformats.org/officeDocument/2006/relationships/header" Target="header2.xml"/><Relationship Id="rId8" Type="http://schemas.openxmlformats.org/officeDocument/2006/relationships/hyperlink" Target="http://www.nevo.co.il/law/70301/144"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2135</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12787</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7864368</vt:i4>
      </vt:variant>
      <vt:variant>
        <vt:i4>75</vt:i4>
      </vt:variant>
      <vt:variant>
        <vt:i4>0</vt:i4>
      </vt:variant>
      <vt:variant>
        <vt:i4>5</vt:i4>
      </vt:variant>
      <vt:variant>
        <vt:lpwstr>http://www.eca.gov.il/</vt:lpwstr>
      </vt:variant>
      <vt:variant>
        <vt:lpwstr/>
      </vt:variant>
      <vt:variant>
        <vt:i4>7995492</vt:i4>
      </vt:variant>
      <vt:variant>
        <vt:i4>72</vt:i4>
      </vt:variant>
      <vt:variant>
        <vt:i4>0</vt:i4>
      </vt:variant>
      <vt:variant>
        <vt:i4>5</vt:i4>
      </vt:variant>
      <vt:variant>
        <vt:lpwstr>http://www.nevo.co.il/law/70301</vt:lpwstr>
      </vt:variant>
      <vt:variant>
        <vt:lpwstr/>
      </vt:variant>
      <vt:variant>
        <vt:i4>8192050</vt:i4>
      </vt:variant>
      <vt:variant>
        <vt:i4>69</vt:i4>
      </vt:variant>
      <vt:variant>
        <vt:i4>0</vt:i4>
      </vt:variant>
      <vt:variant>
        <vt:i4>5</vt:i4>
      </vt:variant>
      <vt:variant>
        <vt:lpwstr>http://www.nevo.co.il/law/70301/144.b2</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3604604</vt:i4>
      </vt:variant>
      <vt:variant>
        <vt:i4>63</vt:i4>
      </vt:variant>
      <vt:variant>
        <vt:i4>0</vt:i4>
      </vt:variant>
      <vt:variant>
        <vt:i4>5</vt:i4>
      </vt:variant>
      <vt:variant>
        <vt:lpwstr>http://www.nevo.co.il/case/26888657</vt:lpwstr>
      </vt:variant>
      <vt:variant>
        <vt:lpwstr/>
      </vt:variant>
      <vt:variant>
        <vt:i4>3407997</vt:i4>
      </vt:variant>
      <vt:variant>
        <vt:i4>60</vt:i4>
      </vt:variant>
      <vt:variant>
        <vt:i4>0</vt:i4>
      </vt:variant>
      <vt:variant>
        <vt:i4>5</vt:i4>
      </vt:variant>
      <vt:variant>
        <vt:lpwstr>http://www.nevo.co.il/case/20817891</vt:lpwstr>
      </vt:variant>
      <vt:variant>
        <vt:lpwstr/>
      </vt:variant>
      <vt:variant>
        <vt:i4>5177424</vt:i4>
      </vt:variant>
      <vt:variant>
        <vt:i4>57</vt:i4>
      </vt:variant>
      <vt:variant>
        <vt:i4>0</vt:i4>
      </vt:variant>
      <vt:variant>
        <vt:i4>5</vt:i4>
      </vt:variant>
      <vt:variant>
        <vt:lpwstr>http://www.nevo.co.il/law/70301/144.g</vt:lpwstr>
      </vt:variant>
      <vt:variant>
        <vt:lpwstr/>
      </vt:variant>
      <vt:variant>
        <vt:i4>7995492</vt:i4>
      </vt:variant>
      <vt:variant>
        <vt:i4>54</vt:i4>
      </vt:variant>
      <vt:variant>
        <vt:i4>0</vt:i4>
      </vt:variant>
      <vt:variant>
        <vt:i4>5</vt:i4>
      </vt:variant>
      <vt:variant>
        <vt:lpwstr>http://www.nevo.co.il/law/70301</vt:lpwstr>
      </vt:variant>
      <vt:variant>
        <vt:lpwstr/>
      </vt:variant>
      <vt:variant>
        <vt:i4>3539058</vt:i4>
      </vt:variant>
      <vt:variant>
        <vt:i4>51</vt:i4>
      </vt:variant>
      <vt:variant>
        <vt:i4>0</vt:i4>
      </vt:variant>
      <vt:variant>
        <vt:i4>5</vt:i4>
      </vt:variant>
      <vt:variant>
        <vt:lpwstr>http://www.nevo.co.il/case/28384637</vt:lpwstr>
      </vt:variant>
      <vt:variant>
        <vt:lpwstr/>
      </vt:variant>
      <vt:variant>
        <vt:i4>3407994</vt:i4>
      </vt:variant>
      <vt:variant>
        <vt:i4>48</vt:i4>
      </vt:variant>
      <vt:variant>
        <vt:i4>0</vt:i4>
      </vt:variant>
      <vt:variant>
        <vt:i4>5</vt:i4>
      </vt:variant>
      <vt:variant>
        <vt:lpwstr>http://www.nevo.co.il/case/28243273</vt:lpwstr>
      </vt:variant>
      <vt:variant>
        <vt:lpwstr/>
      </vt:variant>
      <vt:variant>
        <vt:i4>4128881</vt:i4>
      </vt:variant>
      <vt:variant>
        <vt:i4>45</vt:i4>
      </vt:variant>
      <vt:variant>
        <vt:i4>0</vt:i4>
      </vt:variant>
      <vt:variant>
        <vt:i4>5</vt:i4>
      </vt:variant>
      <vt:variant>
        <vt:lpwstr>http://www.nevo.co.il/case/27309272</vt:lpwstr>
      </vt:variant>
      <vt:variant>
        <vt:lpwstr/>
      </vt:variant>
      <vt:variant>
        <vt:i4>3539061</vt:i4>
      </vt:variant>
      <vt:variant>
        <vt:i4>42</vt:i4>
      </vt:variant>
      <vt:variant>
        <vt:i4>0</vt:i4>
      </vt:variant>
      <vt:variant>
        <vt:i4>5</vt:i4>
      </vt:variant>
      <vt:variant>
        <vt:lpwstr>http://www.nevo.co.il/case/28513828</vt:lpwstr>
      </vt:variant>
      <vt:variant>
        <vt:lpwstr/>
      </vt:variant>
      <vt:variant>
        <vt:i4>3670139</vt:i4>
      </vt:variant>
      <vt:variant>
        <vt:i4>39</vt:i4>
      </vt:variant>
      <vt:variant>
        <vt:i4>0</vt:i4>
      </vt:variant>
      <vt:variant>
        <vt:i4>5</vt:i4>
      </vt:variant>
      <vt:variant>
        <vt:lpwstr>http://www.nevo.co.il/case/25824863</vt:lpwstr>
      </vt:variant>
      <vt:variant>
        <vt:lpwstr/>
      </vt:variant>
      <vt:variant>
        <vt:i4>3604596</vt:i4>
      </vt:variant>
      <vt:variant>
        <vt:i4>36</vt:i4>
      </vt:variant>
      <vt:variant>
        <vt:i4>0</vt:i4>
      </vt:variant>
      <vt:variant>
        <vt:i4>5</vt:i4>
      </vt:variant>
      <vt:variant>
        <vt:lpwstr>http://www.nevo.co.il/case/17065136</vt:lpwstr>
      </vt:variant>
      <vt:variant>
        <vt:lpwstr/>
      </vt:variant>
      <vt:variant>
        <vt:i4>4063345</vt:i4>
      </vt:variant>
      <vt:variant>
        <vt:i4>33</vt:i4>
      </vt:variant>
      <vt:variant>
        <vt:i4>0</vt:i4>
      </vt:variant>
      <vt:variant>
        <vt:i4>5</vt:i4>
      </vt:variant>
      <vt:variant>
        <vt:lpwstr>http://www.nevo.co.il/case/30168342</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6357092</vt:i4>
      </vt:variant>
      <vt:variant>
        <vt:i4>27</vt:i4>
      </vt:variant>
      <vt:variant>
        <vt:i4>0</vt:i4>
      </vt:variant>
      <vt:variant>
        <vt:i4>5</vt:i4>
      </vt:variant>
      <vt:variant>
        <vt:lpwstr>http://www.nevo.co.il/law/70301/144</vt:lpwstr>
      </vt:variant>
      <vt:variant>
        <vt:lpwstr/>
      </vt:variant>
      <vt:variant>
        <vt:i4>7995492</vt:i4>
      </vt:variant>
      <vt:variant>
        <vt:i4>24</vt:i4>
      </vt:variant>
      <vt:variant>
        <vt:i4>0</vt:i4>
      </vt:variant>
      <vt:variant>
        <vt:i4>5</vt:i4>
      </vt:variant>
      <vt:variant>
        <vt:lpwstr>http://www.nevo.co.il/law/70301</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5177424</vt:i4>
      </vt:variant>
      <vt:variant>
        <vt:i4>15</vt:i4>
      </vt:variant>
      <vt:variant>
        <vt:i4>0</vt:i4>
      </vt:variant>
      <vt:variant>
        <vt:i4>5</vt:i4>
      </vt:variant>
      <vt:variant>
        <vt:lpwstr>http://www.nevo.co.il/law/70301/144.g</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2025-01-19T17:09:00Z</dcterms:created>
  <dcterms:modified xsi:type="dcterms:W3CDTF">2025-01-19T17:09:00Z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63100</vt:lpwstr>
  </property>
  <property fmtid="{D5CDD505-2E9C-101B-9397-08002B2CF9AE}" pid="6" name="NEWPARTB">
    <vt:lpwstr>02</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כילאני מחאג'נה </vt:lpwstr>
  </property>
  <property fmtid="{D5CDD505-2E9C-101B-9397-08002B2CF9AE}" pid="10" name="LAWYER">
    <vt:lpwstr>עומר מסארווה</vt:lpwstr>
  </property>
  <property fmtid="{D5CDD505-2E9C-101B-9397-08002B2CF9AE}" pid="11" name="JUDGE">
    <vt:lpwstr>נתנאל בנישו</vt:lpwstr>
  </property>
  <property fmtid="{D5CDD505-2E9C-101B-9397-08002B2CF9AE}" pid="12" name="CITY">
    <vt:lpwstr>חי'</vt:lpwstr>
  </property>
  <property fmtid="{D5CDD505-2E9C-101B-9397-08002B2CF9AE}" pid="13" name="DATE">
    <vt:lpwstr>20240625</vt:lpwstr>
  </property>
  <property fmtid="{D5CDD505-2E9C-101B-9397-08002B2CF9AE}" pid="14" name="TYPE_N_DATE">
    <vt:lpwstr>39020240625</vt:lpwstr>
  </property>
  <property fmtid="{D5CDD505-2E9C-101B-9397-08002B2CF9AE}" pid="15" name="CASESLISTTMP1">
    <vt:lpwstr>30168342;17065136;25824863;28513828;27309272;28243273;28384637;20817891;26888657</vt:lpwstr>
  </property>
  <property fmtid="{D5CDD505-2E9C-101B-9397-08002B2CF9AE}" pid="16" name="CASENOTES1">
    <vt:lpwstr>ProcID=235&amp;PartA=24&amp;PartC=40</vt:lpwstr>
  </property>
  <property fmtid="{D5CDD505-2E9C-101B-9397-08002B2CF9AE}" pid="17" name="WORDNUMPAGES">
    <vt:lpwstr>8</vt:lpwstr>
  </property>
  <property fmtid="{D5CDD505-2E9C-101B-9397-08002B2CF9AE}" pid="18" name="TYPE_ABS_DATE">
    <vt:lpwstr>390020240625</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70301/144.a;144;144.g;144.b;144.b2</vt:lpwstr>
  </property>
</Properties>
</file>