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7"/>
        <w:gridCol w:w="3664"/>
      </w:tblGrid>
      <w:tr w:rsidR="006C43C6" w:rsidRPr="007E63FC" w14:paraId="212E41E9" w14:textId="77777777" w:rsidTr="006C65B0">
        <w:trPr>
          <w:trHeight w:hRule="exact" w:val="418"/>
          <w:jc w:val="center"/>
        </w:trPr>
        <w:tc>
          <w:tcPr>
            <w:tcW w:w="8721" w:type="dxa"/>
            <w:gridSpan w:val="2"/>
          </w:tcPr>
          <w:p w14:paraId="22FEB9E5" w14:textId="77777777" w:rsidR="006C43C6" w:rsidRPr="007E63FC" w:rsidRDefault="006C43C6" w:rsidP="00743E6A">
            <w:pPr>
              <w:pStyle w:val="a3"/>
              <w:jc w:val="center"/>
              <w:rPr>
                <w:rFonts w:ascii="Tahoma" w:hAnsi="Tahoma" w:cs="Tahoma"/>
                <w:color w:val="000080"/>
                <w:rtl/>
              </w:rPr>
            </w:pPr>
            <w:bookmarkStart w:id="0" w:name="LastJudge"/>
            <w:r w:rsidRPr="007E63FC">
              <w:rPr>
                <w:rFonts w:ascii="Tahoma" w:hAnsi="Tahoma" w:cs="Tahoma"/>
                <w:b/>
                <w:bCs/>
                <w:color w:val="000080"/>
                <w:rtl/>
              </w:rPr>
              <w:t>בית המשפט המחוזי מרכז-לוד</w:t>
            </w:r>
          </w:p>
        </w:tc>
      </w:tr>
      <w:tr w:rsidR="006C43C6" w:rsidRPr="007E63FC" w14:paraId="3C41BAE5" w14:textId="77777777" w:rsidTr="006C65B0">
        <w:trPr>
          <w:trHeight w:val="337"/>
          <w:jc w:val="center"/>
        </w:trPr>
        <w:tc>
          <w:tcPr>
            <w:tcW w:w="5057" w:type="dxa"/>
          </w:tcPr>
          <w:p w14:paraId="06A35892" w14:textId="77777777" w:rsidR="006C43C6" w:rsidRPr="007E63FC" w:rsidRDefault="006C43C6" w:rsidP="00743E6A">
            <w:pPr>
              <w:rPr>
                <w:rFonts w:cs="FrankRuehl"/>
                <w:sz w:val="28"/>
                <w:szCs w:val="28"/>
                <w:rtl/>
              </w:rPr>
            </w:pPr>
            <w:r w:rsidRPr="007E63FC">
              <w:rPr>
                <w:rFonts w:cs="FrankRuehl"/>
                <w:sz w:val="28"/>
                <w:szCs w:val="28"/>
                <w:rtl/>
              </w:rPr>
              <w:t>ת"פ</w:t>
            </w:r>
            <w:r w:rsidRPr="007E63FC">
              <w:rPr>
                <w:rFonts w:cs="FrankRuehl" w:hint="cs"/>
                <w:sz w:val="28"/>
                <w:szCs w:val="28"/>
                <w:rtl/>
              </w:rPr>
              <w:t xml:space="preserve"> </w:t>
            </w:r>
            <w:r w:rsidRPr="007E63FC">
              <w:rPr>
                <w:rFonts w:cs="FrankRuehl"/>
                <w:sz w:val="28"/>
                <w:szCs w:val="28"/>
                <w:rtl/>
              </w:rPr>
              <w:t>978-02-24</w:t>
            </w:r>
            <w:r w:rsidRPr="007E63FC">
              <w:rPr>
                <w:rFonts w:cs="FrankRuehl" w:hint="cs"/>
                <w:sz w:val="28"/>
                <w:szCs w:val="28"/>
                <w:rtl/>
              </w:rPr>
              <w:t xml:space="preserve"> </w:t>
            </w:r>
            <w:r w:rsidRPr="007E63FC">
              <w:rPr>
                <w:rFonts w:cs="FrankRuehl"/>
                <w:sz w:val="28"/>
                <w:szCs w:val="28"/>
                <w:rtl/>
              </w:rPr>
              <w:t>מדינת ישראל נ' זבידי(עציר)</w:t>
            </w:r>
          </w:p>
          <w:p w14:paraId="4389931C" w14:textId="77777777" w:rsidR="006C43C6" w:rsidRPr="007E63FC" w:rsidRDefault="006C43C6" w:rsidP="00743E6A">
            <w:pPr>
              <w:pStyle w:val="a3"/>
              <w:rPr>
                <w:rFonts w:cs="FrankRuehl"/>
                <w:sz w:val="28"/>
                <w:szCs w:val="28"/>
                <w:rtl/>
              </w:rPr>
            </w:pPr>
          </w:p>
        </w:tc>
        <w:tc>
          <w:tcPr>
            <w:tcW w:w="3664" w:type="dxa"/>
          </w:tcPr>
          <w:p w14:paraId="0FDD6A3F" w14:textId="77777777" w:rsidR="006C43C6" w:rsidRPr="007E63FC" w:rsidRDefault="006C43C6" w:rsidP="00743E6A">
            <w:pPr>
              <w:pStyle w:val="a3"/>
              <w:jc w:val="right"/>
              <w:rPr>
                <w:rFonts w:cs="FrankRuehl"/>
                <w:sz w:val="28"/>
                <w:szCs w:val="28"/>
                <w:rtl/>
              </w:rPr>
            </w:pPr>
          </w:p>
        </w:tc>
      </w:tr>
    </w:tbl>
    <w:p w14:paraId="40ABAC06" w14:textId="77777777" w:rsidR="006C43C6" w:rsidRPr="007E63FC" w:rsidRDefault="006C43C6" w:rsidP="006C65B0">
      <w:pPr>
        <w:pStyle w:val="a3"/>
        <w:rPr>
          <w:sz w:val="26"/>
          <w:szCs w:val="26"/>
          <w:rtl/>
        </w:rPr>
      </w:pPr>
      <w:r w:rsidRPr="007E63FC">
        <w:rPr>
          <w:rFonts w:hint="cs"/>
          <w:rtl/>
        </w:rPr>
        <w:t xml:space="preserve"> </w:t>
      </w: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3219"/>
        <w:gridCol w:w="4678"/>
      </w:tblGrid>
      <w:tr w:rsidR="006C43C6" w:rsidRPr="007E63FC" w14:paraId="2BEE81A6" w14:textId="77777777" w:rsidTr="006C43C6">
        <w:trPr>
          <w:trHeight w:val="295"/>
          <w:jc w:val="center"/>
        </w:trPr>
        <w:tc>
          <w:tcPr>
            <w:tcW w:w="923" w:type="dxa"/>
            <w:tcBorders>
              <w:top w:val="nil"/>
              <w:left w:val="nil"/>
              <w:bottom w:val="nil"/>
              <w:right w:val="nil"/>
            </w:tcBorders>
            <w:shd w:val="clear" w:color="auto" w:fill="auto"/>
          </w:tcPr>
          <w:p w14:paraId="14F32AF0" w14:textId="77777777" w:rsidR="006C43C6" w:rsidRPr="007E63FC" w:rsidRDefault="006C43C6" w:rsidP="006C43C6">
            <w:pPr>
              <w:jc w:val="both"/>
              <w:rPr>
                <w:rFonts w:ascii="David" w:hAnsi="David"/>
                <w:sz w:val="26"/>
                <w:szCs w:val="26"/>
              </w:rPr>
            </w:pPr>
            <w:r w:rsidRPr="007E63FC">
              <w:rPr>
                <w:rFonts w:ascii="David" w:hAnsi="David" w:hint="cs"/>
                <w:sz w:val="26"/>
                <w:szCs w:val="26"/>
                <w:rtl/>
              </w:rPr>
              <w:t>ל</w:t>
            </w:r>
            <w:r w:rsidRPr="007E63FC">
              <w:rPr>
                <w:rFonts w:ascii="David" w:hAnsi="David"/>
                <w:sz w:val="26"/>
                <w:szCs w:val="26"/>
                <w:rtl/>
              </w:rPr>
              <w:t xml:space="preserve">פני </w:t>
            </w:r>
          </w:p>
        </w:tc>
        <w:tc>
          <w:tcPr>
            <w:tcW w:w="7897" w:type="dxa"/>
            <w:gridSpan w:val="2"/>
            <w:tcBorders>
              <w:top w:val="nil"/>
              <w:left w:val="nil"/>
              <w:bottom w:val="nil"/>
              <w:right w:val="nil"/>
            </w:tcBorders>
            <w:shd w:val="clear" w:color="auto" w:fill="auto"/>
          </w:tcPr>
          <w:p w14:paraId="4FC2FAF9" w14:textId="77777777" w:rsidR="006C43C6" w:rsidRPr="007E63FC" w:rsidRDefault="006C43C6" w:rsidP="00743E6A">
            <w:pPr>
              <w:rPr>
                <w:rFonts w:ascii="David" w:hAnsi="David"/>
                <w:b/>
                <w:bCs/>
                <w:sz w:val="26"/>
                <w:szCs w:val="26"/>
                <w:rtl/>
              </w:rPr>
            </w:pPr>
            <w:r w:rsidRPr="007E63FC">
              <w:rPr>
                <w:rFonts w:ascii="David" w:hAnsi="David"/>
                <w:b/>
                <w:bCs/>
                <w:sz w:val="26"/>
                <w:szCs w:val="26"/>
                <w:rtl/>
              </w:rPr>
              <w:t>כבוד השופטת  מרב גרינברג</w:t>
            </w:r>
          </w:p>
          <w:p w14:paraId="06230EBB" w14:textId="77777777" w:rsidR="006C43C6" w:rsidRPr="007E63FC" w:rsidRDefault="006C43C6" w:rsidP="00743E6A">
            <w:pPr>
              <w:rPr>
                <w:rFonts w:ascii="David" w:hAnsi="David"/>
                <w:sz w:val="26"/>
                <w:szCs w:val="26"/>
                <w:rtl/>
              </w:rPr>
            </w:pPr>
          </w:p>
          <w:p w14:paraId="09F8E178" w14:textId="77777777" w:rsidR="006C43C6" w:rsidRPr="007E63FC" w:rsidRDefault="006C43C6" w:rsidP="006C43C6">
            <w:pPr>
              <w:jc w:val="both"/>
              <w:rPr>
                <w:rFonts w:ascii="David" w:hAnsi="David"/>
                <w:sz w:val="26"/>
                <w:szCs w:val="26"/>
              </w:rPr>
            </w:pPr>
          </w:p>
        </w:tc>
      </w:tr>
      <w:tr w:rsidR="006C43C6" w:rsidRPr="007E63FC" w14:paraId="6B1BFA1A" w14:textId="77777777" w:rsidTr="006C43C6">
        <w:trPr>
          <w:trHeight w:val="355"/>
          <w:jc w:val="center"/>
        </w:trPr>
        <w:tc>
          <w:tcPr>
            <w:tcW w:w="923" w:type="dxa"/>
            <w:tcBorders>
              <w:top w:val="nil"/>
              <w:left w:val="nil"/>
              <w:bottom w:val="nil"/>
              <w:right w:val="nil"/>
            </w:tcBorders>
            <w:shd w:val="clear" w:color="auto" w:fill="auto"/>
          </w:tcPr>
          <w:p w14:paraId="77F09AF6" w14:textId="77777777" w:rsidR="006C43C6" w:rsidRPr="007E63FC" w:rsidRDefault="006C43C6" w:rsidP="006C43C6">
            <w:pPr>
              <w:jc w:val="both"/>
              <w:rPr>
                <w:rFonts w:ascii="David" w:hAnsi="David"/>
                <w:sz w:val="26"/>
                <w:szCs w:val="26"/>
              </w:rPr>
            </w:pPr>
            <w:bookmarkStart w:id="1" w:name="FirstAppellant"/>
            <w:r w:rsidRPr="007E63FC">
              <w:rPr>
                <w:rFonts w:ascii="David" w:hAnsi="David"/>
                <w:sz w:val="26"/>
                <w:szCs w:val="26"/>
                <w:rtl/>
              </w:rPr>
              <w:t>בעניין:</w:t>
            </w:r>
          </w:p>
        </w:tc>
        <w:tc>
          <w:tcPr>
            <w:tcW w:w="3219" w:type="dxa"/>
            <w:tcBorders>
              <w:top w:val="nil"/>
              <w:left w:val="nil"/>
              <w:bottom w:val="nil"/>
              <w:right w:val="nil"/>
            </w:tcBorders>
            <w:shd w:val="clear" w:color="auto" w:fill="auto"/>
          </w:tcPr>
          <w:p w14:paraId="6475D184" w14:textId="77777777" w:rsidR="006C43C6" w:rsidRPr="007E63FC" w:rsidRDefault="006C43C6" w:rsidP="006C43C6">
            <w:pPr>
              <w:suppressLineNumbers/>
            </w:pPr>
            <w:r w:rsidRPr="007E63FC">
              <w:rPr>
                <w:rFonts w:ascii="Arial" w:hAnsi="Arial" w:hint="cs"/>
                <w:b/>
                <w:bCs/>
                <w:sz w:val="26"/>
                <w:szCs w:val="26"/>
                <w:rtl/>
              </w:rPr>
              <w:t>ה</w:t>
            </w:r>
            <w:r w:rsidRPr="007E63FC">
              <w:rPr>
                <w:rFonts w:ascii="Arial" w:hAnsi="Arial"/>
                <w:b/>
                <w:bCs/>
                <w:sz w:val="26"/>
                <w:szCs w:val="26"/>
                <w:rtl/>
              </w:rPr>
              <w:t>מאשימה</w:t>
            </w:r>
          </w:p>
          <w:p w14:paraId="16F3A26D" w14:textId="77777777" w:rsidR="006C43C6" w:rsidRPr="007E63FC" w:rsidRDefault="006C43C6" w:rsidP="00743E6A">
            <w:pPr>
              <w:rPr>
                <w:rFonts w:ascii="David" w:hAnsi="David"/>
                <w:sz w:val="26"/>
                <w:szCs w:val="26"/>
              </w:rPr>
            </w:pPr>
          </w:p>
        </w:tc>
        <w:tc>
          <w:tcPr>
            <w:tcW w:w="4678" w:type="dxa"/>
            <w:tcBorders>
              <w:top w:val="nil"/>
              <w:left w:val="nil"/>
              <w:bottom w:val="nil"/>
              <w:right w:val="nil"/>
            </w:tcBorders>
            <w:shd w:val="clear" w:color="auto" w:fill="auto"/>
            <w:vAlign w:val="center"/>
          </w:tcPr>
          <w:p w14:paraId="1BAAF189" w14:textId="77777777" w:rsidR="006C43C6" w:rsidRPr="007E63FC" w:rsidRDefault="006C43C6" w:rsidP="006C43C6">
            <w:pPr>
              <w:suppressLineNumbers/>
              <w:rPr>
                <w:rtl/>
              </w:rPr>
            </w:pPr>
            <w:r w:rsidRPr="007E63FC">
              <w:rPr>
                <w:rFonts w:ascii="Arial" w:hAnsi="Arial"/>
                <w:b/>
                <w:bCs/>
                <w:sz w:val="26"/>
                <w:szCs w:val="26"/>
                <w:rtl/>
              </w:rPr>
              <w:t>מדינת ישראל</w:t>
            </w:r>
          </w:p>
          <w:p w14:paraId="0800E89E" w14:textId="77777777" w:rsidR="006C43C6" w:rsidRPr="007E63FC" w:rsidRDefault="006C43C6" w:rsidP="006C43C6">
            <w:pPr>
              <w:suppressLineNumbers/>
            </w:pPr>
            <w:r w:rsidRPr="007E63FC">
              <w:rPr>
                <w:rFonts w:hint="cs"/>
                <w:rtl/>
              </w:rPr>
              <w:t>באמצעות עו"ד גבי פאר, פמ"מ (פלילי)</w:t>
            </w:r>
          </w:p>
          <w:p w14:paraId="25E8B2B1" w14:textId="77777777" w:rsidR="006C43C6" w:rsidRPr="007E63FC" w:rsidRDefault="006C43C6" w:rsidP="00743E6A">
            <w:pPr>
              <w:rPr>
                <w:rFonts w:ascii="David" w:hAnsi="David"/>
                <w:sz w:val="26"/>
                <w:szCs w:val="26"/>
              </w:rPr>
            </w:pPr>
          </w:p>
        </w:tc>
      </w:tr>
      <w:bookmarkEnd w:id="1"/>
      <w:tr w:rsidR="006C43C6" w:rsidRPr="007E63FC" w14:paraId="20BFDA5B" w14:textId="77777777" w:rsidTr="006C43C6">
        <w:trPr>
          <w:trHeight w:val="355"/>
          <w:jc w:val="center"/>
        </w:trPr>
        <w:tc>
          <w:tcPr>
            <w:tcW w:w="923" w:type="dxa"/>
            <w:tcBorders>
              <w:top w:val="nil"/>
              <w:left w:val="nil"/>
              <w:bottom w:val="nil"/>
              <w:right w:val="nil"/>
            </w:tcBorders>
            <w:shd w:val="clear" w:color="auto" w:fill="auto"/>
          </w:tcPr>
          <w:p w14:paraId="2B56B46D" w14:textId="77777777" w:rsidR="006C43C6" w:rsidRPr="007E63FC" w:rsidRDefault="006C43C6" w:rsidP="006C43C6">
            <w:pPr>
              <w:jc w:val="both"/>
              <w:rPr>
                <w:rFonts w:ascii="David" w:hAnsi="David"/>
                <w:sz w:val="26"/>
                <w:szCs w:val="26"/>
                <w:rtl/>
              </w:rPr>
            </w:pPr>
          </w:p>
        </w:tc>
        <w:tc>
          <w:tcPr>
            <w:tcW w:w="7897" w:type="dxa"/>
            <w:gridSpan w:val="2"/>
            <w:tcBorders>
              <w:top w:val="nil"/>
              <w:left w:val="nil"/>
              <w:bottom w:val="nil"/>
              <w:right w:val="nil"/>
            </w:tcBorders>
            <w:shd w:val="clear" w:color="auto" w:fill="auto"/>
          </w:tcPr>
          <w:p w14:paraId="3854928A" w14:textId="77777777" w:rsidR="006C43C6" w:rsidRPr="007E63FC" w:rsidRDefault="006C43C6" w:rsidP="006C43C6">
            <w:pPr>
              <w:jc w:val="center"/>
              <w:rPr>
                <w:rFonts w:ascii="David" w:hAnsi="David"/>
                <w:b/>
                <w:bCs/>
                <w:sz w:val="26"/>
                <w:szCs w:val="26"/>
                <w:rtl/>
              </w:rPr>
            </w:pPr>
          </w:p>
          <w:p w14:paraId="1F8682EA" w14:textId="77777777" w:rsidR="006C43C6" w:rsidRPr="007E63FC" w:rsidRDefault="006C43C6" w:rsidP="006C43C6">
            <w:pPr>
              <w:jc w:val="center"/>
              <w:rPr>
                <w:rFonts w:ascii="David" w:hAnsi="David"/>
                <w:b/>
                <w:bCs/>
                <w:sz w:val="26"/>
                <w:szCs w:val="26"/>
                <w:rtl/>
              </w:rPr>
            </w:pPr>
            <w:r w:rsidRPr="007E63FC">
              <w:rPr>
                <w:rFonts w:ascii="David" w:hAnsi="David"/>
                <w:b/>
                <w:bCs/>
                <w:sz w:val="26"/>
                <w:szCs w:val="26"/>
                <w:rtl/>
              </w:rPr>
              <w:t>נגד</w:t>
            </w:r>
          </w:p>
          <w:p w14:paraId="06590921" w14:textId="77777777" w:rsidR="006C43C6" w:rsidRPr="007E63FC" w:rsidRDefault="006C43C6" w:rsidP="006C43C6">
            <w:pPr>
              <w:jc w:val="both"/>
              <w:rPr>
                <w:rFonts w:ascii="David" w:hAnsi="David"/>
                <w:sz w:val="26"/>
                <w:szCs w:val="26"/>
              </w:rPr>
            </w:pPr>
          </w:p>
        </w:tc>
      </w:tr>
      <w:tr w:rsidR="006C43C6" w:rsidRPr="007E63FC" w14:paraId="41C40C38" w14:textId="77777777" w:rsidTr="006C43C6">
        <w:trPr>
          <w:trHeight w:val="355"/>
          <w:jc w:val="center"/>
        </w:trPr>
        <w:tc>
          <w:tcPr>
            <w:tcW w:w="923" w:type="dxa"/>
            <w:tcBorders>
              <w:top w:val="nil"/>
              <w:left w:val="nil"/>
              <w:bottom w:val="nil"/>
              <w:right w:val="nil"/>
            </w:tcBorders>
            <w:shd w:val="clear" w:color="auto" w:fill="auto"/>
          </w:tcPr>
          <w:p w14:paraId="7B28A4B4" w14:textId="77777777" w:rsidR="006C43C6" w:rsidRPr="007E63FC" w:rsidRDefault="006C43C6" w:rsidP="00743E6A">
            <w:pPr>
              <w:rPr>
                <w:rFonts w:ascii="David" w:hAnsi="David"/>
                <w:sz w:val="26"/>
                <w:szCs w:val="26"/>
                <w:rtl/>
              </w:rPr>
            </w:pPr>
            <w:bookmarkStart w:id="2" w:name="FirstLawyer"/>
          </w:p>
        </w:tc>
        <w:tc>
          <w:tcPr>
            <w:tcW w:w="3219" w:type="dxa"/>
            <w:tcBorders>
              <w:top w:val="nil"/>
              <w:left w:val="nil"/>
              <w:bottom w:val="nil"/>
              <w:right w:val="nil"/>
            </w:tcBorders>
            <w:shd w:val="clear" w:color="auto" w:fill="auto"/>
          </w:tcPr>
          <w:p w14:paraId="614390D0" w14:textId="77777777" w:rsidR="006C43C6" w:rsidRPr="007E63FC" w:rsidRDefault="006C43C6" w:rsidP="00743E6A">
            <w:pPr>
              <w:rPr>
                <w:rFonts w:ascii="Arial" w:hAnsi="Arial"/>
                <w:b/>
                <w:bCs/>
                <w:sz w:val="26"/>
                <w:szCs w:val="26"/>
                <w:rtl/>
              </w:rPr>
            </w:pPr>
            <w:r w:rsidRPr="007E63FC">
              <w:rPr>
                <w:rFonts w:ascii="Arial" w:hAnsi="Arial"/>
                <w:b/>
                <w:bCs/>
                <w:sz w:val="26"/>
                <w:szCs w:val="26"/>
                <w:rtl/>
              </w:rPr>
              <w:t>הנאשם</w:t>
            </w:r>
          </w:p>
        </w:tc>
        <w:tc>
          <w:tcPr>
            <w:tcW w:w="4678" w:type="dxa"/>
            <w:tcBorders>
              <w:top w:val="nil"/>
              <w:left w:val="nil"/>
              <w:bottom w:val="nil"/>
              <w:right w:val="nil"/>
            </w:tcBorders>
            <w:shd w:val="clear" w:color="auto" w:fill="auto"/>
            <w:vAlign w:val="center"/>
          </w:tcPr>
          <w:p w14:paraId="78176C7A" w14:textId="77777777" w:rsidR="006C43C6" w:rsidRPr="007E63FC" w:rsidRDefault="006C43C6" w:rsidP="006C43C6">
            <w:pPr>
              <w:suppressLineNumbers/>
              <w:rPr>
                <w:rtl/>
              </w:rPr>
            </w:pPr>
            <w:r w:rsidRPr="007E63FC">
              <w:rPr>
                <w:rFonts w:ascii="Arial" w:hAnsi="Arial"/>
                <w:b/>
                <w:bCs/>
                <w:sz w:val="26"/>
                <w:szCs w:val="26"/>
                <w:rtl/>
              </w:rPr>
              <w:t>קדרי זביידי (עציר)</w:t>
            </w:r>
          </w:p>
          <w:p w14:paraId="35A97A42" w14:textId="77777777" w:rsidR="006C43C6" w:rsidRPr="007E63FC" w:rsidRDefault="006C43C6" w:rsidP="006C43C6">
            <w:pPr>
              <w:suppressLineNumbers/>
              <w:rPr>
                <w:rFonts w:ascii="David" w:hAnsi="David"/>
                <w:sz w:val="26"/>
                <w:szCs w:val="26"/>
              </w:rPr>
            </w:pPr>
            <w:r w:rsidRPr="007E63FC">
              <w:rPr>
                <w:rFonts w:ascii="David" w:hAnsi="David" w:hint="cs"/>
                <w:rtl/>
              </w:rPr>
              <w:t>על ידי ב"כ עו"ד איתמר צור</w:t>
            </w:r>
          </w:p>
        </w:tc>
      </w:tr>
      <w:bookmarkEnd w:id="2"/>
    </w:tbl>
    <w:p w14:paraId="19159CCF" w14:textId="77777777" w:rsidR="006C43C6" w:rsidRPr="007E63FC" w:rsidRDefault="006C43C6" w:rsidP="006C43C6">
      <w:pPr>
        <w:rPr>
          <w:sz w:val="26"/>
          <w:szCs w:val="26"/>
        </w:rPr>
      </w:pPr>
    </w:p>
    <w:p w14:paraId="6D2D6A38" w14:textId="77777777" w:rsidR="006C65B0" w:rsidRPr="006C65B0" w:rsidRDefault="006C65B0" w:rsidP="006C65B0">
      <w:pPr>
        <w:spacing w:before="120" w:after="120" w:line="240" w:lineRule="exact"/>
        <w:ind w:left="283" w:hanging="283"/>
        <w:jc w:val="both"/>
        <w:rPr>
          <w:rFonts w:ascii="FrankRuehl" w:hAnsi="FrankRuehl" w:cs="FrankRuehl"/>
          <w:rtl/>
        </w:rPr>
      </w:pPr>
      <w:bookmarkStart w:id="3" w:name="LawTable"/>
      <w:bookmarkEnd w:id="3"/>
    </w:p>
    <w:p w14:paraId="0250C8F4" w14:textId="77777777" w:rsidR="006C65B0" w:rsidRPr="006C65B0" w:rsidRDefault="006C65B0" w:rsidP="006C65B0">
      <w:pPr>
        <w:spacing w:before="120" w:after="120" w:line="240" w:lineRule="exact"/>
        <w:ind w:left="283" w:hanging="283"/>
        <w:jc w:val="both"/>
        <w:rPr>
          <w:rFonts w:ascii="FrankRuehl" w:hAnsi="FrankRuehl" w:cs="FrankRuehl"/>
          <w:rtl/>
        </w:rPr>
      </w:pPr>
      <w:r w:rsidRPr="006C65B0">
        <w:rPr>
          <w:rFonts w:ascii="FrankRuehl" w:hAnsi="FrankRuehl" w:cs="FrankRuehl"/>
          <w:rtl/>
        </w:rPr>
        <w:t xml:space="preserve">חקיקה שאוזכרה: </w:t>
      </w:r>
    </w:p>
    <w:p w14:paraId="7039ED9D" w14:textId="77777777" w:rsidR="006C65B0" w:rsidRPr="006C65B0" w:rsidRDefault="006C65B0" w:rsidP="006C65B0">
      <w:pPr>
        <w:spacing w:before="120" w:after="120" w:line="240" w:lineRule="exact"/>
        <w:ind w:left="283" w:hanging="283"/>
        <w:jc w:val="both"/>
        <w:rPr>
          <w:rFonts w:ascii="FrankRuehl" w:hAnsi="FrankRuehl" w:cs="FrankRuehl"/>
          <w:color w:val="0000FF"/>
          <w:rtl/>
        </w:rPr>
      </w:pPr>
      <w:hyperlink r:id="rId7" w:history="1">
        <w:r w:rsidRPr="006C65B0">
          <w:rPr>
            <w:rStyle w:val="Hyperlink"/>
            <w:rFonts w:ascii="FrankRuehl" w:hAnsi="FrankRuehl" w:cs="FrankRuehl"/>
            <w:u w:val="none"/>
            <w:rtl/>
          </w:rPr>
          <w:t>חוק העונשין, תשל"ז-1977</w:t>
        </w:r>
      </w:hyperlink>
      <w:r w:rsidRPr="006C65B0">
        <w:rPr>
          <w:rFonts w:ascii="FrankRuehl" w:hAnsi="FrankRuehl" w:cs="FrankRuehl"/>
          <w:color w:val="0000FF"/>
          <w:rtl/>
        </w:rPr>
        <w:t xml:space="preserve">: סע'  </w:t>
      </w:r>
      <w:hyperlink r:id="rId8" w:history="1">
        <w:r w:rsidRPr="006C65B0">
          <w:rPr>
            <w:rStyle w:val="Hyperlink"/>
            <w:rFonts w:ascii="FrankRuehl" w:hAnsi="FrankRuehl" w:cs="FrankRuehl"/>
            <w:u w:val="none"/>
          </w:rPr>
          <w:t>140</w:t>
        </w:r>
      </w:hyperlink>
      <w:r w:rsidRPr="006C65B0">
        <w:rPr>
          <w:rFonts w:ascii="FrankRuehl" w:hAnsi="FrankRuehl" w:cs="FrankRuehl"/>
          <w:color w:val="0000FF"/>
          <w:rtl/>
        </w:rPr>
        <w:t xml:space="preserve">, </w:t>
      </w:r>
      <w:hyperlink r:id="rId9" w:history="1">
        <w:r w:rsidRPr="006C65B0">
          <w:rPr>
            <w:rStyle w:val="Hyperlink"/>
            <w:rFonts w:ascii="FrankRuehl" w:hAnsi="FrankRuehl" w:cs="FrankRuehl"/>
            <w:u w:val="none"/>
          </w:rPr>
          <w:t>144</w:t>
        </w:r>
      </w:hyperlink>
      <w:r w:rsidRPr="006C65B0">
        <w:rPr>
          <w:rFonts w:ascii="FrankRuehl" w:hAnsi="FrankRuehl" w:cs="FrankRuehl"/>
          <w:color w:val="0000FF"/>
          <w:rtl/>
        </w:rPr>
        <w:t xml:space="preserve">(ב), </w:t>
      </w:r>
      <w:hyperlink r:id="rId10" w:history="1">
        <w:r w:rsidRPr="006C65B0">
          <w:rPr>
            <w:rStyle w:val="Hyperlink"/>
            <w:rFonts w:ascii="FrankRuehl" w:hAnsi="FrankRuehl" w:cs="FrankRuehl"/>
            <w:u w:val="none"/>
          </w:rPr>
          <w:t>192</w:t>
        </w:r>
      </w:hyperlink>
    </w:p>
    <w:p w14:paraId="795D89FC" w14:textId="77777777" w:rsidR="006C43C6" w:rsidRPr="006C65B0" w:rsidRDefault="006C43C6" w:rsidP="006C65B0">
      <w:pPr>
        <w:rPr>
          <w:rFonts w:ascii="Arial" w:hAnsi="Arial"/>
          <w:sz w:val="26"/>
          <w:szCs w:val="26"/>
          <w:rtl/>
        </w:rPr>
      </w:pPr>
      <w:bookmarkStart w:id="4" w:name="LawTable_End"/>
      <w:bookmarkEnd w:id="4"/>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6C43C6" w14:paraId="21A93EC4" w14:textId="77777777" w:rsidTr="006C43C6">
        <w:trPr>
          <w:trHeight w:val="355"/>
          <w:jc w:val="center"/>
        </w:trPr>
        <w:tc>
          <w:tcPr>
            <w:tcW w:w="8820" w:type="dxa"/>
            <w:tcBorders>
              <w:top w:val="nil"/>
              <w:left w:val="nil"/>
              <w:bottom w:val="nil"/>
              <w:right w:val="nil"/>
            </w:tcBorders>
            <w:shd w:val="clear" w:color="auto" w:fill="auto"/>
          </w:tcPr>
          <w:p w14:paraId="14837353" w14:textId="77777777" w:rsidR="007E63FC" w:rsidRPr="007E63FC" w:rsidRDefault="007E63FC" w:rsidP="007E63FC">
            <w:pPr>
              <w:jc w:val="center"/>
              <w:rPr>
                <w:rFonts w:ascii="David" w:hAnsi="David"/>
                <w:b/>
                <w:bCs/>
                <w:sz w:val="32"/>
                <w:szCs w:val="32"/>
                <w:u w:val="single"/>
                <w:rtl/>
              </w:rPr>
            </w:pPr>
            <w:bookmarkStart w:id="5" w:name="PsakDin" w:colFirst="0" w:colLast="0"/>
            <w:bookmarkEnd w:id="0"/>
            <w:r w:rsidRPr="007E63FC">
              <w:rPr>
                <w:rFonts w:ascii="David" w:hAnsi="David"/>
                <w:b/>
                <w:bCs/>
                <w:sz w:val="32"/>
                <w:szCs w:val="32"/>
                <w:u w:val="single"/>
                <w:rtl/>
              </w:rPr>
              <w:t>גזר דין</w:t>
            </w:r>
          </w:p>
          <w:p w14:paraId="11EBE47D" w14:textId="77777777" w:rsidR="006C43C6" w:rsidRPr="007E63FC" w:rsidRDefault="006C43C6" w:rsidP="007E63FC">
            <w:pPr>
              <w:jc w:val="center"/>
              <w:rPr>
                <w:rFonts w:ascii="David" w:hAnsi="David"/>
                <w:bCs/>
                <w:sz w:val="32"/>
                <w:szCs w:val="32"/>
                <w:u w:val="single"/>
                <w:rtl/>
              </w:rPr>
            </w:pPr>
          </w:p>
        </w:tc>
      </w:tr>
      <w:bookmarkEnd w:id="5"/>
    </w:tbl>
    <w:p w14:paraId="74D9B73F" w14:textId="77777777" w:rsidR="006C43C6" w:rsidRPr="000F2247" w:rsidRDefault="006C43C6" w:rsidP="006C43C6">
      <w:pPr>
        <w:rPr>
          <w:rFonts w:ascii="Arial" w:hAnsi="Arial"/>
          <w:b/>
          <w:bCs/>
          <w:sz w:val="26"/>
          <w:szCs w:val="26"/>
          <w:rtl/>
        </w:rPr>
      </w:pPr>
    </w:p>
    <w:p w14:paraId="5F57E81E" w14:textId="77777777" w:rsidR="006C43C6" w:rsidRDefault="006C43C6" w:rsidP="006C43C6">
      <w:pPr>
        <w:rPr>
          <w:rFonts w:ascii="Arial" w:hAnsi="Arial"/>
          <w:b/>
          <w:bCs/>
          <w:sz w:val="26"/>
          <w:szCs w:val="26"/>
          <w:rtl/>
        </w:rPr>
      </w:pPr>
    </w:p>
    <w:p w14:paraId="4A70A708" w14:textId="77777777" w:rsidR="006C43C6" w:rsidRDefault="006C43C6" w:rsidP="006C43C6">
      <w:pPr>
        <w:numPr>
          <w:ilvl w:val="0"/>
          <w:numId w:val="1"/>
        </w:numPr>
        <w:spacing w:after="160" w:line="360" w:lineRule="auto"/>
        <w:contextualSpacing/>
        <w:jc w:val="both"/>
        <w:rPr>
          <w:rFonts w:ascii="David" w:eastAsia="David" w:hAnsi="David"/>
        </w:rPr>
      </w:pPr>
      <w:bookmarkStart w:id="6" w:name="ABSTRACT_START"/>
      <w:bookmarkEnd w:id="6"/>
      <w:r>
        <w:rPr>
          <w:rFonts w:ascii="David" w:eastAsia="David" w:hAnsi="David"/>
          <w:rtl/>
        </w:rPr>
        <w:t xml:space="preserve">הנאשם הורשע במסגרת הסדר דיוני בעובדות כתב אישום </w:t>
      </w:r>
      <w:r>
        <w:rPr>
          <w:rFonts w:ascii="David" w:eastAsia="David" w:hAnsi="David"/>
          <w:b/>
          <w:bCs/>
          <w:rtl/>
        </w:rPr>
        <w:t xml:space="preserve">בעבירת נשיאה והובלת נשק לפי </w:t>
      </w:r>
      <w:hyperlink r:id="rId11" w:history="1">
        <w:r w:rsidR="006C65B0" w:rsidRPr="006C65B0">
          <w:rPr>
            <w:rStyle w:val="Hyperlink"/>
            <w:rFonts w:ascii="David" w:eastAsia="David" w:hAnsi="David"/>
            <w:b/>
            <w:bCs/>
            <w:color w:val="0000FF"/>
            <w:rtl/>
          </w:rPr>
          <w:t>סעיף 144(ב)</w:t>
        </w:r>
      </w:hyperlink>
      <w:r>
        <w:rPr>
          <w:rFonts w:ascii="David" w:eastAsia="David" w:hAnsi="David"/>
          <w:b/>
          <w:bCs/>
          <w:rtl/>
        </w:rPr>
        <w:t xml:space="preserve"> רישא ל</w:t>
      </w:r>
      <w:hyperlink r:id="rId12" w:history="1">
        <w:r w:rsidR="007E63FC" w:rsidRPr="007E63FC">
          <w:rPr>
            <w:rFonts w:ascii="David" w:eastAsia="David" w:hAnsi="David"/>
            <w:b/>
            <w:bCs/>
            <w:color w:val="0000FF"/>
            <w:u w:val="single"/>
            <w:rtl/>
          </w:rPr>
          <w:t>חוק העונשין</w:t>
        </w:r>
      </w:hyperlink>
      <w:r>
        <w:rPr>
          <w:rFonts w:ascii="David" w:eastAsia="David" w:hAnsi="David"/>
          <w:b/>
          <w:bCs/>
          <w:rtl/>
        </w:rPr>
        <w:t>, תשל"ז-1977</w:t>
      </w:r>
      <w:r>
        <w:rPr>
          <w:rFonts w:ascii="David" w:eastAsia="David" w:hAnsi="David"/>
          <w:rtl/>
        </w:rPr>
        <w:t xml:space="preserve"> (להלן: "החוק") ו</w:t>
      </w:r>
      <w:r>
        <w:rPr>
          <w:rFonts w:ascii="David" w:eastAsia="David" w:hAnsi="David"/>
          <w:b/>
          <w:bCs/>
          <w:rtl/>
        </w:rPr>
        <w:t>איומים</w:t>
      </w:r>
      <w:r>
        <w:rPr>
          <w:rFonts w:ascii="David" w:eastAsia="David" w:hAnsi="David"/>
          <w:rtl/>
        </w:rPr>
        <w:t xml:space="preserve">- </w:t>
      </w:r>
      <w:r>
        <w:rPr>
          <w:rFonts w:ascii="David" w:eastAsia="David" w:hAnsi="David"/>
          <w:b/>
          <w:bCs/>
          <w:rtl/>
        </w:rPr>
        <w:t xml:space="preserve">עבירה לפי </w:t>
      </w:r>
      <w:hyperlink r:id="rId13" w:history="1">
        <w:r w:rsidR="006C65B0" w:rsidRPr="006C65B0">
          <w:rPr>
            <w:rStyle w:val="Hyperlink"/>
            <w:rFonts w:ascii="David" w:eastAsia="David" w:hAnsi="David"/>
            <w:b/>
            <w:bCs/>
            <w:color w:val="0000FF"/>
            <w:rtl/>
          </w:rPr>
          <w:t>סעיף 192</w:t>
        </w:r>
      </w:hyperlink>
      <w:r>
        <w:rPr>
          <w:rFonts w:ascii="David" w:eastAsia="David" w:hAnsi="David"/>
          <w:rtl/>
        </w:rPr>
        <w:t xml:space="preserve"> לחוק (3 עבירות). </w:t>
      </w:r>
    </w:p>
    <w:p w14:paraId="5EC4B978" w14:textId="77777777" w:rsidR="006C43C6" w:rsidRDefault="006C43C6" w:rsidP="006C43C6">
      <w:pPr>
        <w:spacing w:line="360" w:lineRule="auto"/>
        <w:ind w:left="720"/>
        <w:contextualSpacing/>
        <w:jc w:val="both"/>
        <w:rPr>
          <w:rFonts w:ascii="David" w:eastAsia="David" w:hAnsi="David"/>
        </w:rPr>
      </w:pPr>
    </w:p>
    <w:p w14:paraId="3C0C0916" w14:textId="77777777" w:rsidR="006C43C6" w:rsidRDefault="006C43C6" w:rsidP="006C43C6">
      <w:pPr>
        <w:numPr>
          <w:ilvl w:val="0"/>
          <w:numId w:val="1"/>
        </w:numPr>
        <w:spacing w:after="160" w:line="360" w:lineRule="auto"/>
        <w:contextualSpacing/>
        <w:jc w:val="both"/>
        <w:rPr>
          <w:rFonts w:ascii="David" w:eastAsia="David" w:hAnsi="David"/>
          <w:rtl/>
        </w:rPr>
      </w:pPr>
      <w:bookmarkStart w:id="7" w:name="ABSTRACT_END"/>
      <w:bookmarkEnd w:id="7"/>
      <w:r>
        <w:rPr>
          <w:rFonts w:ascii="David" w:eastAsia="David" w:hAnsi="David"/>
          <w:rtl/>
        </w:rPr>
        <w:t xml:space="preserve">כמפורט בעובדות כתב האישום המתוקן, בתקופה הרלוונטית לכתב האישום התגורר הנאשם במתחם משפחתו ביחד משפחות אחיו. החל ממועד לא ידוע עובר ליום האירוע החזיק הנאשם במחסן אקדח מסוג גלוק טעון במחסנית ללא כדורים, שהוטמן בתוך צמיג רכב. ביום 17.1.24 איים הנאשם על אחיו א.א באומרו לו כי ירצח אחר שהוא מכיר, וזאת בכוונה להפחידו. יום למחרת, 18.1.24, נטל הנאשם את האקדח ונשא אותו למקום סמוך והזיז את צינת האקדח לאחר מכן השיב אותו למחסן. בהמשך היום, פגש באחיו ב.ב, כיוון לעברו את האקדח ואיים עליו שיהרוג אותו, האח הלך מהמקום להביא לנאשם תרופה ולהזעיק את המשטרה. בסמוך לאחר יצא ג.ג, קטין כבן 11, שהוא בנו של האח א.א ופגש בנאשם, שנשא איתו את האקדח. הנאשם איים גם עליו כי אם אביו לא ישלם לו כסף הוא יחורר את רכבו והראה לג.ג את האקדח. ג.ג סיפר על האיומים לאביו א.א וזה ניגש לשוחח עם הנאשם, שהחביא את האקדח מאחורי גבו. בשלב מסוים משנודע לו שמשטרה הגיעה למתחם, החביא את האקדח בצמיג במחסן. </w:t>
      </w:r>
    </w:p>
    <w:p w14:paraId="34C55853" w14:textId="77777777" w:rsidR="006C43C6" w:rsidRDefault="006C43C6" w:rsidP="006C43C6">
      <w:pPr>
        <w:spacing w:after="160" w:line="360" w:lineRule="auto"/>
        <w:ind w:left="720"/>
        <w:contextualSpacing/>
        <w:jc w:val="both"/>
        <w:rPr>
          <w:rFonts w:ascii="David" w:eastAsia="David" w:hAnsi="David"/>
        </w:rPr>
      </w:pPr>
    </w:p>
    <w:p w14:paraId="11DA3EFF" w14:textId="77777777" w:rsidR="006C43C6" w:rsidRDefault="006C43C6" w:rsidP="006C43C6">
      <w:pPr>
        <w:numPr>
          <w:ilvl w:val="0"/>
          <w:numId w:val="1"/>
        </w:numPr>
        <w:spacing w:after="160" w:line="360" w:lineRule="auto"/>
        <w:contextualSpacing/>
        <w:jc w:val="both"/>
        <w:rPr>
          <w:rFonts w:ascii="David" w:eastAsia="David" w:hAnsi="David"/>
          <w:rtl/>
        </w:rPr>
      </w:pPr>
      <w:r>
        <w:rPr>
          <w:rFonts w:ascii="David" w:eastAsia="David" w:hAnsi="David"/>
          <w:rtl/>
        </w:rPr>
        <w:t xml:space="preserve">הנאשם הופנה עם מעצרו להסתכלות ונמצא כשיר לעמוד לדין. כעולה מאסופת מסמכים פסיכיאטריים שהגישה ההגנה (נ/1), הנאשם בן 59, אב לשתיים, גדל בתנאים קשים מאד, בגיל צעיר החל להשתמש בסמים, בשנת 2009 עבר תאונת דרכים שגרמה להתפרצות מחלת הנפש. הנאשם מוכר למערכת הפסיכיאטרית משנת 2011 כלוקה בהפרעה סכיזואפקטיבית, אושפז מספר פעמים בעבר ובמספר הליכים שננקטו נגדו נמצא לא כשיר לעמוד לדין וההליכים נגדו הופסקו. הנאשם הפסיק ליטול תרופות כ-3 חודשים לפני המקרה, כשלושה שבועות עובר לאירוע החלו גורמים בסביבתו לדווח על שינוי לרעה במצבו של הנאשם שהתבטא בהתנהלות מוזרה ואיומים חוזרים ונשנים כלפי שכנים ובני משפחה. בתקופות רגרסיה הנאשם עצבני מאד, סובל מאי שקט פסיכומוטורי, ומתקשה לשתף פעולה עם גורמי בריאות הנפש. </w:t>
      </w:r>
    </w:p>
    <w:p w14:paraId="7CAF841D" w14:textId="77777777" w:rsidR="006C43C6" w:rsidRDefault="006C43C6" w:rsidP="006C43C6">
      <w:pPr>
        <w:pStyle w:val="a9"/>
        <w:rPr>
          <w:rFonts w:ascii="David" w:eastAsia="David" w:hAnsi="David" w:cs="David"/>
          <w:sz w:val="24"/>
          <w:szCs w:val="24"/>
        </w:rPr>
      </w:pPr>
    </w:p>
    <w:p w14:paraId="746C57AD" w14:textId="77777777" w:rsidR="006C43C6" w:rsidRDefault="006C43C6" w:rsidP="006C43C6">
      <w:pPr>
        <w:numPr>
          <w:ilvl w:val="0"/>
          <w:numId w:val="1"/>
        </w:numPr>
        <w:spacing w:after="160" w:line="360" w:lineRule="auto"/>
        <w:contextualSpacing/>
        <w:jc w:val="both"/>
        <w:rPr>
          <w:rFonts w:ascii="David" w:eastAsia="David" w:hAnsi="David"/>
          <w:rtl/>
        </w:rPr>
      </w:pPr>
      <w:r>
        <w:rPr>
          <w:rFonts w:ascii="David" w:eastAsia="David" w:hAnsi="David"/>
          <w:rtl/>
        </w:rPr>
        <w:t xml:space="preserve">בהמשך לבקשת הגנה הוגשה בשלב הטיעונים לעונש חוו"ד נוספת ממב"ן (מיום 1.4.25). כעולה ממנה הנאשם שוהה במב"ן מאז נעצר מעל כשנה, משולב בתכנית שיקומית תעסוקתית. לאורך האשפוז פעיל בריפוי בעיסוק, משמש אחראי חוליה ותומך ומסייע למטופלים אחרים. הנאשם משתף פעולה עם סגל המחלקה ועובר הליכי שיקום משמעותיים. לאורך אשפוזו לא הייתה אינדיקציה למצב פסיכוטי פעיל, קיימת תובנה למצבו הנפשי ולצורך להמשיך ליטול טיפול תרופתי שמיטיב איתו. להערכת גורמי בריאות הנפש, כיום מצבו הנפשי של הנאשם יציב ומאוזן, הוא מצוי בקשר עם משפחתו ומתחייב לא לחזור לשימוש בסמים. </w:t>
      </w:r>
    </w:p>
    <w:p w14:paraId="7B6C6D86" w14:textId="77777777" w:rsidR="006C43C6" w:rsidRDefault="006C43C6" w:rsidP="006C43C6">
      <w:pPr>
        <w:pStyle w:val="a9"/>
        <w:rPr>
          <w:rFonts w:ascii="David" w:eastAsia="David" w:hAnsi="David" w:cs="David"/>
          <w:sz w:val="24"/>
          <w:szCs w:val="24"/>
        </w:rPr>
      </w:pPr>
    </w:p>
    <w:p w14:paraId="09B29A41" w14:textId="77777777" w:rsidR="006C43C6" w:rsidRDefault="006C43C6" w:rsidP="006C43C6">
      <w:pPr>
        <w:spacing w:line="360" w:lineRule="auto"/>
        <w:jc w:val="both"/>
        <w:rPr>
          <w:rFonts w:ascii="David" w:eastAsia="David" w:hAnsi="David"/>
          <w:b/>
          <w:bCs/>
          <w:u w:val="single"/>
          <w:rtl/>
        </w:rPr>
      </w:pPr>
      <w:r>
        <w:rPr>
          <w:rFonts w:ascii="David" w:eastAsia="David" w:hAnsi="David"/>
          <w:b/>
          <w:bCs/>
          <w:u w:val="single"/>
          <w:rtl/>
        </w:rPr>
        <w:t>תמצית הטיעונים לעונש</w:t>
      </w:r>
    </w:p>
    <w:p w14:paraId="23D46ABC" w14:textId="77777777" w:rsidR="006C43C6" w:rsidRDefault="006C43C6" w:rsidP="006C43C6">
      <w:pPr>
        <w:numPr>
          <w:ilvl w:val="0"/>
          <w:numId w:val="1"/>
        </w:numPr>
        <w:spacing w:after="160" w:line="360" w:lineRule="auto"/>
        <w:contextualSpacing/>
        <w:jc w:val="both"/>
        <w:rPr>
          <w:rFonts w:ascii="David" w:eastAsia="David" w:hAnsi="David"/>
          <w:rtl/>
        </w:rPr>
      </w:pPr>
      <w:r>
        <w:rPr>
          <w:rFonts w:ascii="David" w:eastAsia="David" w:hAnsi="David"/>
          <w:b/>
          <w:bCs/>
          <w:rtl/>
        </w:rPr>
        <w:t>ב"כ המאשימה</w:t>
      </w:r>
      <w:r>
        <w:rPr>
          <w:rFonts w:ascii="David" w:eastAsia="David" w:hAnsi="David"/>
          <w:rtl/>
        </w:rPr>
        <w:t xml:space="preserve">, עו"ד תרם, עמדה על חומרת מעשי הנאשם ומדיניות הענישה המחמירה, ועותרת למתחם שנע בין 30-54 חודשי מאסר. לטענתה הפגיעה בערכים מוגנים, ובראשם שלום הציבור ובטחונו, גבוהה, הנאשם עשה שימוש חוזר באקדח כדי לאיים על בני משפחתו, לרבות איום כלפי קטין כבן 11. מדובר באירוע חמור ומתמשך, שכלל החזקת אקדח ושימוש בו לצורך איומים, מעבר לאיומים המילוליים עצם נשיאת האקדח על גופו מחמירה את רף האיום והחשש של בני משפחתו. עוד עמדה על הפחד שאחז בבני המשפחה שחששו מהשילוב של נשיאת אקדח ומצבו הנפשי המדורדר. לגבי מצבו הנפשי, בהמשך להליך הגישור הוסכם שההגנה לא תטען לקרבה לסייג, הנאשם החמיר את מצבו בכך שהשתמש בסמים, אם כי כיום מצבו השתפר. המאשימה שוחחה עם נפגעי העבירה. אשר למיקום עונשו של הנאשם במתחם נטען כי לנאשם עבר פלילי, הוא ריצה מאסרים, הורשע גם בעבירות איומים והפרת צו ובהליך אחר שהואשם בעבירת אלימות במשפחה הופסקו ההליכים מחמת מצבו הנפשי. הנאשם אמנם לא ביצע את העבירות על רקע סכסוך או </w:t>
      </w:r>
      <w:r>
        <w:rPr>
          <w:rFonts w:ascii="David" w:eastAsia="David" w:hAnsi="David"/>
          <w:rtl/>
        </w:rPr>
        <w:lastRenderedPageBreak/>
        <w:t>לצורך ביצוע עבירות ובכך עניינו שונה מתיקי נשק אחרים אך מדובר באיומים קשים כלפי שלושה בני משפחה שונים. לפיכך עותרת המאשימה למקם את עונשו של הנאשם סמוך למרכז המתחם, למאסר על תנאי וקנס לשיקול דעת בית המשפט.</w:t>
      </w:r>
    </w:p>
    <w:p w14:paraId="270F6DD7" w14:textId="77777777" w:rsidR="006C43C6" w:rsidRDefault="006C43C6" w:rsidP="006C43C6">
      <w:pPr>
        <w:spacing w:line="360" w:lineRule="auto"/>
        <w:ind w:left="360"/>
        <w:contextualSpacing/>
        <w:jc w:val="both"/>
        <w:rPr>
          <w:rFonts w:ascii="David" w:eastAsia="David" w:hAnsi="David"/>
        </w:rPr>
      </w:pPr>
    </w:p>
    <w:p w14:paraId="15F585C8" w14:textId="77777777" w:rsidR="006C43C6" w:rsidRDefault="006C43C6" w:rsidP="006C43C6">
      <w:pPr>
        <w:numPr>
          <w:ilvl w:val="0"/>
          <w:numId w:val="1"/>
        </w:numPr>
        <w:spacing w:after="160" w:line="360" w:lineRule="auto"/>
        <w:contextualSpacing/>
        <w:jc w:val="both"/>
        <w:rPr>
          <w:rFonts w:ascii="David" w:eastAsia="David" w:hAnsi="David"/>
        </w:rPr>
      </w:pPr>
      <w:r>
        <w:rPr>
          <w:rFonts w:ascii="David" w:eastAsia="David" w:hAnsi="David"/>
          <w:b/>
          <w:bCs/>
          <w:rtl/>
        </w:rPr>
        <w:t>ב"כ הנאשם</w:t>
      </w:r>
      <w:r>
        <w:rPr>
          <w:rFonts w:ascii="David" w:eastAsia="David" w:hAnsi="David"/>
          <w:rtl/>
        </w:rPr>
        <w:t xml:space="preserve">, עו"ד איתמר צור, </w:t>
      </w:r>
      <w:r>
        <w:rPr>
          <w:rtl/>
        </w:rPr>
        <w:t>סבור שמדובר בתיק ייחודי בנסיבותיו וכי יש מקום ליתן משקל נכבד למצבו הנפשי של הנאשם והשיפור במצבו. הנאשם כבן 60, סבל מאלימות כלפיו בעת שהיה ילד, מזה שנים מתמודד עם מצב נפשי לא יציב, בשנת 2022 אושפז לפי בקשתו. אחיו של הנאשם, אחד מהם רופא במקצועו, מודעים למצבו של הנאשם, דואגים לו ומקפידים שייטול תרופות. במקרה זה חלה הרעה במצבו של הנאשם מאחר שבמשך תקופה הפסיק ליטול תרופות, בעת שנעצר מצבו היה קשה מאד, הנאשם הסביר שלא רכש את האקדח אלא מצא אותו במתחם. הנאשם לא ידע כלל איך משתמשים באקדח, גם המשפחה שלו לא נלחצה ממעשיו והתייחסה בעיקר למצבו הנפשי הקשה. האקדח לא היה טעון בכדורים, מאז שנעצר נמצא בקשר טוב עם משפחתו. הנאשם מאושפז תקופה ארוכה במב"ן, נשאר באשפוז נוכח שיתוף פעולה עם גורמי הטיפול, עובר הליך שיקום משמעותי, מצבו הנפשי התייצב, מגלה תובנה למצבו ולצורך להמשיך להשתמש בתרופות. לפיכך עותר ב"כ הנאשם לענישה החורגת לקולה מטעם שיקום ולעונש מאסר שלא יעלה על 20 חודשי מאסר.</w:t>
      </w:r>
    </w:p>
    <w:p w14:paraId="071A17BC" w14:textId="77777777" w:rsidR="006C43C6" w:rsidRDefault="006C43C6" w:rsidP="006C43C6">
      <w:pPr>
        <w:spacing w:line="360" w:lineRule="auto"/>
        <w:ind w:left="720"/>
        <w:contextualSpacing/>
        <w:jc w:val="both"/>
        <w:rPr>
          <w:rFonts w:ascii="David" w:eastAsia="David" w:hAnsi="David"/>
          <w:rtl/>
        </w:rPr>
      </w:pPr>
    </w:p>
    <w:p w14:paraId="0F0D451E" w14:textId="77777777" w:rsidR="006C43C6" w:rsidRDefault="006C43C6" w:rsidP="006C43C6">
      <w:pPr>
        <w:numPr>
          <w:ilvl w:val="0"/>
          <w:numId w:val="1"/>
        </w:numPr>
        <w:spacing w:after="160" w:line="360" w:lineRule="auto"/>
        <w:contextualSpacing/>
        <w:jc w:val="both"/>
        <w:rPr>
          <w:rFonts w:ascii="David" w:eastAsia="David" w:hAnsi="David"/>
          <w:rtl/>
        </w:rPr>
      </w:pPr>
      <w:r>
        <w:rPr>
          <w:rFonts w:ascii="David" w:eastAsia="David" w:hAnsi="David"/>
          <w:rtl/>
        </w:rPr>
        <w:t xml:space="preserve">עוד שמעתי את אחי הנאשם, שהוא אחד המתלוננים, מר איסמעיל זביידי, לדבריו לנאשם יש תקופות טובות ותקופות שהוא לא מצליח לשלוט במה שהוא עושה, לכן המשפחה הזעיקה את המשטרה ורצתה לאשפז אותו; הנאשם מסר כי השתנה לחלוטין, הבין שהוא חולה וחייב לקחת תרופות. </w:t>
      </w:r>
    </w:p>
    <w:p w14:paraId="0B213DC2" w14:textId="77777777" w:rsidR="006C43C6" w:rsidRDefault="006C43C6" w:rsidP="006C43C6">
      <w:pPr>
        <w:spacing w:line="360" w:lineRule="auto"/>
        <w:ind w:left="720"/>
        <w:contextualSpacing/>
        <w:jc w:val="both"/>
        <w:rPr>
          <w:rFonts w:ascii="David" w:eastAsia="David" w:hAnsi="David"/>
        </w:rPr>
      </w:pPr>
    </w:p>
    <w:p w14:paraId="154AF540" w14:textId="77777777" w:rsidR="006C43C6" w:rsidRDefault="006C43C6" w:rsidP="006C43C6">
      <w:pPr>
        <w:spacing w:line="360" w:lineRule="auto"/>
        <w:jc w:val="both"/>
        <w:rPr>
          <w:rFonts w:ascii="David" w:eastAsia="David" w:hAnsi="David"/>
          <w:b/>
          <w:bCs/>
          <w:u w:val="single"/>
        </w:rPr>
      </w:pPr>
      <w:r>
        <w:rPr>
          <w:rFonts w:ascii="David" w:eastAsia="David" w:hAnsi="David"/>
          <w:b/>
          <w:bCs/>
          <w:u w:val="single"/>
          <w:rtl/>
        </w:rPr>
        <w:t>דיון והכרעה</w:t>
      </w:r>
    </w:p>
    <w:p w14:paraId="77AF4D72" w14:textId="77777777" w:rsidR="006C43C6" w:rsidRDefault="006C43C6" w:rsidP="006C43C6">
      <w:pPr>
        <w:spacing w:line="360" w:lineRule="auto"/>
        <w:jc w:val="both"/>
        <w:rPr>
          <w:rFonts w:ascii="David" w:eastAsia="David" w:hAnsi="David"/>
          <w:b/>
          <w:bCs/>
          <w:u w:val="single"/>
          <w:rtl/>
        </w:rPr>
      </w:pPr>
      <w:r>
        <w:rPr>
          <w:rFonts w:ascii="David" w:eastAsia="David" w:hAnsi="David"/>
          <w:b/>
          <w:bCs/>
          <w:u w:val="single"/>
          <w:rtl/>
        </w:rPr>
        <w:t>מתחם העונש ההולם</w:t>
      </w:r>
    </w:p>
    <w:p w14:paraId="1B3B0D45" w14:textId="77777777" w:rsidR="006C43C6" w:rsidRDefault="006C43C6" w:rsidP="006C43C6">
      <w:pPr>
        <w:numPr>
          <w:ilvl w:val="0"/>
          <w:numId w:val="1"/>
        </w:numPr>
        <w:spacing w:after="160" w:line="360" w:lineRule="auto"/>
        <w:contextualSpacing/>
        <w:jc w:val="both"/>
        <w:rPr>
          <w:rtl/>
        </w:rPr>
      </w:pPr>
      <w:r>
        <w:rPr>
          <w:rtl/>
        </w:rPr>
        <w:t xml:space="preserve">על ההליך שבפני חלים עקרונות הבניית שיקול השיפוטי בענישה בהתאם להוראות תיקון 113 לחוק. ע"פ הוראות אלו, העיקרון המנחה בענישה הינו עקרון ההלימה שפירושו קיומו של יחס הולם בין חומרת מעשה העבירה בנסיבותיו ובמידת אשמו של הנאשם ובין סוג ומידת העונש המוטל עליו. בדרכו של עקרון זה, על בית המשפט לקבוע מתחם עונש הולם למעשה העבירה, תוך שהוא מתחשב בערך החברתי המוגן שנפגע ומידת הפגיעה בו, במדיניות הענישה הנהוגה ובנסיבותיה הקונקרטיות של העבירה. בשלב הבא, לאחר שנקבע מתחם העונש, ובית המשפט לא מצא מקום לחרוג ממנו לקולא או לחומרא, נקבע העונש הראוי תוך התחשבות בנסיבות העושה. </w:t>
      </w:r>
    </w:p>
    <w:p w14:paraId="4378D779" w14:textId="77777777" w:rsidR="006C43C6" w:rsidRDefault="006C43C6" w:rsidP="006C43C6">
      <w:pPr>
        <w:spacing w:line="360" w:lineRule="auto"/>
        <w:ind w:left="720"/>
        <w:contextualSpacing/>
        <w:jc w:val="both"/>
      </w:pPr>
    </w:p>
    <w:p w14:paraId="0DEF1AC5" w14:textId="77777777" w:rsidR="006C43C6" w:rsidRDefault="006C43C6" w:rsidP="006C43C6">
      <w:pPr>
        <w:numPr>
          <w:ilvl w:val="0"/>
          <w:numId w:val="1"/>
        </w:numPr>
        <w:spacing w:after="160" w:line="360" w:lineRule="auto"/>
        <w:contextualSpacing/>
        <w:jc w:val="both"/>
        <w:rPr>
          <w:rFonts w:ascii="David" w:eastAsia="David" w:hAnsi="David"/>
        </w:rPr>
      </w:pPr>
      <w:r>
        <w:rPr>
          <w:rtl/>
        </w:rPr>
        <w:t>עבירות הנשק הפכו זה מכבר למכת מדינה ומגלמות סכנה ממשית לשלום הציבור ולביטחונו. חומרתן היתרה של עבירות אלה אינה מתמצה אך בעבירות גופן, אלא בפוטנציאל הנזק הנובע מהן. מגמת הפסיקה בשנים האחרונות מלמדת על החמרה בענישה לצורך מיגור עבירות אלו, תוך מתן משקל לשיקולי הרתעה. מגמה זו אחידה ועקבית ביחס לכלל עברייני הנשק, אף כשהם צעירים ונעדרי עבר פלילי, והאירוע הוא בגדר חריג בנוף חייהם הנורמטיבי</w:t>
      </w:r>
      <w:r>
        <w:rPr>
          <w:rFonts w:ascii="David" w:eastAsia="David" w:hAnsi="David"/>
          <w:rtl/>
        </w:rPr>
        <w:t xml:space="preserve"> (</w:t>
      </w:r>
      <w:hyperlink r:id="rId14" w:history="1">
        <w:r w:rsidR="007E63FC" w:rsidRPr="007E63FC">
          <w:rPr>
            <w:rFonts w:ascii="David" w:eastAsia="David" w:hAnsi="David"/>
            <w:color w:val="0000FF"/>
            <w:u w:val="single"/>
            <w:rtl/>
          </w:rPr>
          <w:t>ע"פ 5813/21</w:t>
        </w:r>
      </w:hyperlink>
      <w:r>
        <w:rPr>
          <w:rFonts w:ascii="David" w:eastAsia="David" w:hAnsi="David"/>
          <w:rtl/>
        </w:rPr>
        <w:t xml:space="preserve"> </w:t>
      </w:r>
      <w:r>
        <w:rPr>
          <w:rFonts w:ascii="David" w:eastAsia="David" w:hAnsi="David"/>
          <w:b/>
          <w:bCs/>
          <w:rtl/>
        </w:rPr>
        <w:t>מוחמד ג'בארין נ' מדינת ישראל</w:t>
      </w:r>
      <w:r>
        <w:rPr>
          <w:rFonts w:ascii="David" w:eastAsia="David" w:hAnsi="David"/>
          <w:rtl/>
        </w:rPr>
        <w:t>, פס' 14</w:t>
      </w:r>
      <w:r>
        <w:rPr>
          <w:rFonts w:ascii="David" w:eastAsia="David" w:hAnsi="David"/>
          <w:b/>
          <w:bCs/>
          <w:rtl/>
        </w:rPr>
        <w:t xml:space="preserve"> </w:t>
      </w:r>
      <w:r>
        <w:rPr>
          <w:rFonts w:ascii="David" w:eastAsia="David" w:hAnsi="David"/>
          <w:rtl/>
        </w:rPr>
        <w:t>(31.5.2022); ב</w:t>
      </w:r>
      <w:hyperlink r:id="rId15" w:history="1">
        <w:r w:rsidR="007E63FC" w:rsidRPr="007E63FC">
          <w:rPr>
            <w:rFonts w:ascii="David" w:eastAsia="David" w:hAnsi="David"/>
            <w:color w:val="0000FF"/>
            <w:u w:val="single"/>
            <w:rtl/>
          </w:rPr>
          <w:t>ע"פ 6011/21</w:t>
        </w:r>
      </w:hyperlink>
      <w:r>
        <w:rPr>
          <w:rFonts w:ascii="David" w:eastAsia="David" w:hAnsi="David"/>
          <w:rtl/>
        </w:rPr>
        <w:t xml:space="preserve"> </w:t>
      </w:r>
      <w:r>
        <w:rPr>
          <w:rFonts w:ascii="David" w:eastAsia="David" w:hAnsi="David"/>
          <w:b/>
          <w:bCs/>
          <w:rtl/>
        </w:rPr>
        <w:t>חאלד דסוקי נ' מדנית ישראל</w:t>
      </w:r>
      <w:r>
        <w:rPr>
          <w:rFonts w:ascii="David" w:eastAsia="David" w:hAnsi="David"/>
          <w:rtl/>
        </w:rPr>
        <w:t xml:space="preserve"> (25.11.2021); </w:t>
      </w:r>
      <w:hyperlink r:id="rId16" w:history="1">
        <w:r w:rsidR="007E63FC" w:rsidRPr="007E63FC">
          <w:rPr>
            <w:rFonts w:ascii="David" w:eastAsia="David" w:hAnsi="David"/>
            <w:color w:val="0000FF"/>
            <w:spacing w:val="10"/>
            <w:sz w:val="20"/>
            <w:u w:val="single"/>
            <w:shd w:val="clear" w:color="auto" w:fill="FFFFFF"/>
            <w:rtl/>
          </w:rPr>
          <w:t>ע"פ 8320/21</w:t>
        </w:r>
      </w:hyperlink>
      <w:r>
        <w:rPr>
          <w:rFonts w:ascii="David" w:eastAsia="David" w:hAnsi="David"/>
          <w:spacing w:val="10"/>
          <w:sz w:val="20"/>
          <w:shd w:val="clear" w:color="auto" w:fill="FFFFFF"/>
          <w:rtl/>
        </w:rPr>
        <w:t xml:space="preserve"> </w:t>
      </w:r>
      <w:r>
        <w:rPr>
          <w:rFonts w:ascii="David" w:eastAsia="David" w:hAnsi="David"/>
          <w:b/>
          <w:bCs/>
          <w:spacing w:val="10"/>
          <w:sz w:val="20"/>
          <w:shd w:val="clear" w:color="auto" w:fill="FFFFFF"/>
          <w:rtl/>
        </w:rPr>
        <w:t>מדינת ישראל נ' מחמד בסילה</w:t>
      </w:r>
      <w:r>
        <w:rPr>
          <w:rFonts w:ascii="David" w:eastAsia="David" w:hAnsi="David"/>
          <w:spacing w:val="10"/>
          <w:sz w:val="20"/>
          <w:shd w:val="clear" w:color="auto" w:fill="FFFFFF"/>
          <w:rtl/>
        </w:rPr>
        <w:t>, פס' 10 (28.12.2021)</w:t>
      </w:r>
      <w:r>
        <w:rPr>
          <w:rFonts w:ascii="David" w:eastAsia="David" w:hAnsi="David"/>
          <w:rtl/>
        </w:rPr>
        <w:t xml:space="preserve">; </w:t>
      </w:r>
      <w:hyperlink r:id="rId17" w:history="1">
        <w:r w:rsidR="007E63FC" w:rsidRPr="007E63FC">
          <w:rPr>
            <w:rFonts w:ascii="David" w:eastAsia="David" w:hAnsi="David"/>
            <w:color w:val="0000FF"/>
            <w:u w:val="single"/>
            <w:rtl/>
          </w:rPr>
          <w:t>ע"פ 2283/22</w:t>
        </w:r>
      </w:hyperlink>
      <w:r>
        <w:rPr>
          <w:rFonts w:ascii="David" w:eastAsia="David" w:hAnsi="David"/>
          <w:rtl/>
        </w:rPr>
        <w:t xml:space="preserve"> </w:t>
      </w:r>
      <w:r>
        <w:rPr>
          <w:rFonts w:ascii="David" w:eastAsia="David" w:hAnsi="David"/>
          <w:b/>
          <w:bCs/>
          <w:rtl/>
        </w:rPr>
        <w:t>אל נבארי נ' מדינת ישראל</w:t>
      </w:r>
      <w:r>
        <w:rPr>
          <w:rFonts w:ascii="David" w:eastAsia="David" w:hAnsi="David"/>
          <w:rtl/>
        </w:rPr>
        <w:t xml:space="preserve"> (31.7.2022); ע"פ 78/21 </w:t>
      </w:r>
      <w:r>
        <w:rPr>
          <w:rFonts w:ascii="David" w:eastAsia="David" w:hAnsi="David"/>
          <w:b/>
          <w:bCs/>
          <w:rtl/>
        </w:rPr>
        <w:t>פלוני נ' מדינת</w:t>
      </w:r>
      <w:r>
        <w:rPr>
          <w:rFonts w:ascii="David" w:eastAsia="David" w:hAnsi="David"/>
          <w:rtl/>
        </w:rPr>
        <w:t xml:space="preserve"> </w:t>
      </w:r>
      <w:r>
        <w:rPr>
          <w:rFonts w:ascii="David" w:eastAsia="David" w:hAnsi="David"/>
          <w:b/>
          <w:bCs/>
          <w:rtl/>
        </w:rPr>
        <w:t>ישראל</w:t>
      </w:r>
      <w:r>
        <w:rPr>
          <w:rFonts w:ascii="David" w:eastAsia="David" w:hAnsi="David"/>
          <w:rtl/>
        </w:rPr>
        <w:t xml:space="preserve"> (26.7.2022</w:t>
      </w:r>
      <w:r w:rsidRPr="002105AF">
        <w:rPr>
          <w:rtl/>
        </w:rPr>
        <w:t xml:space="preserve">); </w:t>
      </w:r>
      <w:hyperlink r:id="rId18" w:history="1">
        <w:r w:rsidR="007E63FC" w:rsidRPr="007E63FC">
          <w:rPr>
            <w:color w:val="0000FF"/>
            <w:u w:val="single"/>
            <w:rtl/>
          </w:rPr>
          <w:t>ע"פ 116/13</w:t>
        </w:r>
      </w:hyperlink>
      <w:r w:rsidR="007E63FC">
        <w:rPr>
          <w:rFonts w:ascii="David" w:eastAsia="David" w:hAnsi="David"/>
          <w:rtl/>
        </w:rPr>
        <w:t xml:space="preserve"> </w:t>
      </w:r>
      <w:r>
        <w:rPr>
          <w:rFonts w:ascii="David" w:eastAsia="David" w:hAnsi="David"/>
          <w:b/>
          <w:bCs/>
          <w:rtl/>
        </w:rPr>
        <w:t>וקנין נ' מדינת ישראל</w:t>
      </w:r>
      <w:r>
        <w:rPr>
          <w:rFonts w:ascii="David" w:eastAsia="David" w:hAnsi="David"/>
          <w:rtl/>
        </w:rPr>
        <w:t>,</w:t>
      </w:r>
      <w:r w:rsidR="007E63FC">
        <w:rPr>
          <w:rFonts w:ascii="David" w:eastAsia="David" w:hAnsi="David"/>
          <w:rtl/>
        </w:rPr>
        <w:t xml:space="preserve"> </w:t>
      </w:r>
      <w:r>
        <w:rPr>
          <w:rFonts w:ascii="David" w:eastAsia="David" w:hAnsi="David"/>
          <w:rtl/>
        </w:rPr>
        <w:t xml:space="preserve">פס' 7 (31.7.2013)). </w:t>
      </w:r>
      <w:r>
        <w:rPr>
          <w:rtl/>
        </w:rPr>
        <w:t xml:space="preserve">מגמה זו קיבלה ביטוי גם בחקיקה, במסגרת תיקון 140 לחוק, בו נקבעו עונשי מינימום לעבירות נשק באשר הן, באופן שככלל, העונש שיושת בגין עבירות אלו, לא יפחת מרבע העונש המרבי שנקבע לעבירה. </w:t>
      </w:r>
    </w:p>
    <w:p w14:paraId="28E2BAEE" w14:textId="77777777" w:rsidR="006C43C6" w:rsidRDefault="006C43C6" w:rsidP="006C43C6">
      <w:pPr>
        <w:ind w:left="720"/>
        <w:contextualSpacing/>
        <w:rPr>
          <w:rtl/>
        </w:rPr>
      </w:pPr>
    </w:p>
    <w:p w14:paraId="1D29FB41" w14:textId="77777777" w:rsidR="006C43C6" w:rsidRDefault="006C43C6" w:rsidP="006C43C6">
      <w:pPr>
        <w:ind w:left="720"/>
        <w:contextualSpacing/>
        <w:rPr>
          <w:rtl/>
        </w:rPr>
      </w:pPr>
    </w:p>
    <w:p w14:paraId="6E98A854" w14:textId="77777777" w:rsidR="006C43C6" w:rsidRDefault="006C43C6" w:rsidP="006C43C6">
      <w:pPr>
        <w:numPr>
          <w:ilvl w:val="0"/>
          <w:numId w:val="1"/>
        </w:numPr>
        <w:spacing w:after="160" w:line="360" w:lineRule="auto"/>
        <w:contextualSpacing/>
        <w:jc w:val="both"/>
        <w:rPr>
          <w:rFonts w:ascii="David" w:eastAsia="David" w:hAnsi="David"/>
          <w:rtl/>
        </w:rPr>
      </w:pPr>
      <w:r>
        <w:rPr>
          <w:rFonts w:ascii="David" w:eastAsia="David" w:hAnsi="David"/>
          <w:b/>
          <w:bCs/>
          <w:rtl/>
        </w:rPr>
        <w:t xml:space="preserve">בענייננו </w:t>
      </w:r>
      <w:r>
        <w:rPr>
          <w:rFonts w:ascii="David" w:eastAsia="David" w:hAnsi="David"/>
          <w:rtl/>
        </w:rPr>
        <w:t xml:space="preserve">נסיבות מעשי הנאשם אכן ייחודיות. הנאשם סובל ממחלת נפש, מצבו הנפשי הדרדר סמוך למועד ביצוע העבירה מאחר שלא נטל טיפול תרופתי והשתמש בסמים. הנאשם החזיק באקדח שלא ברור כיצד הגיע לידיו, האקדח היה טעון במחסנית אך ריק מכדורים, הנאשם עשה בו שימוש כדי לאיים על שניים מאחיו ואחיינו הקטין. כעולה מכתב האישום, אחד האחים שהבחין במצבו ובאיומיו פנה להביא לו תרופה ולהזעיק את המשטרה. ברי כי מעשי האיומים באמצעות שימוש באקדח גרמו עוגמת נפש וחשש רב לבני משפחתו שאמונים על הטיפול בנאשם. פוטנציאל הנזק ממעשיו אינו נמוך, אם כי הנאשם לא החזיק בתחמושת. </w:t>
      </w:r>
    </w:p>
    <w:p w14:paraId="717E95CC" w14:textId="77777777" w:rsidR="006C43C6" w:rsidRDefault="006C43C6" w:rsidP="006C43C6">
      <w:pPr>
        <w:spacing w:line="360" w:lineRule="auto"/>
        <w:ind w:left="720"/>
        <w:contextualSpacing/>
        <w:jc w:val="both"/>
        <w:rPr>
          <w:rFonts w:ascii="David" w:eastAsia="David" w:hAnsi="David"/>
        </w:rPr>
      </w:pPr>
    </w:p>
    <w:p w14:paraId="2045B9E8" w14:textId="77777777" w:rsidR="006C43C6" w:rsidRDefault="006C43C6" w:rsidP="006C43C6">
      <w:pPr>
        <w:numPr>
          <w:ilvl w:val="0"/>
          <w:numId w:val="1"/>
        </w:numPr>
        <w:spacing w:after="160" w:line="360" w:lineRule="auto"/>
        <w:contextualSpacing/>
        <w:jc w:val="both"/>
        <w:rPr>
          <w:rFonts w:ascii="David" w:eastAsia="David" w:hAnsi="David"/>
        </w:rPr>
      </w:pPr>
      <w:r>
        <w:rPr>
          <w:rFonts w:ascii="David" w:eastAsia="David" w:hAnsi="David"/>
          <w:rtl/>
        </w:rPr>
        <w:t xml:space="preserve">הנאשם נמצא כשיר לעמוד לדין ולא נטען כי מצבו הנפשי במועד ביצוע העבירות מקרבו לסייג ומפחית ממידת אשמו ואחריותו. הנאשם היה מודע למעשיו ויכול היה להימנע מהם. עם זאת, הסיבה בגינה ביצע את מעשיו אינה הסיבה הטיפוסית, ברי כי ברקע מעשיו עומד מצבו הנפשי הירוד. בחינת מידת פגיעת מעשי הנאשם בערכים המוגנים מובילה למסקנה כי היא ברף </w:t>
      </w:r>
      <w:r>
        <w:rPr>
          <w:rFonts w:ascii="David" w:eastAsia="David" w:hAnsi="David"/>
          <w:b/>
          <w:bCs/>
          <w:rtl/>
        </w:rPr>
        <w:t>הבינוני</w:t>
      </w:r>
      <w:r>
        <w:rPr>
          <w:rFonts w:ascii="David" w:eastAsia="David" w:hAnsi="David"/>
          <w:rtl/>
        </w:rPr>
        <w:t xml:space="preserve">. </w:t>
      </w:r>
    </w:p>
    <w:p w14:paraId="2DF9CA6E" w14:textId="77777777" w:rsidR="006C43C6" w:rsidRDefault="006C43C6" w:rsidP="006C43C6">
      <w:pPr>
        <w:spacing w:line="360" w:lineRule="auto"/>
        <w:ind w:left="720"/>
        <w:contextualSpacing/>
        <w:jc w:val="both"/>
        <w:rPr>
          <w:rFonts w:eastAsia="David"/>
          <w:b/>
          <w:bCs/>
          <w:u w:val="single"/>
          <w:rtl/>
        </w:rPr>
      </w:pPr>
    </w:p>
    <w:p w14:paraId="62D7ACEF" w14:textId="77777777" w:rsidR="006C43C6" w:rsidRDefault="006C43C6" w:rsidP="006C43C6">
      <w:pPr>
        <w:spacing w:line="360" w:lineRule="auto"/>
        <w:ind w:firstLine="360"/>
        <w:rPr>
          <w:rtl/>
        </w:rPr>
      </w:pPr>
      <w:r>
        <w:rPr>
          <w:rFonts w:eastAsia="David"/>
          <w:b/>
          <w:bCs/>
          <w:u w:val="single"/>
          <w:rtl/>
        </w:rPr>
        <w:t>מדיניות הענישה הנוהגת</w:t>
      </w:r>
    </w:p>
    <w:p w14:paraId="071237E7" w14:textId="77777777" w:rsidR="006C43C6" w:rsidRDefault="006C43C6" w:rsidP="006C43C6">
      <w:pPr>
        <w:numPr>
          <w:ilvl w:val="0"/>
          <w:numId w:val="1"/>
        </w:numPr>
        <w:spacing w:after="160" w:line="360" w:lineRule="auto"/>
        <w:contextualSpacing/>
        <w:jc w:val="both"/>
        <w:rPr>
          <w:rFonts w:ascii="David" w:eastAsia="David" w:hAnsi="David"/>
          <w:rtl/>
        </w:rPr>
      </w:pPr>
      <w:r>
        <w:rPr>
          <w:rFonts w:ascii="David" w:eastAsia="David" w:hAnsi="David"/>
          <w:rtl/>
        </w:rPr>
        <w:t xml:space="preserve">בפסיקה ענפה הושתו על נושאי נשק עונשי מאסר מאחורי סורג ובריח לתקופות לא קצרות. הפסיקה אינה מקלה עם נאשמים צעירים שזו להם הסתבכותם הראשונה עם החוק, ללמדנו כי הענישה מבכרת את האינטרס הציבורי על פני נסיבותיו האישיות של הנאשם, לרבות במקרי שיקום: </w:t>
      </w:r>
      <w:r>
        <w:rPr>
          <w:rFonts w:ascii="David" w:eastAsia="David" w:hAnsi="David"/>
          <w:b/>
          <w:bCs/>
          <w:rtl/>
        </w:rPr>
        <w:t xml:space="preserve">"המסר העונשי הנגזר ממדיניות הענישה האמורה הוא כי שומר נפשו ושלומו – ירחק מעבירות הנשק באשר הן, קלות כחמורות" </w:t>
      </w:r>
      <w:r>
        <w:rPr>
          <w:rFonts w:ascii="David" w:eastAsia="David" w:hAnsi="David"/>
          <w:rtl/>
        </w:rPr>
        <w:t>(ע"פ 78/21</w:t>
      </w:r>
      <w:r>
        <w:rPr>
          <w:rFonts w:ascii="David" w:eastAsia="David" w:hAnsi="David"/>
          <w:b/>
          <w:bCs/>
          <w:rtl/>
        </w:rPr>
        <w:t xml:space="preserve"> פלוני נ' מדינת ישראל </w:t>
      </w:r>
      <w:r>
        <w:rPr>
          <w:rFonts w:ascii="David" w:eastAsia="David" w:hAnsi="David"/>
          <w:rtl/>
        </w:rPr>
        <w:t>פסקה 10</w:t>
      </w:r>
      <w:r>
        <w:rPr>
          <w:rFonts w:ascii="David" w:eastAsia="David" w:hAnsi="David"/>
          <w:b/>
          <w:bCs/>
          <w:rtl/>
        </w:rPr>
        <w:t xml:space="preserve"> </w:t>
      </w:r>
      <w:r>
        <w:rPr>
          <w:rFonts w:ascii="David" w:eastAsia="David" w:hAnsi="David"/>
          <w:rtl/>
        </w:rPr>
        <w:t>(26.7.2022) (להלן: "עניין פלוני</w:t>
      </w:r>
      <w:r>
        <w:rPr>
          <w:rFonts w:ascii="David" w:eastAsia="David" w:hAnsi="David"/>
          <w:b/>
          <w:bCs/>
          <w:rtl/>
        </w:rPr>
        <w:t>"</w:t>
      </w:r>
      <w:r>
        <w:rPr>
          <w:rFonts w:ascii="David" w:eastAsia="David" w:hAnsi="David"/>
          <w:rtl/>
        </w:rPr>
        <w:t xml:space="preserve">)). </w:t>
      </w:r>
    </w:p>
    <w:p w14:paraId="60F73BAF" w14:textId="77777777" w:rsidR="006C43C6" w:rsidRDefault="006C43C6" w:rsidP="006C43C6">
      <w:pPr>
        <w:spacing w:line="360" w:lineRule="auto"/>
        <w:ind w:left="720"/>
        <w:contextualSpacing/>
        <w:jc w:val="both"/>
        <w:rPr>
          <w:rFonts w:ascii="David" w:eastAsia="David" w:hAnsi="David"/>
        </w:rPr>
      </w:pPr>
    </w:p>
    <w:p w14:paraId="07B98D35" w14:textId="77777777" w:rsidR="006C43C6" w:rsidRDefault="006C43C6" w:rsidP="006C43C6">
      <w:pPr>
        <w:spacing w:line="360" w:lineRule="auto"/>
        <w:ind w:left="720"/>
        <w:contextualSpacing/>
        <w:jc w:val="both"/>
        <w:rPr>
          <w:rFonts w:ascii="David" w:eastAsia="David" w:hAnsi="David"/>
        </w:rPr>
      </w:pPr>
      <w:r>
        <w:rPr>
          <w:rFonts w:ascii="David" w:eastAsia="David" w:hAnsi="David"/>
          <w:rtl/>
        </w:rPr>
        <w:t xml:space="preserve">רמת הענישה בעבירות נשק מחמירה, אתן ביטוי לנסיבות ביצוע העבירות שמהוות אירוע אחד – נשיאת אקדח לא טעון וביצוע איומים באמצעותו. </w:t>
      </w:r>
    </w:p>
    <w:p w14:paraId="746ADB8E" w14:textId="77777777" w:rsidR="006C43C6" w:rsidRDefault="006C43C6" w:rsidP="006C43C6">
      <w:pPr>
        <w:spacing w:line="360" w:lineRule="auto"/>
        <w:ind w:left="720"/>
        <w:contextualSpacing/>
        <w:jc w:val="both"/>
        <w:rPr>
          <w:rFonts w:ascii="David" w:eastAsia="David" w:hAnsi="David"/>
          <w:rtl/>
        </w:rPr>
      </w:pPr>
    </w:p>
    <w:p w14:paraId="4275C45B" w14:textId="77777777" w:rsidR="006C43C6" w:rsidRDefault="006C43C6" w:rsidP="006C43C6">
      <w:pPr>
        <w:spacing w:line="360" w:lineRule="auto"/>
        <w:ind w:left="720"/>
        <w:contextualSpacing/>
        <w:jc w:val="both"/>
        <w:rPr>
          <w:rFonts w:ascii="David" w:eastAsia="David" w:hAnsi="David"/>
          <w:rtl/>
        </w:rPr>
      </w:pPr>
      <w:r>
        <w:rPr>
          <w:rFonts w:ascii="David" w:eastAsia="David" w:hAnsi="David"/>
          <w:rtl/>
        </w:rPr>
        <w:t>ב</w:t>
      </w:r>
      <w:hyperlink r:id="rId19" w:history="1">
        <w:r w:rsidR="007E63FC" w:rsidRPr="007E63FC">
          <w:rPr>
            <w:rFonts w:ascii="David" w:eastAsia="David" w:hAnsi="David"/>
            <w:color w:val="0000FF"/>
            <w:u w:val="single"/>
            <w:rtl/>
          </w:rPr>
          <w:t>ע"פ 3186/22</w:t>
        </w:r>
      </w:hyperlink>
      <w:r>
        <w:rPr>
          <w:rFonts w:ascii="David" w:eastAsia="David" w:hAnsi="David"/>
          <w:rtl/>
        </w:rPr>
        <w:t xml:space="preserve"> </w:t>
      </w:r>
      <w:r>
        <w:rPr>
          <w:rFonts w:ascii="David" w:eastAsia="David" w:hAnsi="David"/>
          <w:b/>
          <w:bCs/>
          <w:rtl/>
        </w:rPr>
        <w:t>בר נ' מדינת ישראל</w:t>
      </w:r>
      <w:r>
        <w:rPr>
          <w:rFonts w:ascii="David" w:eastAsia="David" w:hAnsi="David"/>
          <w:rtl/>
        </w:rPr>
        <w:t xml:space="preserve"> (23.2.2023) נדון עניינו של נאשם שנשא והוביל בקטנוע אקדח טעון גנוב, בחזקתו נמצא סם קנביס לצריכה עצמית. בית המשפט המחוזי קבע מתחם הנע בין 48-24 חודשי מאסר בפועל, והשית על הנאשם, צעיר בעל עבר פלילי משמעותי, 30 חודשי מאסר בפועל. הנאשם חזר בו מערעורו לאחר שמיעת הערות בית המשפט העליון. </w:t>
      </w:r>
    </w:p>
    <w:p w14:paraId="3AFAB4F2" w14:textId="77777777" w:rsidR="006C43C6" w:rsidRDefault="006C43C6" w:rsidP="006C43C6">
      <w:pPr>
        <w:spacing w:line="360" w:lineRule="auto"/>
        <w:ind w:left="720"/>
        <w:contextualSpacing/>
        <w:jc w:val="both"/>
        <w:rPr>
          <w:rFonts w:ascii="David" w:eastAsia="David" w:hAnsi="David"/>
          <w:rtl/>
        </w:rPr>
      </w:pPr>
    </w:p>
    <w:p w14:paraId="3EFC723E" w14:textId="77777777" w:rsidR="006C43C6" w:rsidRDefault="006C43C6" w:rsidP="006C43C6">
      <w:pPr>
        <w:spacing w:line="360" w:lineRule="auto"/>
        <w:ind w:left="720"/>
        <w:contextualSpacing/>
        <w:jc w:val="both"/>
        <w:rPr>
          <w:rFonts w:eastAsia="David"/>
          <w:rtl/>
        </w:rPr>
      </w:pPr>
      <w:r w:rsidRPr="002105AF">
        <w:rPr>
          <w:rFonts w:ascii="David" w:eastAsia="David" w:hAnsi="David"/>
          <w:rtl/>
        </w:rPr>
        <w:t>ב</w:t>
      </w:r>
      <w:hyperlink r:id="rId20" w:history="1">
        <w:r w:rsidR="007E63FC" w:rsidRPr="007E63FC">
          <w:rPr>
            <w:rFonts w:ascii="David" w:eastAsia="David" w:hAnsi="David"/>
            <w:color w:val="0000FF"/>
            <w:u w:val="single"/>
            <w:rtl/>
          </w:rPr>
          <w:t>ע"פ 2141/21</w:t>
        </w:r>
      </w:hyperlink>
      <w:r>
        <w:rPr>
          <w:rFonts w:eastAsia="David"/>
          <w:rtl/>
        </w:rPr>
        <w:t xml:space="preserve"> </w:t>
      </w:r>
      <w:r>
        <w:rPr>
          <w:rFonts w:eastAsia="David" w:hint="cs"/>
          <w:b/>
          <w:bCs/>
          <w:rtl/>
        </w:rPr>
        <w:t>חניני נ' מדינת ישראל</w:t>
      </w:r>
      <w:r>
        <w:rPr>
          <w:rFonts w:eastAsia="David" w:hint="cs"/>
          <w:rtl/>
        </w:rPr>
        <w:t xml:space="preserve"> (27.5.2021) נדחה ערעורו של נאשם שהצטייד אקדח אוויר שבוצעו בו שינויים שמאפשרים ירי של תחמושת. הוא נתפס בחצר קרובה לביתו בשעת לילה מאוחרת, כשהוא נושא את האקדח על גופו ובתוכו ארבעה כדורים. נדון למאסר בן 20 חודשים;</w:t>
      </w:r>
    </w:p>
    <w:p w14:paraId="75B7958D" w14:textId="77777777" w:rsidR="006C43C6" w:rsidRDefault="006C43C6" w:rsidP="006C43C6">
      <w:pPr>
        <w:spacing w:line="360" w:lineRule="auto"/>
        <w:ind w:left="720"/>
        <w:contextualSpacing/>
        <w:jc w:val="both"/>
        <w:rPr>
          <w:rFonts w:eastAsia="David"/>
          <w:rtl/>
        </w:rPr>
      </w:pPr>
    </w:p>
    <w:p w14:paraId="1EF14B0B" w14:textId="77777777" w:rsidR="006C43C6" w:rsidRDefault="006C43C6" w:rsidP="006C43C6">
      <w:pPr>
        <w:spacing w:line="360" w:lineRule="auto"/>
        <w:ind w:left="720"/>
        <w:contextualSpacing/>
        <w:jc w:val="both"/>
        <w:rPr>
          <w:rFonts w:ascii="David" w:eastAsia="David" w:hAnsi="David"/>
          <w:rtl/>
        </w:rPr>
      </w:pPr>
      <w:r>
        <w:rPr>
          <w:rFonts w:ascii="David" w:eastAsia="David" w:hAnsi="David"/>
          <w:rtl/>
        </w:rPr>
        <w:t>ב</w:t>
      </w:r>
      <w:hyperlink r:id="rId21" w:history="1">
        <w:r w:rsidR="007E63FC" w:rsidRPr="007E63FC">
          <w:rPr>
            <w:rFonts w:ascii="David" w:eastAsia="David" w:hAnsi="David"/>
            <w:color w:val="0000FF"/>
            <w:u w:val="single"/>
            <w:rtl/>
          </w:rPr>
          <w:t>ע"פ 2033/21</w:t>
        </w:r>
      </w:hyperlink>
      <w:r>
        <w:rPr>
          <w:rFonts w:ascii="David" w:eastAsia="David" w:hAnsi="David"/>
          <w:rtl/>
        </w:rPr>
        <w:t xml:space="preserve"> </w:t>
      </w:r>
      <w:r>
        <w:rPr>
          <w:rFonts w:ascii="David" w:eastAsia="David" w:hAnsi="David"/>
          <w:b/>
          <w:bCs/>
          <w:rtl/>
        </w:rPr>
        <w:t>זועבי נ' מדינת ישראל</w:t>
      </w:r>
      <w:r>
        <w:rPr>
          <w:rFonts w:ascii="David" w:eastAsia="David" w:hAnsi="David"/>
          <w:rtl/>
        </w:rPr>
        <w:t xml:space="preserve"> (30.8.2021) נדחה ערעורו המערער, בן 51, ללא עבר, חולה טרשת נפוצה שנדון בגין נשיאת שני אקדחים על רקע סכסוך פעיל למאסר בן 24 חודשים. נקבע כי סולחה שנערכה בין המשפחות ומצבו הרפואי לא מצדיקים חריגה מהמתחם. </w:t>
      </w:r>
    </w:p>
    <w:p w14:paraId="29D8B28C" w14:textId="77777777" w:rsidR="006C43C6" w:rsidRDefault="006C43C6" w:rsidP="006C43C6">
      <w:pPr>
        <w:spacing w:line="360" w:lineRule="auto"/>
        <w:ind w:left="720"/>
        <w:contextualSpacing/>
        <w:jc w:val="both"/>
        <w:rPr>
          <w:rFonts w:ascii="David" w:eastAsia="David" w:hAnsi="David"/>
          <w:rtl/>
        </w:rPr>
      </w:pPr>
    </w:p>
    <w:p w14:paraId="79467E9F" w14:textId="77777777" w:rsidR="006C43C6" w:rsidRDefault="006C43C6" w:rsidP="006C43C6">
      <w:pPr>
        <w:spacing w:line="360" w:lineRule="auto"/>
        <w:ind w:left="720"/>
        <w:contextualSpacing/>
        <w:jc w:val="both"/>
        <w:rPr>
          <w:rFonts w:ascii="David" w:eastAsia="David" w:hAnsi="David"/>
          <w:rtl/>
        </w:rPr>
      </w:pPr>
      <w:r>
        <w:rPr>
          <w:rFonts w:ascii="David" w:eastAsia="David" w:hAnsi="David"/>
          <w:rtl/>
        </w:rPr>
        <w:t>ב</w:t>
      </w:r>
      <w:hyperlink r:id="rId22" w:history="1">
        <w:r w:rsidR="007E63FC" w:rsidRPr="007E63FC">
          <w:rPr>
            <w:rFonts w:ascii="David" w:eastAsia="David" w:hAnsi="David"/>
            <w:color w:val="0000FF"/>
            <w:u w:val="single"/>
            <w:rtl/>
          </w:rPr>
          <w:t>ע"פ 1658/22</w:t>
        </w:r>
      </w:hyperlink>
      <w:r>
        <w:rPr>
          <w:rFonts w:ascii="David" w:eastAsia="David" w:hAnsi="David"/>
          <w:rtl/>
        </w:rPr>
        <w:t xml:space="preserve"> </w:t>
      </w:r>
      <w:r>
        <w:rPr>
          <w:rFonts w:ascii="David" w:eastAsia="David" w:hAnsi="David"/>
          <w:b/>
          <w:bCs/>
          <w:rtl/>
        </w:rPr>
        <w:t>נח'אש נ' מדינת ישראל</w:t>
      </w:r>
      <w:r>
        <w:rPr>
          <w:rFonts w:ascii="David" w:eastAsia="David" w:hAnsi="David"/>
          <w:rtl/>
        </w:rPr>
        <w:t xml:space="preserve"> (19.6.2022) נדחה ערעור המערער שהורשע בעבירת נשיאה והובלה של תת מקלע "עוזי" ומחסנית למאסר בן 26 חודשים. המערער, ללא עבר פלילי, רכש לטענתו את הנשק לשם הגנה עצמית ועבר הליך טיפולי. </w:t>
      </w:r>
    </w:p>
    <w:p w14:paraId="20748AD5" w14:textId="77777777" w:rsidR="006C43C6" w:rsidRDefault="006C43C6" w:rsidP="006C43C6">
      <w:pPr>
        <w:spacing w:line="360" w:lineRule="auto"/>
        <w:ind w:left="720"/>
        <w:contextualSpacing/>
        <w:jc w:val="both"/>
        <w:rPr>
          <w:rFonts w:ascii="David" w:eastAsia="David" w:hAnsi="David"/>
          <w:rtl/>
        </w:rPr>
      </w:pPr>
    </w:p>
    <w:p w14:paraId="31FEC49A" w14:textId="77777777" w:rsidR="006C43C6" w:rsidRDefault="006C43C6" w:rsidP="006C43C6">
      <w:pPr>
        <w:spacing w:line="360" w:lineRule="auto"/>
        <w:ind w:left="720"/>
        <w:contextualSpacing/>
        <w:jc w:val="both"/>
        <w:rPr>
          <w:rFonts w:ascii="David" w:eastAsia="David" w:hAnsi="David"/>
          <w:rtl/>
        </w:rPr>
      </w:pPr>
      <w:r>
        <w:rPr>
          <w:rFonts w:ascii="David" w:eastAsia="David" w:hAnsi="David"/>
          <w:rtl/>
        </w:rPr>
        <w:t>ב</w:t>
      </w:r>
      <w:hyperlink r:id="rId23" w:history="1">
        <w:r w:rsidR="007E63FC" w:rsidRPr="007E63FC">
          <w:rPr>
            <w:rFonts w:eastAsia="David"/>
            <w:color w:val="0000FF"/>
            <w:u w:val="single"/>
            <w:rtl/>
          </w:rPr>
          <w:t>ע"פ 4290/21</w:t>
        </w:r>
      </w:hyperlink>
      <w:r w:rsidR="007E63FC">
        <w:rPr>
          <w:rFonts w:ascii="David" w:eastAsia="David" w:hAnsi="David"/>
        </w:rPr>
        <w:t xml:space="preserve"> </w:t>
      </w:r>
      <w:r>
        <w:rPr>
          <w:rFonts w:ascii="David" w:eastAsia="David" w:hAnsi="David"/>
          <w:b/>
          <w:bCs/>
          <w:rtl/>
        </w:rPr>
        <w:t>זרבאילוב נ' מדינת ישראל</w:t>
      </w:r>
      <w:r>
        <w:rPr>
          <w:rFonts w:ascii="David" w:eastAsia="David" w:hAnsi="David"/>
          <w:rtl/>
        </w:rPr>
        <w:t xml:space="preserve"> </w:t>
      </w:r>
      <w:r>
        <w:rPr>
          <w:rFonts w:ascii="David" w:eastAsia="David" w:hAnsi="David"/>
        </w:rPr>
        <w:t xml:space="preserve">(6.12.2021) </w:t>
      </w:r>
      <w:r>
        <w:rPr>
          <w:rFonts w:ascii="David" w:eastAsia="David" w:hAnsi="David"/>
          <w:rtl/>
        </w:rPr>
        <w:t xml:space="preserve"> </w:t>
      </w:r>
      <w:r>
        <w:rPr>
          <w:rFonts w:ascii="David" w:eastAsia="David" w:hAnsi="David" w:hint="cs"/>
          <w:rtl/>
        </w:rPr>
        <w:t>דחה בית המשפט העליון את ערעור המערער שנהג ברכבו ונשא בתא המטען שני אקדחים טעונים במחסנית. בית המשפט המחוזי קבע מתחם ענישה הנע בין 36-16 חודשי מאסר. לחובת הנאשם הרשעה אחת שהתיישנה. נדון למאסר בן 18 חודשים</w:t>
      </w:r>
      <w:r>
        <w:rPr>
          <w:rFonts w:ascii="David" w:eastAsia="David" w:hAnsi="David"/>
        </w:rPr>
        <w:t>.</w:t>
      </w:r>
    </w:p>
    <w:p w14:paraId="15C91CC4" w14:textId="77777777" w:rsidR="006C43C6" w:rsidRDefault="006C43C6" w:rsidP="006C43C6">
      <w:pPr>
        <w:spacing w:line="360" w:lineRule="auto"/>
        <w:ind w:left="720"/>
        <w:contextualSpacing/>
        <w:jc w:val="both"/>
        <w:rPr>
          <w:rFonts w:ascii="David" w:eastAsia="David" w:hAnsi="David"/>
          <w:rtl/>
        </w:rPr>
      </w:pPr>
    </w:p>
    <w:p w14:paraId="5F61565B" w14:textId="77777777" w:rsidR="006C43C6" w:rsidRDefault="007E63FC" w:rsidP="006C43C6">
      <w:pPr>
        <w:spacing w:line="360" w:lineRule="auto"/>
        <w:ind w:left="720"/>
        <w:contextualSpacing/>
        <w:jc w:val="both"/>
        <w:rPr>
          <w:rFonts w:ascii="David" w:eastAsia="David" w:hAnsi="David"/>
          <w:rtl/>
        </w:rPr>
      </w:pPr>
      <w:hyperlink r:id="rId24" w:history="1">
        <w:r w:rsidRPr="007E63FC">
          <w:rPr>
            <w:rFonts w:ascii="David" w:eastAsia="David" w:hAnsi="David"/>
            <w:color w:val="0000FF"/>
            <w:u w:val="single"/>
            <w:rtl/>
          </w:rPr>
          <w:t>ת"פ 2049-11-22</w:t>
        </w:r>
      </w:hyperlink>
      <w:r w:rsidR="006C43C6">
        <w:rPr>
          <w:rFonts w:ascii="David" w:eastAsia="David" w:hAnsi="David"/>
          <w:rtl/>
        </w:rPr>
        <w:t xml:space="preserve"> </w:t>
      </w:r>
      <w:r w:rsidR="006C43C6">
        <w:rPr>
          <w:rFonts w:ascii="David" w:eastAsia="David" w:hAnsi="David"/>
          <w:b/>
          <w:bCs/>
          <w:rtl/>
        </w:rPr>
        <w:t>מדינת ישראל נ' אלהווארי</w:t>
      </w:r>
      <w:r w:rsidR="006C43C6">
        <w:rPr>
          <w:rFonts w:ascii="David" w:eastAsia="David" w:hAnsi="David"/>
          <w:rtl/>
        </w:rPr>
        <w:t xml:space="preserve"> (גזר דיני מיום 19.6.23), שם נשא הנאשם בנשק מסוג רובה קלצ'ניקוב במתחם ביתו, כשהגיעו שוטרים למקום, נטל את הנשק והחביאו בבית שכנו. ניתן משקל לאחידות ענישה. נקבע מתחם הנע בין 22-44, על הנאשם נגזר עונש בתחתית המתחם. </w:t>
      </w:r>
    </w:p>
    <w:p w14:paraId="343AC204" w14:textId="77777777" w:rsidR="006C43C6" w:rsidRDefault="006C43C6" w:rsidP="006C43C6">
      <w:pPr>
        <w:spacing w:after="120" w:line="360" w:lineRule="auto"/>
        <w:ind w:left="720"/>
        <w:jc w:val="both"/>
        <w:rPr>
          <w:rFonts w:eastAsia="David"/>
          <w:b/>
          <w:bCs/>
          <w:rtl/>
        </w:rPr>
      </w:pPr>
    </w:p>
    <w:p w14:paraId="4D31EEF1" w14:textId="77777777" w:rsidR="006C43C6" w:rsidRDefault="006C43C6" w:rsidP="006C43C6">
      <w:pPr>
        <w:numPr>
          <w:ilvl w:val="0"/>
          <w:numId w:val="1"/>
        </w:numPr>
        <w:spacing w:line="360" w:lineRule="auto"/>
        <w:jc w:val="both"/>
        <w:rPr>
          <w:b/>
          <w:bCs/>
          <w:u w:val="single"/>
          <w:rtl/>
        </w:rPr>
      </w:pPr>
      <w:r>
        <w:rPr>
          <w:rFonts w:eastAsia="David"/>
          <w:rtl/>
        </w:rPr>
        <w:t xml:space="preserve">בהתחשב במידת הפגיעה בערכים המוגנים, מדיניות הענישה הנוהגת, בהתחשב בנסיבות התיק, ברקע למעשים ובכך שמדובר באקדח שאינו טעון, אני קובעת </w:t>
      </w:r>
      <w:r>
        <w:rPr>
          <w:rFonts w:eastAsia="David"/>
          <w:b/>
          <w:bCs/>
          <w:rtl/>
        </w:rPr>
        <w:t>מתחם ענישה הנע בין 24-42 חודשי מאסר בפועל</w:t>
      </w:r>
      <w:r>
        <w:rPr>
          <w:rFonts w:eastAsia="David"/>
          <w:rtl/>
        </w:rPr>
        <w:t xml:space="preserve">. </w:t>
      </w:r>
    </w:p>
    <w:p w14:paraId="0FA86513" w14:textId="77777777" w:rsidR="006C43C6" w:rsidRDefault="006C43C6" w:rsidP="006C43C6">
      <w:pPr>
        <w:spacing w:line="360" w:lineRule="auto"/>
        <w:ind w:left="720"/>
        <w:jc w:val="both"/>
        <w:rPr>
          <w:b/>
          <w:bCs/>
          <w:u w:val="single"/>
          <w:rtl/>
        </w:rPr>
      </w:pPr>
    </w:p>
    <w:p w14:paraId="4A3A555B" w14:textId="77777777" w:rsidR="006C43C6" w:rsidRDefault="006C43C6" w:rsidP="006C43C6">
      <w:pPr>
        <w:spacing w:line="360" w:lineRule="auto"/>
        <w:ind w:left="720"/>
        <w:jc w:val="both"/>
        <w:rPr>
          <w:b/>
          <w:bCs/>
          <w:u w:val="single"/>
        </w:rPr>
      </w:pPr>
    </w:p>
    <w:p w14:paraId="3AE95A87" w14:textId="77777777" w:rsidR="006C43C6" w:rsidRDefault="006C43C6" w:rsidP="006C43C6">
      <w:pPr>
        <w:spacing w:line="360" w:lineRule="auto"/>
        <w:ind w:firstLine="360"/>
        <w:jc w:val="both"/>
        <w:rPr>
          <w:rFonts w:ascii="David" w:eastAsia="David" w:hAnsi="David"/>
          <w:rtl/>
        </w:rPr>
      </w:pPr>
      <w:r>
        <w:rPr>
          <w:rFonts w:ascii="David" w:eastAsia="David" w:hAnsi="David"/>
          <w:b/>
          <w:bCs/>
          <w:u w:val="single"/>
          <w:rtl/>
        </w:rPr>
        <w:t>גזירת העונש המתאים לנאשם</w:t>
      </w:r>
    </w:p>
    <w:p w14:paraId="2542B80C" w14:textId="77777777" w:rsidR="006C43C6" w:rsidRDefault="006C43C6" w:rsidP="006C43C6">
      <w:pPr>
        <w:numPr>
          <w:ilvl w:val="0"/>
          <w:numId w:val="1"/>
        </w:numPr>
        <w:spacing w:after="160" w:line="360" w:lineRule="auto"/>
        <w:contextualSpacing/>
        <w:jc w:val="both"/>
        <w:rPr>
          <w:rFonts w:ascii="David" w:eastAsia="David" w:hAnsi="David"/>
          <w:rtl/>
        </w:rPr>
      </w:pPr>
      <w:r>
        <w:rPr>
          <w:rFonts w:ascii="David" w:eastAsia="David" w:hAnsi="David"/>
          <w:rtl/>
        </w:rPr>
        <w:t>הנאשם כבן 59, מזה שנים רבות סובל ממחלת נפש לצד שימוש לרעה בסמים. כשהנאשם מקפיד על נטילת טיפול תרופתי מצבו הנפשי מיוצב ומאוזן, כשהוא לא עושה כן, הוא מרע את מצבו, סובל מאי שקט והתנהגות עצבנית. מעשיו בתיק זה הם דוגמא מייצגת לפגיעתו הרעה בציבור, ובמקרה זה בבני משפחתו הקרובים, בתקופות שמצבו הנפשי אינו מיוצב.</w:t>
      </w:r>
    </w:p>
    <w:p w14:paraId="0B9B7762" w14:textId="77777777" w:rsidR="006C43C6" w:rsidRDefault="006C43C6" w:rsidP="006C43C6">
      <w:pPr>
        <w:spacing w:line="360" w:lineRule="auto"/>
        <w:ind w:left="720"/>
        <w:contextualSpacing/>
        <w:jc w:val="both"/>
        <w:rPr>
          <w:rFonts w:ascii="David" w:eastAsia="David" w:hAnsi="David"/>
        </w:rPr>
      </w:pPr>
    </w:p>
    <w:p w14:paraId="663FA7F7" w14:textId="77777777" w:rsidR="006C43C6" w:rsidRDefault="006C43C6" w:rsidP="006C43C6">
      <w:pPr>
        <w:numPr>
          <w:ilvl w:val="0"/>
          <w:numId w:val="1"/>
        </w:numPr>
        <w:spacing w:after="160" w:line="360" w:lineRule="auto"/>
        <w:contextualSpacing/>
        <w:jc w:val="both"/>
        <w:rPr>
          <w:rFonts w:ascii="David" w:eastAsia="David" w:hAnsi="David"/>
        </w:rPr>
      </w:pPr>
      <w:r>
        <w:rPr>
          <w:rFonts w:ascii="David" w:eastAsia="David" w:hAnsi="David"/>
          <w:rtl/>
        </w:rPr>
        <w:t xml:space="preserve">בעברו של הנאשם הרשעות רבות בעיקר בעבירות רכוש. מספר הליכים בין השנים 2011-2014 הופסקו מחמת מצבו הנפשי, בשנת 2019 נדון בגין עבירות אלימות במשפחה למאסר על תנאי וצו מבחן. </w:t>
      </w:r>
    </w:p>
    <w:p w14:paraId="331BA5DE" w14:textId="77777777" w:rsidR="006C43C6" w:rsidRDefault="006C43C6" w:rsidP="006C43C6">
      <w:pPr>
        <w:pStyle w:val="a9"/>
        <w:rPr>
          <w:rFonts w:ascii="David" w:eastAsia="David" w:hAnsi="David" w:cs="David"/>
          <w:sz w:val="24"/>
          <w:szCs w:val="24"/>
        </w:rPr>
      </w:pPr>
    </w:p>
    <w:p w14:paraId="46B70825" w14:textId="77777777" w:rsidR="006C43C6" w:rsidRDefault="006C43C6" w:rsidP="006C43C6">
      <w:pPr>
        <w:numPr>
          <w:ilvl w:val="0"/>
          <w:numId w:val="1"/>
        </w:numPr>
        <w:spacing w:after="160" w:line="360" w:lineRule="auto"/>
        <w:contextualSpacing/>
        <w:jc w:val="both"/>
        <w:rPr>
          <w:rFonts w:ascii="David" w:eastAsia="David" w:hAnsi="David"/>
          <w:rtl/>
        </w:rPr>
      </w:pPr>
      <w:r>
        <w:rPr>
          <w:rFonts w:ascii="David" w:eastAsia="David" w:hAnsi="David"/>
          <w:rtl/>
        </w:rPr>
        <w:t xml:space="preserve">הנאשם מאושפז יותר משנה במסגרת מב"ן, כעולה מחוות הדעת המעודכנת הוחלט להשאיר את הנאשם באשפוז גם לאחר שמצבו הנפשי התייצב כדי לשלבו בהליך שיקומי-טיפולי. הנאשם משתף פעולה עם גורמי הטיפול, משמש אחראי חולייה ומסייע למטופלים אחרים. ניכר שעובר הליך טיפולי משמעותי, מבין את החשיבות בנטילת תרופות והימנעות משימוש בסמים. אמנם לא ברור האם הנאשם ימשיך בהתנהלותו החיובית גם לאחר שחרורו </w:t>
      </w:r>
      <w:r>
        <w:rPr>
          <w:rFonts w:ascii="David" w:eastAsia="David" w:hAnsi="David" w:hint="cs"/>
          <w:rtl/>
        </w:rPr>
        <w:t xml:space="preserve">ממאסר </w:t>
      </w:r>
      <w:r>
        <w:rPr>
          <w:rFonts w:ascii="David" w:eastAsia="David" w:hAnsi="David"/>
          <w:rtl/>
        </w:rPr>
        <w:t>אך לא ניתן להתעלם מכברת הדרך הטיפולית שעובר ומהערכת גורמי הטיפול כי מצבו מאוזן וחלה הפחתה ברמת מסוכנותו של הנאשם. לפיכך מצאתי ללכת לקראת הנאשם נוכח התקופה הממושכת שמצוי בהליכי טיפול ומתנהל באופן תקין, למקם את עונשו בתחתית המתחם</w:t>
      </w:r>
      <w:r>
        <w:rPr>
          <w:rFonts w:ascii="David" w:eastAsia="David" w:hAnsi="David" w:hint="cs"/>
          <w:rtl/>
        </w:rPr>
        <w:t xml:space="preserve"> חרף עברו</w:t>
      </w:r>
      <w:r>
        <w:rPr>
          <w:rFonts w:ascii="David" w:eastAsia="David" w:hAnsi="David"/>
          <w:rtl/>
        </w:rPr>
        <w:t xml:space="preserve"> ואף לחרוג חריגה קלה מטעמי שיקום ממתחם הענישה ומהוראת </w:t>
      </w:r>
      <w:hyperlink r:id="rId25" w:history="1">
        <w:r w:rsidR="006C65B0" w:rsidRPr="006C65B0">
          <w:rPr>
            <w:rStyle w:val="Hyperlink"/>
            <w:rFonts w:ascii="David" w:eastAsia="David" w:hAnsi="David"/>
            <w:color w:val="0000FF"/>
            <w:rtl/>
          </w:rPr>
          <w:t>סעיף 140</w:t>
        </w:r>
      </w:hyperlink>
      <w:r>
        <w:rPr>
          <w:rFonts w:ascii="David" w:eastAsia="David" w:hAnsi="David"/>
          <w:rtl/>
        </w:rPr>
        <w:t xml:space="preserve"> לחוק. </w:t>
      </w:r>
    </w:p>
    <w:p w14:paraId="76C04CC1" w14:textId="77777777" w:rsidR="006C43C6" w:rsidRDefault="006C43C6" w:rsidP="006C43C6">
      <w:pPr>
        <w:spacing w:after="160" w:line="360" w:lineRule="auto"/>
        <w:ind w:left="720"/>
        <w:contextualSpacing/>
        <w:jc w:val="both"/>
        <w:rPr>
          <w:rFonts w:ascii="David" w:eastAsia="David" w:hAnsi="David"/>
        </w:rPr>
      </w:pPr>
    </w:p>
    <w:p w14:paraId="4A4D75BC" w14:textId="77777777" w:rsidR="006C43C6" w:rsidRDefault="006C43C6" w:rsidP="006C43C6">
      <w:pPr>
        <w:numPr>
          <w:ilvl w:val="0"/>
          <w:numId w:val="1"/>
        </w:numPr>
        <w:spacing w:after="160" w:line="360" w:lineRule="auto"/>
        <w:contextualSpacing/>
        <w:jc w:val="both"/>
        <w:rPr>
          <w:rFonts w:ascii="David" w:eastAsia="David" w:hAnsi="David"/>
          <w:rtl/>
        </w:rPr>
      </w:pPr>
      <w:r>
        <w:rPr>
          <w:rFonts w:ascii="David" w:eastAsia="David" w:hAnsi="David"/>
          <w:rtl/>
        </w:rPr>
        <w:t>אני גוזרת איפוא על הנאשם את העונשים הבאים:</w:t>
      </w:r>
    </w:p>
    <w:p w14:paraId="18AA7D40" w14:textId="77777777" w:rsidR="006C43C6" w:rsidRDefault="006C43C6" w:rsidP="006C43C6">
      <w:pPr>
        <w:numPr>
          <w:ilvl w:val="0"/>
          <w:numId w:val="2"/>
        </w:numPr>
        <w:spacing w:line="360" w:lineRule="auto"/>
        <w:contextualSpacing/>
        <w:jc w:val="both"/>
        <w:rPr>
          <w:rFonts w:ascii="David" w:eastAsia="David" w:hAnsi="David"/>
          <w:rtl/>
        </w:rPr>
      </w:pPr>
      <w:r>
        <w:rPr>
          <w:rFonts w:ascii="David" w:eastAsia="David" w:hAnsi="David"/>
          <w:b/>
          <w:bCs/>
          <w:rtl/>
        </w:rPr>
        <w:t>22 חודשי מאסר</w:t>
      </w:r>
      <w:r>
        <w:rPr>
          <w:rFonts w:ascii="David" w:eastAsia="David" w:hAnsi="David"/>
          <w:rtl/>
        </w:rPr>
        <w:t xml:space="preserve"> החל מיום מעצרו 18.1.24. </w:t>
      </w:r>
    </w:p>
    <w:p w14:paraId="5F93AC75" w14:textId="77777777" w:rsidR="006C43C6" w:rsidRDefault="006C43C6" w:rsidP="006C43C6">
      <w:pPr>
        <w:numPr>
          <w:ilvl w:val="0"/>
          <w:numId w:val="2"/>
        </w:numPr>
        <w:spacing w:line="360" w:lineRule="auto"/>
        <w:contextualSpacing/>
        <w:jc w:val="both"/>
        <w:rPr>
          <w:rFonts w:ascii="David" w:eastAsia="David" w:hAnsi="David"/>
        </w:rPr>
      </w:pPr>
      <w:r>
        <w:rPr>
          <w:rFonts w:ascii="David" w:eastAsia="David" w:hAnsi="David"/>
          <w:rtl/>
        </w:rPr>
        <w:t xml:space="preserve">מאסר על תנאי בן 10 חודשים לבל יעבור הנאשם עבירת נשק תוך 3 שנים מיום שחרורו ממאסר. </w:t>
      </w:r>
    </w:p>
    <w:p w14:paraId="3F4BE4CA" w14:textId="77777777" w:rsidR="006C43C6" w:rsidRDefault="006C43C6" w:rsidP="006C43C6">
      <w:pPr>
        <w:numPr>
          <w:ilvl w:val="0"/>
          <w:numId w:val="2"/>
        </w:numPr>
        <w:spacing w:line="360" w:lineRule="auto"/>
        <w:contextualSpacing/>
        <w:jc w:val="both"/>
        <w:rPr>
          <w:rFonts w:ascii="David" w:eastAsia="David" w:hAnsi="David"/>
        </w:rPr>
      </w:pPr>
      <w:r>
        <w:rPr>
          <w:rFonts w:ascii="David" w:eastAsia="David" w:hAnsi="David"/>
          <w:rtl/>
        </w:rPr>
        <w:t xml:space="preserve">קנס בסך 1,500 ₪ או 21 ימי מאסר תמורתו. הקנס ישולם ב-2 תשלומים שווים ורצופים החל מיום 15.5.25. </w:t>
      </w:r>
    </w:p>
    <w:p w14:paraId="5D94DC84" w14:textId="77777777" w:rsidR="006C43C6" w:rsidRDefault="006C43C6" w:rsidP="006C43C6">
      <w:pPr>
        <w:spacing w:line="360" w:lineRule="auto"/>
        <w:jc w:val="both"/>
        <w:rPr>
          <w:rFonts w:ascii="David" w:eastAsia="David" w:hAnsi="David"/>
        </w:rPr>
      </w:pPr>
    </w:p>
    <w:p w14:paraId="32DCAA91" w14:textId="77777777" w:rsidR="006C43C6" w:rsidRDefault="007E63FC" w:rsidP="006C43C6">
      <w:pPr>
        <w:spacing w:line="360" w:lineRule="auto"/>
        <w:ind w:left="720"/>
        <w:jc w:val="both"/>
        <w:rPr>
          <w:rFonts w:ascii="David" w:eastAsia="David" w:hAnsi="David"/>
          <w:b/>
          <w:bCs/>
          <w:rtl/>
        </w:rPr>
      </w:pPr>
      <w:r w:rsidRPr="007E63FC">
        <w:rPr>
          <w:rFonts w:ascii="David" w:eastAsia="David" w:hAnsi="David"/>
          <w:color w:val="FFFFFF"/>
          <w:sz w:val="2"/>
          <w:szCs w:val="2"/>
          <w:rtl/>
        </w:rPr>
        <w:t>5129371</w:t>
      </w:r>
      <w:r w:rsidR="006C43C6">
        <w:rPr>
          <w:rFonts w:ascii="David" w:eastAsia="David" w:hAnsi="David"/>
          <w:rtl/>
        </w:rPr>
        <w:t>הנשק והמחסנית יושמדו. צו כללי למוצגים</w:t>
      </w:r>
    </w:p>
    <w:p w14:paraId="568844C1" w14:textId="77777777" w:rsidR="006C43C6" w:rsidRPr="000F2247" w:rsidRDefault="007E63FC" w:rsidP="006C43C6">
      <w:pPr>
        <w:rPr>
          <w:rFonts w:ascii="Arial" w:hAnsi="Arial"/>
          <w:b/>
          <w:bCs/>
          <w:sz w:val="26"/>
          <w:szCs w:val="26"/>
          <w:rtl/>
        </w:rPr>
      </w:pPr>
      <w:r w:rsidRPr="007E63FC">
        <w:rPr>
          <w:rFonts w:ascii="David" w:eastAsia="David" w:hAnsi="David"/>
          <w:b/>
          <w:bCs/>
          <w:color w:val="FFFFFF"/>
          <w:sz w:val="2"/>
          <w:szCs w:val="2"/>
          <w:rtl/>
        </w:rPr>
        <w:t>54678313</w:t>
      </w:r>
      <w:r w:rsidR="006C43C6">
        <w:rPr>
          <w:rFonts w:ascii="David" w:eastAsia="David" w:hAnsi="David"/>
          <w:b/>
          <w:bCs/>
          <w:rtl/>
        </w:rPr>
        <w:t>זכות ערעור לבית המשפט העליון תוך 45 יום.</w:t>
      </w:r>
    </w:p>
    <w:p w14:paraId="44C29646" w14:textId="77777777" w:rsidR="006C43C6" w:rsidRPr="000F2247" w:rsidRDefault="006C43C6" w:rsidP="006C43C6">
      <w:pPr>
        <w:rPr>
          <w:rFonts w:ascii="Arial" w:hAnsi="Arial"/>
          <w:b/>
          <w:bCs/>
          <w:sz w:val="26"/>
          <w:szCs w:val="26"/>
          <w:rtl/>
        </w:rPr>
      </w:pPr>
    </w:p>
    <w:p w14:paraId="780BE66D" w14:textId="77777777" w:rsidR="007E63FC" w:rsidRDefault="007E63FC" w:rsidP="007E63FC">
      <w:bookmarkStart w:id="8" w:name="Nitan"/>
      <w:r>
        <w:rPr>
          <w:rFonts w:ascii="Arial" w:hAnsi="Arial"/>
          <w:b/>
          <w:bCs/>
          <w:sz w:val="26"/>
          <w:szCs w:val="26"/>
          <w:rtl/>
        </w:rPr>
        <w:t xml:space="preserve">ניתן היום,  כ"ג ניסן תשפ"ה, 21 אפריל 2025, במעמד הצדדים. </w:t>
      </w:r>
      <w:bookmarkEnd w:id="8"/>
      <w:r w:rsidR="006C43C6">
        <w:rPr>
          <w:rFonts w:ascii="Arial" w:hAnsi="Arial"/>
          <w:b/>
          <w:bCs/>
          <w:sz w:val="26"/>
          <w:szCs w:val="26"/>
          <w:rtl/>
        </w:rPr>
        <w:tab/>
      </w:r>
      <w:r w:rsidR="006C43C6">
        <w:rPr>
          <w:rFonts w:ascii="Arial" w:hAnsi="Arial"/>
          <w:b/>
          <w:bCs/>
          <w:sz w:val="26"/>
          <w:szCs w:val="26"/>
          <w:rtl/>
        </w:rPr>
        <w:tab/>
      </w:r>
      <w:r w:rsidR="006C43C6">
        <w:rPr>
          <w:rFonts w:ascii="Arial" w:hAnsi="Arial"/>
          <w:b/>
          <w:bCs/>
          <w:sz w:val="26"/>
          <w:szCs w:val="26"/>
          <w:rtl/>
        </w:rPr>
        <w:tab/>
      </w:r>
    </w:p>
    <w:p w14:paraId="7B93CC1F" w14:textId="77777777" w:rsidR="007E63FC" w:rsidRDefault="007E63FC" w:rsidP="007E63FC">
      <w:pPr>
        <w:rPr>
          <w:rtl/>
        </w:rPr>
      </w:pPr>
    </w:p>
    <w:p w14:paraId="700AAA15" w14:textId="77777777" w:rsidR="007E63FC" w:rsidRDefault="007E63FC" w:rsidP="007E63FC">
      <w:pPr>
        <w:jc w:val="center"/>
        <w:rPr>
          <w:color w:val="0000FF"/>
          <w:u w:val="single"/>
        </w:rPr>
      </w:pPr>
      <w:hyperlink r:id="rId26" w:history="1">
        <w:r>
          <w:rPr>
            <w:color w:val="0000FF"/>
            <w:u w:val="single"/>
            <w:rtl/>
          </w:rPr>
          <w:t>בעניין עריכה ושינויים במסמכי פסיקה, חקיקה ועוד באתר נבו – הקש כאן</w:t>
        </w:r>
      </w:hyperlink>
    </w:p>
    <w:p w14:paraId="642BEC53" w14:textId="77777777" w:rsidR="006C65B0" w:rsidRPr="006C65B0" w:rsidRDefault="006C65B0" w:rsidP="006C65B0">
      <w:pPr>
        <w:keepNext/>
        <w:rPr>
          <w:rFonts w:ascii="David" w:hAnsi="David"/>
          <w:color w:val="000000"/>
          <w:sz w:val="22"/>
          <w:szCs w:val="22"/>
          <w:rtl/>
        </w:rPr>
      </w:pPr>
    </w:p>
    <w:p w14:paraId="0416205F" w14:textId="77777777" w:rsidR="006C65B0" w:rsidRPr="006C65B0" w:rsidRDefault="006C65B0" w:rsidP="006C65B0">
      <w:pPr>
        <w:keepNext/>
        <w:rPr>
          <w:rFonts w:ascii="David" w:hAnsi="David"/>
          <w:color w:val="000000"/>
          <w:sz w:val="22"/>
          <w:szCs w:val="22"/>
          <w:rtl/>
        </w:rPr>
      </w:pPr>
      <w:r w:rsidRPr="006C65B0">
        <w:rPr>
          <w:rFonts w:ascii="David" w:hAnsi="David"/>
          <w:color w:val="000000"/>
          <w:sz w:val="22"/>
          <w:szCs w:val="22"/>
          <w:rtl/>
        </w:rPr>
        <w:t>מרב גרינברג 54678313-/</w:t>
      </w:r>
    </w:p>
    <w:p w14:paraId="5FE4856C" w14:textId="77777777" w:rsidR="007E63FC" w:rsidRPr="007E63FC" w:rsidRDefault="006C65B0" w:rsidP="006C65B0">
      <w:pPr>
        <w:rPr>
          <w:color w:val="0000FF"/>
          <w:u w:val="single"/>
        </w:rPr>
      </w:pPr>
      <w:r w:rsidRPr="006C65B0">
        <w:rPr>
          <w:color w:val="000000"/>
          <w:u w:val="single"/>
          <w:rtl/>
        </w:rPr>
        <w:t>נוסח מסמך זה כפוף לשינויי ניסוח ועריכה</w:t>
      </w:r>
    </w:p>
    <w:sectPr w:rsidR="007E63FC" w:rsidRPr="007E63FC" w:rsidSect="006C65B0">
      <w:headerReference w:type="even" r:id="rId27"/>
      <w:headerReference w:type="default" r:id="rId28"/>
      <w:footerReference w:type="even" r:id="rId29"/>
      <w:footerReference w:type="default" r:id="rId30"/>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FE07E55" w14:textId="77777777" w:rsidR="0001753B" w:rsidRDefault="0001753B" w:rsidP="00635703">
      <w:r>
        <w:separator/>
      </w:r>
    </w:p>
  </w:endnote>
  <w:endnote w:type="continuationSeparator" w:id="0">
    <w:p w14:paraId="473FE229" w14:textId="77777777" w:rsidR="0001753B" w:rsidRDefault="0001753B" w:rsidP="006357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David">
    <w:panose1 w:val="020E0502060401010101"/>
    <w:charset w:val="00"/>
    <w:family w:val="swiss"/>
    <w:pitch w:val="variable"/>
    <w:sig w:usb0="00000803" w:usb1="00000000" w:usb2="00000000" w:usb3="00000000" w:csb0="0000002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6A450F" w14:textId="77777777" w:rsidR="006C65B0" w:rsidRDefault="006C65B0" w:rsidP="006C65B0">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4</w:t>
    </w:r>
    <w:r>
      <w:rPr>
        <w:rFonts w:ascii="FrankRuehl" w:hAnsi="FrankRuehl" w:cs="FrankRuehl"/>
        <w:rtl/>
      </w:rPr>
      <w:fldChar w:fldCharType="end"/>
    </w:r>
  </w:p>
  <w:p w14:paraId="5DE81F59" w14:textId="77777777" w:rsidR="00743E6A" w:rsidRPr="006C65B0" w:rsidRDefault="006C65B0" w:rsidP="006C65B0">
    <w:pPr>
      <w:pStyle w:val="a5"/>
      <w:pBdr>
        <w:top w:val="single" w:sz="4" w:space="1" w:color="auto"/>
        <w:between w:val="single" w:sz="4" w:space="0" w:color="auto"/>
      </w:pBdr>
      <w:spacing w:after="60"/>
      <w:jc w:val="center"/>
      <w:rPr>
        <w:rFonts w:ascii="FrankRuehl" w:hAnsi="FrankRuehl" w:cs="FrankRuehl"/>
        <w:color w:val="000000"/>
      </w:rPr>
    </w:pPr>
    <w:r w:rsidRPr="006C65B0">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63FEF1" w14:textId="77777777" w:rsidR="006C65B0" w:rsidRDefault="006C65B0" w:rsidP="006C65B0">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BE54DA">
      <w:rPr>
        <w:rFonts w:ascii="FrankRuehl" w:hAnsi="FrankRuehl" w:cs="FrankRuehl"/>
        <w:noProof/>
        <w:rtl/>
      </w:rPr>
      <w:t>1</w:t>
    </w:r>
    <w:r>
      <w:rPr>
        <w:rFonts w:ascii="FrankRuehl" w:hAnsi="FrankRuehl" w:cs="FrankRuehl"/>
        <w:rtl/>
      </w:rPr>
      <w:fldChar w:fldCharType="end"/>
    </w:r>
  </w:p>
  <w:p w14:paraId="7E382170" w14:textId="77777777" w:rsidR="00743E6A" w:rsidRPr="006C65B0" w:rsidRDefault="006C65B0" w:rsidP="006C65B0">
    <w:pPr>
      <w:pStyle w:val="a5"/>
      <w:pBdr>
        <w:top w:val="single" w:sz="4" w:space="1" w:color="auto"/>
        <w:between w:val="single" w:sz="4" w:space="0" w:color="auto"/>
      </w:pBdr>
      <w:spacing w:after="60"/>
      <w:jc w:val="center"/>
      <w:rPr>
        <w:rFonts w:ascii="FrankRuehl" w:hAnsi="FrankRuehl" w:cs="FrankRuehl"/>
        <w:color w:val="000000"/>
      </w:rPr>
    </w:pPr>
    <w:r w:rsidRPr="006C65B0">
      <w:rPr>
        <w:rFonts w:ascii="FrankRuehl" w:hAnsi="FrankRuehl" w:cs="FrankRuehl"/>
        <w:color w:val="000000"/>
      </w:rPr>
      <w:pict w14:anchorId="387A92C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09210F0" w14:textId="77777777" w:rsidR="0001753B" w:rsidRDefault="0001753B" w:rsidP="00635703">
      <w:r>
        <w:separator/>
      </w:r>
    </w:p>
  </w:footnote>
  <w:footnote w:type="continuationSeparator" w:id="0">
    <w:p w14:paraId="6F660838" w14:textId="77777777" w:rsidR="0001753B" w:rsidRDefault="0001753B" w:rsidP="0063570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2491B3" w14:textId="77777777" w:rsidR="007E63FC" w:rsidRPr="006C65B0" w:rsidRDefault="006C65B0" w:rsidP="006C65B0">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(מרכז) 978-02-24</w:t>
    </w:r>
    <w:r>
      <w:rPr>
        <w:rFonts w:ascii="David" w:hAnsi="David"/>
        <w:color w:val="000000"/>
        <w:sz w:val="22"/>
        <w:szCs w:val="22"/>
        <w:rtl/>
      </w:rPr>
      <w:tab/>
      <w:t xml:space="preserve"> מדינת ישראל נ' קדרי זביידי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71CDEA" w14:textId="77777777" w:rsidR="007E63FC" w:rsidRPr="006C65B0" w:rsidRDefault="006C65B0" w:rsidP="006C65B0">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(מרכז) 978-02-24</w:t>
    </w:r>
    <w:r>
      <w:rPr>
        <w:rFonts w:ascii="David" w:hAnsi="David"/>
        <w:color w:val="000000"/>
        <w:sz w:val="22"/>
        <w:szCs w:val="22"/>
        <w:rtl/>
      </w:rPr>
      <w:tab/>
      <w:t xml:space="preserve"> מדינת ישראל נ' קדרי זביידי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CB35F1"/>
    <w:multiLevelType w:val="hybridMultilevel"/>
    <w:tmpl w:val="C700065E"/>
    <w:lvl w:ilvl="0" w:tplc="F69A0EBC">
      <w:start w:val="1"/>
      <w:numFmt w:val="hebrew1"/>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 w15:restartNumberingAfterBreak="0">
    <w:nsid w:val="7EC356E9"/>
    <w:multiLevelType w:val="hybridMultilevel"/>
    <w:tmpl w:val="6ABE6A52"/>
    <w:lvl w:ilvl="0" w:tplc="3E76A852">
      <w:start w:val="1"/>
      <w:numFmt w:val="decimal"/>
      <w:lvlText w:val="%1."/>
      <w:lvlJc w:val="left"/>
      <w:pPr>
        <w:ind w:left="720" w:hanging="360"/>
      </w:pPr>
      <w:rPr>
        <w:rFonts w:ascii="David" w:hAnsi="David" w:cs="David" w:hint="default"/>
        <w:b w:val="0"/>
        <w:bCs w:val="0"/>
        <w:sz w:val="24"/>
        <w:szCs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70079056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44392107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6C43C6"/>
    <w:rsid w:val="0001753B"/>
    <w:rsid w:val="00635703"/>
    <w:rsid w:val="006B7B71"/>
    <w:rsid w:val="006C43C6"/>
    <w:rsid w:val="006C65B0"/>
    <w:rsid w:val="00743E6A"/>
    <w:rsid w:val="007E63FC"/>
    <w:rsid w:val="00802F80"/>
    <w:rsid w:val="00A912ED"/>
    <w:rsid w:val="00BE54D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8C70EAF"/>
  <w15:chartTrackingRefBased/>
  <w15:docId w15:val="{19614BBC-6195-4E33-A181-F2AE53BCD9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6C43C6"/>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6C43C6"/>
    <w:pPr>
      <w:tabs>
        <w:tab w:val="center" w:pos="4153"/>
        <w:tab w:val="right" w:pos="8306"/>
      </w:tabs>
    </w:pPr>
  </w:style>
  <w:style w:type="character" w:customStyle="1" w:styleId="a4">
    <w:name w:val="כותרת עליונה תו"/>
    <w:link w:val="a3"/>
    <w:rsid w:val="006C43C6"/>
    <w:rPr>
      <w:rFonts w:ascii="Times New Roman" w:eastAsia="Times New Roman" w:hAnsi="Times New Roman" w:cs="David"/>
      <w:sz w:val="24"/>
      <w:szCs w:val="24"/>
    </w:rPr>
  </w:style>
  <w:style w:type="paragraph" w:styleId="a5">
    <w:name w:val="footer"/>
    <w:basedOn w:val="a"/>
    <w:link w:val="a6"/>
    <w:rsid w:val="006C43C6"/>
    <w:pPr>
      <w:tabs>
        <w:tab w:val="center" w:pos="4153"/>
        <w:tab w:val="right" w:pos="8306"/>
      </w:tabs>
    </w:pPr>
  </w:style>
  <w:style w:type="character" w:customStyle="1" w:styleId="a6">
    <w:name w:val="כותרת תחתונה תו"/>
    <w:link w:val="a5"/>
    <w:rsid w:val="006C43C6"/>
    <w:rPr>
      <w:rFonts w:ascii="Times New Roman" w:eastAsia="Times New Roman" w:hAnsi="Times New Roman" w:cs="David"/>
      <w:sz w:val="24"/>
      <w:szCs w:val="24"/>
    </w:rPr>
  </w:style>
  <w:style w:type="table" w:styleId="a7">
    <w:name w:val="Table Grid"/>
    <w:basedOn w:val="a1"/>
    <w:rsid w:val="006C43C6"/>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6C43C6"/>
  </w:style>
  <w:style w:type="paragraph" w:styleId="a9">
    <w:name w:val="List Paragraph"/>
    <w:basedOn w:val="a"/>
    <w:qFormat/>
    <w:rsid w:val="006C43C6"/>
    <w:pPr>
      <w:spacing w:after="160" w:line="256" w:lineRule="auto"/>
      <w:ind w:left="720"/>
      <w:contextualSpacing/>
    </w:pPr>
    <w:rPr>
      <w:rFonts w:ascii="Calibri" w:eastAsia="Calibri" w:hAnsi="Calibri" w:cs="Arial"/>
      <w:sz w:val="22"/>
      <w:szCs w:val="22"/>
    </w:rPr>
  </w:style>
  <w:style w:type="character" w:styleId="Hyperlink">
    <w:name w:val="Hyperlink"/>
    <w:rsid w:val="007E63FC"/>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140" TargetMode="External"/><Relationship Id="rId13" Type="http://schemas.openxmlformats.org/officeDocument/2006/relationships/hyperlink" Target="http://www.nevo.co.il/law/70301/192" TargetMode="External"/><Relationship Id="rId18" Type="http://schemas.openxmlformats.org/officeDocument/2006/relationships/hyperlink" Target="http://www.nevo.co.il/case/5568354" TargetMode="External"/><Relationship Id="rId26" Type="http://schemas.openxmlformats.org/officeDocument/2006/relationships/hyperlink" Target="http://www.nevo.co.il/advertisements/nevo-100.doc" TargetMode="External"/><Relationship Id="rId3" Type="http://schemas.openxmlformats.org/officeDocument/2006/relationships/settings" Target="settings.xml"/><Relationship Id="rId21" Type="http://schemas.openxmlformats.org/officeDocument/2006/relationships/hyperlink" Target="http://www.nevo.co.il/case/27494821" TargetMode="External"/><Relationship Id="rId7" Type="http://schemas.openxmlformats.org/officeDocument/2006/relationships/hyperlink" Target="http://www.nevo.co.il/law/70301" TargetMode="External"/><Relationship Id="rId12" Type="http://schemas.openxmlformats.org/officeDocument/2006/relationships/hyperlink" Target="http://www.nevo.co.il/law/70301" TargetMode="External"/><Relationship Id="rId17" Type="http://schemas.openxmlformats.org/officeDocument/2006/relationships/hyperlink" Target="http://www.nevo.co.il/case/28452933" TargetMode="External"/><Relationship Id="rId25" Type="http://schemas.openxmlformats.org/officeDocument/2006/relationships/hyperlink" Target="http://www.nevo.co.il/law/70301/140" TargetMode="External"/><Relationship Id="rId2" Type="http://schemas.openxmlformats.org/officeDocument/2006/relationships/styles" Target="styles.xml"/><Relationship Id="rId16" Type="http://schemas.openxmlformats.org/officeDocument/2006/relationships/hyperlink" Target="http://www.nevo.co.il/case/28152132" TargetMode="External"/><Relationship Id="rId20" Type="http://schemas.openxmlformats.org/officeDocument/2006/relationships/hyperlink" Target="http://www.nevo.co.il/case/27502726" TargetMode="External"/><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144.b" TargetMode="External"/><Relationship Id="rId24" Type="http://schemas.openxmlformats.org/officeDocument/2006/relationships/hyperlink" Target="http://www.nevo.co.il/case/29098539"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nevo.co.il/case/27911638" TargetMode="External"/><Relationship Id="rId23" Type="http://schemas.openxmlformats.org/officeDocument/2006/relationships/hyperlink" Target="http://www.nevo.co.il/case/27716369" TargetMode="External"/><Relationship Id="rId28" Type="http://schemas.openxmlformats.org/officeDocument/2006/relationships/header" Target="header2.xml"/><Relationship Id="rId10" Type="http://schemas.openxmlformats.org/officeDocument/2006/relationships/hyperlink" Target="http://www.nevo.co.il/law/70301/192" TargetMode="External"/><Relationship Id="rId19" Type="http://schemas.openxmlformats.org/officeDocument/2006/relationships/hyperlink" Target="http://www.nevo.co.il/case/28601157"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nevo.co.il/law/70301/144.b" TargetMode="External"/><Relationship Id="rId14" Type="http://schemas.openxmlformats.org/officeDocument/2006/relationships/hyperlink" Target="http://www.nevo.co.il/case/27894608" TargetMode="External"/><Relationship Id="rId22" Type="http://schemas.openxmlformats.org/officeDocument/2006/relationships/hyperlink" Target="http://www.nevo.co.il/case/28380863" TargetMode="External"/><Relationship Id="rId27" Type="http://schemas.openxmlformats.org/officeDocument/2006/relationships/header" Target="header1.xml"/><Relationship Id="rId30"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2041</Words>
  <Characters>10210</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12227</CharactersWithSpaces>
  <SharedDoc>false</SharedDoc>
  <HLinks>
    <vt:vector size="120" baseType="variant">
      <vt:variant>
        <vt:i4>393283</vt:i4>
      </vt:variant>
      <vt:variant>
        <vt:i4>57</vt:i4>
      </vt:variant>
      <vt:variant>
        <vt:i4>0</vt:i4>
      </vt:variant>
      <vt:variant>
        <vt:i4>5</vt:i4>
      </vt:variant>
      <vt:variant>
        <vt:lpwstr>http://www.nevo.co.il/advertisements/nevo-100.doc</vt:lpwstr>
      </vt:variant>
      <vt:variant>
        <vt:lpwstr/>
      </vt:variant>
      <vt:variant>
        <vt:i4>6357092</vt:i4>
      </vt:variant>
      <vt:variant>
        <vt:i4>54</vt:i4>
      </vt:variant>
      <vt:variant>
        <vt:i4>0</vt:i4>
      </vt:variant>
      <vt:variant>
        <vt:i4>5</vt:i4>
      </vt:variant>
      <vt:variant>
        <vt:lpwstr>http://www.nevo.co.il/law/70301/140</vt:lpwstr>
      </vt:variant>
      <vt:variant>
        <vt:lpwstr/>
      </vt:variant>
      <vt:variant>
        <vt:i4>3735665</vt:i4>
      </vt:variant>
      <vt:variant>
        <vt:i4>51</vt:i4>
      </vt:variant>
      <vt:variant>
        <vt:i4>0</vt:i4>
      </vt:variant>
      <vt:variant>
        <vt:i4>5</vt:i4>
      </vt:variant>
      <vt:variant>
        <vt:lpwstr>http://www.nevo.co.il/case/29098539</vt:lpwstr>
      </vt:variant>
      <vt:variant>
        <vt:lpwstr/>
      </vt:variant>
      <vt:variant>
        <vt:i4>3473521</vt:i4>
      </vt:variant>
      <vt:variant>
        <vt:i4>48</vt:i4>
      </vt:variant>
      <vt:variant>
        <vt:i4>0</vt:i4>
      </vt:variant>
      <vt:variant>
        <vt:i4>5</vt:i4>
      </vt:variant>
      <vt:variant>
        <vt:lpwstr>http://www.nevo.co.il/case/27716369</vt:lpwstr>
      </vt:variant>
      <vt:variant>
        <vt:lpwstr/>
      </vt:variant>
      <vt:variant>
        <vt:i4>3604604</vt:i4>
      </vt:variant>
      <vt:variant>
        <vt:i4>45</vt:i4>
      </vt:variant>
      <vt:variant>
        <vt:i4>0</vt:i4>
      </vt:variant>
      <vt:variant>
        <vt:i4>5</vt:i4>
      </vt:variant>
      <vt:variant>
        <vt:lpwstr>http://www.nevo.co.il/case/28380863</vt:lpwstr>
      </vt:variant>
      <vt:variant>
        <vt:lpwstr/>
      </vt:variant>
      <vt:variant>
        <vt:i4>3145842</vt:i4>
      </vt:variant>
      <vt:variant>
        <vt:i4>42</vt:i4>
      </vt:variant>
      <vt:variant>
        <vt:i4>0</vt:i4>
      </vt:variant>
      <vt:variant>
        <vt:i4>5</vt:i4>
      </vt:variant>
      <vt:variant>
        <vt:lpwstr>http://www.nevo.co.il/case/27494821</vt:lpwstr>
      </vt:variant>
      <vt:variant>
        <vt:lpwstr/>
      </vt:variant>
      <vt:variant>
        <vt:i4>3604596</vt:i4>
      </vt:variant>
      <vt:variant>
        <vt:i4>39</vt:i4>
      </vt:variant>
      <vt:variant>
        <vt:i4>0</vt:i4>
      </vt:variant>
      <vt:variant>
        <vt:i4>5</vt:i4>
      </vt:variant>
      <vt:variant>
        <vt:lpwstr>http://www.nevo.co.il/case/27502726</vt:lpwstr>
      </vt:variant>
      <vt:variant>
        <vt:lpwstr/>
      </vt:variant>
      <vt:variant>
        <vt:i4>3145853</vt:i4>
      </vt:variant>
      <vt:variant>
        <vt:i4>36</vt:i4>
      </vt:variant>
      <vt:variant>
        <vt:i4>0</vt:i4>
      </vt:variant>
      <vt:variant>
        <vt:i4>5</vt:i4>
      </vt:variant>
      <vt:variant>
        <vt:lpwstr>http://www.nevo.co.il/case/28601157</vt:lpwstr>
      </vt:variant>
      <vt:variant>
        <vt:lpwstr/>
      </vt:variant>
      <vt:variant>
        <vt:i4>3407996</vt:i4>
      </vt:variant>
      <vt:variant>
        <vt:i4>33</vt:i4>
      </vt:variant>
      <vt:variant>
        <vt:i4>0</vt:i4>
      </vt:variant>
      <vt:variant>
        <vt:i4>5</vt:i4>
      </vt:variant>
      <vt:variant>
        <vt:lpwstr>http://www.nevo.co.il/case/5568354</vt:lpwstr>
      </vt:variant>
      <vt:variant>
        <vt:lpwstr/>
      </vt:variant>
      <vt:variant>
        <vt:i4>3604592</vt:i4>
      </vt:variant>
      <vt:variant>
        <vt:i4>30</vt:i4>
      </vt:variant>
      <vt:variant>
        <vt:i4>0</vt:i4>
      </vt:variant>
      <vt:variant>
        <vt:i4>5</vt:i4>
      </vt:variant>
      <vt:variant>
        <vt:lpwstr>http://www.nevo.co.il/case/28452933</vt:lpwstr>
      </vt:variant>
      <vt:variant>
        <vt:lpwstr/>
      </vt:variant>
      <vt:variant>
        <vt:i4>3276920</vt:i4>
      </vt:variant>
      <vt:variant>
        <vt:i4>27</vt:i4>
      </vt:variant>
      <vt:variant>
        <vt:i4>0</vt:i4>
      </vt:variant>
      <vt:variant>
        <vt:i4>5</vt:i4>
      </vt:variant>
      <vt:variant>
        <vt:lpwstr>http://www.nevo.co.il/case/28152132</vt:lpwstr>
      </vt:variant>
      <vt:variant>
        <vt:lpwstr/>
      </vt:variant>
      <vt:variant>
        <vt:i4>3735668</vt:i4>
      </vt:variant>
      <vt:variant>
        <vt:i4>24</vt:i4>
      </vt:variant>
      <vt:variant>
        <vt:i4>0</vt:i4>
      </vt:variant>
      <vt:variant>
        <vt:i4>5</vt:i4>
      </vt:variant>
      <vt:variant>
        <vt:lpwstr>http://www.nevo.co.il/case/27911638</vt:lpwstr>
      </vt:variant>
      <vt:variant>
        <vt:lpwstr/>
      </vt:variant>
      <vt:variant>
        <vt:i4>4063356</vt:i4>
      </vt:variant>
      <vt:variant>
        <vt:i4>21</vt:i4>
      </vt:variant>
      <vt:variant>
        <vt:i4>0</vt:i4>
      </vt:variant>
      <vt:variant>
        <vt:i4>5</vt:i4>
      </vt:variant>
      <vt:variant>
        <vt:lpwstr>http://www.nevo.co.il/case/27894608</vt:lpwstr>
      </vt:variant>
      <vt:variant>
        <vt:lpwstr/>
      </vt:variant>
      <vt:variant>
        <vt:i4>7077988</vt:i4>
      </vt:variant>
      <vt:variant>
        <vt:i4>18</vt:i4>
      </vt:variant>
      <vt:variant>
        <vt:i4>0</vt:i4>
      </vt:variant>
      <vt:variant>
        <vt:i4>5</vt:i4>
      </vt:variant>
      <vt:variant>
        <vt:lpwstr>http://www.nevo.co.il/law/70301/192</vt:lpwstr>
      </vt:variant>
      <vt:variant>
        <vt:lpwstr/>
      </vt:variant>
      <vt:variant>
        <vt:i4>7995492</vt:i4>
      </vt:variant>
      <vt:variant>
        <vt:i4>15</vt:i4>
      </vt:variant>
      <vt:variant>
        <vt:i4>0</vt:i4>
      </vt:variant>
      <vt:variant>
        <vt:i4>5</vt:i4>
      </vt:variant>
      <vt:variant>
        <vt:lpwstr>http://www.nevo.co.il/law/70301</vt:lpwstr>
      </vt:variant>
      <vt:variant>
        <vt:lpwstr/>
      </vt:variant>
      <vt:variant>
        <vt:i4>5177424</vt:i4>
      </vt:variant>
      <vt:variant>
        <vt:i4>12</vt:i4>
      </vt:variant>
      <vt:variant>
        <vt:i4>0</vt:i4>
      </vt:variant>
      <vt:variant>
        <vt:i4>5</vt:i4>
      </vt:variant>
      <vt:variant>
        <vt:lpwstr>http://www.nevo.co.il/law/70301/144.b</vt:lpwstr>
      </vt:variant>
      <vt:variant>
        <vt:lpwstr/>
      </vt:variant>
      <vt:variant>
        <vt:i4>7077988</vt:i4>
      </vt:variant>
      <vt:variant>
        <vt:i4>9</vt:i4>
      </vt:variant>
      <vt:variant>
        <vt:i4>0</vt:i4>
      </vt:variant>
      <vt:variant>
        <vt:i4>5</vt:i4>
      </vt:variant>
      <vt:variant>
        <vt:lpwstr>http://www.nevo.co.il/law/70301/192</vt:lpwstr>
      </vt:variant>
      <vt:variant>
        <vt:lpwstr/>
      </vt:variant>
      <vt:variant>
        <vt:i4>5177424</vt:i4>
      </vt:variant>
      <vt:variant>
        <vt:i4>6</vt:i4>
      </vt:variant>
      <vt:variant>
        <vt:i4>0</vt:i4>
      </vt:variant>
      <vt:variant>
        <vt:i4>5</vt:i4>
      </vt:variant>
      <vt:variant>
        <vt:lpwstr>http://www.nevo.co.il/law/70301/144.b</vt:lpwstr>
      </vt:variant>
      <vt:variant>
        <vt:lpwstr/>
      </vt:variant>
      <vt:variant>
        <vt:i4>6357092</vt:i4>
      </vt:variant>
      <vt:variant>
        <vt:i4>3</vt:i4>
      </vt:variant>
      <vt:variant>
        <vt:i4>0</vt:i4>
      </vt:variant>
      <vt:variant>
        <vt:i4>5</vt:i4>
      </vt:variant>
      <vt:variant>
        <vt:lpwstr>http://www.nevo.co.il/law/70301/140</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2025-04-25T11:01:00Z</dcterms:created>
  <dcterms:modified xsi:type="dcterms:W3CDTF">2025-04-25T11:01:00Z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978</vt:lpwstr>
  </property>
  <property fmtid="{D5CDD505-2E9C-101B-9397-08002B2CF9AE}" pid="6" name="NEWPARTB">
    <vt:lpwstr>02</vt:lpwstr>
  </property>
  <property fmtid="{D5CDD505-2E9C-101B-9397-08002B2CF9AE}" pid="7" name="NEWPARTC">
    <vt:lpwstr>24</vt:lpwstr>
  </property>
  <property fmtid="{D5CDD505-2E9C-101B-9397-08002B2CF9AE}" pid="8" name="APPELLANT">
    <vt:lpwstr>מדינת ישראל</vt:lpwstr>
  </property>
  <property fmtid="{D5CDD505-2E9C-101B-9397-08002B2CF9AE}" pid="9" name="APPELLEE">
    <vt:lpwstr>קדרי זביידי</vt:lpwstr>
  </property>
  <property fmtid="{D5CDD505-2E9C-101B-9397-08002B2CF9AE}" pid="10" name="LAWYER">
    <vt:lpwstr>גבי פאר;איתמר צור</vt:lpwstr>
  </property>
  <property fmtid="{D5CDD505-2E9C-101B-9397-08002B2CF9AE}" pid="11" name="JUDGE">
    <vt:lpwstr>מרב גרינברג</vt:lpwstr>
  </property>
  <property fmtid="{D5CDD505-2E9C-101B-9397-08002B2CF9AE}" pid="12" name="CITY">
    <vt:lpwstr>מרכז</vt:lpwstr>
  </property>
  <property fmtid="{D5CDD505-2E9C-101B-9397-08002B2CF9AE}" pid="13" name="DATE">
    <vt:lpwstr>20250421</vt:lpwstr>
  </property>
  <property fmtid="{D5CDD505-2E9C-101B-9397-08002B2CF9AE}" pid="14" name="TYPE_N_DATE">
    <vt:lpwstr>39020250421</vt:lpwstr>
  </property>
  <property fmtid="{D5CDD505-2E9C-101B-9397-08002B2CF9AE}" pid="15" name="CASESLISTTMP1">
    <vt:lpwstr>27894608;27911638;28152132;28452933;5568354;28601157;27502726;27494821;28380863;27716369;29098539</vt:lpwstr>
  </property>
  <property fmtid="{D5CDD505-2E9C-101B-9397-08002B2CF9AE}" pid="16" name="CASENOTES1">
    <vt:lpwstr>ProcID=133;209&amp;PartA=78&amp;PartC=21</vt:lpwstr>
  </property>
  <property fmtid="{D5CDD505-2E9C-101B-9397-08002B2CF9AE}" pid="17" name="WORDNUMPAGES">
    <vt:lpwstr>7</vt:lpwstr>
  </property>
  <property fmtid="{D5CDD505-2E9C-101B-9397-08002B2CF9AE}" pid="18" name="TYPE_ABS_DATE">
    <vt:lpwstr>390020250421</vt:lpwstr>
  </property>
  <property fmtid="{D5CDD505-2E9C-101B-9397-08002B2CF9AE}" pid="19" name="APPELLANT1">
    <vt:lpwstr/>
  </property>
  <property fmtid="{D5CDD505-2E9C-101B-9397-08002B2CF9AE}" pid="20" name="APPELLANT2">
    <vt:lpwstr/>
  </property>
  <property fmtid="{D5CDD505-2E9C-101B-9397-08002B2CF9AE}" pid="21" name="APPELLEE1">
    <vt:lpwstr/>
  </property>
  <property fmtid="{D5CDD505-2E9C-101B-9397-08002B2CF9AE}" pid="22" name="APPELLEE2">
    <vt:lpwstr/>
  </property>
  <property fmtid="{D5CDD505-2E9C-101B-9397-08002B2CF9AE}" pid="23" name="PROCESS">
    <vt:lpwstr/>
  </property>
  <property fmtid="{D5CDD505-2E9C-101B-9397-08002B2CF9AE}" pid="24" name="PROCNUM">
    <vt:lpwstr/>
  </property>
  <property fmtid="{D5CDD505-2E9C-101B-9397-08002B2CF9AE}" pid="25" name="PROCYEAR">
    <vt:lpwstr/>
  </property>
  <property fmtid="{D5CDD505-2E9C-101B-9397-08002B2CF9AE}" pid="26" name="VOLUME">
    <vt:lpwstr/>
  </property>
  <property fmtid="{D5CDD505-2E9C-101B-9397-08002B2CF9AE}" pid="27" name="PART">
    <vt:lpwstr/>
  </property>
  <property fmtid="{D5CDD505-2E9C-101B-9397-08002B2CF9AE}" pid="28" name="PAGE">
    <vt:lpwstr/>
  </property>
  <property fmtid="{D5CDD505-2E9C-101B-9397-08002B2CF9AE}" pid="29" name="PADIMAIL">
    <vt:lpwstr/>
  </property>
  <property fmtid="{D5CDD505-2E9C-101B-9397-08002B2CF9AE}" pid="30" name="DELEMATA">
    <vt:lpwstr/>
  </property>
  <property fmtid="{D5CDD505-2E9C-101B-9397-08002B2CF9AE}" pid="31" name="LINKK1">
    <vt:lpwstr/>
  </property>
  <property fmtid="{D5CDD505-2E9C-101B-9397-08002B2CF9AE}" pid="32" name="LINKK2">
    <vt:lpwstr/>
  </property>
  <property fmtid="{D5CDD505-2E9C-101B-9397-08002B2CF9AE}" pid="33" name="LINKK3">
    <vt:lpwstr/>
  </property>
  <property fmtid="{D5CDD505-2E9C-101B-9397-08002B2CF9AE}" pid="34" name="LINKK4">
    <vt:lpwstr/>
  </property>
  <property fmtid="{D5CDD505-2E9C-101B-9397-08002B2CF9AE}" pid="35" name="LINKK5">
    <vt:lpwstr/>
  </property>
  <property fmtid="{D5CDD505-2E9C-101B-9397-08002B2CF9AE}" pid="36" name="LAWLISTTMP1">
    <vt:lpwstr>70301/144.b;192;140</vt:lpwstr>
  </property>
  <property fmtid="{D5CDD505-2E9C-101B-9397-08002B2CF9AE}" pid="37" name="ISABSTRACT">
    <vt:lpwstr>Y</vt:lpwstr>
  </property>
</Properties>
</file>