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8721"/>
      </w:tblGrid>
      <w:tr w:rsidR="00BE745E" w:rsidRPr="00A35C7D" w14:paraId="24EDA929" w14:textId="77777777" w:rsidTr="007F77DA">
        <w:trPr>
          <w:trHeight w:hRule="exact" w:val="418"/>
          <w:jc w:val="center"/>
        </w:trPr>
        <w:tc>
          <w:tcPr>
            <w:tcW w:w="8721" w:type="dxa"/>
          </w:tcPr>
          <w:p w14:paraId="721EDC13" w14:textId="77777777" w:rsidR="00BE745E" w:rsidRPr="00A35C7D" w:rsidRDefault="00BE745E" w:rsidP="00E73BED">
            <w:pPr>
              <w:pStyle w:val="a3"/>
              <w:jc w:val="center"/>
              <w:rPr>
                <w:rFonts w:ascii="Tahoma" w:hAnsi="Tahoma" w:cs="Tahoma"/>
                <w:color w:val="000080"/>
                <w:rtl/>
              </w:rPr>
            </w:pPr>
            <w:r w:rsidRPr="00A35C7D">
              <w:rPr>
                <w:rFonts w:ascii="Tahoma" w:hAnsi="Tahoma" w:cs="Tahoma"/>
                <w:b/>
                <w:bCs/>
                <w:color w:val="000080"/>
                <w:rtl/>
              </w:rPr>
              <w:t>בית המשפט המחוזי בחיפה</w:t>
            </w:r>
          </w:p>
        </w:tc>
      </w:tr>
      <w:tr w:rsidR="00952E5C" w:rsidRPr="00952E5C" w14:paraId="489BB499" w14:textId="77777777" w:rsidTr="00AD07FC">
        <w:trPr>
          <w:trHeight w:val="337"/>
          <w:jc w:val="center"/>
        </w:trPr>
        <w:tc>
          <w:tcPr>
            <w:tcW w:w="8721" w:type="dxa"/>
          </w:tcPr>
          <w:p w14:paraId="4C7F3EDE" w14:textId="77777777" w:rsidR="00952E5C" w:rsidRPr="00952E5C" w:rsidRDefault="00952E5C" w:rsidP="00952E5C">
            <w:pPr>
              <w:pStyle w:val="a3"/>
              <w:spacing w:before="120" w:after="120" w:line="240" w:lineRule="exact"/>
              <w:rPr>
                <w:rFonts w:ascii="David" w:hAnsi="David"/>
                <w:b/>
                <w:bCs/>
                <w:sz w:val="26"/>
                <w:szCs w:val="26"/>
                <w:rtl/>
              </w:rPr>
            </w:pPr>
            <w:r w:rsidRPr="00952E5C">
              <w:rPr>
                <w:rFonts w:ascii="David" w:hAnsi="David"/>
                <w:b/>
                <w:bCs/>
                <w:sz w:val="26"/>
                <w:szCs w:val="26"/>
                <w:rtl/>
              </w:rPr>
              <w:t>ת"פ 1410-03-24 מדינת ישראל נ' אלנסאסרה(עציר) ואח'</w:t>
            </w:r>
          </w:p>
        </w:tc>
      </w:tr>
    </w:tbl>
    <w:p w14:paraId="186C2548" w14:textId="77777777" w:rsidR="00BE745E" w:rsidRPr="00952E5C" w:rsidRDefault="00BE745E" w:rsidP="00952E5C">
      <w:pPr>
        <w:spacing w:before="120" w:after="120" w:line="240" w:lineRule="exact"/>
        <w:rPr>
          <w:rFonts w:ascii="David" w:hAnsi="David"/>
          <w:b/>
          <w:bCs/>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140"/>
        <w:gridCol w:w="6757"/>
      </w:tblGrid>
      <w:tr w:rsidR="00BE745E" w:rsidRPr="00952E5C" w14:paraId="1DC8C416" w14:textId="77777777" w:rsidTr="00BE745E">
        <w:trPr>
          <w:trHeight w:val="295"/>
          <w:jc w:val="center"/>
        </w:trPr>
        <w:tc>
          <w:tcPr>
            <w:tcW w:w="923" w:type="dxa"/>
            <w:tcBorders>
              <w:top w:val="nil"/>
              <w:left w:val="nil"/>
              <w:bottom w:val="nil"/>
              <w:right w:val="nil"/>
            </w:tcBorders>
            <w:shd w:val="clear" w:color="auto" w:fill="auto"/>
          </w:tcPr>
          <w:p w14:paraId="07DEEA84" w14:textId="77777777" w:rsidR="00BE745E" w:rsidRPr="00952E5C" w:rsidRDefault="00BE745E" w:rsidP="00952E5C">
            <w:pPr>
              <w:spacing w:before="120" w:after="120" w:line="240" w:lineRule="exact"/>
              <w:jc w:val="both"/>
              <w:rPr>
                <w:rFonts w:ascii="David" w:hAnsi="David"/>
                <w:b/>
                <w:bCs/>
                <w:sz w:val="26"/>
                <w:szCs w:val="26"/>
              </w:rPr>
            </w:pPr>
            <w:r w:rsidRPr="00952E5C">
              <w:rPr>
                <w:rFonts w:ascii="David" w:hAnsi="David"/>
                <w:b/>
                <w:bCs/>
                <w:sz w:val="26"/>
                <w:szCs w:val="26"/>
                <w:rtl/>
              </w:rPr>
              <w:t xml:space="preserve">לפני </w:t>
            </w:r>
          </w:p>
        </w:tc>
        <w:tc>
          <w:tcPr>
            <w:tcW w:w="7897" w:type="dxa"/>
            <w:gridSpan w:val="2"/>
            <w:tcBorders>
              <w:top w:val="nil"/>
              <w:left w:val="nil"/>
              <w:bottom w:val="nil"/>
              <w:right w:val="nil"/>
            </w:tcBorders>
            <w:shd w:val="clear" w:color="auto" w:fill="auto"/>
          </w:tcPr>
          <w:p w14:paraId="0DD775A4" w14:textId="77777777" w:rsidR="00BE745E" w:rsidRPr="00952E5C" w:rsidRDefault="00BE745E" w:rsidP="00952E5C">
            <w:pPr>
              <w:spacing w:before="120" w:after="120" w:line="240" w:lineRule="exact"/>
              <w:jc w:val="both"/>
              <w:rPr>
                <w:rFonts w:ascii="David" w:hAnsi="David"/>
                <w:b/>
                <w:bCs/>
                <w:sz w:val="26"/>
                <w:szCs w:val="26"/>
              </w:rPr>
            </w:pPr>
            <w:r w:rsidRPr="00952E5C">
              <w:rPr>
                <w:rFonts w:ascii="David" w:hAnsi="David"/>
                <w:b/>
                <w:bCs/>
                <w:sz w:val="26"/>
                <w:szCs w:val="26"/>
                <w:rtl/>
              </w:rPr>
              <w:t>כבוד השופט, סגן הנשיא  אבי לוי</w:t>
            </w:r>
          </w:p>
        </w:tc>
      </w:tr>
      <w:tr w:rsidR="00952E5C" w:rsidRPr="00952E5C" w14:paraId="3330AD92" w14:textId="77777777" w:rsidTr="00952E5C">
        <w:trPr>
          <w:trHeight w:val="355"/>
          <w:jc w:val="center"/>
        </w:trPr>
        <w:tc>
          <w:tcPr>
            <w:tcW w:w="2063" w:type="dxa"/>
            <w:gridSpan w:val="2"/>
            <w:tcBorders>
              <w:top w:val="nil"/>
              <w:left w:val="nil"/>
              <w:bottom w:val="nil"/>
              <w:right w:val="nil"/>
            </w:tcBorders>
            <w:shd w:val="clear" w:color="auto" w:fill="auto"/>
          </w:tcPr>
          <w:p w14:paraId="3A17399D" w14:textId="77777777" w:rsidR="00952E5C" w:rsidRPr="00952E5C" w:rsidRDefault="00952E5C" w:rsidP="00952E5C">
            <w:pPr>
              <w:spacing w:before="120" w:after="120" w:line="240" w:lineRule="exact"/>
              <w:jc w:val="both"/>
              <w:rPr>
                <w:rFonts w:ascii="David" w:hAnsi="David"/>
                <w:b/>
                <w:bCs/>
                <w:sz w:val="26"/>
                <w:szCs w:val="26"/>
              </w:rPr>
            </w:pPr>
            <w:bookmarkStart w:id="0" w:name="LastJudge"/>
            <w:bookmarkStart w:id="1" w:name="FirstAppellant"/>
            <w:bookmarkEnd w:id="0"/>
            <w:r w:rsidRPr="00952E5C">
              <w:rPr>
                <w:rFonts w:ascii="David" w:hAnsi="David"/>
                <w:b/>
                <w:bCs/>
                <w:sz w:val="26"/>
                <w:szCs w:val="26"/>
                <w:rtl/>
              </w:rPr>
              <w:t>בעניין:</w:t>
            </w:r>
          </w:p>
          <w:p w14:paraId="280A09AA" w14:textId="77777777" w:rsidR="00952E5C" w:rsidRPr="00952E5C" w:rsidRDefault="00952E5C" w:rsidP="00952E5C">
            <w:pPr>
              <w:spacing w:before="120" w:after="120" w:line="240" w:lineRule="exact"/>
              <w:rPr>
                <w:rFonts w:ascii="David" w:hAnsi="David"/>
                <w:b/>
                <w:bCs/>
                <w:sz w:val="26"/>
                <w:szCs w:val="26"/>
              </w:rPr>
            </w:pPr>
            <w:r w:rsidRPr="00952E5C">
              <w:rPr>
                <w:rFonts w:ascii="David" w:hAnsi="David"/>
                <w:b/>
                <w:bCs/>
                <w:sz w:val="26"/>
                <w:szCs w:val="26"/>
                <w:rtl/>
              </w:rPr>
              <w:t>המאשימה</w:t>
            </w:r>
          </w:p>
        </w:tc>
        <w:tc>
          <w:tcPr>
            <w:tcW w:w="6757" w:type="dxa"/>
            <w:tcBorders>
              <w:top w:val="nil"/>
              <w:left w:val="nil"/>
              <w:bottom w:val="nil"/>
              <w:right w:val="nil"/>
            </w:tcBorders>
            <w:shd w:val="clear" w:color="auto" w:fill="auto"/>
            <w:vAlign w:val="center"/>
          </w:tcPr>
          <w:p w14:paraId="24217921" w14:textId="77777777" w:rsidR="00952E5C" w:rsidRPr="00952E5C" w:rsidRDefault="00952E5C" w:rsidP="00952E5C">
            <w:pPr>
              <w:suppressLineNumbers/>
              <w:spacing w:before="120" w:after="120" w:line="240" w:lineRule="exact"/>
              <w:rPr>
                <w:rFonts w:ascii="David" w:hAnsi="David"/>
                <w:b/>
                <w:bCs/>
                <w:sz w:val="26"/>
                <w:szCs w:val="26"/>
              </w:rPr>
            </w:pPr>
            <w:r w:rsidRPr="00952E5C">
              <w:rPr>
                <w:rFonts w:ascii="David" w:hAnsi="David"/>
                <w:b/>
                <w:bCs/>
                <w:sz w:val="26"/>
                <w:szCs w:val="26"/>
                <w:rtl/>
              </w:rPr>
              <w:t xml:space="preserve">מדינת ישראל </w:t>
            </w:r>
          </w:p>
        </w:tc>
      </w:tr>
      <w:bookmarkEnd w:id="1"/>
      <w:tr w:rsidR="00952E5C" w:rsidRPr="00952E5C" w14:paraId="52F4296D" w14:textId="77777777" w:rsidTr="00AD07FC">
        <w:trPr>
          <w:trHeight w:val="355"/>
          <w:jc w:val="center"/>
        </w:trPr>
        <w:tc>
          <w:tcPr>
            <w:tcW w:w="8820" w:type="dxa"/>
            <w:gridSpan w:val="3"/>
            <w:tcBorders>
              <w:top w:val="nil"/>
              <w:left w:val="nil"/>
              <w:bottom w:val="nil"/>
              <w:right w:val="nil"/>
            </w:tcBorders>
            <w:shd w:val="clear" w:color="auto" w:fill="auto"/>
          </w:tcPr>
          <w:p w14:paraId="6D7F97EC" w14:textId="77777777" w:rsidR="00952E5C" w:rsidRPr="00952E5C" w:rsidRDefault="00952E5C" w:rsidP="00952E5C">
            <w:pPr>
              <w:spacing w:before="240" w:after="240" w:line="240" w:lineRule="exact"/>
              <w:jc w:val="center"/>
              <w:rPr>
                <w:rFonts w:ascii="David" w:hAnsi="David" w:hint="cs"/>
                <w:b/>
                <w:bCs/>
                <w:sz w:val="26"/>
                <w:szCs w:val="26"/>
              </w:rPr>
            </w:pPr>
            <w:r w:rsidRPr="00952E5C">
              <w:rPr>
                <w:rFonts w:ascii="David" w:hAnsi="David"/>
                <w:b/>
                <w:bCs/>
                <w:sz w:val="26"/>
                <w:szCs w:val="26"/>
                <w:rtl/>
              </w:rPr>
              <w:t>נגד</w:t>
            </w:r>
          </w:p>
        </w:tc>
      </w:tr>
      <w:tr w:rsidR="00952E5C" w:rsidRPr="00952E5C" w14:paraId="5696F4FE" w14:textId="77777777" w:rsidTr="00952E5C">
        <w:trPr>
          <w:trHeight w:val="355"/>
          <w:jc w:val="center"/>
        </w:trPr>
        <w:tc>
          <w:tcPr>
            <w:tcW w:w="2063" w:type="dxa"/>
            <w:gridSpan w:val="2"/>
            <w:tcBorders>
              <w:top w:val="nil"/>
              <w:left w:val="nil"/>
              <w:bottom w:val="nil"/>
              <w:right w:val="nil"/>
            </w:tcBorders>
            <w:shd w:val="clear" w:color="auto" w:fill="auto"/>
          </w:tcPr>
          <w:p w14:paraId="7BE61BA0" w14:textId="77777777" w:rsidR="00952E5C" w:rsidRPr="00952E5C" w:rsidRDefault="00952E5C" w:rsidP="00952E5C">
            <w:pPr>
              <w:spacing w:before="120" w:after="120" w:line="240" w:lineRule="exact"/>
              <w:rPr>
                <w:rFonts w:ascii="David" w:hAnsi="David"/>
                <w:b/>
                <w:bCs/>
                <w:sz w:val="26"/>
                <w:szCs w:val="26"/>
                <w:rtl/>
              </w:rPr>
            </w:pPr>
            <w:r w:rsidRPr="00952E5C">
              <w:rPr>
                <w:rFonts w:ascii="David" w:hAnsi="David"/>
                <w:b/>
                <w:bCs/>
                <w:sz w:val="26"/>
                <w:szCs w:val="26"/>
                <w:rtl/>
              </w:rPr>
              <w:t>הנאשמים</w:t>
            </w:r>
          </w:p>
        </w:tc>
        <w:tc>
          <w:tcPr>
            <w:tcW w:w="6757" w:type="dxa"/>
            <w:tcBorders>
              <w:top w:val="nil"/>
              <w:left w:val="nil"/>
              <w:bottom w:val="nil"/>
              <w:right w:val="nil"/>
            </w:tcBorders>
            <w:shd w:val="clear" w:color="auto" w:fill="auto"/>
            <w:vAlign w:val="center"/>
          </w:tcPr>
          <w:p w14:paraId="45BED1F2" w14:textId="77777777" w:rsidR="00952E5C" w:rsidRPr="00952E5C" w:rsidRDefault="00952E5C" w:rsidP="00952E5C">
            <w:pPr>
              <w:suppressLineNumbers/>
              <w:spacing w:before="120" w:after="120" w:line="240" w:lineRule="exact"/>
              <w:rPr>
                <w:rFonts w:ascii="David" w:hAnsi="David"/>
                <w:b/>
                <w:bCs/>
                <w:sz w:val="26"/>
                <w:szCs w:val="26"/>
              </w:rPr>
            </w:pPr>
            <w:r w:rsidRPr="00952E5C">
              <w:rPr>
                <w:rFonts w:ascii="David" w:hAnsi="David"/>
                <w:b/>
                <w:bCs/>
                <w:sz w:val="26"/>
                <w:szCs w:val="26"/>
                <w:rtl/>
              </w:rPr>
              <w:t xml:space="preserve">1. עקאב אלנסאסרה (עציר) </w:t>
            </w:r>
          </w:p>
          <w:p w14:paraId="4488FE77" w14:textId="77777777" w:rsidR="00952E5C" w:rsidRPr="00952E5C" w:rsidRDefault="00952E5C" w:rsidP="00952E5C">
            <w:pPr>
              <w:suppressLineNumbers/>
              <w:spacing w:before="120" w:after="120" w:line="240" w:lineRule="exact"/>
              <w:rPr>
                <w:rFonts w:ascii="David" w:hAnsi="David"/>
                <w:b/>
                <w:bCs/>
                <w:sz w:val="26"/>
                <w:szCs w:val="26"/>
              </w:rPr>
            </w:pPr>
            <w:r w:rsidRPr="00952E5C">
              <w:rPr>
                <w:rFonts w:ascii="David" w:hAnsi="David"/>
                <w:b/>
                <w:bCs/>
                <w:sz w:val="26"/>
                <w:szCs w:val="26"/>
                <w:rtl/>
              </w:rPr>
              <w:t xml:space="preserve">2. וענונו אזברגה (עצור/אסיר בפיקוח) </w:t>
            </w:r>
          </w:p>
        </w:tc>
      </w:tr>
    </w:tbl>
    <w:p w14:paraId="7841A556" w14:textId="77777777" w:rsidR="007F77DA" w:rsidRPr="00A35C7D" w:rsidRDefault="007F77DA" w:rsidP="00A35C7D">
      <w:pPr>
        <w:spacing w:before="120" w:after="120" w:line="240" w:lineRule="exact"/>
        <w:ind w:left="283" w:hanging="283"/>
        <w:jc w:val="both"/>
        <w:rPr>
          <w:rFonts w:ascii="FrankRuehl" w:hAnsi="FrankRuehl" w:cs="FrankRuehl"/>
          <w:rtl/>
        </w:rPr>
      </w:pPr>
    </w:p>
    <w:p w14:paraId="0970D81F" w14:textId="77777777" w:rsidR="00952E5C" w:rsidRPr="00952E5C" w:rsidRDefault="00952E5C" w:rsidP="00952E5C">
      <w:pPr>
        <w:spacing w:before="120" w:after="120" w:line="240" w:lineRule="exact"/>
        <w:ind w:left="283" w:hanging="283"/>
        <w:jc w:val="both"/>
        <w:rPr>
          <w:rFonts w:ascii="FrankRuehl" w:hAnsi="FrankRuehl" w:cs="FrankRuehl"/>
          <w:rtl/>
        </w:rPr>
      </w:pPr>
      <w:bookmarkStart w:id="2" w:name="LawTable"/>
      <w:bookmarkEnd w:id="2"/>
      <w:r w:rsidRPr="00952E5C">
        <w:rPr>
          <w:rFonts w:ascii="FrankRuehl" w:hAnsi="FrankRuehl" w:cs="FrankRuehl"/>
          <w:rtl/>
        </w:rPr>
        <w:t xml:space="preserve">חקיקה שאוזכרה: </w:t>
      </w:r>
    </w:p>
    <w:p w14:paraId="491FC4C0" w14:textId="77777777" w:rsidR="00952E5C" w:rsidRPr="00952E5C" w:rsidRDefault="00952E5C" w:rsidP="00952E5C">
      <w:pPr>
        <w:spacing w:before="120" w:after="120" w:line="240" w:lineRule="exact"/>
        <w:ind w:left="283" w:hanging="283"/>
        <w:jc w:val="both"/>
        <w:rPr>
          <w:rFonts w:ascii="FrankRuehl" w:hAnsi="FrankRuehl" w:cs="FrankRuehl"/>
          <w:color w:val="0000FF"/>
          <w:rtl/>
        </w:rPr>
      </w:pPr>
      <w:hyperlink r:id="rId7" w:history="1">
        <w:r w:rsidRPr="00952E5C">
          <w:rPr>
            <w:rStyle w:val="Hyperlink"/>
            <w:rFonts w:ascii="FrankRuehl" w:hAnsi="FrankRuehl" w:cs="FrankRuehl"/>
            <w:u w:val="none"/>
            <w:rtl/>
          </w:rPr>
          <w:t>חוק העונשין, תשל"ז-1977</w:t>
        </w:r>
      </w:hyperlink>
      <w:r w:rsidRPr="00952E5C">
        <w:rPr>
          <w:rFonts w:ascii="FrankRuehl" w:hAnsi="FrankRuehl" w:cs="FrankRuehl"/>
          <w:color w:val="0000FF"/>
          <w:rtl/>
        </w:rPr>
        <w:t xml:space="preserve">: סע'  </w:t>
      </w:r>
      <w:hyperlink r:id="rId8" w:history="1">
        <w:r w:rsidRPr="00952E5C">
          <w:rPr>
            <w:rStyle w:val="Hyperlink"/>
            <w:rFonts w:ascii="FrankRuehl" w:hAnsi="FrankRuehl" w:cs="FrankRuehl"/>
            <w:u w:val="none"/>
          </w:rPr>
          <w:t>31</w:t>
        </w:r>
      </w:hyperlink>
      <w:r w:rsidRPr="00952E5C">
        <w:rPr>
          <w:rFonts w:ascii="FrankRuehl" w:hAnsi="FrankRuehl" w:cs="FrankRuehl"/>
          <w:color w:val="0000FF"/>
          <w:rtl/>
        </w:rPr>
        <w:t xml:space="preserve">, </w:t>
      </w:r>
      <w:hyperlink r:id="rId9" w:history="1">
        <w:r w:rsidRPr="00952E5C">
          <w:rPr>
            <w:rStyle w:val="Hyperlink"/>
            <w:rFonts w:ascii="FrankRuehl" w:hAnsi="FrankRuehl" w:cs="FrankRuehl"/>
            <w:u w:val="none"/>
          </w:rPr>
          <w:t>32</w:t>
        </w:r>
      </w:hyperlink>
      <w:r w:rsidRPr="00952E5C">
        <w:rPr>
          <w:rFonts w:ascii="FrankRuehl" w:hAnsi="FrankRuehl" w:cs="FrankRuehl"/>
          <w:color w:val="0000FF"/>
          <w:rtl/>
        </w:rPr>
        <w:t xml:space="preserve">(3), </w:t>
      </w:r>
      <w:hyperlink r:id="rId10" w:history="1">
        <w:r w:rsidRPr="00952E5C">
          <w:rPr>
            <w:rStyle w:val="Hyperlink"/>
            <w:rFonts w:ascii="FrankRuehl" w:hAnsi="FrankRuehl" w:cs="FrankRuehl"/>
            <w:u w:val="none"/>
          </w:rPr>
          <w:t>40</w:t>
        </w:r>
        <w:r w:rsidRPr="00952E5C">
          <w:rPr>
            <w:rStyle w:val="Hyperlink"/>
            <w:rFonts w:ascii="FrankRuehl" w:hAnsi="FrankRuehl" w:cs="FrankRuehl"/>
            <w:u w:val="none"/>
            <w:rtl/>
          </w:rPr>
          <w:t>ז</w:t>
        </w:r>
      </w:hyperlink>
      <w:r w:rsidRPr="00952E5C">
        <w:rPr>
          <w:rFonts w:ascii="FrankRuehl" w:hAnsi="FrankRuehl" w:cs="FrankRuehl"/>
          <w:color w:val="0000FF"/>
          <w:rtl/>
        </w:rPr>
        <w:t xml:space="preserve">, </w:t>
      </w:r>
      <w:hyperlink r:id="rId11" w:history="1">
        <w:r w:rsidRPr="00952E5C">
          <w:rPr>
            <w:rStyle w:val="Hyperlink"/>
            <w:rFonts w:ascii="FrankRuehl" w:hAnsi="FrankRuehl" w:cs="FrankRuehl"/>
            <w:u w:val="none"/>
          </w:rPr>
          <w:t>40</w:t>
        </w:r>
        <w:r w:rsidRPr="00952E5C">
          <w:rPr>
            <w:rStyle w:val="Hyperlink"/>
            <w:rFonts w:ascii="FrankRuehl" w:hAnsi="FrankRuehl" w:cs="FrankRuehl"/>
            <w:u w:val="none"/>
            <w:rtl/>
          </w:rPr>
          <w:t>ט</w:t>
        </w:r>
      </w:hyperlink>
      <w:r w:rsidRPr="00952E5C">
        <w:rPr>
          <w:rFonts w:ascii="FrankRuehl" w:hAnsi="FrankRuehl" w:cs="FrankRuehl"/>
          <w:color w:val="0000FF"/>
          <w:rtl/>
        </w:rPr>
        <w:t xml:space="preserve">, </w:t>
      </w:r>
      <w:hyperlink r:id="rId12" w:history="1">
        <w:r w:rsidRPr="00952E5C">
          <w:rPr>
            <w:rStyle w:val="Hyperlink"/>
            <w:rFonts w:ascii="FrankRuehl" w:hAnsi="FrankRuehl" w:cs="FrankRuehl"/>
            <w:u w:val="none"/>
          </w:rPr>
          <w:t>144</w:t>
        </w:r>
      </w:hyperlink>
      <w:r w:rsidRPr="00952E5C">
        <w:rPr>
          <w:rFonts w:ascii="FrankRuehl" w:hAnsi="FrankRuehl" w:cs="FrankRuehl"/>
          <w:color w:val="0000FF"/>
          <w:rtl/>
        </w:rPr>
        <w:t xml:space="preserve">, </w:t>
      </w:r>
      <w:hyperlink r:id="rId13" w:history="1">
        <w:r w:rsidRPr="00952E5C">
          <w:rPr>
            <w:rStyle w:val="Hyperlink"/>
            <w:rFonts w:ascii="FrankRuehl" w:hAnsi="FrankRuehl" w:cs="FrankRuehl"/>
            <w:u w:val="none"/>
          </w:rPr>
          <w:t>144</w:t>
        </w:r>
      </w:hyperlink>
      <w:r w:rsidRPr="00952E5C">
        <w:rPr>
          <w:rFonts w:ascii="FrankRuehl" w:hAnsi="FrankRuehl" w:cs="FrankRuehl"/>
          <w:color w:val="0000FF"/>
          <w:rtl/>
        </w:rPr>
        <w:t xml:space="preserve">(ב), </w:t>
      </w:r>
      <w:hyperlink r:id="rId14" w:history="1">
        <w:r w:rsidRPr="00952E5C">
          <w:rPr>
            <w:rStyle w:val="Hyperlink"/>
            <w:rFonts w:ascii="FrankRuehl" w:hAnsi="FrankRuehl" w:cs="FrankRuehl"/>
            <w:u w:val="none"/>
          </w:rPr>
          <w:t>144</w:t>
        </w:r>
      </w:hyperlink>
      <w:r w:rsidRPr="00952E5C">
        <w:rPr>
          <w:rFonts w:ascii="FrankRuehl" w:hAnsi="FrankRuehl" w:cs="FrankRuehl"/>
          <w:color w:val="0000FF"/>
          <w:rtl/>
        </w:rPr>
        <w:t>(ז)</w:t>
      </w:r>
    </w:p>
    <w:p w14:paraId="62CBC906" w14:textId="77777777" w:rsidR="007F77DA" w:rsidRDefault="007F77DA" w:rsidP="00952E5C">
      <w:pPr>
        <w:spacing w:before="120" w:after="120" w:line="240" w:lineRule="exact"/>
        <w:ind w:left="283" w:hanging="283"/>
        <w:jc w:val="both"/>
        <w:rPr>
          <w:rFonts w:ascii="FrankRuehl" w:hAnsi="FrankRuehl" w:cs="FrankRuehl" w:hint="cs"/>
          <w:rtl/>
        </w:rPr>
      </w:pPr>
      <w:bookmarkStart w:id="3" w:name="LawTable_End"/>
      <w:bookmarkEnd w:id="3"/>
    </w:p>
    <w:p w14:paraId="3EEBCBC3" w14:textId="77777777" w:rsidR="00952E5C" w:rsidRPr="00196160" w:rsidRDefault="00952E5C" w:rsidP="00952E5C">
      <w:pPr>
        <w:pBdr>
          <w:top w:val="single" w:sz="4" w:space="1" w:color="auto"/>
          <w:bottom w:val="single" w:sz="4" w:space="1" w:color="auto"/>
        </w:pBdr>
        <w:spacing w:after="120" w:line="320" w:lineRule="exact"/>
        <w:jc w:val="both"/>
        <w:rPr>
          <w:rFonts w:cs="FrankRuehl"/>
          <w:szCs w:val="26"/>
          <w:rtl/>
        </w:rPr>
      </w:pPr>
      <w:bookmarkStart w:id="4" w:name="ABSTRACT_START"/>
      <w:bookmarkEnd w:id="4"/>
      <w:r>
        <w:rPr>
          <w:rFonts w:cs="FrankRuehl" w:hint="cs"/>
          <w:szCs w:val="26"/>
          <w:rtl/>
        </w:rPr>
        <w:t>מיני-</w:t>
      </w:r>
      <w:r w:rsidRPr="00196160">
        <w:rPr>
          <w:rFonts w:cs="FrankRuehl" w:hint="cs"/>
          <w:szCs w:val="26"/>
          <w:rtl/>
        </w:rPr>
        <w:t>רציו:</w:t>
      </w:r>
    </w:p>
    <w:p w14:paraId="76F4D6D9" w14:textId="77777777" w:rsidR="00952E5C" w:rsidRPr="00196160" w:rsidRDefault="00952E5C" w:rsidP="00952E5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96160">
        <w:rPr>
          <w:rFonts w:cs="FrankRuehl"/>
          <w:szCs w:val="26"/>
          <w:rtl/>
        </w:rPr>
        <w:t xml:space="preserve">הנאשם </w:t>
      </w:r>
      <w:r w:rsidRPr="00196160">
        <w:rPr>
          <w:rFonts w:cs="FrankRuehl" w:hint="cs"/>
          <w:szCs w:val="26"/>
          <w:rtl/>
        </w:rPr>
        <w:t>נידון</w:t>
      </w:r>
      <w:r w:rsidRPr="00196160">
        <w:rPr>
          <w:rFonts w:cs="FrankRuehl"/>
          <w:szCs w:val="26"/>
          <w:rtl/>
        </w:rPr>
        <w:t xml:space="preserve"> </w:t>
      </w:r>
      <w:r w:rsidRPr="00196160">
        <w:rPr>
          <w:rFonts w:cs="FrankRuehl" w:hint="cs"/>
          <w:szCs w:val="26"/>
          <w:rtl/>
        </w:rPr>
        <w:t>ל-</w:t>
      </w:r>
      <w:r w:rsidRPr="00196160">
        <w:rPr>
          <w:rFonts w:cs="FrankRuehl"/>
          <w:szCs w:val="26"/>
          <w:rtl/>
        </w:rPr>
        <w:t>11 חודשי מאסר בפועל</w:t>
      </w:r>
      <w:r w:rsidRPr="00196160">
        <w:rPr>
          <w:rFonts w:eastAsia="Calibri" w:cs="FrankRuehl"/>
          <w:szCs w:val="26"/>
          <w:rtl/>
        </w:rPr>
        <w:t xml:space="preserve">, </w:t>
      </w:r>
      <w:r w:rsidRPr="00196160">
        <w:rPr>
          <w:rFonts w:cs="FrankRuehl"/>
          <w:szCs w:val="26"/>
          <w:rtl/>
        </w:rPr>
        <w:t xml:space="preserve">6 חודשי מאסר על תנאי </w:t>
      </w:r>
      <w:r w:rsidRPr="00196160">
        <w:rPr>
          <w:rFonts w:eastAsia="Calibri" w:cs="FrankRuehl"/>
          <w:szCs w:val="26"/>
          <w:rtl/>
        </w:rPr>
        <w:t>וקנס ע"ס 5000 ₪</w:t>
      </w:r>
      <w:r w:rsidRPr="00196160">
        <w:rPr>
          <w:rFonts w:cs="FrankRuehl" w:hint="cs"/>
          <w:szCs w:val="26"/>
          <w:rtl/>
        </w:rPr>
        <w:t xml:space="preserve">, </w:t>
      </w:r>
      <w:r w:rsidRPr="00196160">
        <w:rPr>
          <w:rFonts w:cs="FrankRuehl"/>
          <w:szCs w:val="26"/>
          <w:rtl/>
        </w:rPr>
        <w:t>ב</w:t>
      </w:r>
      <w:r w:rsidRPr="00196160">
        <w:rPr>
          <w:rFonts w:cs="FrankRuehl" w:hint="cs"/>
          <w:szCs w:val="26"/>
          <w:rtl/>
        </w:rPr>
        <w:t xml:space="preserve">גין </w:t>
      </w:r>
      <w:r w:rsidRPr="00196160">
        <w:rPr>
          <w:rFonts w:cs="FrankRuehl"/>
          <w:szCs w:val="26"/>
          <w:rtl/>
        </w:rPr>
        <w:t>עבירות סיוע לעבירות בנשק (נשיאה והובלה).</w:t>
      </w:r>
    </w:p>
    <w:p w14:paraId="29E328F6" w14:textId="77777777" w:rsidR="00952E5C" w:rsidRPr="00196160" w:rsidRDefault="00952E5C" w:rsidP="00952E5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96160">
        <w:rPr>
          <w:rFonts w:cs="FrankRuehl" w:hint="cs"/>
          <w:szCs w:val="26"/>
          <w:rtl/>
        </w:rPr>
        <w:t xml:space="preserve">עונשין </w:t>
      </w:r>
      <w:r w:rsidRPr="00196160">
        <w:rPr>
          <w:rFonts w:cs="FrankRuehl"/>
          <w:szCs w:val="26"/>
          <w:rtl/>
        </w:rPr>
        <w:t>–</w:t>
      </w:r>
      <w:r w:rsidRPr="00196160">
        <w:rPr>
          <w:rFonts w:cs="FrankRuehl" w:hint="cs"/>
          <w:szCs w:val="26"/>
          <w:rtl/>
        </w:rPr>
        <w:t xml:space="preserve"> ענישה </w:t>
      </w:r>
      <w:r w:rsidRPr="00196160">
        <w:rPr>
          <w:rFonts w:cs="FrankRuehl"/>
          <w:szCs w:val="26"/>
          <w:rtl/>
        </w:rPr>
        <w:t>–</w:t>
      </w:r>
      <w:r w:rsidRPr="00196160">
        <w:rPr>
          <w:rFonts w:cs="FrankRuehl" w:hint="cs"/>
          <w:szCs w:val="26"/>
          <w:rtl/>
        </w:rPr>
        <w:t xml:space="preserve"> מדיניות ענישה: עבירות נשק</w:t>
      </w:r>
    </w:p>
    <w:p w14:paraId="0AA72F06" w14:textId="77777777" w:rsidR="00952E5C" w:rsidRPr="00196160" w:rsidRDefault="00952E5C" w:rsidP="00952E5C">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196160">
        <w:rPr>
          <w:rFonts w:cs="FrankRuehl" w:hint="cs"/>
          <w:szCs w:val="26"/>
          <w:rtl/>
        </w:rPr>
        <w:t xml:space="preserve">דיון פלילי </w:t>
      </w:r>
      <w:r w:rsidRPr="00196160">
        <w:rPr>
          <w:rFonts w:cs="FrankRuehl"/>
          <w:szCs w:val="26"/>
          <w:rtl/>
        </w:rPr>
        <w:t>–</w:t>
      </w:r>
      <w:r w:rsidRPr="00196160">
        <w:rPr>
          <w:rFonts w:cs="FrankRuehl" w:hint="cs"/>
          <w:szCs w:val="26"/>
          <w:rtl/>
        </w:rPr>
        <w:t xml:space="preserve"> ענישה </w:t>
      </w:r>
      <w:r w:rsidRPr="00196160">
        <w:rPr>
          <w:rFonts w:cs="FrankRuehl"/>
          <w:szCs w:val="26"/>
          <w:rtl/>
        </w:rPr>
        <w:t>–</w:t>
      </w:r>
      <w:r w:rsidRPr="00196160">
        <w:rPr>
          <w:rFonts w:cs="FrankRuehl" w:hint="cs"/>
          <w:szCs w:val="26"/>
          <w:rtl/>
        </w:rPr>
        <w:t xml:space="preserve"> מכת מדינה </w:t>
      </w:r>
    </w:p>
    <w:p w14:paraId="4AC3C1DC" w14:textId="77777777" w:rsidR="00952E5C" w:rsidRPr="00196160" w:rsidRDefault="00952E5C" w:rsidP="00952E5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52F0F61A" w14:textId="77777777" w:rsidR="00952E5C" w:rsidRPr="00196160" w:rsidRDefault="00952E5C" w:rsidP="00952E5C">
      <w:pPr>
        <w:pBdr>
          <w:top w:val="single" w:sz="4" w:space="1" w:color="auto"/>
          <w:bottom w:val="single" w:sz="4" w:space="1" w:color="auto"/>
        </w:pBdr>
        <w:spacing w:after="120" w:line="320" w:lineRule="exact"/>
        <w:jc w:val="both"/>
        <w:rPr>
          <w:rFonts w:cs="FrankRuehl"/>
          <w:szCs w:val="26"/>
          <w:rtl/>
        </w:rPr>
      </w:pPr>
      <w:r w:rsidRPr="00196160">
        <w:rPr>
          <w:rFonts w:cs="FrankRuehl"/>
          <w:szCs w:val="26"/>
          <w:rtl/>
        </w:rPr>
        <w:t>הנאשם הורשע במסגרת הסדר טיעון, בעבירות סיוע לעבירות בנשק (נשיאה והובלה).</w:t>
      </w:r>
    </w:p>
    <w:p w14:paraId="011E33D8" w14:textId="77777777" w:rsidR="00952E5C" w:rsidRDefault="00952E5C" w:rsidP="00952E5C">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7EB78443" w14:textId="77777777" w:rsidR="00952E5C" w:rsidRPr="00196160" w:rsidRDefault="00952E5C" w:rsidP="00952E5C">
      <w:pPr>
        <w:pBdr>
          <w:top w:val="single" w:sz="4" w:space="1" w:color="auto"/>
          <w:bottom w:val="single" w:sz="4" w:space="1" w:color="auto"/>
        </w:pBdr>
        <w:spacing w:after="120" w:line="320" w:lineRule="exact"/>
        <w:jc w:val="both"/>
        <w:rPr>
          <w:rFonts w:cs="FrankRuehl"/>
          <w:szCs w:val="26"/>
          <w:rtl/>
        </w:rPr>
      </w:pPr>
      <w:r w:rsidRPr="00196160">
        <w:rPr>
          <w:rFonts w:cs="FrankRuehl"/>
          <w:szCs w:val="26"/>
          <w:rtl/>
        </w:rPr>
        <w:t xml:space="preserve">בית המשפט המחוזי </w:t>
      </w:r>
      <w:r w:rsidRPr="00196160">
        <w:rPr>
          <w:rFonts w:cs="FrankRuehl" w:hint="cs"/>
          <w:szCs w:val="26"/>
          <w:rtl/>
        </w:rPr>
        <w:t>גזר את הדין כדלהלן:</w:t>
      </w:r>
    </w:p>
    <w:p w14:paraId="6159F148" w14:textId="77777777" w:rsidR="00952E5C" w:rsidRPr="00196160" w:rsidRDefault="00952E5C" w:rsidP="00952E5C">
      <w:pPr>
        <w:pBdr>
          <w:top w:val="single" w:sz="4" w:space="1" w:color="auto"/>
          <w:bottom w:val="single" w:sz="4" w:space="1" w:color="auto"/>
        </w:pBdr>
        <w:spacing w:after="120" w:line="320" w:lineRule="exact"/>
        <w:jc w:val="both"/>
        <w:rPr>
          <w:rFonts w:eastAsia="Calibri" w:cs="FrankRuehl"/>
          <w:szCs w:val="26"/>
          <w:rtl/>
        </w:rPr>
      </w:pPr>
      <w:r w:rsidRPr="00196160">
        <w:rPr>
          <w:rFonts w:eastAsia="Calibri" w:cs="FrankRuehl"/>
          <w:szCs w:val="26"/>
          <w:rtl/>
        </w:rPr>
        <w:t>החזקת נשק, סחר בו, נשיאתו, הובלתו וכן העבירות "הנגזרות" למעשים אלו, הפכו למכת מדינה של ממש. מדינה ריבונית ומתוקנת איננה יכולה לקבל כ"מכת-גורל" תופעה שבמסגרתה מובל ונישא נשק בלתי-חוקי בקרב אזרחיה ותושביה. בשנים האחרונות חלה אט אט מגמת החמרה בענישה, עם זאת, משקל ניכר בקביעת העונש בעבירות של נשיאת נשק יש לתלות באופי הנשק, במידת קטלניותו, בכמותו, בתחמושת שנתפסה לצדו וכיוצ"ב.</w:t>
      </w:r>
      <w:r w:rsidRPr="00196160">
        <w:rPr>
          <w:rFonts w:cs="FrankRuehl" w:hint="cs"/>
          <w:szCs w:val="26"/>
          <w:rtl/>
        </w:rPr>
        <w:t xml:space="preserve"> </w:t>
      </w:r>
      <w:r w:rsidRPr="00196160">
        <w:rPr>
          <w:rFonts w:cs="FrankRuehl"/>
          <w:szCs w:val="26"/>
          <w:rtl/>
        </w:rPr>
        <w:t xml:space="preserve">ככלל, מדיניות הענישה הנוהגת הכללית לעבירות שעניינן נשיאה והובלה של נשק שלא כדין </w:t>
      </w:r>
      <w:r w:rsidRPr="00196160">
        <w:rPr>
          <w:rFonts w:cs="FrankRuehl" w:hint="cs"/>
          <w:szCs w:val="26"/>
          <w:rtl/>
        </w:rPr>
        <w:t>היא כי</w:t>
      </w:r>
      <w:r w:rsidRPr="00196160">
        <w:rPr>
          <w:rFonts w:cs="FrankRuehl"/>
          <w:szCs w:val="26"/>
          <w:rtl/>
        </w:rPr>
        <w:t xml:space="preserve"> מתחם הענישה הרגיל שראוי לקבוע לנאשם בגיר בגין נשיאה בלתי חוקית של נשק חם במרחב הציבורי (בגין עבירה מוגמרת בניגוד לסיוע לה)</w:t>
      </w:r>
      <w:r>
        <w:rPr>
          <w:rFonts w:cs="FrankRuehl"/>
          <w:szCs w:val="26"/>
          <w:rtl/>
        </w:rPr>
        <w:t xml:space="preserve"> </w:t>
      </w:r>
      <w:r w:rsidRPr="00196160">
        <w:rPr>
          <w:rFonts w:cs="FrankRuehl"/>
          <w:szCs w:val="26"/>
          <w:rtl/>
        </w:rPr>
        <w:t>נע בין 30 ל-42 חודשי מאסר בין סורג ובריח</w:t>
      </w:r>
      <w:r w:rsidRPr="00196160">
        <w:rPr>
          <w:rFonts w:cs="FrankRuehl" w:hint="cs"/>
          <w:szCs w:val="26"/>
          <w:rtl/>
        </w:rPr>
        <w:t>.</w:t>
      </w:r>
    </w:p>
    <w:p w14:paraId="528A2E99" w14:textId="77777777" w:rsidR="00952E5C" w:rsidRPr="00196160" w:rsidRDefault="00952E5C" w:rsidP="00952E5C">
      <w:pPr>
        <w:pBdr>
          <w:top w:val="single" w:sz="4" w:space="1" w:color="auto"/>
          <w:bottom w:val="single" w:sz="4" w:space="1" w:color="auto"/>
        </w:pBdr>
        <w:spacing w:after="120" w:line="320" w:lineRule="exact"/>
        <w:jc w:val="both"/>
        <w:rPr>
          <w:rFonts w:cs="FrankRuehl"/>
          <w:szCs w:val="26"/>
        </w:rPr>
      </w:pPr>
      <w:r w:rsidRPr="00196160">
        <w:rPr>
          <w:rFonts w:eastAsia="Calibri" w:cs="FrankRuehl"/>
          <w:szCs w:val="26"/>
          <w:rtl/>
        </w:rPr>
        <w:lastRenderedPageBreak/>
        <w:t>במקרה זה יש לקבוע מתחם ענישה אשר נע בין 10 לבין 22 חודשי מאסר לריצוי בפועל, לצד עונשים נלווים.</w:t>
      </w:r>
      <w:r>
        <w:rPr>
          <w:rFonts w:eastAsia="Calibri" w:cs="FrankRuehl"/>
          <w:szCs w:val="26"/>
          <w:rtl/>
        </w:rPr>
        <w:t xml:space="preserve"> </w:t>
      </w:r>
      <w:r w:rsidRPr="00196160">
        <w:rPr>
          <w:rFonts w:eastAsia="Calibri" w:cs="FrankRuehl"/>
          <w:szCs w:val="26"/>
          <w:rtl/>
        </w:rPr>
        <w:t xml:space="preserve">בהתחשב בכלל השיקולים יש לגזור על הנאשם </w:t>
      </w:r>
      <w:r w:rsidRPr="00196160">
        <w:rPr>
          <w:rFonts w:cs="FrankRuehl"/>
          <w:szCs w:val="26"/>
          <w:rtl/>
        </w:rPr>
        <w:t>11 חודשי מאסר בפועל</w:t>
      </w:r>
      <w:r w:rsidRPr="00196160">
        <w:rPr>
          <w:rFonts w:eastAsia="Calibri" w:cs="FrankRuehl"/>
          <w:szCs w:val="26"/>
          <w:rtl/>
        </w:rPr>
        <w:t xml:space="preserve">, </w:t>
      </w:r>
      <w:r w:rsidRPr="00196160">
        <w:rPr>
          <w:rFonts w:cs="FrankRuehl"/>
          <w:szCs w:val="26"/>
          <w:rtl/>
        </w:rPr>
        <w:t xml:space="preserve">6 חודשי מאסר על תנאי </w:t>
      </w:r>
      <w:r w:rsidRPr="00196160">
        <w:rPr>
          <w:rFonts w:eastAsia="Calibri" w:cs="FrankRuehl"/>
          <w:szCs w:val="26"/>
          <w:rtl/>
        </w:rPr>
        <w:t>וקנס ע"ס 5000 ₪.</w:t>
      </w:r>
    </w:p>
    <w:p w14:paraId="1A2A7C73" w14:textId="77777777" w:rsidR="00952E5C" w:rsidRPr="00952E5C" w:rsidRDefault="00952E5C" w:rsidP="00952E5C">
      <w:pPr>
        <w:spacing w:before="120" w:after="120" w:line="240" w:lineRule="exact"/>
        <w:ind w:left="283" w:hanging="283"/>
        <w:jc w:val="both"/>
        <w:rPr>
          <w:rFonts w:ascii="FrankRuehl" w:hAnsi="FrankRuehl" w:cs="FrankRuehl" w:hint="cs"/>
          <w:rtl/>
        </w:rPr>
      </w:pPr>
      <w:bookmarkStart w:id="5" w:name="ABSTRACT_END"/>
      <w:bookmarkEnd w:id="5"/>
    </w:p>
    <w:p w14:paraId="6AF50B96" w14:textId="77777777" w:rsidR="007F77DA" w:rsidRPr="00A35C7D" w:rsidRDefault="007F77DA" w:rsidP="00A35C7D">
      <w:pPr>
        <w:jc w:val="center"/>
        <w:rPr>
          <w:rFonts w:ascii="David" w:hAnsi="David"/>
          <w:b/>
          <w:bCs/>
          <w:sz w:val="32"/>
          <w:szCs w:val="32"/>
          <w:u w:val="single"/>
          <w:rtl/>
        </w:rPr>
      </w:pPr>
      <w:bookmarkStart w:id="6" w:name="PsakDin"/>
      <w:r w:rsidRPr="00A35C7D">
        <w:rPr>
          <w:rFonts w:ascii="David" w:hAnsi="David"/>
          <w:b/>
          <w:bCs/>
          <w:sz w:val="32"/>
          <w:szCs w:val="32"/>
          <w:u w:val="single"/>
          <w:rtl/>
        </w:rPr>
        <w:t>גזר דין</w:t>
      </w:r>
    </w:p>
    <w:bookmarkEnd w:id="6"/>
    <w:p w14:paraId="55CA6217" w14:textId="77777777" w:rsidR="007F77DA" w:rsidRPr="00BE745E" w:rsidRDefault="007F77DA" w:rsidP="00BE745E">
      <w:pPr>
        <w:jc w:val="center"/>
        <w:rPr>
          <w:rFonts w:ascii="David" w:hAnsi="David"/>
          <w:b/>
          <w:bCs/>
          <w:sz w:val="28"/>
          <w:szCs w:val="28"/>
          <w:u w:val="single"/>
          <w:rtl/>
        </w:rPr>
      </w:pPr>
      <w:r w:rsidRPr="00BE745E">
        <w:rPr>
          <w:rFonts w:ascii="David" w:hAnsi="David" w:hint="cs"/>
          <w:b/>
          <w:bCs/>
          <w:sz w:val="28"/>
          <w:szCs w:val="28"/>
          <w:u w:val="single"/>
          <w:rtl/>
        </w:rPr>
        <w:t>(בעניין הנאשם 1)</w:t>
      </w:r>
    </w:p>
    <w:p w14:paraId="5021FC13" w14:textId="77777777" w:rsidR="00BE745E" w:rsidRDefault="00BE745E" w:rsidP="00BE745E">
      <w:pPr>
        <w:spacing w:line="360" w:lineRule="auto"/>
        <w:jc w:val="both"/>
        <w:rPr>
          <w:rFonts w:ascii="David" w:hAnsi="David"/>
          <w:u w:val="single"/>
        </w:rPr>
      </w:pPr>
    </w:p>
    <w:p w14:paraId="42D03813" w14:textId="77777777" w:rsidR="00BE745E" w:rsidRDefault="00BE745E" w:rsidP="00BE745E">
      <w:pPr>
        <w:spacing w:line="360" w:lineRule="auto"/>
        <w:jc w:val="both"/>
        <w:rPr>
          <w:rFonts w:ascii="David" w:hAnsi="David"/>
          <w:rtl/>
        </w:rPr>
      </w:pPr>
      <w:r>
        <w:rPr>
          <w:rFonts w:ascii="David" w:hAnsi="David"/>
          <w:rtl/>
        </w:rPr>
        <w:t xml:space="preserve">הנאשם, </w:t>
      </w:r>
      <w:r>
        <w:rPr>
          <w:rFonts w:ascii="David" w:hAnsi="David"/>
          <w:b/>
          <w:bCs/>
          <w:rtl/>
        </w:rPr>
        <w:t>עקאב אלנסאסרה</w:t>
      </w:r>
      <w:r>
        <w:rPr>
          <w:rFonts w:ascii="David" w:hAnsi="David"/>
          <w:rtl/>
        </w:rPr>
        <w:t xml:space="preserve"> (להלן:</w:t>
      </w:r>
      <w:r>
        <w:rPr>
          <w:rFonts w:ascii="David" w:hAnsi="David"/>
          <w:b/>
          <w:bCs/>
          <w:rtl/>
        </w:rPr>
        <w:t xml:space="preserve"> </w:t>
      </w:r>
      <w:r>
        <w:rPr>
          <w:rFonts w:ascii="David" w:hAnsi="David"/>
          <w:rtl/>
        </w:rPr>
        <w:t>"</w:t>
      </w:r>
      <w:r>
        <w:rPr>
          <w:rFonts w:ascii="David" w:hAnsi="David"/>
          <w:b/>
          <w:bCs/>
          <w:rtl/>
        </w:rPr>
        <w:t>הנאשם</w:t>
      </w:r>
      <w:r>
        <w:rPr>
          <w:rFonts w:ascii="David" w:hAnsi="David"/>
          <w:rtl/>
        </w:rPr>
        <w:t>" או "</w:t>
      </w:r>
      <w:r>
        <w:rPr>
          <w:rFonts w:ascii="David" w:hAnsi="David"/>
          <w:b/>
          <w:bCs/>
          <w:rtl/>
        </w:rPr>
        <w:t>הנאשם 1</w:t>
      </w:r>
      <w:r>
        <w:rPr>
          <w:rFonts w:ascii="David" w:hAnsi="David"/>
          <w:rtl/>
        </w:rPr>
        <w:t>") הורשע ביום 12.9.24 על - סמך הודאתו, במסגרת הסדר טיעון, בעבירות שנכללו בכתב אישום מתוקן אשר הוגש נגדו ואשר עניינ</w:t>
      </w:r>
      <w:r>
        <w:rPr>
          <w:rFonts w:ascii="David" w:hAnsi="David" w:hint="cs"/>
          <w:rtl/>
        </w:rPr>
        <w:t>ן</w:t>
      </w:r>
      <w:r>
        <w:rPr>
          <w:rFonts w:ascii="David" w:hAnsi="David"/>
          <w:rtl/>
        </w:rPr>
        <w:t xml:space="preserve"> </w:t>
      </w:r>
      <w:r>
        <w:rPr>
          <w:rFonts w:ascii="David" w:hAnsi="David"/>
          <w:b/>
          <w:bCs/>
          <w:rtl/>
        </w:rPr>
        <w:t xml:space="preserve">סיוע לעבירות בנשק (נשיאה והובלה) </w:t>
      </w:r>
      <w:r>
        <w:rPr>
          <w:rFonts w:ascii="David" w:hAnsi="David"/>
          <w:rtl/>
        </w:rPr>
        <w:t xml:space="preserve">לפי </w:t>
      </w:r>
      <w:hyperlink r:id="rId15" w:history="1">
        <w:r w:rsidR="007F77DA" w:rsidRPr="007F77DA">
          <w:rPr>
            <w:rStyle w:val="Hyperlink"/>
            <w:rFonts w:ascii="David" w:hAnsi="David"/>
            <w:rtl/>
          </w:rPr>
          <w:t>סעיפים 144(ב)</w:t>
        </w:r>
      </w:hyperlink>
      <w:r>
        <w:rPr>
          <w:rFonts w:ascii="David" w:hAnsi="David"/>
          <w:rtl/>
        </w:rPr>
        <w:t xml:space="preserve"> רישה עד סיפה ו-</w:t>
      </w:r>
      <w:hyperlink r:id="rId16" w:history="1">
        <w:r w:rsidR="007F77DA" w:rsidRPr="007F77DA">
          <w:rPr>
            <w:rStyle w:val="Hyperlink"/>
            <w:rFonts w:ascii="David" w:hAnsi="David"/>
            <w:rtl/>
          </w:rPr>
          <w:t>31</w:t>
        </w:r>
      </w:hyperlink>
      <w:r>
        <w:rPr>
          <w:rFonts w:ascii="David" w:hAnsi="David"/>
          <w:rtl/>
        </w:rPr>
        <w:t xml:space="preserve"> ל</w:t>
      </w:r>
      <w:hyperlink r:id="rId17" w:history="1">
        <w:r w:rsidR="00A35C7D" w:rsidRPr="00A35C7D">
          <w:rPr>
            <w:rFonts w:ascii="David" w:hAnsi="David"/>
            <w:color w:val="0000FF"/>
            <w:u w:val="single"/>
            <w:rtl/>
          </w:rPr>
          <w:t>חוק העונשין</w:t>
        </w:r>
      </w:hyperlink>
      <w:r>
        <w:rPr>
          <w:rFonts w:ascii="David" w:hAnsi="David"/>
          <w:rtl/>
        </w:rPr>
        <w:t>, התשל"ז-1977 (להלן: "</w:t>
      </w:r>
      <w:r>
        <w:rPr>
          <w:rFonts w:ascii="David" w:hAnsi="David"/>
          <w:b/>
          <w:bCs/>
          <w:rtl/>
        </w:rPr>
        <w:t>חוק העונשין</w:t>
      </w:r>
      <w:r>
        <w:rPr>
          <w:rFonts w:ascii="David" w:hAnsi="David"/>
          <w:rtl/>
        </w:rPr>
        <w:t>" או "</w:t>
      </w:r>
      <w:r>
        <w:rPr>
          <w:rFonts w:ascii="David" w:hAnsi="David"/>
          <w:b/>
          <w:bCs/>
          <w:rtl/>
        </w:rPr>
        <w:t>החוק</w:t>
      </w:r>
      <w:r>
        <w:rPr>
          <w:rFonts w:ascii="David" w:hAnsi="David"/>
          <w:rtl/>
        </w:rPr>
        <w:t xml:space="preserve">").  </w:t>
      </w:r>
    </w:p>
    <w:p w14:paraId="4903FC34" w14:textId="77777777" w:rsidR="00BE745E" w:rsidRDefault="00BE745E" w:rsidP="00BE745E">
      <w:pPr>
        <w:spacing w:line="360" w:lineRule="auto"/>
        <w:jc w:val="both"/>
        <w:rPr>
          <w:rFonts w:ascii="David" w:hAnsi="David"/>
          <w:rtl/>
        </w:rPr>
      </w:pPr>
    </w:p>
    <w:p w14:paraId="38EF45C9" w14:textId="77777777" w:rsidR="00BE745E" w:rsidRDefault="00BE745E" w:rsidP="00BE745E">
      <w:pPr>
        <w:spacing w:line="360" w:lineRule="auto"/>
        <w:jc w:val="both"/>
        <w:rPr>
          <w:rFonts w:ascii="David" w:hAnsi="David"/>
          <w:rtl/>
        </w:rPr>
      </w:pPr>
      <w:r>
        <w:rPr>
          <w:rFonts w:ascii="David" w:hAnsi="David"/>
          <w:rtl/>
        </w:rPr>
        <w:t>כאן המקום לציין, כי גזירת עונשו של הנאשם המשותף לכתב האישום המתוקן ולהסדר הטיעון, הנאשם מס' 2, הופרדה מעניינו של הנאשם דכאן, נוכח גילו וחובת עריכת התסקיר לעניין עונשו</w:t>
      </w:r>
      <w:r>
        <w:rPr>
          <w:rFonts w:ascii="David" w:hAnsi="David" w:hint="cs"/>
          <w:rtl/>
        </w:rPr>
        <w:t>,</w:t>
      </w:r>
      <w:r>
        <w:rPr>
          <w:rFonts w:ascii="David" w:hAnsi="David"/>
          <w:rtl/>
        </w:rPr>
        <w:t xml:space="preserve"> אשר מטבע הדברים מחייבת שהות נוספת.  </w:t>
      </w:r>
    </w:p>
    <w:p w14:paraId="4E550344" w14:textId="77777777" w:rsidR="00BE745E" w:rsidRPr="00D6251E" w:rsidRDefault="00BE745E" w:rsidP="00BE745E">
      <w:pPr>
        <w:spacing w:line="360" w:lineRule="auto"/>
        <w:jc w:val="both"/>
        <w:rPr>
          <w:rFonts w:ascii="David" w:hAnsi="David"/>
          <w:rtl/>
        </w:rPr>
      </w:pPr>
      <w:r>
        <w:rPr>
          <w:rFonts w:ascii="David" w:hAnsi="David"/>
          <w:rtl/>
        </w:rPr>
        <w:t xml:space="preserve">  </w:t>
      </w:r>
      <w:r w:rsidRPr="00CF5BD0">
        <w:rPr>
          <w:rFonts w:ascii="David" w:eastAsia="Calibri" w:hAnsi="David"/>
          <w:rtl/>
        </w:rPr>
        <w:t xml:space="preserve"> </w:t>
      </w:r>
    </w:p>
    <w:p w14:paraId="2E6B19FA" w14:textId="77777777" w:rsidR="00BE745E" w:rsidRPr="00CF5BD0" w:rsidRDefault="00BE745E" w:rsidP="00BE745E">
      <w:pPr>
        <w:spacing w:line="360" w:lineRule="auto"/>
        <w:jc w:val="both"/>
        <w:rPr>
          <w:rFonts w:ascii="David" w:eastAsia="Calibri" w:hAnsi="David"/>
          <w:u w:val="single"/>
          <w:rtl/>
        </w:rPr>
      </w:pPr>
      <w:r w:rsidRPr="00CF5BD0">
        <w:rPr>
          <w:rFonts w:ascii="David" w:eastAsia="Calibri" w:hAnsi="David"/>
          <w:u w:val="single"/>
          <w:rtl/>
        </w:rPr>
        <w:t>עובדות כתב האישום המתוקן</w:t>
      </w:r>
    </w:p>
    <w:p w14:paraId="5DD0503A" w14:textId="77777777" w:rsidR="00BE745E" w:rsidRPr="00CF5BD0" w:rsidRDefault="00BE745E" w:rsidP="00BE745E">
      <w:pPr>
        <w:spacing w:line="360" w:lineRule="auto"/>
        <w:jc w:val="both"/>
        <w:rPr>
          <w:rFonts w:ascii="David" w:eastAsia="Calibri" w:hAnsi="David"/>
          <w:u w:val="single"/>
          <w:rtl/>
        </w:rPr>
      </w:pPr>
    </w:p>
    <w:p w14:paraId="1BA2BB0E"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 xml:space="preserve">בין הנאשמים קיימת היכרות מוקדמת על רקע קשר משפחתי. במועדים הרלוונטיים לכתב האישום, נאשם 1 החזיק ועשה שימוש ברכב מסוג פולקסווגן מספר רישוי 50067703 הרשום על שם חברת בדוי ובניו בע"מ. </w:t>
      </w:r>
    </w:p>
    <w:p w14:paraId="4CEED6D6" w14:textId="77777777" w:rsidR="00BE745E" w:rsidRPr="00CF5BD0" w:rsidRDefault="00BE745E" w:rsidP="00BE745E">
      <w:pPr>
        <w:spacing w:line="360" w:lineRule="auto"/>
        <w:jc w:val="both"/>
        <w:rPr>
          <w:rFonts w:ascii="David" w:eastAsia="Calibri" w:hAnsi="David"/>
          <w:rtl/>
        </w:rPr>
      </w:pPr>
    </w:p>
    <w:p w14:paraId="01B4A5EA"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ביום 7.2.24 בשעה 22:50 או בסמוך לכך, נהג הנאשם 1 ברכב בכביש 65 מכיוון דרום לכיוון צפון, כאשר במושב מאחוריו ישב הנאשם 2; במושב שליד הנהג ישב מוחמד נסאסרה; במושב האחורי (האמצעי) ישב סולימאן אזברגה ואילו במושב שמאחורי מושב הנוסע ישב עדנאן אזברגה.</w:t>
      </w:r>
    </w:p>
    <w:p w14:paraId="0A4DB124"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 xml:space="preserve"> </w:t>
      </w:r>
    </w:p>
    <w:p w14:paraId="61916F38"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 xml:space="preserve">באותו מועד, סייעו הנאשמים לאחר, שזהותו אינה ידועה למאשימה לשאת ולהוביל ברכב, בלא רשות על פי דין ובצוותא חדא, אקדח מסוג </w:t>
      </w:r>
      <w:r w:rsidRPr="00CF5BD0">
        <w:rPr>
          <w:rFonts w:ascii="David" w:eastAsia="Calibri" w:hAnsi="David"/>
        </w:rPr>
        <w:t>FN</w:t>
      </w:r>
      <w:r w:rsidRPr="00CF5BD0">
        <w:rPr>
          <w:rFonts w:ascii="David" w:eastAsia="Calibri" w:hAnsi="David"/>
          <w:rtl/>
        </w:rPr>
        <w:t xml:space="preserve"> חצי אוטומטי טעון במחסנית ובתוכה 12 כדורי 9 מ"מ, וכן 26 כדורי 9 מ"מ מוסלקים בתוך הדופן האחורי של מושב נאשם 1. עוד סייעו הנאשמים לאחר לשאת ולהוביל ברכב, בצוותא חדא, 20 כדורי 9 מ"מ שהוסלקו בתוך כפפה שחורה על גופו של נאשם 2. צוין, כי האקדח הינו כלי שסוגל לירות כדור שבכוחו להמית אדם, בעוד הכדורים הינם תחמושת לנשק כהגדרתו בחוק והמחסנית הינה אביזר לנשק כאמור.   </w:t>
      </w:r>
    </w:p>
    <w:p w14:paraId="2364B092" w14:textId="77777777" w:rsidR="00BE745E" w:rsidRPr="00CF5BD0" w:rsidRDefault="00BE745E" w:rsidP="00BE745E">
      <w:pPr>
        <w:spacing w:line="360" w:lineRule="auto"/>
        <w:jc w:val="both"/>
        <w:rPr>
          <w:rFonts w:ascii="David" w:eastAsia="Calibri" w:hAnsi="David"/>
          <w:rtl/>
        </w:rPr>
      </w:pPr>
    </w:p>
    <w:p w14:paraId="68D6978B" w14:textId="77777777" w:rsidR="00BE745E" w:rsidRPr="00CF5BD0" w:rsidRDefault="00BE745E" w:rsidP="00BE745E">
      <w:pPr>
        <w:spacing w:line="360" w:lineRule="auto"/>
        <w:jc w:val="both"/>
        <w:rPr>
          <w:rFonts w:ascii="David" w:eastAsia="Calibri" w:hAnsi="David"/>
          <w:u w:val="single"/>
          <w:rtl/>
        </w:rPr>
      </w:pPr>
      <w:r w:rsidRPr="00CF5BD0">
        <w:rPr>
          <w:rFonts w:ascii="David" w:eastAsia="Calibri" w:hAnsi="David"/>
          <w:u w:val="single"/>
          <w:rtl/>
        </w:rPr>
        <w:t>ראיות וטיעוני הצדדים לעניין העונש</w:t>
      </w:r>
    </w:p>
    <w:p w14:paraId="0B80ACC8" w14:textId="77777777" w:rsidR="00BE745E" w:rsidRPr="00CF5BD0" w:rsidRDefault="00BE745E" w:rsidP="00BE745E">
      <w:pPr>
        <w:spacing w:line="360" w:lineRule="auto"/>
        <w:jc w:val="both"/>
        <w:rPr>
          <w:rFonts w:ascii="David" w:eastAsia="Calibri" w:hAnsi="David"/>
          <w:u w:val="single"/>
          <w:rtl/>
        </w:rPr>
      </w:pPr>
    </w:p>
    <w:p w14:paraId="62711CBE"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lastRenderedPageBreak/>
        <w:t xml:space="preserve">על אודות אופיו של הנאשם העיד </w:t>
      </w:r>
      <w:r w:rsidRPr="00CF5BD0">
        <w:rPr>
          <w:rFonts w:ascii="David" w:eastAsia="Calibri" w:hAnsi="David"/>
          <w:b/>
          <w:bCs/>
          <w:rtl/>
        </w:rPr>
        <w:t>מר עלא אזברגה</w:t>
      </w:r>
      <w:r w:rsidRPr="00CF5BD0">
        <w:rPr>
          <w:rFonts w:ascii="David" w:eastAsia="Calibri" w:hAnsi="David"/>
          <w:rtl/>
        </w:rPr>
        <w:t>. עד זה פירט, כי הנאשם הוא היחיד במשפחתו שמטפל באמו החולה וכי אופיו טוב לבריות, וללא בעיות משמעת</w:t>
      </w:r>
      <w:r>
        <w:rPr>
          <w:rFonts w:ascii="David" w:eastAsia="Calibri" w:hAnsi="David" w:hint="cs"/>
          <w:rtl/>
        </w:rPr>
        <w:t xml:space="preserve"> בעבודתו</w:t>
      </w:r>
      <w:r w:rsidRPr="00CF5BD0">
        <w:rPr>
          <w:rFonts w:ascii="David" w:eastAsia="Calibri" w:hAnsi="David"/>
          <w:rtl/>
        </w:rPr>
        <w:t xml:space="preserve">. העד תיאר, כי הנאשם מפעיל דחפורים בחברתו ושהוא עושה עבודתו נאמנה, ומשכך מבוקש גם לעבודות במסגרת הצבא. הודגש בהקשר זה, כי בין אלה נכללו פרויקטים שתרמו למערכה הצבאית ("חברות ברזל") בגבול הצפון. </w:t>
      </w:r>
    </w:p>
    <w:p w14:paraId="286885AF" w14:textId="77777777" w:rsidR="00BE745E" w:rsidRPr="00CF5BD0" w:rsidRDefault="00BE745E" w:rsidP="00BE745E">
      <w:pPr>
        <w:spacing w:line="360" w:lineRule="auto"/>
        <w:jc w:val="both"/>
        <w:rPr>
          <w:rFonts w:ascii="David" w:eastAsia="Calibri" w:hAnsi="David"/>
          <w:rtl/>
        </w:rPr>
      </w:pPr>
    </w:p>
    <w:p w14:paraId="4CDD4A30"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 xml:space="preserve">הוגשו לעיוני  - </w:t>
      </w:r>
      <w:r w:rsidRPr="00CF5BD0">
        <w:rPr>
          <w:rFonts w:ascii="David" w:eastAsia="Calibri" w:hAnsi="David"/>
          <w:b/>
          <w:bCs/>
          <w:rtl/>
        </w:rPr>
        <w:t>תעודות הוקרה</w:t>
      </w:r>
      <w:r w:rsidRPr="00CF5BD0">
        <w:rPr>
          <w:rFonts w:ascii="David" w:eastAsia="Calibri" w:hAnsi="David"/>
          <w:rtl/>
        </w:rPr>
        <w:t xml:space="preserve"> מחודש יולי 2024 מאת גדוד הבוקעים המופנית אל העד ואל עסקו של העד (בדוי בניו בע"מ -טעה/2). בנוסף, הוגש </w:t>
      </w:r>
      <w:r w:rsidRPr="00CF5BD0">
        <w:rPr>
          <w:rFonts w:ascii="David" w:eastAsia="Calibri" w:hAnsi="David"/>
          <w:b/>
          <w:bCs/>
          <w:rtl/>
        </w:rPr>
        <w:t>מסמך רפואי</w:t>
      </w:r>
      <w:r w:rsidRPr="00CF5BD0">
        <w:rPr>
          <w:rFonts w:ascii="David" w:eastAsia="Calibri" w:hAnsi="David"/>
          <w:rtl/>
        </w:rPr>
        <w:t xml:space="preserve"> המעיד על אודות מצבה הרפואי של אם הנאשם (טעה /1).       </w:t>
      </w:r>
    </w:p>
    <w:p w14:paraId="6073F571" w14:textId="77777777" w:rsidR="00BE745E" w:rsidRPr="00CF5BD0" w:rsidRDefault="00BE745E" w:rsidP="00BE745E">
      <w:pPr>
        <w:spacing w:line="360" w:lineRule="auto"/>
        <w:jc w:val="both"/>
        <w:rPr>
          <w:rFonts w:ascii="David" w:eastAsia="Calibri" w:hAnsi="David"/>
          <w:b/>
          <w:bCs/>
          <w:u w:val="single"/>
          <w:rtl/>
        </w:rPr>
      </w:pPr>
    </w:p>
    <w:p w14:paraId="5B9BE05E" w14:textId="77777777" w:rsidR="00BE745E" w:rsidRPr="00CF5BD0" w:rsidRDefault="00BE745E" w:rsidP="00BE745E">
      <w:pPr>
        <w:spacing w:line="360" w:lineRule="auto"/>
        <w:jc w:val="both"/>
        <w:rPr>
          <w:rFonts w:ascii="David" w:eastAsia="Calibri" w:hAnsi="David"/>
          <w:i/>
          <w:iCs/>
          <w:rtl/>
        </w:rPr>
      </w:pPr>
      <w:r w:rsidRPr="00CF5BD0">
        <w:rPr>
          <w:rFonts w:ascii="David" w:eastAsia="Calibri" w:hAnsi="David"/>
          <w:i/>
          <w:iCs/>
          <w:rtl/>
        </w:rPr>
        <w:t xml:space="preserve">המאשימה </w:t>
      </w:r>
    </w:p>
    <w:p w14:paraId="05FB5AB5" w14:textId="77777777" w:rsidR="00BE745E" w:rsidRPr="00CF5BD0" w:rsidRDefault="00BE745E" w:rsidP="00BE745E">
      <w:pPr>
        <w:spacing w:line="360" w:lineRule="auto"/>
        <w:jc w:val="both"/>
        <w:rPr>
          <w:rFonts w:ascii="David" w:eastAsia="Calibri" w:hAnsi="David"/>
          <w:b/>
          <w:bCs/>
          <w:u w:val="single"/>
          <w:rtl/>
        </w:rPr>
      </w:pPr>
    </w:p>
    <w:p w14:paraId="16D37C17"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 xml:space="preserve">ב"כ המאשימה המלומד, עו"ד מיכאל יפרח, הגיש מסמך טיעונים כתוב (טעת/1) והוסיף על אלו בעל פה. </w:t>
      </w:r>
      <w:r w:rsidRPr="00CF5BD0">
        <w:rPr>
          <w:rFonts w:ascii="David" w:eastAsia="Calibri" w:hAnsi="David"/>
          <w:b/>
          <w:bCs/>
          <w:rtl/>
        </w:rPr>
        <w:t>ראשית, צוין כי הנאשם נעדר עבר פלילי.</w:t>
      </w:r>
      <w:r w:rsidRPr="00CF5BD0">
        <w:rPr>
          <w:rFonts w:ascii="David" w:eastAsia="Calibri" w:hAnsi="David"/>
          <w:rtl/>
        </w:rPr>
        <w:t xml:space="preserve"> </w:t>
      </w:r>
    </w:p>
    <w:p w14:paraId="4A4C49E2" w14:textId="77777777" w:rsidR="00BE745E" w:rsidRPr="00CF5BD0" w:rsidRDefault="00BE745E" w:rsidP="00BE745E">
      <w:pPr>
        <w:spacing w:line="360" w:lineRule="auto"/>
        <w:jc w:val="both"/>
        <w:rPr>
          <w:rFonts w:ascii="David" w:eastAsia="Calibri" w:hAnsi="David"/>
          <w:rtl/>
        </w:rPr>
      </w:pPr>
    </w:p>
    <w:p w14:paraId="6BBB4089"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 xml:space="preserve">במסגרת טיעוניו עמד הפרקליט על חומרתן של העבירות בנשק והסיכון הרב שגלום בהן. הוא סקר את נסיבות ביצוע העבירה והפנה אל פסיקה רלוונטית שעניינה בעבירות נשק דומות (נשיאה והובלה). לשיטתה של המאשימה  מתחם העונש ההולם את מעשה הסיוע של הנאשם דכאן צריך שינוע בין 16 לבין 25 חודשי מאסר לריצוי בפועל, לצד עונשים נלווים. בהתייחסו לנסיבות שאינן קשורות בביצוע העבירה, צוין כי אמנם הנאשם הודה בעבירות ובכך חסך זמן שיפוטי יקר וכן עברו הפלילי נקי, אך  לצד אלו יש לגזור את עונשו ברף האמצעי של מתחם הענישה המוצע -  לשם הרתעת הרבים. </w:t>
      </w:r>
    </w:p>
    <w:p w14:paraId="09A7B505"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 xml:space="preserve">   </w:t>
      </w:r>
    </w:p>
    <w:p w14:paraId="01D82E01" w14:textId="77777777" w:rsidR="00BE745E" w:rsidRDefault="00BE745E" w:rsidP="00BE745E">
      <w:pPr>
        <w:spacing w:line="360" w:lineRule="auto"/>
        <w:jc w:val="both"/>
        <w:rPr>
          <w:rFonts w:ascii="David" w:eastAsia="Calibri" w:hAnsi="David"/>
          <w:i/>
          <w:iCs/>
          <w:rtl/>
        </w:rPr>
      </w:pPr>
    </w:p>
    <w:p w14:paraId="5D697DC8" w14:textId="77777777" w:rsidR="00BE745E" w:rsidRDefault="00BE745E" w:rsidP="00BE745E">
      <w:pPr>
        <w:spacing w:line="360" w:lineRule="auto"/>
        <w:jc w:val="both"/>
        <w:rPr>
          <w:rFonts w:ascii="David" w:eastAsia="Calibri" w:hAnsi="David"/>
          <w:i/>
          <w:iCs/>
          <w:rtl/>
        </w:rPr>
      </w:pPr>
    </w:p>
    <w:p w14:paraId="330B3BF3" w14:textId="77777777" w:rsidR="00BE745E" w:rsidRPr="00CF5BD0" w:rsidRDefault="00BE745E" w:rsidP="00BE745E">
      <w:pPr>
        <w:spacing w:line="360" w:lineRule="auto"/>
        <w:jc w:val="both"/>
        <w:rPr>
          <w:rFonts w:ascii="David" w:eastAsia="Calibri" w:hAnsi="David"/>
          <w:i/>
          <w:iCs/>
          <w:rtl/>
        </w:rPr>
      </w:pPr>
      <w:r w:rsidRPr="00CF5BD0">
        <w:rPr>
          <w:rFonts w:ascii="David" w:eastAsia="Calibri" w:hAnsi="David"/>
          <w:i/>
          <w:iCs/>
          <w:rtl/>
        </w:rPr>
        <w:t>ההגנה</w:t>
      </w:r>
    </w:p>
    <w:p w14:paraId="51079F09" w14:textId="77777777" w:rsidR="00BE745E" w:rsidRPr="00CF5BD0" w:rsidRDefault="00BE745E" w:rsidP="00BE745E">
      <w:pPr>
        <w:spacing w:line="360" w:lineRule="auto"/>
        <w:jc w:val="both"/>
        <w:rPr>
          <w:rFonts w:ascii="David" w:eastAsia="Calibri" w:hAnsi="David"/>
          <w:i/>
          <w:iCs/>
          <w:rtl/>
        </w:rPr>
      </w:pPr>
    </w:p>
    <w:p w14:paraId="2C6CFA3B"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ב"כ המלומד של הנאשם, עו"ד חנא בולוס, הגיש מצדו את טיעוני ההגנה לעניין העונש (טעה/</w:t>
      </w:r>
      <w:r>
        <w:rPr>
          <w:rFonts w:ascii="David" w:eastAsia="Calibri" w:hAnsi="David" w:hint="cs"/>
          <w:rtl/>
        </w:rPr>
        <w:t>3</w:t>
      </w:r>
      <w:r w:rsidRPr="00CF5BD0">
        <w:rPr>
          <w:rFonts w:ascii="David" w:eastAsia="Calibri" w:hAnsi="David"/>
          <w:rtl/>
        </w:rPr>
        <w:t xml:space="preserve">) והוסיף על אלו בעל פה. בקצירת האומר, צוין כי עסקינן בעבירת סיוע וכלי נשק שהוא אקדח, בניגוד לכלי נשק עוצמתיים יותר. הוער, כי הנאשם, בן 26, נעדר עבר פלילי, ונתון במעצר מזה כ- 7 חודשים. במצב דברים זה, הוא אינו מסוגל לדואג לאמו החולה במחלה קשה. הודגש, כי הנאשם הודה בהזדמנות הראשונה ובכך חסך זמן שיפוטי רב. הסנגור חזר על דברי עד האופי לעיל, ועמד על תרומתו של הנאשם לחברה בה הוא עובד. הסנגור עמד על פסיקה המתאימה לשיטתו לנסיבות המקרה ועתר לשרטט מתחם ענישה הנע בין 3 לבין ½7 חודשי מאסר שיכול וירוצו בדרך של עבודות שירות.  </w:t>
      </w:r>
    </w:p>
    <w:p w14:paraId="6BC87ABA" w14:textId="77777777" w:rsidR="00BE745E" w:rsidRPr="00CF5BD0" w:rsidRDefault="00BE745E" w:rsidP="00BE745E">
      <w:pPr>
        <w:spacing w:line="360" w:lineRule="auto"/>
        <w:jc w:val="both"/>
        <w:rPr>
          <w:rFonts w:ascii="David" w:eastAsia="Calibri" w:hAnsi="David"/>
          <w:u w:val="single"/>
          <w:rtl/>
        </w:rPr>
      </w:pPr>
    </w:p>
    <w:p w14:paraId="051934D9" w14:textId="77777777" w:rsidR="00BE745E" w:rsidRPr="00CF5BD0" w:rsidRDefault="00BE745E" w:rsidP="00BE745E">
      <w:pPr>
        <w:spacing w:line="360" w:lineRule="auto"/>
        <w:jc w:val="both"/>
        <w:rPr>
          <w:rFonts w:ascii="David" w:eastAsia="Calibri" w:hAnsi="David"/>
          <w:i/>
          <w:iCs/>
          <w:rtl/>
        </w:rPr>
      </w:pPr>
      <w:r w:rsidRPr="00CF5BD0">
        <w:rPr>
          <w:rFonts w:ascii="David" w:eastAsia="Calibri" w:hAnsi="David"/>
          <w:i/>
          <w:iCs/>
          <w:rtl/>
        </w:rPr>
        <w:t>דבריו של הנאשם</w:t>
      </w:r>
    </w:p>
    <w:p w14:paraId="330D254D" w14:textId="77777777" w:rsidR="00BE745E" w:rsidRPr="00CF5BD0" w:rsidRDefault="00BE745E" w:rsidP="00BE745E">
      <w:pPr>
        <w:spacing w:line="360" w:lineRule="auto"/>
        <w:jc w:val="both"/>
        <w:rPr>
          <w:rFonts w:ascii="David" w:eastAsia="Calibri" w:hAnsi="David"/>
          <w:u w:val="single"/>
          <w:rtl/>
        </w:rPr>
      </w:pPr>
    </w:p>
    <w:p w14:paraId="1A5CC4DB"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 xml:space="preserve">הנאשם פנה אל בית המשפט, בציינו כי הוא מצטער מאוד על מעשיו, הוא הדגיש כי אינו "שייך לתחום הזה" וביקש שבית המשפט יעניק לו הזדמנות לשקם את חייו.  </w:t>
      </w:r>
    </w:p>
    <w:p w14:paraId="73F8BCC7" w14:textId="77777777" w:rsidR="00BE745E" w:rsidRPr="00CF5BD0" w:rsidRDefault="00BE745E" w:rsidP="00BE745E">
      <w:pPr>
        <w:spacing w:line="360" w:lineRule="auto"/>
        <w:jc w:val="both"/>
        <w:rPr>
          <w:rFonts w:ascii="David" w:eastAsia="Calibri" w:hAnsi="David"/>
          <w:b/>
          <w:bCs/>
          <w:u w:val="single"/>
          <w:rtl/>
        </w:rPr>
      </w:pPr>
    </w:p>
    <w:p w14:paraId="286F197A" w14:textId="77777777" w:rsidR="00BE745E" w:rsidRPr="00211105" w:rsidRDefault="00BE745E" w:rsidP="00BE745E">
      <w:pPr>
        <w:spacing w:line="360" w:lineRule="auto"/>
        <w:jc w:val="both"/>
        <w:rPr>
          <w:rFonts w:ascii="David" w:eastAsia="Calibri" w:hAnsi="David"/>
          <w:b/>
          <w:bCs/>
          <w:u w:val="single"/>
          <w:rtl/>
        </w:rPr>
      </w:pPr>
      <w:r w:rsidRPr="00211105">
        <w:rPr>
          <w:rFonts w:ascii="David" w:eastAsia="Calibri" w:hAnsi="David"/>
          <w:b/>
          <w:bCs/>
          <w:u w:val="single"/>
          <w:rtl/>
        </w:rPr>
        <w:t>דיון והכרעה</w:t>
      </w:r>
    </w:p>
    <w:p w14:paraId="49312879" w14:textId="77777777" w:rsidR="00BE745E" w:rsidRPr="00CF5BD0" w:rsidRDefault="00BE745E" w:rsidP="00BE745E">
      <w:pPr>
        <w:spacing w:line="360" w:lineRule="auto"/>
        <w:jc w:val="both"/>
        <w:rPr>
          <w:rFonts w:ascii="David" w:eastAsia="Calibri" w:hAnsi="David"/>
          <w:b/>
          <w:bCs/>
          <w:u w:val="single"/>
          <w:rtl/>
        </w:rPr>
      </w:pPr>
    </w:p>
    <w:p w14:paraId="7DEA8AE9" w14:textId="77777777" w:rsidR="00BE745E" w:rsidRPr="00CF5BD0" w:rsidRDefault="00BE745E" w:rsidP="00BE745E">
      <w:pPr>
        <w:spacing w:line="360" w:lineRule="auto"/>
        <w:jc w:val="both"/>
        <w:rPr>
          <w:rFonts w:ascii="David" w:eastAsia="Calibri" w:hAnsi="David"/>
          <w:b/>
          <w:bCs/>
          <w:u w:val="single"/>
          <w:rtl/>
        </w:rPr>
      </w:pPr>
      <w:r w:rsidRPr="00CF5BD0">
        <w:rPr>
          <w:rFonts w:ascii="David" w:eastAsia="Calibri" w:hAnsi="David"/>
          <w:rtl/>
        </w:rPr>
        <w:t>החזקת נשק, סחר בו</w:t>
      </w:r>
      <w:r w:rsidRPr="00CF5BD0">
        <w:rPr>
          <w:rFonts w:ascii="David" w:eastAsia="Calibri" w:hAnsi="David"/>
          <w:b/>
          <w:bCs/>
          <w:rtl/>
        </w:rPr>
        <w:t>, נשיאתו, הובלתו</w:t>
      </w:r>
      <w:r w:rsidRPr="00CF5BD0">
        <w:rPr>
          <w:rFonts w:ascii="David" w:eastAsia="Calibri" w:hAnsi="David"/>
          <w:rtl/>
        </w:rPr>
        <w:t xml:space="preserve"> וכן </w:t>
      </w:r>
      <w:r w:rsidRPr="00CF5BD0">
        <w:rPr>
          <w:rFonts w:ascii="David" w:eastAsia="Calibri" w:hAnsi="David"/>
          <w:u w:val="single"/>
          <w:rtl/>
        </w:rPr>
        <w:t>העבירות "הנגזרות" למעשים אלו</w:t>
      </w:r>
      <w:r w:rsidRPr="00CF5BD0">
        <w:rPr>
          <w:rFonts w:ascii="David" w:eastAsia="Calibri" w:hAnsi="David"/>
          <w:rtl/>
        </w:rPr>
        <w:t xml:space="preserve">, הפכו לדאבון הלב למכת מדינה של ממש (ראו לעניין זה למשל: </w:t>
      </w:r>
      <w:hyperlink r:id="rId18" w:history="1">
        <w:r w:rsidR="00A35C7D" w:rsidRPr="00A35C7D">
          <w:rPr>
            <w:rFonts w:ascii="David" w:eastAsia="Calibri" w:hAnsi="David"/>
            <w:color w:val="0000FF"/>
            <w:u w:val="single"/>
            <w:rtl/>
          </w:rPr>
          <w:t>ע"פ 1695/22</w:t>
        </w:r>
      </w:hyperlink>
      <w:r w:rsidRPr="00CF5BD0">
        <w:rPr>
          <w:rFonts w:ascii="David" w:eastAsia="Calibri" w:hAnsi="David"/>
          <w:rtl/>
        </w:rPr>
        <w:t xml:space="preserve"> </w:t>
      </w:r>
      <w:r w:rsidRPr="00CF5BD0">
        <w:rPr>
          <w:rFonts w:ascii="David" w:eastAsia="Calibri" w:hAnsi="David"/>
          <w:b/>
          <w:bCs/>
          <w:rtl/>
        </w:rPr>
        <w:t>מדינת ישראל נ' גנאים</w:t>
      </w:r>
      <w:r w:rsidRPr="00CF5BD0">
        <w:rPr>
          <w:rFonts w:ascii="David" w:eastAsia="Calibri" w:hAnsi="David"/>
          <w:rtl/>
        </w:rPr>
        <w:t xml:space="preserve">, פסקה 11, </w:t>
      </w:r>
      <w:r w:rsidR="00952E5C">
        <w:rPr>
          <w:rFonts w:ascii="David" w:eastAsia="Calibri" w:hAnsi="David"/>
          <w:rtl/>
        </w:rPr>
        <w:t>[נבו]</w:t>
      </w:r>
      <w:r w:rsidR="00952E5C">
        <w:rPr>
          <w:rFonts w:ascii="David" w:eastAsia="Calibri" w:hAnsi="David" w:hint="cs"/>
          <w:rtl/>
        </w:rPr>
        <w:t xml:space="preserve"> </w:t>
      </w:r>
      <w:r w:rsidRPr="00CF5BD0">
        <w:rPr>
          <w:rFonts w:ascii="David" w:eastAsia="Calibri" w:hAnsi="David"/>
          <w:rtl/>
        </w:rPr>
        <w:t xml:space="preserve">ביום 29.3.22). כפי שציינתי חזור ושנה בעבר, ברי, כי מדינה ריבונית ומתוקנת איננה יכולה לקבל כ"מכת-גורל" תופעה שבמסגרתה מובל ונישא נשק בלתי-חוקי בקרב אזרחיה ותושביה, שכן כזו עלולה, חלילה, לכרסם ביסודות לחם חוקה. </w:t>
      </w:r>
    </w:p>
    <w:p w14:paraId="29E00E7F" w14:textId="77777777" w:rsidR="00BE745E" w:rsidRPr="00CF5BD0" w:rsidRDefault="00BE745E" w:rsidP="00BE745E">
      <w:pPr>
        <w:spacing w:line="276" w:lineRule="auto"/>
        <w:ind w:left="651" w:right="709"/>
        <w:jc w:val="both"/>
        <w:rPr>
          <w:rFonts w:ascii="David" w:eastAsia="Calibri" w:hAnsi="David"/>
          <w:rtl/>
        </w:rPr>
      </w:pPr>
    </w:p>
    <w:p w14:paraId="1398EFBD" w14:textId="77777777" w:rsidR="00BE745E" w:rsidRPr="00CF5BD0" w:rsidRDefault="00BE745E" w:rsidP="00BE745E">
      <w:pPr>
        <w:spacing w:line="360" w:lineRule="auto"/>
        <w:jc w:val="both"/>
        <w:rPr>
          <w:rFonts w:ascii="David" w:eastAsia="Calibri" w:hAnsi="David"/>
          <w:b/>
          <w:bCs/>
          <w:u w:val="single"/>
          <w:rtl/>
        </w:rPr>
      </w:pPr>
      <w:r w:rsidRPr="00CF5BD0">
        <w:rPr>
          <w:rFonts w:ascii="David" w:eastAsia="Calibri" w:hAnsi="David"/>
          <w:rtl/>
        </w:rPr>
        <w:t xml:space="preserve">ככלל, עת נפנים לבצע את מלאכת הענישה, העיקרון המנחה שנקבע במסגרת תורת הבניית שיקול-הדעת השיפוטי, הוא עקרון ההלימה: משמע, </w:t>
      </w:r>
      <w:r w:rsidRPr="00CF5BD0">
        <w:rPr>
          <w:rFonts w:ascii="David" w:eastAsia="Calibri" w:hAnsi="David"/>
          <w:u w:val="single"/>
          <w:rtl/>
        </w:rPr>
        <w:t>שימור יחס הולם בין חומרת מעשה העבירה בנסיבותיו ומידת אשמו של הנאשם ובין סוג העונש המוטל עליו ומידתו</w:t>
      </w:r>
      <w:r w:rsidRPr="00CF5BD0">
        <w:rPr>
          <w:rFonts w:ascii="David" w:eastAsia="Calibri" w:hAnsi="David"/>
          <w:rtl/>
        </w:rPr>
        <w:t xml:space="preserve">. על מנת לשמר יחס זה, עובר לקביעת העונש יש לשרטט מתחם עונש הולם, מתוך התחשבות בערך החברתי בו פגע המעשה, במידת הפגיעה בו, במדיניות הענישה הנוהגת ובנסיבות הקשורות בביצוע העבירה. מכאן, לאחר קביעת המתחם, וככל שבית-המשפט לא מצא לנכון לסטות הימנו מטעמים של שיקום או של הגנה על הציבור, ייקבע העונש המתאים לנאשם בשים לב לנסיבותיו האישיות ולנתונים נוספים, הללו שאינם קשורים בביצוע העבירה. </w:t>
      </w:r>
    </w:p>
    <w:p w14:paraId="6D31D1B7" w14:textId="77777777" w:rsidR="00BE745E" w:rsidRPr="00CF5BD0" w:rsidRDefault="00BE745E" w:rsidP="00BE745E">
      <w:pPr>
        <w:spacing w:line="360" w:lineRule="auto"/>
        <w:jc w:val="both"/>
        <w:rPr>
          <w:rFonts w:ascii="David" w:eastAsia="Calibri" w:hAnsi="David"/>
          <w:b/>
          <w:bCs/>
          <w:u w:val="single"/>
          <w:rtl/>
        </w:rPr>
      </w:pPr>
    </w:p>
    <w:p w14:paraId="2B475231" w14:textId="77777777" w:rsidR="00BE745E" w:rsidRPr="00CF5BD0" w:rsidRDefault="00BE745E" w:rsidP="00BE745E">
      <w:pPr>
        <w:spacing w:after="160" w:line="360" w:lineRule="auto"/>
        <w:ind w:right="-284"/>
        <w:jc w:val="both"/>
        <w:rPr>
          <w:rFonts w:ascii="David" w:eastAsia="Calibri" w:hAnsi="David"/>
          <w:rtl/>
        </w:rPr>
      </w:pPr>
      <w:r w:rsidRPr="00CF5BD0">
        <w:rPr>
          <w:rFonts w:ascii="David" w:eastAsia="Calibri" w:hAnsi="David"/>
          <w:rtl/>
        </w:rPr>
        <w:t xml:space="preserve">בכל הנוגע לערכים החברתיים המוגנים שנפגעו כפועל יוצא ממעשיו של נאשם 1, הדברים מובנים מאליהם. </w:t>
      </w:r>
      <w:r w:rsidRPr="00CF5BD0">
        <w:rPr>
          <w:rFonts w:ascii="David" w:eastAsia="Calibri" w:hAnsi="David"/>
          <w:u w:val="single"/>
          <w:rtl/>
        </w:rPr>
        <w:t xml:space="preserve">המסייע </w:t>
      </w:r>
      <w:r w:rsidRPr="00CF5BD0">
        <w:rPr>
          <w:rFonts w:ascii="David" w:eastAsia="Calibri" w:hAnsi="David"/>
          <w:rtl/>
        </w:rPr>
        <w:t xml:space="preserve">להוביל נשק ותחמושת בלא רשות על פי דין פוגע בראש ובראשונה </w:t>
      </w:r>
      <w:r w:rsidRPr="00CF5BD0">
        <w:rPr>
          <w:rFonts w:ascii="David" w:eastAsia="Calibri" w:hAnsi="David"/>
          <w:b/>
          <w:bCs/>
          <w:rtl/>
        </w:rPr>
        <w:t>בביטחון המדינה ובמנגנוני שלטונה</w:t>
      </w:r>
      <w:r w:rsidRPr="00CF5BD0">
        <w:rPr>
          <w:rFonts w:ascii="David" w:eastAsia="Calibri" w:hAnsi="David"/>
          <w:rtl/>
        </w:rPr>
        <w:t>;</w:t>
      </w:r>
      <w:r w:rsidRPr="00CF5BD0">
        <w:rPr>
          <w:rFonts w:ascii="David" w:eastAsia="Calibri" w:hAnsi="David"/>
        </w:rPr>
        <w:t xml:space="preserve"> </w:t>
      </w:r>
      <w:r w:rsidRPr="00CF5BD0">
        <w:rPr>
          <w:rFonts w:ascii="David" w:eastAsia="Calibri" w:hAnsi="David"/>
          <w:b/>
          <w:bCs/>
          <w:rtl/>
        </w:rPr>
        <w:t>בשלום הציבור ובסדר הציבורי</w:t>
      </w:r>
      <w:r w:rsidRPr="00CF5BD0">
        <w:rPr>
          <w:rFonts w:ascii="David" w:eastAsia="Calibri" w:hAnsi="David"/>
          <w:rtl/>
        </w:rPr>
        <w:t xml:space="preserve">. הוא פוגע בביטחון הציבור </w:t>
      </w:r>
      <w:r w:rsidRPr="00CF5BD0">
        <w:rPr>
          <w:rFonts w:ascii="David" w:eastAsia="Calibri" w:hAnsi="David"/>
          <w:b/>
          <w:bCs/>
          <w:rtl/>
        </w:rPr>
        <w:t>וחושף אותו לאירועי טרור עוין כמו גם פלילי המבוצעים באמצעות נשק</w:t>
      </w:r>
      <w:r w:rsidRPr="00CF5BD0">
        <w:rPr>
          <w:rFonts w:ascii="David" w:eastAsia="Calibri" w:hAnsi="David"/>
          <w:rtl/>
        </w:rPr>
        <w:t xml:space="preserve"> </w:t>
      </w:r>
      <w:r w:rsidRPr="00CF5BD0">
        <w:rPr>
          <w:rFonts w:ascii="David" w:eastAsia="Calibri" w:hAnsi="David"/>
          <w:b/>
          <w:bCs/>
          <w:rtl/>
        </w:rPr>
        <w:t>הנישא שלא כחוק.</w:t>
      </w:r>
      <w:r w:rsidRPr="00CF5BD0">
        <w:rPr>
          <w:rFonts w:ascii="David" w:eastAsia="Calibri" w:hAnsi="David"/>
          <w:rtl/>
        </w:rPr>
        <w:t xml:space="preserve"> הפגיעה בערכים אלו במקרה זה היא ממשית. </w:t>
      </w:r>
    </w:p>
    <w:p w14:paraId="6A28ED40" w14:textId="77777777" w:rsidR="00BE745E" w:rsidRPr="00CF5BD0" w:rsidRDefault="00BE745E" w:rsidP="00BE745E">
      <w:pPr>
        <w:overflowPunct w:val="0"/>
        <w:autoSpaceDE w:val="0"/>
        <w:autoSpaceDN w:val="0"/>
        <w:spacing w:line="360" w:lineRule="auto"/>
        <w:jc w:val="both"/>
        <w:rPr>
          <w:rtl/>
        </w:rPr>
      </w:pPr>
      <w:r w:rsidRPr="00CF5BD0">
        <w:rPr>
          <w:rtl/>
        </w:rPr>
        <w:t xml:space="preserve">מתאימים לעניין זה הדברים שנכתבו במסגרתו של </w:t>
      </w:r>
      <w:hyperlink r:id="rId19" w:history="1">
        <w:r w:rsidR="00A35C7D" w:rsidRPr="00A35C7D">
          <w:rPr>
            <w:color w:val="0000FF"/>
            <w:u w:val="single"/>
            <w:rtl/>
          </w:rPr>
          <w:t>ע"פ 5522/20</w:t>
        </w:r>
      </w:hyperlink>
      <w:r w:rsidRPr="00CF5BD0">
        <w:rPr>
          <w:rtl/>
        </w:rPr>
        <w:t xml:space="preserve"> </w:t>
      </w:r>
      <w:r w:rsidRPr="00CF5BD0">
        <w:rPr>
          <w:b/>
          <w:bCs/>
          <w:rtl/>
        </w:rPr>
        <w:t>חלייחל נ' מדינת ישראל</w:t>
      </w:r>
      <w:r w:rsidRPr="00CF5BD0">
        <w:rPr>
          <w:rtl/>
        </w:rPr>
        <w:t xml:space="preserve"> </w:t>
      </w:r>
      <w:r w:rsidR="00952E5C">
        <w:rPr>
          <w:rtl/>
        </w:rPr>
        <w:t>[נבו]</w:t>
      </w:r>
      <w:r w:rsidR="00952E5C">
        <w:rPr>
          <w:rFonts w:hint="cs"/>
          <w:rtl/>
        </w:rPr>
        <w:t xml:space="preserve"> </w:t>
      </w:r>
      <w:r w:rsidRPr="00CF5BD0">
        <w:rPr>
          <w:rtl/>
        </w:rPr>
        <w:t xml:space="preserve">(ניתן ביום 24.2.21) המצביעים על הצורך במגמת ההחמרה בענישה, בכל הנוגע לעבירות שעניינן נשיאה או הובלה של כלי נשק. וכך נכתב שם - </w:t>
      </w:r>
    </w:p>
    <w:p w14:paraId="3F22AD15" w14:textId="77777777" w:rsidR="00BE745E" w:rsidRPr="00CF5BD0" w:rsidRDefault="00BE745E" w:rsidP="00BE745E">
      <w:pPr>
        <w:overflowPunct w:val="0"/>
        <w:autoSpaceDE w:val="0"/>
        <w:autoSpaceDN w:val="0"/>
        <w:spacing w:line="360" w:lineRule="auto"/>
        <w:jc w:val="both"/>
        <w:rPr>
          <w:rtl/>
        </w:rPr>
      </w:pPr>
    </w:p>
    <w:p w14:paraId="3056C9A2" w14:textId="77777777" w:rsidR="00BE745E" w:rsidRPr="00CF5BD0" w:rsidRDefault="00BE745E" w:rsidP="00BE745E">
      <w:pPr>
        <w:tabs>
          <w:tab w:val="left" w:pos="800"/>
        </w:tabs>
        <w:overflowPunct w:val="0"/>
        <w:autoSpaceDE w:val="0"/>
        <w:autoSpaceDN w:val="0"/>
        <w:adjustRightInd w:val="0"/>
        <w:spacing w:line="276" w:lineRule="auto"/>
        <w:ind w:left="935" w:right="851" w:hanging="142"/>
        <w:jc w:val="both"/>
        <w:rPr>
          <w:rFonts w:ascii="Calibri Light" w:hAnsi="Calibri Light" w:cs="Calibri Light"/>
          <w:spacing w:val="10"/>
          <w:rtl/>
        </w:rPr>
      </w:pPr>
      <w:r w:rsidRPr="00CF5BD0">
        <w:rPr>
          <w:rFonts w:ascii="David" w:hAnsi="David"/>
          <w:spacing w:val="10"/>
          <w:rtl/>
        </w:rPr>
        <w:t xml:space="preserve"> "</w:t>
      </w:r>
      <w:r w:rsidRPr="00CF5BD0">
        <w:rPr>
          <w:rFonts w:ascii="Calibri Light" w:hAnsi="Calibri Light" w:cs="Times New Roman"/>
          <w:spacing w:val="10"/>
          <w:rtl/>
        </w:rPr>
        <w:t xml:space="preserve">סעיף </w:t>
      </w:r>
      <w:r w:rsidRPr="00CF5BD0">
        <w:rPr>
          <w:rFonts w:ascii="Calibri Light" w:hAnsi="Calibri Light" w:cs="Calibri Light"/>
          <w:spacing w:val="10"/>
          <w:rtl/>
        </w:rPr>
        <w:t>144(</w:t>
      </w:r>
      <w:r w:rsidRPr="00CF5BD0">
        <w:rPr>
          <w:rFonts w:ascii="Calibri Light" w:hAnsi="Calibri Light" w:cs="Times New Roman"/>
          <w:spacing w:val="10"/>
          <w:rtl/>
        </w:rPr>
        <w:t>ב</w:t>
      </w:r>
      <w:r w:rsidRPr="00CF5BD0">
        <w:rPr>
          <w:rFonts w:ascii="Calibri Light" w:hAnsi="Calibri Light" w:cs="Calibri Light"/>
          <w:spacing w:val="10"/>
          <w:rtl/>
        </w:rPr>
        <w:t xml:space="preserve">) </w:t>
      </w:r>
      <w:r w:rsidRPr="00CF5BD0">
        <w:rPr>
          <w:rFonts w:ascii="Calibri Light" w:hAnsi="Calibri Light" w:cs="Times New Roman"/>
          <w:spacing w:val="10"/>
          <w:rtl/>
        </w:rPr>
        <w:t>ל</w:t>
      </w:r>
      <w:hyperlink r:id="rId20" w:history="1">
        <w:r w:rsidR="00A35C7D" w:rsidRPr="00A35C7D">
          <w:rPr>
            <w:rFonts w:ascii="Calibri Light" w:hAnsi="Calibri Light" w:cs="Times New Roman" w:hint="eastAsia"/>
            <w:color w:val="0000FF"/>
            <w:spacing w:val="10"/>
            <w:u w:val="single"/>
            <w:rtl/>
          </w:rPr>
          <w:t>חוק</w:t>
        </w:r>
        <w:r w:rsidR="00A35C7D" w:rsidRPr="00A35C7D">
          <w:rPr>
            <w:rFonts w:ascii="Calibri Light" w:hAnsi="Calibri Light" w:cs="Times New Roman"/>
            <w:color w:val="0000FF"/>
            <w:spacing w:val="10"/>
            <w:u w:val="single"/>
            <w:rtl/>
          </w:rPr>
          <w:t xml:space="preserve"> </w:t>
        </w:r>
        <w:r w:rsidR="00A35C7D" w:rsidRPr="00A35C7D">
          <w:rPr>
            <w:rFonts w:ascii="Calibri Light" w:hAnsi="Calibri Light" w:cs="Times New Roman" w:hint="eastAsia"/>
            <w:color w:val="0000FF"/>
            <w:spacing w:val="10"/>
            <w:u w:val="single"/>
            <w:rtl/>
          </w:rPr>
          <w:t>העונשין</w:t>
        </w:r>
      </w:hyperlink>
      <w:r w:rsidRPr="00CF5BD0">
        <w:rPr>
          <w:rFonts w:ascii="Calibri Light" w:hAnsi="Calibri Light" w:cs="Times New Roman"/>
          <w:spacing w:val="10"/>
          <w:rtl/>
        </w:rPr>
        <w:t xml:space="preserve"> אוסר על נשיאה או הובלה של כלי</w:t>
      </w:r>
      <w:r w:rsidRPr="00CF5BD0">
        <w:rPr>
          <w:rFonts w:ascii="Calibri Light" w:hAnsi="Calibri Light" w:cs="Calibri Light"/>
          <w:spacing w:val="10"/>
          <w:rtl/>
        </w:rPr>
        <w:t>-</w:t>
      </w:r>
      <w:r w:rsidRPr="00CF5BD0">
        <w:rPr>
          <w:rFonts w:ascii="Calibri Light" w:hAnsi="Calibri Light" w:cs="Times New Roman"/>
          <w:spacing w:val="10"/>
          <w:rtl/>
        </w:rPr>
        <w:t>נשק</w:t>
      </w:r>
      <w:r w:rsidRPr="00CF5BD0">
        <w:rPr>
          <w:rFonts w:ascii="Calibri Light" w:hAnsi="Calibri Light" w:cs="Calibri Light"/>
          <w:spacing w:val="10"/>
          <w:rtl/>
        </w:rPr>
        <w:t xml:space="preserve">, </w:t>
      </w:r>
      <w:r w:rsidRPr="00CF5BD0">
        <w:rPr>
          <w:rFonts w:ascii="Calibri Light" w:hAnsi="Calibri Light" w:cs="Calibri Light"/>
          <w:b/>
          <w:rtl/>
        </w:rPr>
        <w:t>"</w:t>
      </w:r>
      <w:r w:rsidRPr="00CF5BD0">
        <w:rPr>
          <w:rFonts w:ascii="Calibri Light" w:hAnsi="Calibri Light" w:cs="Times New Roman"/>
          <w:b/>
          <w:rtl/>
        </w:rPr>
        <w:t>בלא רשות על פי דין</w:t>
      </w:r>
      <w:r w:rsidRPr="00CF5BD0">
        <w:rPr>
          <w:rFonts w:ascii="Calibri Light" w:hAnsi="Calibri Light" w:cs="Calibri Light"/>
          <w:b/>
          <w:rtl/>
        </w:rPr>
        <w:t>"</w:t>
      </w:r>
      <w:r w:rsidRPr="00CF5BD0">
        <w:rPr>
          <w:rFonts w:ascii="Calibri Light" w:hAnsi="Calibri Light" w:cs="Calibri Light"/>
          <w:spacing w:val="10"/>
          <w:rtl/>
        </w:rPr>
        <w:t xml:space="preserve">. </w:t>
      </w:r>
      <w:r w:rsidRPr="00CF5BD0">
        <w:rPr>
          <w:rFonts w:ascii="Calibri Light" w:hAnsi="Calibri Light" w:cs="Times New Roman"/>
          <w:spacing w:val="10"/>
          <w:rtl/>
        </w:rPr>
        <w:t>האיסור נועד להגן על ערך חיי האדם</w:t>
      </w:r>
      <w:r w:rsidRPr="00CF5BD0">
        <w:rPr>
          <w:rFonts w:ascii="Calibri Light" w:hAnsi="Calibri Light" w:cs="Calibri Light"/>
          <w:spacing w:val="10"/>
          <w:rtl/>
        </w:rPr>
        <w:t xml:space="preserve">, </w:t>
      </w:r>
      <w:r w:rsidRPr="00CF5BD0">
        <w:rPr>
          <w:rFonts w:ascii="Calibri Light" w:hAnsi="Calibri Light" w:cs="Times New Roman"/>
          <w:spacing w:val="10"/>
          <w:rtl/>
        </w:rPr>
        <w:t>שלמות גופו ונפשו</w:t>
      </w:r>
      <w:r w:rsidRPr="00CF5BD0">
        <w:rPr>
          <w:rFonts w:ascii="Calibri Light" w:hAnsi="Calibri Light" w:cs="Calibri Light"/>
          <w:spacing w:val="10"/>
          <w:rtl/>
        </w:rPr>
        <w:t xml:space="preserve">, </w:t>
      </w:r>
      <w:r w:rsidRPr="00CF5BD0">
        <w:rPr>
          <w:rFonts w:ascii="Calibri Light" w:hAnsi="Calibri Light" w:cs="Times New Roman"/>
          <w:spacing w:val="10"/>
          <w:rtl/>
        </w:rPr>
        <w:t>כמו גם לקדם את השמירה על הסדר הציבורי ואורח חיים תקין</w:t>
      </w:r>
      <w:r w:rsidRPr="00CF5BD0">
        <w:rPr>
          <w:rFonts w:ascii="Calibri Light" w:hAnsi="Calibri Light" w:cs="Calibri Light"/>
          <w:spacing w:val="10"/>
          <w:rtl/>
        </w:rPr>
        <w:t xml:space="preserve">, </w:t>
      </w:r>
      <w:r w:rsidRPr="00CF5BD0">
        <w:rPr>
          <w:rFonts w:ascii="Calibri Light" w:hAnsi="Calibri Light" w:cs="Times New Roman"/>
          <w:spacing w:val="10"/>
          <w:rtl/>
        </w:rPr>
        <w:t>שלו ובטוח</w:t>
      </w:r>
      <w:r w:rsidRPr="00CF5BD0">
        <w:rPr>
          <w:rFonts w:ascii="Calibri Light" w:hAnsi="Calibri Light" w:cs="Calibri Light"/>
          <w:spacing w:val="10"/>
          <w:rtl/>
        </w:rPr>
        <w:t xml:space="preserve">... </w:t>
      </w:r>
      <w:r w:rsidRPr="00CF5BD0">
        <w:rPr>
          <w:rFonts w:ascii="Calibri Light" w:hAnsi="Calibri Light" w:cs="Times New Roman"/>
          <w:spacing w:val="10"/>
          <w:rtl/>
        </w:rPr>
        <w:t>עבירה זו</w:t>
      </w:r>
      <w:r w:rsidRPr="00CF5BD0">
        <w:rPr>
          <w:rFonts w:ascii="Calibri Light" w:hAnsi="Calibri Light" w:cs="Calibri Light"/>
          <w:spacing w:val="10"/>
          <w:rtl/>
        </w:rPr>
        <w:t xml:space="preserve">, </w:t>
      </w:r>
      <w:r w:rsidRPr="00CF5BD0">
        <w:rPr>
          <w:rFonts w:ascii="Calibri Light" w:hAnsi="Calibri Light" w:cs="Times New Roman"/>
          <w:spacing w:val="10"/>
          <w:rtl/>
        </w:rPr>
        <w:t>כמו יתר עבירות הנשק</w:t>
      </w:r>
      <w:r w:rsidRPr="00CF5BD0">
        <w:rPr>
          <w:rFonts w:ascii="Calibri Light" w:hAnsi="Calibri Light" w:cs="Calibri Light"/>
          <w:spacing w:val="10"/>
          <w:rtl/>
        </w:rPr>
        <w:t xml:space="preserve">, </w:t>
      </w:r>
      <w:r w:rsidRPr="00CF5BD0">
        <w:rPr>
          <w:rFonts w:ascii="Calibri Light" w:hAnsi="Calibri Light" w:cs="Times New Roman"/>
          <w:spacing w:val="10"/>
          <w:rtl/>
        </w:rPr>
        <w:t>נועדה למנוע התנהגות מסוכנת</w:t>
      </w:r>
      <w:r w:rsidRPr="00CF5BD0">
        <w:rPr>
          <w:rFonts w:ascii="Calibri Light" w:hAnsi="Calibri Light" w:cs="Calibri Light"/>
          <w:spacing w:val="10"/>
          <w:rtl/>
        </w:rPr>
        <w:t xml:space="preserve">, </w:t>
      </w:r>
      <w:r w:rsidRPr="00CF5BD0">
        <w:rPr>
          <w:rFonts w:ascii="Calibri Light" w:hAnsi="Calibri Light" w:cs="Times New Roman"/>
          <w:spacing w:val="10"/>
          <w:rtl/>
        </w:rPr>
        <w:t>ולמזער את הפוטנציאל לגרימת נזקים חמורים</w:t>
      </w:r>
      <w:r w:rsidRPr="00CF5BD0">
        <w:rPr>
          <w:rFonts w:ascii="Calibri Light" w:hAnsi="Calibri Light" w:cs="Calibri Light"/>
          <w:spacing w:val="10"/>
          <w:rtl/>
        </w:rPr>
        <w:t xml:space="preserve">. </w:t>
      </w:r>
      <w:r w:rsidRPr="00CF5BD0">
        <w:rPr>
          <w:rFonts w:ascii="Calibri Light" w:hAnsi="Calibri Light" w:cs="Times New Roman"/>
          <w:b/>
          <w:bCs/>
          <w:spacing w:val="10"/>
          <w:rtl/>
        </w:rPr>
        <w:t>אכן</w:t>
      </w:r>
      <w:r w:rsidRPr="00CF5BD0">
        <w:rPr>
          <w:rFonts w:ascii="Calibri Light" w:hAnsi="Calibri Light" w:cs="Calibri Light"/>
          <w:b/>
          <w:bCs/>
          <w:spacing w:val="10"/>
          <w:rtl/>
        </w:rPr>
        <w:t xml:space="preserve">, </w:t>
      </w:r>
      <w:r w:rsidRPr="00CF5BD0">
        <w:rPr>
          <w:rFonts w:ascii="Calibri Light" w:hAnsi="Calibri Light" w:cs="Times New Roman"/>
          <w:b/>
          <w:bCs/>
          <w:spacing w:val="10"/>
          <w:rtl/>
        </w:rPr>
        <w:t>נשיאה והובלה של כלי</w:t>
      </w:r>
      <w:r w:rsidRPr="00CF5BD0">
        <w:rPr>
          <w:rFonts w:ascii="Calibri Light" w:hAnsi="Calibri Light" w:cs="Calibri Light"/>
          <w:b/>
          <w:bCs/>
          <w:spacing w:val="10"/>
          <w:rtl/>
        </w:rPr>
        <w:t>-</w:t>
      </w:r>
      <w:r w:rsidRPr="00CF5BD0">
        <w:rPr>
          <w:rFonts w:ascii="Calibri Light" w:hAnsi="Calibri Light" w:cs="Times New Roman"/>
          <w:b/>
          <w:bCs/>
          <w:spacing w:val="10"/>
          <w:rtl/>
        </w:rPr>
        <w:t>נשק</w:t>
      </w:r>
      <w:r w:rsidRPr="00CF5BD0">
        <w:rPr>
          <w:rFonts w:ascii="Calibri Light" w:hAnsi="Calibri Light" w:cs="Calibri Light"/>
          <w:b/>
          <w:bCs/>
          <w:spacing w:val="10"/>
          <w:rtl/>
        </w:rPr>
        <w:t xml:space="preserve">, </w:t>
      </w:r>
      <w:r w:rsidRPr="00CF5BD0">
        <w:rPr>
          <w:rFonts w:ascii="Calibri Light" w:hAnsi="Calibri Light" w:cs="Times New Roman"/>
          <w:b/>
          <w:bCs/>
          <w:spacing w:val="10"/>
          <w:rtl/>
        </w:rPr>
        <w:t>הריהי לעיתים רק הסנונית הראשונה</w:t>
      </w:r>
      <w:r w:rsidRPr="00CF5BD0">
        <w:rPr>
          <w:rFonts w:ascii="Calibri Light" w:hAnsi="Calibri Light" w:cs="Calibri Light"/>
          <w:b/>
          <w:bCs/>
          <w:spacing w:val="10"/>
          <w:rtl/>
        </w:rPr>
        <w:t xml:space="preserve">, </w:t>
      </w:r>
      <w:r w:rsidRPr="00CF5BD0">
        <w:rPr>
          <w:rFonts w:ascii="Calibri Light" w:hAnsi="Calibri Light" w:cs="Times New Roman"/>
          <w:b/>
          <w:bCs/>
          <w:spacing w:val="10"/>
          <w:rtl/>
        </w:rPr>
        <w:t xml:space="preserve">בואכה מעשים חמורים יותר </w:t>
      </w:r>
      <w:r w:rsidRPr="00CF5BD0">
        <w:rPr>
          <w:rFonts w:ascii="Calibri Light" w:hAnsi="Calibri Light" w:cs="Calibri Light"/>
          <w:b/>
          <w:bCs/>
          <w:spacing w:val="10"/>
          <w:rtl/>
        </w:rPr>
        <w:t xml:space="preserve">– </w:t>
      </w:r>
      <w:r w:rsidRPr="00CF5BD0">
        <w:rPr>
          <w:rFonts w:ascii="Calibri Light" w:hAnsi="Calibri Light" w:cs="Times New Roman"/>
          <w:b/>
          <w:bCs/>
          <w:spacing w:val="10"/>
          <w:rtl/>
        </w:rPr>
        <w:t>חבלה חמורה</w:t>
      </w:r>
      <w:r w:rsidRPr="00CF5BD0">
        <w:rPr>
          <w:rFonts w:ascii="Calibri Light" w:hAnsi="Calibri Light" w:cs="Calibri Light"/>
          <w:b/>
          <w:bCs/>
          <w:spacing w:val="10"/>
          <w:rtl/>
        </w:rPr>
        <w:t xml:space="preserve">, </w:t>
      </w:r>
      <w:r w:rsidRPr="00CF5BD0">
        <w:rPr>
          <w:rFonts w:ascii="Calibri Light" w:hAnsi="Calibri Light" w:cs="Times New Roman"/>
          <w:spacing w:val="10"/>
          <w:rtl/>
        </w:rPr>
        <w:t>שוד מזוין</w:t>
      </w:r>
      <w:r w:rsidRPr="00CF5BD0">
        <w:rPr>
          <w:rFonts w:ascii="Calibri Light" w:hAnsi="Calibri Light" w:cs="Calibri Light"/>
          <w:spacing w:val="10"/>
          <w:rtl/>
        </w:rPr>
        <w:t xml:space="preserve">, </w:t>
      </w:r>
      <w:r w:rsidRPr="00CF5BD0">
        <w:rPr>
          <w:rFonts w:ascii="Calibri Light" w:hAnsi="Calibri Light" w:cs="Times New Roman"/>
          <w:spacing w:val="10"/>
          <w:rtl/>
        </w:rPr>
        <w:t>רצח</w:t>
      </w:r>
      <w:r w:rsidRPr="00CF5BD0">
        <w:rPr>
          <w:rFonts w:ascii="Calibri Light" w:hAnsi="Calibri Light" w:cs="Calibri Light"/>
          <w:spacing w:val="10"/>
          <w:rtl/>
        </w:rPr>
        <w:t xml:space="preserve">, </w:t>
      </w:r>
      <w:r w:rsidRPr="00CF5BD0">
        <w:rPr>
          <w:rFonts w:ascii="Calibri Light" w:hAnsi="Calibri Light" w:cs="Times New Roman"/>
          <w:spacing w:val="10"/>
          <w:rtl/>
        </w:rPr>
        <w:t>וכיוצא באלה</w:t>
      </w:r>
      <w:r w:rsidRPr="00CF5BD0">
        <w:rPr>
          <w:rFonts w:ascii="Calibri Light" w:hAnsi="Calibri Light" w:cs="Calibri Light"/>
          <w:spacing w:val="10"/>
          <w:rtl/>
        </w:rPr>
        <w:t xml:space="preserve">... </w:t>
      </w:r>
      <w:r w:rsidRPr="00CF5BD0">
        <w:rPr>
          <w:rFonts w:ascii="Calibri Light" w:hAnsi="Calibri Light" w:cs="Times New Roman"/>
          <w:spacing w:val="10"/>
          <w:rtl/>
        </w:rPr>
        <w:t>כמו כן</w:t>
      </w:r>
      <w:r w:rsidRPr="00CF5BD0">
        <w:rPr>
          <w:rFonts w:ascii="Calibri Light" w:hAnsi="Calibri Light" w:cs="Calibri Light"/>
          <w:spacing w:val="10"/>
          <w:rtl/>
        </w:rPr>
        <w:t xml:space="preserve">, </w:t>
      </w:r>
      <w:r w:rsidRPr="00CF5BD0">
        <w:rPr>
          <w:rFonts w:ascii="Calibri Light" w:hAnsi="Calibri Light" w:cs="Times New Roman"/>
          <w:spacing w:val="10"/>
          <w:rtl/>
        </w:rPr>
        <w:t>לא אחת צוין</w:t>
      </w:r>
      <w:r w:rsidRPr="00CF5BD0">
        <w:rPr>
          <w:rFonts w:ascii="Calibri Light" w:hAnsi="Calibri Light" w:cs="Calibri Light"/>
          <w:spacing w:val="10"/>
          <w:rtl/>
        </w:rPr>
        <w:t xml:space="preserve">, </w:t>
      </w:r>
      <w:r w:rsidRPr="00CF5BD0">
        <w:rPr>
          <w:rFonts w:ascii="Calibri Light" w:hAnsi="Calibri Light" w:cs="Times New Roman"/>
          <w:spacing w:val="10"/>
          <w:rtl/>
        </w:rPr>
        <w:t>כי למרבה הצער</w:t>
      </w:r>
      <w:r w:rsidRPr="00CF5BD0">
        <w:rPr>
          <w:rFonts w:ascii="Calibri Light" w:hAnsi="Calibri Light" w:cs="Calibri Light"/>
          <w:spacing w:val="10"/>
          <w:rtl/>
        </w:rPr>
        <w:t xml:space="preserve">, </w:t>
      </w:r>
      <w:r w:rsidRPr="00CF5BD0">
        <w:rPr>
          <w:rFonts w:ascii="Calibri Light" w:hAnsi="Calibri Light" w:cs="Times New Roman"/>
          <w:spacing w:val="10"/>
          <w:rtl/>
        </w:rPr>
        <w:t>חרף האיסור שבדין</w:t>
      </w:r>
      <w:r w:rsidRPr="00CF5BD0">
        <w:rPr>
          <w:rFonts w:ascii="Calibri Light" w:hAnsi="Calibri Light" w:cs="Calibri Light"/>
          <w:spacing w:val="10"/>
          <w:rtl/>
        </w:rPr>
        <w:t xml:space="preserve">, </w:t>
      </w:r>
      <w:r w:rsidRPr="00CF5BD0">
        <w:rPr>
          <w:rFonts w:ascii="Calibri Light" w:hAnsi="Calibri Light" w:cs="Times New Roman"/>
          <w:spacing w:val="10"/>
          <w:rtl/>
        </w:rPr>
        <w:t>הפכה תופעת השימוש בנשק חם למכת מדינה</w:t>
      </w:r>
      <w:r w:rsidRPr="00CF5BD0">
        <w:rPr>
          <w:rFonts w:ascii="Calibri Light" w:hAnsi="Calibri Light" w:cs="Calibri Light"/>
          <w:spacing w:val="10"/>
          <w:rtl/>
        </w:rPr>
        <w:t xml:space="preserve">. </w:t>
      </w:r>
      <w:r w:rsidRPr="00CF5BD0">
        <w:rPr>
          <w:rFonts w:ascii="Calibri Light" w:hAnsi="Calibri Light" w:cs="Times New Roman"/>
          <w:spacing w:val="10"/>
          <w:rtl/>
        </w:rPr>
        <w:t>בעקבות זאת</w:t>
      </w:r>
      <w:r w:rsidRPr="00CF5BD0">
        <w:rPr>
          <w:rFonts w:ascii="Calibri Light" w:hAnsi="Calibri Light" w:cs="Calibri Light"/>
          <w:spacing w:val="10"/>
          <w:rtl/>
        </w:rPr>
        <w:t xml:space="preserve">, </w:t>
      </w:r>
      <w:r w:rsidRPr="00CF5BD0">
        <w:rPr>
          <w:rFonts w:ascii="Calibri Light" w:hAnsi="Calibri Light" w:cs="Times New Roman"/>
          <w:spacing w:val="10"/>
          <w:rtl/>
        </w:rPr>
        <w:t>לשם הרתעה</w:t>
      </w:r>
      <w:r w:rsidRPr="00CF5BD0">
        <w:rPr>
          <w:rFonts w:ascii="Calibri Light" w:hAnsi="Calibri Light" w:cs="Calibri Light"/>
          <w:spacing w:val="10"/>
          <w:rtl/>
        </w:rPr>
        <w:t xml:space="preserve">, </w:t>
      </w:r>
      <w:r w:rsidRPr="00CF5BD0">
        <w:rPr>
          <w:rFonts w:ascii="Calibri Light" w:hAnsi="Calibri Light" w:cs="Times New Roman"/>
          <w:b/>
          <w:bCs/>
          <w:spacing w:val="10"/>
          <w:rtl/>
        </w:rPr>
        <w:t xml:space="preserve">ניכרת בפסיקה מגמה של החמרה הדרגתית בענישה על עבירות הנשק </w:t>
      </w:r>
      <w:r w:rsidRPr="00CF5BD0">
        <w:rPr>
          <w:rFonts w:ascii="Calibri Light" w:hAnsi="Calibri Light" w:cs="Calibri Light"/>
          <w:spacing w:val="10"/>
          <w:rtl/>
        </w:rPr>
        <w:t>(</w:t>
      </w:r>
      <w:hyperlink r:id="rId21" w:history="1">
        <w:r w:rsidR="00A35C7D" w:rsidRPr="00A35C7D">
          <w:rPr>
            <w:rFonts w:ascii="Calibri Light" w:hAnsi="Calibri Light" w:cs="Times New Roman"/>
            <w:color w:val="0000FF"/>
            <w:spacing w:val="10"/>
            <w:u w:val="single"/>
            <w:rtl/>
          </w:rPr>
          <w:t>ע"פ 5807/20</w:t>
        </w:r>
      </w:hyperlink>
      <w:r w:rsidRPr="00CF5BD0">
        <w:rPr>
          <w:rFonts w:ascii="Calibri Light" w:hAnsi="Calibri Light" w:cs="Calibri Light"/>
          <w:spacing w:val="10"/>
          <w:rtl/>
        </w:rPr>
        <w:t xml:space="preserve"> </w:t>
      </w:r>
      <w:r w:rsidRPr="00CF5BD0">
        <w:rPr>
          <w:rFonts w:ascii="Calibri Light" w:hAnsi="Calibri Light" w:cs="Times New Roman"/>
          <w:b/>
          <w:rtl/>
        </w:rPr>
        <w:t>שיבלי נ</w:t>
      </w:r>
      <w:r w:rsidRPr="00CF5BD0">
        <w:rPr>
          <w:rFonts w:ascii="Calibri Light" w:hAnsi="Calibri Light" w:cs="Calibri Light"/>
          <w:b/>
          <w:rtl/>
        </w:rPr>
        <w:t xml:space="preserve">' </w:t>
      </w:r>
      <w:r w:rsidRPr="00CF5BD0">
        <w:rPr>
          <w:rFonts w:ascii="Calibri Light" w:hAnsi="Calibri Light" w:cs="Times New Roman"/>
          <w:b/>
          <w:rtl/>
        </w:rPr>
        <w:t>מדינת ישראל</w:t>
      </w:r>
      <w:r w:rsidRPr="00CF5BD0">
        <w:rPr>
          <w:rFonts w:ascii="Calibri Light" w:hAnsi="Calibri Light" w:cs="Calibri Light"/>
          <w:spacing w:val="10"/>
          <w:rtl/>
        </w:rPr>
        <w:t xml:space="preserve">, </w:t>
      </w:r>
      <w:r w:rsidRPr="00CF5BD0">
        <w:rPr>
          <w:rFonts w:ascii="Calibri Light" w:hAnsi="Calibri Light" w:cs="Times New Roman"/>
          <w:spacing w:val="10"/>
          <w:rtl/>
        </w:rPr>
        <w:t xml:space="preserve">פסקה </w:t>
      </w:r>
      <w:r w:rsidRPr="00CF5BD0">
        <w:rPr>
          <w:rFonts w:ascii="Calibri Light" w:hAnsi="Calibri Light" w:cs="Calibri Light"/>
          <w:spacing w:val="10"/>
          <w:rtl/>
        </w:rPr>
        <w:t xml:space="preserve">8 </w:t>
      </w:r>
      <w:r w:rsidR="00952E5C">
        <w:rPr>
          <w:rFonts w:ascii="Calibri Light" w:hAnsi="Calibri Light" w:cs="Calibri Light"/>
          <w:spacing w:val="10"/>
          <w:rtl/>
        </w:rPr>
        <w:t>[נבו]</w:t>
      </w:r>
      <w:r w:rsidR="00952E5C">
        <w:rPr>
          <w:rFonts w:ascii="Calibri Light" w:hAnsi="Calibri Light" w:cs="Calibri Light" w:hint="cs"/>
          <w:spacing w:val="10"/>
          <w:rtl/>
        </w:rPr>
        <w:t xml:space="preserve"> </w:t>
      </w:r>
      <w:r w:rsidRPr="00CF5BD0">
        <w:rPr>
          <w:rFonts w:ascii="Calibri Light" w:hAnsi="Calibri Light" w:cs="Calibri Light"/>
          <w:spacing w:val="10"/>
          <w:rtl/>
        </w:rPr>
        <w:t>(30.12.2020)..." (</w:t>
      </w:r>
      <w:r w:rsidRPr="00CF5BD0">
        <w:rPr>
          <w:rFonts w:ascii="Calibri Light" w:hAnsi="Calibri Light" w:cs="Times New Roman"/>
          <w:spacing w:val="10"/>
          <w:rtl/>
        </w:rPr>
        <w:t>ההדגשה אינה במקור</w:t>
      </w:r>
      <w:r w:rsidRPr="00CF5BD0">
        <w:rPr>
          <w:rFonts w:ascii="Calibri Light" w:hAnsi="Calibri Light" w:cs="Calibri Light"/>
          <w:spacing w:val="10"/>
          <w:rtl/>
        </w:rPr>
        <w:t xml:space="preserve">). </w:t>
      </w:r>
    </w:p>
    <w:p w14:paraId="0C821EE0" w14:textId="77777777" w:rsidR="00BE745E" w:rsidRPr="00CF5BD0" w:rsidRDefault="00BE745E" w:rsidP="00BE745E">
      <w:pPr>
        <w:spacing w:after="160" w:line="360" w:lineRule="auto"/>
        <w:ind w:right="-284"/>
        <w:jc w:val="both"/>
        <w:rPr>
          <w:rFonts w:ascii="David" w:eastAsia="Calibri" w:hAnsi="David"/>
          <w:rtl/>
        </w:rPr>
      </w:pPr>
    </w:p>
    <w:p w14:paraId="76E734BD" w14:textId="77777777" w:rsidR="00BE745E" w:rsidRPr="00CF5BD0" w:rsidRDefault="00BE745E" w:rsidP="00BE745E">
      <w:pPr>
        <w:spacing w:line="360" w:lineRule="auto"/>
        <w:ind w:right="-284"/>
        <w:jc w:val="both"/>
        <w:rPr>
          <w:rFonts w:ascii="David" w:eastAsia="Calibri" w:hAnsi="David"/>
          <w:b/>
          <w:bCs/>
          <w:u w:val="single"/>
          <w:rtl/>
        </w:rPr>
      </w:pPr>
      <w:r w:rsidRPr="00CF5BD0">
        <w:rPr>
          <w:rFonts w:ascii="Calibri" w:eastAsia="Calibri" w:hAnsi="Calibri"/>
          <w:rtl/>
        </w:rPr>
        <w:t>על מנת לשרטט כדבעי את מתחם העונש ההולם בעניינו של הנאשם עיינתי בפסיקה רחבה העוסקת בעבירות נשק (</w:t>
      </w:r>
      <w:r w:rsidRPr="00CF5BD0">
        <w:rPr>
          <w:rFonts w:ascii="Calibri" w:eastAsia="Calibri" w:hAnsi="Calibri"/>
          <w:b/>
          <w:bCs/>
          <w:rtl/>
        </w:rPr>
        <w:t>נשיאה והובלה וסיוע להן</w:t>
      </w:r>
      <w:r w:rsidRPr="00CF5BD0">
        <w:rPr>
          <w:rFonts w:ascii="Calibri" w:eastAsia="Calibri" w:hAnsi="Calibri"/>
          <w:rtl/>
        </w:rPr>
        <w:t xml:space="preserve">). </w:t>
      </w:r>
      <w:r w:rsidRPr="00CF5BD0">
        <w:rPr>
          <w:rFonts w:ascii="David" w:eastAsia="Calibri" w:hAnsi="David"/>
          <w:rtl/>
        </w:rPr>
        <w:t xml:space="preserve">נמצאתי למד, כי בשנים האחרונות חלה אט אט מגמת החמרה בענישה, הבאה לידי ביטוי בפסיקת הערכאות השונות הנוגעת לעבירה זו. עם זאת, ברי, כי </w:t>
      </w:r>
      <w:r w:rsidRPr="00CF5BD0">
        <w:rPr>
          <w:rFonts w:ascii="Calibri" w:eastAsia="Calibri" w:hAnsi="Calibri"/>
          <w:rtl/>
        </w:rPr>
        <w:t xml:space="preserve">משקל ניכר בקביעת העונש בעבירות של נשיאת נשק יש לתלות </w:t>
      </w:r>
      <w:r w:rsidRPr="00CF5BD0">
        <w:rPr>
          <w:rFonts w:ascii="Calibri" w:eastAsia="Calibri" w:hAnsi="Calibri"/>
          <w:b/>
          <w:bCs/>
          <w:rtl/>
        </w:rPr>
        <w:t>באופי הנשק</w:t>
      </w:r>
      <w:r w:rsidRPr="00CF5BD0">
        <w:rPr>
          <w:rFonts w:ascii="Calibri" w:eastAsia="Calibri" w:hAnsi="Calibri"/>
          <w:rtl/>
        </w:rPr>
        <w:t xml:space="preserve">, במידת קטלניותו, בכמותו, </w:t>
      </w:r>
      <w:r w:rsidRPr="00CF5BD0">
        <w:rPr>
          <w:rFonts w:ascii="Calibri" w:eastAsia="Calibri" w:hAnsi="Calibri"/>
          <w:u w:val="single"/>
          <w:rtl/>
        </w:rPr>
        <w:t>בתחמושת שנתפסה לצדו</w:t>
      </w:r>
      <w:r w:rsidRPr="00CF5BD0">
        <w:rPr>
          <w:rFonts w:ascii="Calibri" w:eastAsia="Calibri" w:hAnsi="Calibri"/>
          <w:rtl/>
        </w:rPr>
        <w:t xml:space="preserve"> וכיוצ"ב. למעשה, "</w:t>
      </w:r>
      <w:r w:rsidRPr="00CF5BD0">
        <w:rPr>
          <w:rFonts w:ascii="Calibri Light" w:eastAsia="Calibri" w:hAnsi="Calibri Light" w:cs="Times New Roman"/>
          <w:rtl/>
        </w:rPr>
        <w:t>כבכל עבירה</w:t>
      </w:r>
      <w:r w:rsidRPr="00CF5BD0">
        <w:rPr>
          <w:rFonts w:ascii="Calibri Light" w:eastAsia="Calibri" w:hAnsi="Calibri Light" w:cs="Calibri Light"/>
          <w:rtl/>
        </w:rPr>
        <w:t xml:space="preserve">, </w:t>
      </w:r>
      <w:r w:rsidRPr="00CF5BD0">
        <w:rPr>
          <w:rFonts w:ascii="Calibri Light" w:eastAsia="Calibri" w:hAnsi="Calibri Light" w:cs="Times New Roman"/>
          <w:rtl/>
        </w:rPr>
        <w:t>גם בעבירות נשק קיים מדרג של חומרה</w:t>
      </w:r>
      <w:r w:rsidRPr="00CF5BD0">
        <w:rPr>
          <w:rFonts w:ascii="Calibri Light" w:eastAsia="Calibri" w:hAnsi="Calibri Light" w:cs="Calibri Light"/>
          <w:rtl/>
        </w:rPr>
        <w:t xml:space="preserve">, </w:t>
      </w:r>
      <w:r w:rsidRPr="00CF5BD0">
        <w:rPr>
          <w:rFonts w:ascii="Calibri Light" w:eastAsia="Calibri" w:hAnsi="Calibri Light" w:cs="Times New Roman"/>
          <w:rtl/>
        </w:rPr>
        <w:t>ושומה על בית המשפט להביאו בחשבון בבואו לקבוע את מתחם העונש ההולם</w:t>
      </w:r>
      <w:r w:rsidRPr="00CF5BD0">
        <w:rPr>
          <w:rFonts w:ascii="Calibri" w:eastAsia="Calibri" w:hAnsi="Calibri" w:cs="Miriam"/>
          <w:rtl/>
        </w:rPr>
        <w:t>"</w:t>
      </w:r>
      <w:r w:rsidRPr="00CF5BD0">
        <w:rPr>
          <w:rFonts w:ascii="David" w:eastAsia="Calibri" w:hAnsi="David"/>
          <w:rtl/>
        </w:rPr>
        <w:t>(</w:t>
      </w:r>
      <w:hyperlink r:id="rId22" w:history="1">
        <w:r w:rsidR="00A35C7D" w:rsidRPr="00A35C7D">
          <w:rPr>
            <w:rFonts w:ascii="Calibri" w:eastAsia="Calibri" w:hAnsi="Calibri" w:hint="cs"/>
            <w:color w:val="0000FF"/>
            <w:u w:val="single"/>
            <w:rtl/>
          </w:rPr>
          <w:t>ע</w:t>
        </w:r>
        <w:r w:rsidR="00A35C7D" w:rsidRPr="00A35C7D">
          <w:rPr>
            <w:rFonts w:ascii="Calibri" w:eastAsia="Calibri" w:hAnsi="Calibri"/>
            <w:color w:val="0000FF"/>
            <w:u w:val="single"/>
            <w:rtl/>
          </w:rPr>
          <w:t>"</w:t>
        </w:r>
        <w:r w:rsidR="00A35C7D" w:rsidRPr="00A35C7D">
          <w:rPr>
            <w:rFonts w:ascii="Calibri" w:eastAsia="Calibri" w:hAnsi="Calibri" w:hint="cs"/>
            <w:color w:val="0000FF"/>
            <w:u w:val="single"/>
            <w:rtl/>
          </w:rPr>
          <w:t>פ</w:t>
        </w:r>
        <w:r w:rsidR="00A35C7D" w:rsidRPr="00A35C7D">
          <w:rPr>
            <w:rFonts w:ascii="Calibri" w:eastAsia="Calibri" w:hAnsi="Calibri"/>
            <w:color w:val="0000FF"/>
            <w:u w:val="single"/>
            <w:rtl/>
          </w:rPr>
          <w:t xml:space="preserve"> 9702/16</w:t>
        </w:r>
      </w:hyperlink>
      <w:r w:rsidRPr="00CF5BD0">
        <w:rPr>
          <w:rFonts w:ascii="Calibri" w:eastAsia="Calibri" w:hAnsi="Calibri"/>
          <w:rtl/>
        </w:rPr>
        <w:t xml:space="preserve"> </w:t>
      </w:r>
      <w:r w:rsidRPr="00CF5BD0">
        <w:rPr>
          <w:rFonts w:ascii="Calibri" w:eastAsia="Calibri" w:hAnsi="Calibri"/>
          <w:b/>
          <w:bCs/>
          <w:rtl/>
        </w:rPr>
        <w:t>אלוליאיה נ' מדינת ישראל</w:t>
      </w:r>
      <w:r w:rsidRPr="00CF5BD0">
        <w:rPr>
          <w:rFonts w:ascii="Calibri" w:eastAsia="Calibri" w:hAnsi="Calibri"/>
          <w:rtl/>
        </w:rPr>
        <w:t xml:space="preserve">, פסקה 8, </w:t>
      </w:r>
      <w:r w:rsidR="00952E5C">
        <w:rPr>
          <w:rFonts w:ascii="Calibri" w:eastAsia="Calibri" w:hAnsi="Calibri"/>
          <w:rtl/>
        </w:rPr>
        <w:t>[נבו]</w:t>
      </w:r>
      <w:r w:rsidR="00952E5C">
        <w:rPr>
          <w:rFonts w:ascii="Calibri" w:eastAsia="Calibri" w:hAnsi="Calibri" w:hint="cs"/>
          <w:rtl/>
        </w:rPr>
        <w:t xml:space="preserve"> </w:t>
      </w:r>
      <w:r w:rsidRPr="00CF5BD0">
        <w:rPr>
          <w:rFonts w:ascii="Calibri" w:eastAsia="Calibri" w:hAnsi="Calibri"/>
          <w:rtl/>
        </w:rPr>
        <w:t xml:space="preserve">ניתן ביום 13.9.17) (ראו בנוסף לעניין זה: </w:t>
      </w:r>
      <w:hyperlink r:id="rId23" w:history="1">
        <w:r w:rsidR="00A35C7D" w:rsidRPr="00A35C7D">
          <w:rPr>
            <w:rFonts w:ascii="Calibri" w:eastAsia="Calibri" w:hAnsi="Calibri" w:hint="cs"/>
            <w:color w:val="0000FF"/>
            <w:u w:val="single"/>
            <w:rtl/>
          </w:rPr>
          <w:t>ע</w:t>
        </w:r>
        <w:r w:rsidR="00A35C7D" w:rsidRPr="00A35C7D">
          <w:rPr>
            <w:rFonts w:ascii="Calibri" w:eastAsia="Calibri" w:hAnsi="Calibri"/>
            <w:color w:val="0000FF"/>
            <w:u w:val="single"/>
            <w:rtl/>
          </w:rPr>
          <w:t>"</w:t>
        </w:r>
        <w:r w:rsidR="00A35C7D" w:rsidRPr="00A35C7D">
          <w:rPr>
            <w:rFonts w:ascii="Calibri" w:eastAsia="Calibri" w:hAnsi="Calibri" w:hint="cs"/>
            <w:color w:val="0000FF"/>
            <w:u w:val="single"/>
            <w:rtl/>
          </w:rPr>
          <w:t>פ</w:t>
        </w:r>
        <w:r w:rsidR="00A35C7D" w:rsidRPr="00A35C7D">
          <w:rPr>
            <w:rFonts w:ascii="Calibri" w:eastAsia="Calibri" w:hAnsi="Calibri"/>
            <w:color w:val="0000FF"/>
            <w:u w:val="single"/>
            <w:rtl/>
          </w:rPr>
          <w:t xml:space="preserve">  4059/17</w:t>
        </w:r>
      </w:hyperlink>
      <w:r w:rsidRPr="00CF5BD0">
        <w:rPr>
          <w:rFonts w:ascii="Calibri" w:eastAsia="Calibri" w:hAnsi="Calibri"/>
          <w:rtl/>
        </w:rPr>
        <w:t xml:space="preserve"> </w:t>
      </w:r>
      <w:r w:rsidRPr="00CF5BD0">
        <w:rPr>
          <w:rFonts w:ascii="Calibri" w:eastAsia="Calibri" w:hAnsi="Calibri"/>
          <w:b/>
          <w:bCs/>
          <w:rtl/>
        </w:rPr>
        <w:t>סלמה נ' מדינת ישראל</w:t>
      </w:r>
      <w:r w:rsidRPr="00CF5BD0">
        <w:rPr>
          <w:rFonts w:ascii="Calibri" w:eastAsia="Calibri" w:hAnsi="Calibri"/>
          <w:rtl/>
        </w:rPr>
        <w:t xml:space="preserve">, פסקה 5, </w:t>
      </w:r>
      <w:r w:rsidR="00952E5C">
        <w:rPr>
          <w:rFonts w:ascii="Calibri" w:eastAsia="Calibri" w:hAnsi="Calibri"/>
          <w:rtl/>
        </w:rPr>
        <w:t>[נבו]</w:t>
      </w:r>
      <w:r w:rsidR="00952E5C">
        <w:rPr>
          <w:rFonts w:ascii="Calibri" w:eastAsia="Calibri" w:hAnsi="Calibri" w:hint="cs"/>
          <w:rtl/>
        </w:rPr>
        <w:t xml:space="preserve"> </w:t>
      </w:r>
      <w:r w:rsidRPr="00CF5BD0">
        <w:rPr>
          <w:rFonts w:ascii="Calibri" w:eastAsia="Calibri" w:hAnsi="Calibri"/>
          <w:rtl/>
        </w:rPr>
        <w:t>ניתן ביום 24.4.18)</w:t>
      </w:r>
      <w:r w:rsidRPr="00CF5BD0">
        <w:rPr>
          <w:rFonts w:ascii="Calibri" w:eastAsia="Calibri" w:hAnsi="Calibri" w:cs="Miriam"/>
          <w:rtl/>
        </w:rPr>
        <w:t xml:space="preserve">.  </w:t>
      </w:r>
      <w:r w:rsidRPr="00CF5BD0">
        <w:rPr>
          <w:rFonts w:ascii="Calibri" w:eastAsia="Calibri" w:hAnsi="Calibri"/>
          <w:rtl/>
        </w:rPr>
        <w:t xml:space="preserve"> </w:t>
      </w:r>
    </w:p>
    <w:p w14:paraId="1EDF2DCC" w14:textId="77777777" w:rsidR="00BE745E" w:rsidRPr="00CF5BD0" w:rsidRDefault="00BE745E" w:rsidP="00BE745E">
      <w:pPr>
        <w:spacing w:line="360" w:lineRule="auto"/>
        <w:jc w:val="both"/>
        <w:rPr>
          <w:rFonts w:ascii="David" w:eastAsia="Calibri" w:hAnsi="David"/>
          <w:b/>
          <w:bCs/>
          <w:u w:val="single"/>
          <w:rtl/>
        </w:rPr>
      </w:pPr>
    </w:p>
    <w:p w14:paraId="72ECBDC1" w14:textId="77777777" w:rsidR="00BE745E" w:rsidRPr="00CF5BD0" w:rsidRDefault="00BE745E" w:rsidP="00BE745E">
      <w:pPr>
        <w:overflowPunct w:val="0"/>
        <w:autoSpaceDE w:val="0"/>
        <w:autoSpaceDN w:val="0"/>
        <w:spacing w:line="360" w:lineRule="auto"/>
        <w:ind w:right="-426"/>
        <w:jc w:val="both"/>
        <w:rPr>
          <w:rtl/>
        </w:rPr>
      </w:pPr>
      <w:r w:rsidRPr="00CF5BD0">
        <w:rPr>
          <w:rFonts w:ascii="David" w:hAnsi="David"/>
          <w:u w:val="single"/>
          <w:rtl/>
        </w:rPr>
        <w:t>אומר מייד, ככלל, מדיניות הענישה הנוהגת הכללית לעבירות שעניינן נשיאה והובלה של נשק שלא כדין</w:t>
      </w:r>
      <w:r w:rsidRPr="00CF5BD0">
        <w:rPr>
          <w:rFonts w:ascii="David" w:hAnsi="David"/>
          <w:rtl/>
        </w:rPr>
        <w:t xml:space="preserve"> באה לידי ביטוי במסגרתו של </w:t>
      </w:r>
      <w:hyperlink r:id="rId24" w:history="1">
        <w:r w:rsidR="00A35C7D" w:rsidRPr="00A35C7D">
          <w:rPr>
            <w:rFonts w:ascii="David" w:hAnsi="David"/>
            <w:color w:val="0000FF"/>
            <w:u w:val="single"/>
            <w:rtl/>
          </w:rPr>
          <w:t>ע"פ 5602/22</w:t>
        </w:r>
      </w:hyperlink>
      <w:r w:rsidRPr="00CF5BD0">
        <w:rPr>
          <w:rFonts w:ascii="David" w:hAnsi="David"/>
          <w:rtl/>
        </w:rPr>
        <w:t xml:space="preserve"> </w:t>
      </w:r>
      <w:r w:rsidRPr="00CF5BD0">
        <w:rPr>
          <w:rFonts w:ascii="David" w:hAnsi="David"/>
          <w:b/>
          <w:bCs/>
          <w:rtl/>
        </w:rPr>
        <w:t>מדינת ישראל נ' פלוני</w:t>
      </w:r>
      <w:r w:rsidRPr="00CF5BD0">
        <w:rPr>
          <w:rFonts w:ascii="David" w:hAnsi="David"/>
          <w:rtl/>
        </w:rPr>
        <w:t xml:space="preserve">, </w:t>
      </w:r>
      <w:r w:rsidR="00952E5C">
        <w:rPr>
          <w:rFonts w:ascii="David" w:hAnsi="David"/>
          <w:rtl/>
        </w:rPr>
        <w:t>[נבו]</w:t>
      </w:r>
      <w:r w:rsidR="00952E5C">
        <w:rPr>
          <w:rFonts w:ascii="David" w:hAnsi="David" w:hint="cs"/>
          <w:rtl/>
        </w:rPr>
        <w:t xml:space="preserve"> </w:t>
      </w:r>
      <w:r w:rsidRPr="00CF5BD0">
        <w:rPr>
          <w:rFonts w:ascii="David" w:hAnsi="David"/>
          <w:rtl/>
        </w:rPr>
        <w:t xml:space="preserve">ניתן ביום  </w:t>
      </w:r>
      <w:r w:rsidRPr="00CF5BD0">
        <w:rPr>
          <w:rtl/>
        </w:rPr>
        <w:t xml:space="preserve">14.9.22, שם נקבע, כי </w:t>
      </w:r>
      <w:r w:rsidRPr="00CF5BD0">
        <w:rPr>
          <w:rFonts w:ascii="David" w:hAnsi="David"/>
          <w:rtl/>
        </w:rPr>
        <w:t>מתחם הענישה הרגיל שראוי לקבוע לנאשם בגיר בגין נשיאה בלתי חוקית של נשק חם במרחב הציבורי (</w:t>
      </w:r>
      <w:r w:rsidRPr="00CF5BD0">
        <w:rPr>
          <w:rFonts w:ascii="David" w:hAnsi="David"/>
          <w:u w:val="single"/>
          <w:rtl/>
        </w:rPr>
        <w:t>בגין עבירה מוגמרת בניגוד לסיוע לה</w:t>
      </w:r>
      <w:r w:rsidRPr="00CF5BD0">
        <w:rPr>
          <w:rFonts w:ascii="David" w:hAnsi="David"/>
          <w:rtl/>
        </w:rPr>
        <w:t xml:space="preserve">)  </w:t>
      </w:r>
      <w:r w:rsidRPr="00CF5BD0">
        <w:rPr>
          <w:rFonts w:ascii="David" w:hAnsi="David"/>
          <w:b/>
          <w:bCs/>
          <w:rtl/>
        </w:rPr>
        <w:t>נע בין 30 ל-42 חודשי מאסר בין סורג ובריח</w:t>
      </w:r>
      <w:r w:rsidRPr="00CF5BD0">
        <w:rPr>
          <w:rFonts w:ascii="David" w:hAnsi="David"/>
          <w:rtl/>
        </w:rPr>
        <w:t xml:space="preserve"> {עוד ראו, למשל: </w:t>
      </w:r>
      <w:hyperlink r:id="rId25" w:history="1">
        <w:r w:rsidR="00A35C7D" w:rsidRPr="00A35C7D">
          <w:rPr>
            <w:rFonts w:ascii="David" w:hAnsi="David"/>
            <w:color w:val="0000FF"/>
            <w:u w:val="single"/>
            <w:rtl/>
          </w:rPr>
          <w:t>ע"פ 3851/23</w:t>
        </w:r>
      </w:hyperlink>
      <w:r w:rsidRPr="00CF5BD0">
        <w:rPr>
          <w:rFonts w:ascii="David" w:hAnsi="David"/>
          <w:rtl/>
        </w:rPr>
        <w:t xml:space="preserve"> </w:t>
      </w:r>
      <w:r w:rsidRPr="00CF5BD0">
        <w:rPr>
          <w:rFonts w:ascii="David" w:hAnsi="David"/>
          <w:b/>
          <w:bCs/>
          <w:rtl/>
        </w:rPr>
        <w:t>בוהדנה נ' מדינת ישראל</w:t>
      </w:r>
      <w:r w:rsidRPr="00CF5BD0">
        <w:rPr>
          <w:rFonts w:ascii="David" w:hAnsi="David"/>
          <w:rtl/>
        </w:rPr>
        <w:t xml:space="preserve">, </w:t>
      </w:r>
      <w:r w:rsidR="00952E5C">
        <w:rPr>
          <w:rFonts w:ascii="David" w:hAnsi="David"/>
          <w:rtl/>
        </w:rPr>
        <w:t>[נבו]</w:t>
      </w:r>
      <w:r w:rsidR="00952E5C">
        <w:rPr>
          <w:rFonts w:ascii="David" w:hAnsi="David" w:hint="cs"/>
          <w:rtl/>
        </w:rPr>
        <w:t xml:space="preserve"> </w:t>
      </w:r>
      <w:r w:rsidRPr="00CF5BD0">
        <w:rPr>
          <w:rFonts w:ascii="David" w:hAnsi="David"/>
          <w:rtl/>
        </w:rPr>
        <w:t>ניתן ביום 13.6.23;</w:t>
      </w:r>
      <w:r w:rsidRPr="00CF5BD0">
        <w:rPr>
          <w:rFonts w:ascii="David" w:hAnsi="David"/>
        </w:rPr>
        <w:t xml:space="preserve"> </w:t>
      </w:r>
      <w:r w:rsidRPr="00CF5BD0">
        <w:rPr>
          <w:rFonts w:ascii="David" w:hAnsi="David"/>
          <w:rtl/>
        </w:rPr>
        <w:t xml:space="preserve">עוד השוו : </w:t>
      </w:r>
      <w:hyperlink r:id="rId26" w:history="1">
        <w:r w:rsidR="00A35C7D" w:rsidRPr="00A35C7D">
          <w:rPr>
            <w:rFonts w:ascii="David" w:hAnsi="David"/>
            <w:color w:val="0000FF"/>
            <w:u w:val="single"/>
            <w:rtl/>
          </w:rPr>
          <w:t>ת"פ 38624-05-24</w:t>
        </w:r>
      </w:hyperlink>
      <w:r w:rsidRPr="00CF5BD0">
        <w:rPr>
          <w:rFonts w:ascii="David" w:hAnsi="David"/>
          <w:rtl/>
        </w:rPr>
        <w:t xml:space="preserve"> </w:t>
      </w:r>
      <w:r w:rsidRPr="00CF5BD0">
        <w:rPr>
          <w:rFonts w:ascii="David" w:hAnsi="David"/>
          <w:b/>
          <w:bCs/>
          <w:rtl/>
        </w:rPr>
        <w:t>מדינת ישראל נ' שאהין</w:t>
      </w:r>
      <w:r w:rsidRPr="00CF5BD0">
        <w:rPr>
          <w:rFonts w:ascii="David" w:hAnsi="David"/>
          <w:rtl/>
        </w:rPr>
        <w:t xml:space="preserve">, </w:t>
      </w:r>
      <w:r w:rsidR="00952E5C">
        <w:rPr>
          <w:rFonts w:ascii="David" w:hAnsi="David"/>
          <w:rtl/>
        </w:rPr>
        <w:t>[נבו]</w:t>
      </w:r>
      <w:r w:rsidR="00952E5C">
        <w:rPr>
          <w:rFonts w:ascii="David" w:hAnsi="David" w:hint="cs"/>
          <w:rtl/>
        </w:rPr>
        <w:t xml:space="preserve"> </w:t>
      </w:r>
      <w:r w:rsidRPr="00CF5BD0">
        <w:rPr>
          <w:rFonts w:ascii="David" w:hAnsi="David"/>
          <w:rtl/>
        </w:rPr>
        <w:t xml:space="preserve">ניתן על ידי לאחרונה ביום 8.9.24 - שעניינו בסיוע </w:t>
      </w:r>
      <w:r w:rsidRPr="00CF5BD0">
        <w:rPr>
          <w:rFonts w:ascii="David" w:hAnsi="David"/>
          <w:u w:val="single"/>
          <w:rtl/>
        </w:rPr>
        <w:t>להחזקת נשק</w:t>
      </w:r>
      <w:r w:rsidRPr="00CF5BD0">
        <w:rPr>
          <w:rFonts w:ascii="David" w:hAnsi="David"/>
          <w:rtl/>
        </w:rPr>
        <w:t xml:space="preserve">, עבירה הפחותה בחומרתה מסיוע </w:t>
      </w:r>
      <w:r w:rsidRPr="00CF5BD0">
        <w:rPr>
          <w:rFonts w:ascii="David" w:hAnsi="David"/>
          <w:u w:val="single"/>
          <w:rtl/>
        </w:rPr>
        <w:t>לנשיאת נשק</w:t>
      </w:r>
      <w:r w:rsidRPr="00CF5BD0">
        <w:rPr>
          <w:rFonts w:ascii="David" w:hAnsi="David"/>
          <w:rtl/>
        </w:rPr>
        <w:t>}.</w:t>
      </w:r>
      <w:r w:rsidRPr="00CF5BD0">
        <w:rPr>
          <w:rtl/>
        </w:rPr>
        <w:t xml:space="preserve"> </w:t>
      </w:r>
    </w:p>
    <w:p w14:paraId="7F387C5C" w14:textId="77777777" w:rsidR="00BE745E" w:rsidRPr="00CF5BD0" w:rsidRDefault="00BE745E" w:rsidP="00BE745E">
      <w:pPr>
        <w:spacing w:line="360" w:lineRule="auto"/>
        <w:jc w:val="both"/>
        <w:rPr>
          <w:rFonts w:ascii="David" w:eastAsia="Calibri" w:hAnsi="David"/>
          <w:b/>
          <w:bCs/>
          <w:u w:val="single"/>
          <w:rtl/>
        </w:rPr>
      </w:pPr>
    </w:p>
    <w:p w14:paraId="3507E150" w14:textId="77777777" w:rsidR="00BE745E" w:rsidRPr="00CF5BD0" w:rsidRDefault="00BE745E" w:rsidP="00BE745E">
      <w:pPr>
        <w:spacing w:after="160" w:line="360" w:lineRule="auto"/>
        <w:ind w:right="-284"/>
        <w:jc w:val="both"/>
        <w:rPr>
          <w:rFonts w:ascii="Calibri" w:eastAsia="Calibri" w:hAnsi="Calibri"/>
          <w:rtl/>
        </w:rPr>
      </w:pPr>
      <w:r w:rsidRPr="00CF5BD0">
        <w:rPr>
          <w:rFonts w:ascii="David" w:eastAsia="Calibri" w:hAnsi="David"/>
          <w:rtl/>
        </w:rPr>
        <w:t xml:space="preserve">כזכור, בנידון דידן הנאשם הורשע </w:t>
      </w:r>
      <w:r w:rsidRPr="00CF5BD0">
        <w:rPr>
          <w:rFonts w:ascii="Calibri" w:eastAsia="Calibri" w:hAnsi="Calibri"/>
          <w:rtl/>
        </w:rPr>
        <w:t xml:space="preserve">בעבירה שעניינה </w:t>
      </w:r>
      <w:r w:rsidRPr="00CF5BD0">
        <w:rPr>
          <w:rFonts w:ascii="Calibri" w:eastAsia="Calibri" w:hAnsi="Calibri"/>
          <w:b/>
          <w:bCs/>
          <w:u w:val="single"/>
          <w:rtl/>
        </w:rPr>
        <w:t>סיוע</w:t>
      </w:r>
      <w:r w:rsidRPr="00CF5BD0">
        <w:rPr>
          <w:rFonts w:ascii="Calibri" w:eastAsia="Calibri" w:hAnsi="Calibri"/>
          <w:b/>
          <w:bCs/>
          <w:rtl/>
        </w:rPr>
        <w:t xml:space="preserve"> לנשיאת נשק </w:t>
      </w:r>
      <w:r w:rsidRPr="00CF5BD0">
        <w:rPr>
          <w:rFonts w:ascii="Calibri" w:eastAsia="Calibri" w:hAnsi="Calibri"/>
          <w:rtl/>
        </w:rPr>
        <w:t xml:space="preserve">לפי </w:t>
      </w:r>
      <w:hyperlink r:id="rId27" w:history="1">
        <w:r w:rsidR="007F77DA" w:rsidRPr="007F77DA">
          <w:rPr>
            <w:rStyle w:val="Hyperlink"/>
            <w:rFonts w:ascii="Calibri" w:eastAsia="Calibri" w:hAnsi="Calibri"/>
            <w:rtl/>
          </w:rPr>
          <w:t>סעיפים 144(ב)</w:t>
        </w:r>
      </w:hyperlink>
      <w:r w:rsidRPr="00CF5BD0">
        <w:rPr>
          <w:rFonts w:ascii="Calibri" w:eastAsia="Calibri" w:hAnsi="Calibri"/>
          <w:rtl/>
        </w:rPr>
        <w:t xml:space="preserve"> ו - </w:t>
      </w:r>
      <w:hyperlink r:id="rId28" w:history="1">
        <w:r w:rsidR="007F77DA" w:rsidRPr="007F77DA">
          <w:rPr>
            <w:rStyle w:val="Hyperlink"/>
            <w:rFonts w:ascii="Calibri" w:eastAsia="Calibri" w:hAnsi="Calibri"/>
            <w:rtl/>
          </w:rPr>
          <w:t>31</w:t>
        </w:r>
      </w:hyperlink>
      <w:r w:rsidRPr="00CF5BD0">
        <w:rPr>
          <w:rFonts w:ascii="Calibri" w:eastAsia="Calibri" w:hAnsi="Calibri"/>
          <w:rtl/>
        </w:rPr>
        <w:t xml:space="preserve"> ל</w:t>
      </w:r>
      <w:hyperlink r:id="rId29" w:history="1">
        <w:r w:rsidR="00A35C7D" w:rsidRPr="00A35C7D">
          <w:rPr>
            <w:rFonts w:ascii="Calibri" w:eastAsia="Calibri" w:hAnsi="Calibri" w:hint="cs"/>
            <w:color w:val="0000FF"/>
            <w:u w:val="single"/>
            <w:rtl/>
          </w:rPr>
          <w:t>חוק</w:t>
        </w:r>
        <w:r w:rsidR="00A35C7D" w:rsidRPr="00A35C7D">
          <w:rPr>
            <w:rFonts w:ascii="Calibri" w:eastAsia="Calibri" w:hAnsi="Calibri"/>
            <w:color w:val="0000FF"/>
            <w:u w:val="single"/>
            <w:rtl/>
          </w:rPr>
          <w:t xml:space="preserve"> </w:t>
        </w:r>
        <w:r w:rsidR="00A35C7D" w:rsidRPr="00A35C7D">
          <w:rPr>
            <w:rFonts w:ascii="Calibri" w:eastAsia="Calibri" w:hAnsi="Calibri" w:hint="cs"/>
            <w:color w:val="0000FF"/>
            <w:u w:val="single"/>
            <w:rtl/>
          </w:rPr>
          <w:t>העונשין</w:t>
        </w:r>
      </w:hyperlink>
      <w:r w:rsidRPr="00CF5BD0">
        <w:rPr>
          <w:rFonts w:ascii="Calibri" w:eastAsia="Calibri" w:hAnsi="Calibri"/>
          <w:rtl/>
        </w:rPr>
        <w:t>. משכך, בהתאם ל</w:t>
      </w:r>
      <w:hyperlink r:id="rId30" w:history="1">
        <w:r w:rsidR="00A35C7D" w:rsidRPr="00A35C7D">
          <w:rPr>
            <w:rFonts w:ascii="Calibri" w:eastAsia="Calibri" w:hAnsi="Calibri" w:hint="cs"/>
            <w:color w:val="0000FF"/>
            <w:u w:val="single"/>
            <w:rtl/>
          </w:rPr>
          <w:t>חוק</w:t>
        </w:r>
        <w:r w:rsidR="00A35C7D" w:rsidRPr="00A35C7D">
          <w:rPr>
            <w:rFonts w:ascii="Calibri" w:eastAsia="Calibri" w:hAnsi="Calibri"/>
            <w:color w:val="0000FF"/>
            <w:u w:val="single"/>
            <w:rtl/>
          </w:rPr>
          <w:t xml:space="preserve"> </w:t>
        </w:r>
        <w:r w:rsidR="00A35C7D" w:rsidRPr="00A35C7D">
          <w:rPr>
            <w:rFonts w:ascii="Calibri" w:eastAsia="Calibri" w:hAnsi="Calibri" w:hint="cs"/>
            <w:color w:val="0000FF"/>
            <w:u w:val="single"/>
            <w:rtl/>
          </w:rPr>
          <w:t>העונשין</w:t>
        </w:r>
      </w:hyperlink>
      <w:r w:rsidRPr="00CF5BD0">
        <w:rPr>
          <w:rFonts w:ascii="Calibri" w:eastAsia="Calibri" w:hAnsi="Calibri"/>
          <w:rtl/>
        </w:rPr>
        <w:t xml:space="preserve"> העונש על סיוע עומד על מחצית הענישה הנוגעת לעבירה העיקרית, בעוד כאשר עסקינן בעונש מזערי - העונש לא יפחת ממחציתו (ראו </w:t>
      </w:r>
      <w:hyperlink r:id="rId31" w:history="1">
        <w:r w:rsidR="007F77DA" w:rsidRPr="007F77DA">
          <w:rPr>
            <w:rStyle w:val="Hyperlink"/>
            <w:rFonts w:ascii="Calibri" w:eastAsia="Calibri" w:hAnsi="Calibri"/>
            <w:rtl/>
          </w:rPr>
          <w:t>סעיף 32(3)</w:t>
        </w:r>
      </w:hyperlink>
      <w:r w:rsidRPr="00CF5BD0">
        <w:rPr>
          <w:rFonts w:ascii="Calibri" w:eastAsia="Calibri" w:hAnsi="Calibri"/>
          <w:rtl/>
        </w:rPr>
        <w:t xml:space="preserve"> לחוק העונשין). </w:t>
      </w:r>
    </w:p>
    <w:p w14:paraId="0A5B98B3" w14:textId="77777777" w:rsidR="00BE745E" w:rsidRPr="00CF5BD0" w:rsidRDefault="00BE745E" w:rsidP="00BE745E">
      <w:pPr>
        <w:spacing w:line="360" w:lineRule="auto"/>
        <w:ind w:right="-426"/>
        <w:jc w:val="both"/>
        <w:rPr>
          <w:rFonts w:ascii="David" w:eastAsia="Calibri" w:hAnsi="David"/>
          <w:rtl/>
        </w:rPr>
      </w:pPr>
      <w:r w:rsidRPr="00CF5BD0">
        <w:rPr>
          <w:rFonts w:ascii="David" w:eastAsia="Calibri" w:hAnsi="David"/>
          <w:rtl/>
        </w:rPr>
        <w:t>בהקשר זה אעיר בנוסף, כי במסגרתו של תיקון מס' 140 ל</w:t>
      </w:r>
      <w:r w:rsidR="00A35C7D" w:rsidRPr="007F77DA">
        <w:rPr>
          <w:rFonts w:ascii="David" w:eastAsia="Calibri" w:hAnsi="David"/>
          <w:rtl/>
        </w:rPr>
        <w:t>חוק העונשין</w:t>
      </w:r>
      <w:r w:rsidRPr="00CF5BD0">
        <w:rPr>
          <w:rFonts w:ascii="David" w:eastAsia="Calibri" w:hAnsi="David"/>
          <w:rtl/>
        </w:rPr>
        <w:t xml:space="preserve"> (תיקון מס' 140 - הוראת שעה), התשפ"ב-2021, ס"ח 2938) הבא לידי ביטוי </w:t>
      </w:r>
      <w:hyperlink r:id="rId32" w:history="1">
        <w:r w:rsidR="007F77DA" w:rsidRPr="007F77DA">
          <w:rPr>
            <w:rStyle w:val="Hyperlink"/>
            <w:rFonts w:ascii="David" w:eastAsia="Calibri" w:hAnsi="David"/>
            <w:rtl/>
          </w:rPr>
          <w:t>בסעיף 144(ז)</w:t>
        </w:r>
      </w:hyperlink>
      <w:r w:rsidRPr="00CF5BD0">
        <w:rPr>
          <w:rFonts w:ascii="David" w:eastAsia="Calibri" w:hAnsi="David"/>
          <w:rtl/>
        </w:rPr>
        <w:t xml:space="preserve"> לחוק, עוגנו </w:t>
      </w:r>
      <w:r w:rsidRPr="00CF5BD0">
        <w:rPr>
          <w:rFonts w:ascii="David" w:eastAsia="Calibri" w:hAnsi="David"/>
          <w:b/>
          <w:bCs/>
          <w:rtl/>
        </w:rPr>
        <w:t xml:space="preserve">עונשים מזעריים </w:t>
      </w:r>
      <w:r w:rsidRPr="00CF5BD0">
        <w:rPr>
          <w:rFonts w:ascii="David" w:eastAsia="Calibri" w:hAnsi="David"/>
          <w:rtl/>
        </w:rPr>
        <w:t>הנוגעים לעבירות שעניינן החזקה, הובלה או סחר בנשק שלא כדין. בתיקון נקבע, כי העונש שיוטל על העבריין במקרים אלו "</w:t>
      </w:r>
      <w:r w:rsidRPr="00CF5BD0">
        <w:rPr>
          <w:rFonts w:ascii="David" w:eastAsia="Calibri" w:hAnsi="David"/>
          <w:u w:val="single"/>
          <w:rtl/>
        </w:rPr>
        <w:t>לא יפחת ... מרבע העונש המרבי שנקבע לאותה עבירה, אלא אם כן החליט בית המשפט, מטעמים מיוחדים שיירשמו, להקל בעונשו;.</w:t>
      </w:r>
      <w:r w:rsidRPr="00CF5BD0">
        <w:rPr>
          <w:rFonts w:ascii="David" w:eastAsia="Calibri" w:hAnsi="David"/>
          <w:rtl/>
        </w:rPr>
        <w:t xml:space="preserve">.".  </w:t>
      </w:r>
    </w:p>
    <w:p w14:paraId="76FDCE4F" w14:textId="77777777" w:rsidR="00BE745E" w:rsidRPr="00CF5BD0" w:rsidRDefault="00BE745E" w:rsidP="00BE745E">
      <w:pPr>
        <w:overflowPunct w:val="0"/>
        <w:autoSpaceDE w:val="0"/>
        <w:autoSpaceDN w:val="0"/>
        <w:spacing w:line="360" w:lineRule="auto"/>
        <w:ind w:right="-426"/>
        <w:jc w:val="both"/>
        <w:rPr>
          <w:rFonts w:ascii="David" w:hAnsi="David"/>
          <w:rtl/>
        </w:rPr>
      </w:pPr>
    </w:p>
    <w:p w14:paraId="01E0B140" w14:textId="77777777" w:rsidR="00BE745E" w:rsidRPr="00CF5BD0" w:rsidRDefault="00BE745E" w:rsidP="00BE745E">
      <w:pPr>
        <w:spacing w:after="160" w:line="360" w:lineRule="auto"/>
        <w:ind w:right="-426"/>
        <w:jc w:val="both"/>
        <w:rPr>
          <w:rFonts w:ascii="David" w:eastAsia="Calibri" w:hAnsi="David"/>
          <w:rtl/>
        </w:rPr>
      </w:pPr>
      <w:r w:rsidRPr="00CF5BD0">
        <w:rPr>
          <w:rFonts w:ascii="David" w:eastAsia="Calibri" w:hAnsi="David"/>
          <w:rtl/>
        </w:rPr>
        <w:t xml:space="preserve">בשלב זה, יש להתייחס אל </w:t>
      </w:r>
      <w:r w:rsidRPr="00CF5BD0">
        <w:rPr>
          <w:rFonts w:ascii="David" w:eastAsia="Calibri" w:hAnsi="David"/>
          <w:b/>
          <w:bCs/>
          <w:rtl/>
        </w:rPr>
        <w:t xml:space="preserve">הנסיבות הקשורות לביצוע העבירה </w:t>
      </w:r>
      <w:r w:rsidRPr="00CF5BD0">
        <w:rPr>
          <w:rFonts w:ascii="David" w:eastAsia="Calibri" w:hAnsi="David"/>
          <w:rtl/>
        </w:rPr>
        <w:t xml:space="preserve">(אלו המצוינות </w:t>
      </w:r>
      <w:hyperlink r:id="rId33" w:history="1">
        <w:r w:rsidR="007F77DA" w:rsidRPr="007F77DA">
          <w:rPr>
            <w:rStyle w:val="Hyperlink"/>
            <w:rFonts w:ascii="David" w:eastAsia="Calibri" w:hAnsi="David"/>
            <w:rtl/>
          </w:rPr>
          <w:t>בסעיף 40ט</w:t>
        </w:r>
      </w:hyperlink>
      <w:r w:rsidRPr="00CF5BD0">
        <w:rPr>
          <w:rFonts w:ascii="David" w:eastAsia="Calibri" w:hAnsi="David"/>
          <w:rtl/>
        </w:rPr>
        <w:t xml:space="preserve"> לחוק). </w:t>
      </w:r>
    </w:p>
    <w:p w14:paraId="23FCA42A" w14:textId="77777777" w:rsidR="00BE745E" w:rsidRPr="00CF5BD0" w:rsidRDefault="00BE745E" w:rsidP="00BE745E">
      <w:pPr>
        <w:spacing w:after="160" w:line="360" w:lineRule="auto"/>
        <w:ind w:right="-426"/>
        <w:jc w:val="both"/>
        <w:rPr>
          <w:rFonts w:ascii="David" w:eastAsia="Calibri" w:hAnsi="David"/>
          <w:color w:val="FF0000"/>
          <w:rtl/>
        </w:rPr>
      </w:pPr>
      <w:r w:rsidRPr="00CF5BD0">
        <w:rPr>
          <w:rFonts w:ascii="David" w:eastAsia="Calibri" w:hAnsi="David"/>
          <w:rtl/>
        </w:rPr>
        <w:t>עובדות כתב האישום המתוקן מלמדות</w:t>
      </w:r>
      <w:r w:rsidRPr="00CF5BD0">
        <w:rPr>
          <w:rFonts w:ascii="David" w:eastAsia="Calibri" w:hAnsi="David"/>
          <w:b/>
          <w:bCs/>
          <w:rtl/>
        </w:rPr>
        <w:t>,</w:t>
      </w:r>
      <w:r w:rsidRPr="00CF5BD0">
        <w:rPr>
          <w:rFonts w:ascii="David" w:eastAsia="Calibri" w:hAnsi="David"/>
          <w:rtl/>
        </w:rPr>
        <w:t xml:space="preserve"> כי עסקינן</w:t>
      </w:r>
      <w:r w:rsidRPr="00CF5BD0">
        <w:rPr>
          <w:rFonts w:ascii="Calibri" w:eastAsia="Calibri" w:hAnsi="Calibri"/>
          <w:rtl/>
        </w:rPr>
        <w:t xml:space="preserve"> בסיוע לאחר להוביל אקדח מסוג </w:t>
      </w:r>
      <w:r w:rsidRPr="00CF5BD0">
        <w:rPr>
          <w:rFonts w:ascii="Calibri" w:eastAsia="Calibri" w:hAnsi="Calibri"/>
        </w:rPr>
        <w:t>fn</w:t>
      </w:r>
      <w:r w:rsidRPr="00CF5BD0">
        <w:rPr>
          <w:rFonts w:ascii="Calibri" w:eastAsia="Calibri" w:hAnsi="Calibri"/>
          <w:rtl/>
        </w:rPr>
        <w:t xml:space="preserve"> </w:t>
      </w:r>
      <w:r w:rsidRPr="00CF5BD0">
        <w:rPr>
          <w:rFonts w:ascii="Calibri" w:eastAsia="Calibri" w:hAnsi="Calibri" w:hint="cs"/>
          <w:u w:val="single"/>
          <w:rtl/>
        </w:rPr>
        <w:t>הטעון</w:t>
      </w:r>
      <w:r w:rsidRPr="00CF5BD0">
        <w:rPr>
          <w:rFonts w:ascii="Calibri" w:eastAsia="Calibri" w:hAnsi="Calibri" w:hint="cs"/>
          <w:rtl/>
        </w:rPr>
        <w:t xml:space="preserve"> ב- 12 כדורים וכן בכמות לא מבוטלת של  46 כדורי אקדח נוספים בקוטר 9 מ"מ, המתאימים לשימוש באקדח. נתונים אלו בהחלט מלמדים על חומרה מוגברת, שכן הנשק להלכה ולמעשה היה במצב מוכנות לשימוש, כשלצדו כמות נכבדה של תחמושת. חלקו היחסי של הנאשם בביצוע העבירה אינו בלעדי, שכן הנאשם 2 סייע לביצוע עבירות אלו אף הוא. הנאשם הבין היטב את מעשיו ויכול והיה צריך להימנע מביצועם. למרבה המזל הנשק נתפס, שכן הנזק עלול היה להיות חמור יותר, אילו חלילה היה נעשה בו שימוש עתידי. בהתאם לעובדות כתב האישום המתוקן הנאשם עשה שימוש ברכב הקשור לחברת בדוי ובניו בע"מ. מטבע הדברים ומאחר שעסקינן בעבירת סיוע, הרי שהנאשם מוחזק כמי שמצוי "במעגל החיצוני" לתכנון העבירה בניגוד למבצעה העיקרי. </w:t>
      </w:r>
      <w:r w:rsidRPr="00CF5BD0">
        <w:rPr>
          <w:rFonts w:ascii="David" w:eastAsia="Calibri" w:hAnsi="David"/>
          <w:rtl/>
        </w:rPr>
        <w:t>הסיבות שהובילו את הנאשם לבצע את מעשיו נותרו עלומות.</w:t>
      </w:r>
      <w:r w:rsidRPr="00CF5BD0">
        <w:rPr>
          <w:rFonts w:ascii="Calibri" w:eastAsia="Calibri" w:hAnsi="Calibri"/>
          <w:rtl/>
        </w:rPr>
        <w:t xml:space="preserve">  </w:t>
      </w:r>
    </w:p>
    <w:p w14:paraId="2E32B6C7" w14:textId="77777777" w:rsidR="00BE745E" w:rsidRPr="00CF5BD0" w:rsidRDefault="00BE745E" w:rsidP="00BE745E">
      <w:pPr>
        <w:spacing w:after="160" w:line="360" w:lineRule="auto"/>
        <w:ind w:right="-426"/>
        <w:jc w:val="both"/>
        <w:rPr>
          <w:rFonts w:ascii="David" w:eastAsia="Calibri" w:hAnsi="David"/>
          <w:rtl/>
        </w:rPr>
      </w:pPr>
      <w:r w:rsidRPr="00CF5BD0">
        <w:rPr>
          <w:rFonts w:ascii="David" w:eastAsia="Calibri" w:hAnsi="David"/>
          <w:rtl/>
        </w:rPr>
        <w:t>לאור כל המקובץ, מצאתי לנכון לקבוע</w:t>
      </w:r>
      <w:r w:rsidRPr="00CF5BD0">
        <w:rPr>
          <w:rFonts w:ascii="David" w:eastAsia="Calibri" w:hAnsi="David"/>
          <w:b/>
          <w:bCs/>
          <w:rtl/>
        </w:rPr>
        <w:t xml:space="preserve"> מתחם ענישה בעניינו של הנאשם  אשר נע בין 10 לבין 22 חודשי מאסר לריצוי בפועל, </w:t>
      </w:r>
      <w:r w:rsidRPr="00CF5BD0">
        <w:rPr>
          <w:rFonts w:ascii="David" w:eastAsia="Calibri" w:hAnsi="David"/>
          <w:rtl/>
        </w:rPr>
        <w:t xml:space="preserve">לצד עונשים נלווים.  </w:t>
      </w:r>
    </w:p>
    <w:p w14:paraId="6A9AC0C4" w14:textId="77777777" w:rsidR="00BE745E" w:rsidRPr="00CF5BD0" w:rsidRDefault="00BE745E" w:rsidP="00BE745E">
      <w:pPr>
        <w:overflowPunct w:val="0"/>
        <w:autoSpaceDE w:val="0"/>
        <w:autoSpaceDN w:val="0"/>
        <w:spacing w:line="360" w:lineRule="auto"/>
        <w:ind w:right="-567"/>
        <w:jc w:val="both"/>
        <w:rPr>
          <w:rFonts w:ascii="David" w:hAnsi="David"/>
          <w:rtl/>
        </w:rPr>
      </w:pPr>
      <w:r w:rsidRPr="00CF5BD0">
        <w:rPr>
          <w:rFonts w:ascii="David" w:hAnsi="David"/>
          <w:rtl/>
        </w:rPr>
        <w:t xml:space="preserve">מכאן, ראוי לבחון מהו העונש המתאים לנאשם בשים לב </w:t>
      </w:r>
      <w:r w:rsidRPr="00CF5BD0">
        <w:rPr>
          <w:rFonts w:ascii="David" w:hAnsi="David"/>
          <w:b/>
          <w:bCs/>
          <w:rtl/>
        </w:rPr>
        <w:t xml:space="preserve">לנסיבות שאינן קשורות בביצוע העבירה. </w:t>
      </w:r>
    </w:p>
    <w:p w14:paraId="4DE1FC30" w14:textId="77777777" w:rsidR="00BE745E" w:rsidRPr="00CF5BD0" w:rsidRDefault="00BE745E" w:rsidP="00BE745E">
      <w:pPr>
        <w:overflowPunct w:val="0"/>
        <w:autoSpaceDE w:val="0"/>
        <w:autoSpaceDN w:val="0"/>
        <w:spacing w:line="360" w:lineRule="auto"/>
        <w:ind w:right="-567"/>
        <w:jc w:val="both"/>
        <w:rPr>
          <w:rFonts w:ascii="David" w:hAnsi="David"/>
          <w:highlight w:val="yellow"/>
          <w:rtl/>
        </w:rPr>
      </w:pPr>
    </w:p>
    <w:p w14:paraId="7194A73C" w14:textId="77777777" w:rsidR="00BE745E" w:rsidRPr="00CF5BD0" w:rsidRDefault="00BE745E" w:rsidP="00BE745E">
      <w:pPr>
        <w:spacing w:line="360" w:lineRule="auto"/>
        <w:ind w:right="-567"/>
        <w:jc w:val="both"/>
        <w:rPr>
          <w:rFonts w:ascii="David" w:eastAsia="Calibri" w:hAnsi="David"/>
          <w:b/>
          <w:bCs/>
          <w:rtl/>
        </w:rPr>
      </w:pPr>
      <w:r w:rsidRPr="00CF5BD0">
        <w:rPr>
          <w:rFonts w:ascii="David" w:eastAsia="Calibri" w:hAnsi="David"/>
          <w:rtl/>
        </w:rPr>
        <w:t xml:space="preserve">יש לזקוף לזכותו של הנאשם את </w:t>
      </w:r>
      <w:r w:rsidRPr="00CF5BD0">
        <w:rPr>
          <w:rFonts w:ascii="David" w:eastAsia="Calibri" w:hAnsi="David"/>
          <w:b/>
          <w:bCs/>
          <w:rtl/>
        </w:rPr>
        <w:t>החיסכון המשמעותי בזמן שיפוטי יקר, הנגזר מהודאתו ומנטילת האחריות מצידו</w:t>
      </w:r>
      <w:r w:rsidRPr="00CF5BD0">
        <w:rPr>
          <w:rFonts w:ascii="David" w:eastAsia="Calibri" w:hAnsi="David"/>
          <w:rtl/>
        </w:rPr>
        <w:t>.</w:t>
      </w:r>
      <w:r w:rsidRPr="00CF5BD0">
        <w:rPr>
          <w:rFonts w:ascii="David" w:eastAsia="Calibri" w:hAnsi="David"/>
          <w:b/>
          <w:bCs/>
          <w:rtl/>
        </w:rPr>
        <w:t xml:space="preserve"> עברו הפלילי נקי. </w:t>
      </w:r>
      <w:r w:rsidRPr="00CF5BD0">
        <w:rPr>
          <w:rFonts w:ascii="David" w:eastAsia="Calibri" w:hAnsi="David"/>
          <w:rtl/>
        </w:rPr>
        <w:t xml:space="preserve">ברי, כי </w:t>
      </w:r>
      <w:r w:rsidRPr="00CF5BD0">
        <w:rPr>
          <w:rFonts w:ascii="David" w:eastAsia="Calibri" w:hAnsi="David"/>
          <w:b/>
          <w:bCs/>
          <w:rtl/>
        </w:rPr>
        <w:t>עונש מאסר ממושך יפגע בנאשם ובאמו החולה</w:t>
      </w:r>
      <w:r w:rsidRPr="00CF5BD0">
        <w:rPr>
          <w:rFonts w:ascii="David" w:eastAsia="Calibri" w:hAnsi="David"/>
          <w:rtl/>
        </w:rPr>
        <w:t>.</w:t>
      </w:r>
      <w:r w:rsidRPr="00CF5BD0">
        <w:rPr>
          <w:rFonts w:ascii="David" w:eastAsia="Calibri" w:hAnsi="David"/>
          <w:b/>
          <w:bCs/>
          <w:rtl/>
        </w:rPr>
        <w:t xml:space="preserve"> </w:t>
      </w:r>
      <w:r w:rsidRPr="00CF5BD0">
        <w:rPr>
          <w:rFonts w:ascii="David" w:eastAsia="Calibri" w:hAnsi="David"/>
          <w:rtl/>
        </w:rPr>
        <w:t>אזכיר, כי לא הופק תסקיר לעניין העונש בעניינו של הנאשם ומשכך לא קיימת המלצה שיקומית בעניינו. לצד זאת,</w:t>
      </w:r>
      <w:r w:rsidRPr="00CF5BD0">
        <w:rPr>
          <w:rFonts w:ascii="David" w:eastAsia="Calibri" w:hAnsi="David"/>
          <w:b/>
          <w:bCs/>
          <w:rtl/>
        </w:rPr>
        <w:t xml:space="preserve"> </w:t>
      </w:r>
      <w:r w:rsidRPr="00CF5BD0">
        <w:rPr>
          <w:rFonts w:ascii="David" w:eastAsia="Calibri" w:hAnsi="David"/>
          <w:rtl/>
        </w:rPr>
        <w:t xml:space="preserve">בהחלט התרשמתי  מעד האופי אשר העיד בעניינו ומרצינותו. במובן זה, לא נעלמו מעיניי דבריו הנוגעים לחריצותו ומקצועיותו של הנאשם וכן תרומתו לביטחון במסגרת עבודתו. </w:t>
      </w:r>
      <w:r w:rsidRPr="00CF5BD0">
        <w:rPr>
          <w:rFonts w:ascii="David" w:eastAsia="Calibri" w:hAnsi="David"/>
          <w:b/>
          <w:bCs/>
          <w:rtl/>
        </w:rPr>
        <w:t xml:space="preserve"> </w:t>
      </w:r>
    </w:p>
    <w:p w14:paraId="6EE094EA" w14:textId="77777777" w:rsidR="00BE745E" w:rsidRPr="00CF5BD0" w:rsidRDefault="00BE745E" w:rsidP="00BE745E">
      <w:pPr>
        <w:spacing w:line="360" w:lineRule="auto"/>
        <w:ind w:right="-567"/>
        <w:jc w:val="both"/>
        <w:rPr>
          <w:rFonts w:ascii="David" w:eastAsia="Calibri" w:hAnsi="David"/>
          <w:b/>
          <w:bCs/>
          <w:rtl/>
        </w:rPr>
      </w:pPr>
    </w:p>
    <w:p w14:paraId="38BDD968" w14:textId="77777777" w:rsidR="00BE745E" w:rsidRPr="00CF5BD0" w:rsidRDefault="00BE745E" w:rsidP="00BE745E">
      <w:pPr>
        <w:overflowPunct w:val="0"/>
        <w:autoSpaceDE w:val="0"/>
        <w:autoSpaceDN w:val="0"/>
        <w:spacing w:line="360" w:lineRule="auto"/>
        <w:ind w:right="-567"/>
        <w:jc w:val="both"/>
        <w:rPr>
          <w:rFonts w:ascii="David" w:hAnsi="David"/>
          <w:rtl/>
        </w:rPr>
      </w:pPr>
      <w:r w:rsidRPr="00CF5BD0">
        <w:rPr>
          <w:rFonts w:ascii="David" w:eastAsia="Calibri" w:hAnsi="David"/>
          <w:rtl/>
        </w:rPr>
        <w:t xml:space="preserve">עוד סברתי כי בכגון דא בהחלט יש מקום להכליל בגדרי מתחם הענישה את השיקול שעניינו </w:t>
      </w:r>
      <w:r w:rsidRPr="00CF5BD0">
        <w:rPr>
          <w:rFonts w:ascii="David" w:eastAsia="Calibri" w:hAnsi="David"/>
          <w:b/>
          <w:bCs/>
          <w:rtl/>
        </w:rPr>
        <w:t>בהרתעת הרבים</w:t>
      </w:r>
      <w:r w:rsidRPr="00CF5BD0">
        <w:rPr>
          <w:rFonts w:ascii="David" w:eastAsia="Calibri" w:hAnsi="David"/>
          <w:rtl/>
        </w:rPr>
        <w:t xml:space="preserve"> (בהתאם </w:t>
      </w:r>
      <w:hyperlink r:id="rId34" w:history="1">
        <w:r w:rsidR="007F77DA" w:rsidRPr="007F77DA">
          <w:rPr>
            <w:rStyle w:val="Hyperlink"/>
            <w:rFonts w:ascii="David" w:eastAsia="Calibri" w:hAnsi="David"/>
            <w:rtl/>
          </w:rPr>
          <w:t>לסעיף 40ז</w:t>
        </w:r>
      </w:hyperlink>
      <w:r w:rsidRPr="00CF5BD0">
        <w:rPr>
          <w:rFonts w:ascii="David" w:eastAsia="Calibri" w:hAnsi="David"/>
          <w:rtl/>
        </w:rPr>
        <w:t xml:space="preserve"> לחוק);</w:t>
      </w:r>
      <w:r w:rsidRPr="00CF5BD0">
        <w:rPr>
          <w:rFonts w:ascii="David" w:eastAsia="Calibri" w:hAnsi="David"/>
        </w:rPr>
        <w:t xml:space="preserve"> </w:t>
      </w:r>
      <w:r w:rsidRPr="00CF5BD0">
        <w:rPr>
          <w:rFonts w:ascii="David" w:eastAsia="Calibri" w:hAnsi="David"/>
          <w:rtl/>
        </w:rPr>
        <w:t xml:space="preserve">תוך העברת מסר לציבור הרחב שהתנהגות דומה (עבירות בנשק) אינה מקובלת במחוזותינו.  </w:t>
      </w:r>
    </w:p>
    <w:p w14:paraId="664A431F" w14:textId="77777777" w:rsidR="00BE745E" w:rsidRPr="00CF5BD0" w:rsidRDefault="00BE745E" w:rsidP="00BE745E">
      <w:pPr>
        <w:spacing w:after="160" w:line="256" w:lineRule="auto"/>
        <w:ind w:right="-567"/>
        <w:rPr>
          <w:rFonts w:ascii="Calibri" w:eastAsia="Calibri" w:hAnsi="Calibri" w:cs="Arial"/>
          <w:sz w:val="22"/>
          <w:szCs w:val="22"/>
          <w:rtl/>
        </w:rPr>
      </w:pPr>
    </w:p>
    <w:p w14:paraId="49FDDC05" w14:textId="77777777" w:rsidR="00BE745E" w:rsidRPr="00CF5BD0" w:rsidRDefault="00BE745E" w:rsidP="00BE745E">
      <w:pPr>
        <w:spacing w:line="360" w:lineRule="auto"/>
        <w:jc w:val="both"/>
        <w:rPr>
          <w:rFonts w:ascii="David" w:eastAsia="Calibri" w:hAnsi="David"/>
          <w:rtl/>
        </w:rPr>
      </w:pPr>
      <w:r w:rsidRPr="00CF5BD0">
        <w:rPr>
          <w:rFonts w:ascii="David" w:eastAsia="Calibri" w:hAnsi="David"/>
          <w:rtl/>
        </w:rPr>
        <w:t>לאחר ששקלתי את כל השיקולים הדרושים לכך, מצאתי לנכון להטיל על הנאשם את העונשים הבאים:</w:t>
      </w:r>
    </w:p>
    <w:p w14:paraId="2AEE8AE7" w14:textId="77777777" w:rsidR="00BE745E" w:rsidRPr="00CF5BD0" w:rsidRDefault="00BE745E" w:rsidP="00BE745E">
      <w:pPr>
        <w:spacing w:line="360" w:lineRule="auto"/>
        <w:jc w:val="both"/>
        <w:rPr>
          <w:rFonts w:ascii="David" w:eastAsia="Calibri" w:hAnsi="David"/>
          <w:rtl/>
        </w:rPr>
      </w:pPr>
    </w:p>
    <w:p w14:paraId="1C5386A7" w14:textId="77777777" w:rsidR="00BE745E" w:rsidRPr="00CF5BD0" w:rsidRDefault="00BE745E" w:rsidP="00BE745E">
      <w:pPr>
        <w:numPr>
          <w:ilvl w:val="0"/>
          <w:numId w:val="1"/>
        </w:numPr>
        <w:overflowPunct w:val="0"/>
        <w:autoSpaceDE w:val="0"/>
        <w:autoSpaceDN w:val="0"/>
        <w:spacing w:after="160" w:line="360" w:lineRule="auto"/>
        <w:jc w:val="both"/>
        <w:rPr>
          <w:rFonts w:ascii="David" w:hAnsi="David"/>
          <w:b/>
          <w:bCs/>
          <w:rtl/>
        </w:rPr>
      </w:pPr>
      <w:r w:rsidRPr="00CF5BD0">
        <w:rPr>
          <w:rFonts w:ascii="David" w:hAnsi="David"/>
          <w:b/>
          <w:bCs/>
          <w:rtl/>
        </w:rPr>
        <w:t>11 חודשי מאסר לריצוי בפועל מיום מעצרו.</w:t>
      </w:r>
    </w:p>
    <w:p w14:paraId="4B617A20" w14:textId="77777777" w:rsidR="00BE745E" w:rsidRPr="00CF5BD0" w:rsidRDefault="00BE745E" w:rsidP="00BE745E">
      <w:pPr>
        <w:numPr>
          <w:ilvl w:val="0"/>
          <w:numId w:val="1"/>
        </w:numPr>
        <w:overflowPunct w:val="0"/>
        <w:autoSpaceDE w:val="0"/>
        <w:autoSpaceDN w:val="0"/>
        <w:spacing w:after="160" w:line="360" w:lineRule="auto"/>
        <w:jc w:val="both"/>
        <w:rPr>
          <w:rFonts w:ascii="David" w:hAnsi="David"/>
        </w:rPr>
      </w:pPr>
      <w:r w:rsidRPr="00CF5BD0">
        <w:rPr>
          <w:rFonts w:ascii="David" w:hAnsi="David"/>
          <w:rtl/>
        </w:rPr>
        <w:t>6 חודשי מאסר על תנאי שלא יעבור במשך 3 שנים עבירות בנשק</w:t>
      </w:r>
      <w:r w:rsidRPr="00CF5BD0">
        <w:rPr>
          <w:rtl/>
        </w:rPr>
        <w:t xml:space="preserve"> (הכוללות סיוע להן) לפי </w:t>
      </w:r>
      <w:hyperlink r:id="rId35" w:history="1">
        <w:r w:rsidR="007F77DA" w:rsidRPr="007F77DA">
          <w:rPr>
            <w:rStyle w:val="Hyperlink"/>
            <w:rtl/>
          </w:rPr>
          <w:t>סעיף 144</w:t>
        </w:r>
      </w:hyperlink>
      <w:r w:rsidRPr="00CF5BD0">
        <w:rPr>
          <w:rtl/>
        </w:rPr>
        <w:t xml:space="preserve"> ל</w:t>
      </w:r>
      <w:hyperlink r:id="rId36" w:history="1">
        <w:r w:rsidR="00A35C7D" w:rsidRPr="00A35C7D">
          <w:rPr>
            <w:color w:val="0000FF"/>
            <w:u w:val="single"/>
            <w:rtl/>
          </w:rPr>
          <w:t>חוק העונשין</w:t>
        </w:r>
      </w:hyperlink>
      <w:r w:rsidRPr="00CF5BD0">
        <w:rPr>
          <w:rtl/>
        </w:rPr>
        <w:t>.</w:t>
      </w:r>
    </w:p>
    <w:p w14:paraId="75970612" w14:textId="77777777" w:rsidR="00BE745E" w:rsidRPr="00CF5BD0" w:rsidRDefault="00BE745E" w:rsidP="00BE745E">
      <w:pPr>
        <w:numPr>
          <w:ilvl w:val="0"/>
          <w:numId w:val="1"/>
        </w:numPr>
        <w:spacing w:after="160" w:line="360" w:lineRule="auto"/>
        <w:contextualSpacing/>
        <w:jc w:val="both"/>
        <w:rPr>
          <w:rFonts w:ascii="David" w:eastAsia="Calibri" w:hAnsi="David"/>
        </w:rPr>
      </w:pPr>
      <w:r w:rsidRPr="00CF5BD0">
        <w:rPr>
          <w:rFonts w:ascii="David" w:eastAsia="Calibri" w:hAnsi="David"/>
          <w:rtl/>
        </w:rPr>
        <w:t>קנס ע"ס 5000 ₪ שישולם ב 5 תשלומים שווים החל ביום 1.1.25. אשר לאופן תשלום הקנס שנפסק לחובת הנאשם, החוב מועבר למרכז לגביית קנסות, אגרות והוצאות ברשות האכיפה והגבייה, בהתאם למועד שנקבע לעיל. ניתן יהיה לשלם את הקנס כעבור שלושה ימים מיום מתן</w:t>
      </w:r>
      <w:r w:rsidR="00A35C7D">
        <w:rPr>
          <w:rFonts w:ascii="David" w:eastAsia="Calibri" w:hAnsi="David"/>
          <w:rtl/>
        </w:rPr>
        <w:t xml:space="preserve"> </w:t>
      </w:r>
      <w:r w:rsidRPr="00CF5BD0">
        <w:rPr>
          <w:rFonts w:ascii="David" w:eastAsia="Calibri" w:hAnsi="David"/>
          <w:rtl/>
        </w:rPr>
        <w:t>גזר הדין לחשבון המרכז לגביית קנסות, אגרות והוצאות; ברשות האכיפה והגבייה באחת מהדרכים הבאות:</w:t>
      </w:r>
    </w:p>
    <w:p w14:paraId="3DD0E8AF" w14:textId="77777777" w:rsidR="00BE745E" w:rsidRPr="00CF5BD0" w:rsidRDefault="00BE745E" w:rsidP="00BE745E">
      <w:pPr>
        <w:numPr>
          <w:ilvl w:val="0"/>
          <w:numId w:val="2"/>
        </w:numPr>
        <w:spacing w:after="160" w:line="360" w:lineRule="auto"/>
        <w:jc w:val="both"/>
        <w:rPr>
          <w:rFonts w:ascii="David" w:eastAsia="Calibri" w:hAnsi="David"/>
          <w:b/>
          <w:bCs/>
          <w:rtl/>
        </w:rPr>
      </w:pPr>
      <w:r w:rsidRPr="00CF5BD0">
        <w:rPr>
          <w:rFonts w:ascii="David" w:eastAsia="Calibri" w:hAnsi="David"/>
          <w:b/>
          <w:bCs/>
          <w:rtl/>
        </w:rPr>
        <w:t>בכרטיס אשראי</w:t>
      </w:r>
      <w:r w:rsidRPr="00CF5BD0">
        <w:rPr>
          <w:rFonts w:ascii="David" w:eastAsia="Calibri" w:hAnsi="David"/>
          <w:rtl/>
        </w:rPr>
        <w:t xml:space="preserve"> - באתר המקוון של רשות האכיפה והגבייה, </w:t>
      </w:r>
      <w:r w:rsidRPr="00211105">
        <w:rPr>
          <w:rFonts w:ascii="David" w:eastAsia="Calibri" w:hAnsi="David"/>
          <w:u w:val="single"/>
        </w:rPr>
        <w:t>www.eca.gov.il</w:t>
      </w:r>
      <w:r w:rsidRPr="00211105">
        <w:rPr>
          <w:rFonts w:ascii="David" w:eastAsia="Calibri" w:hAnsi="David"/>
        </w:rPr>
        <w:t xml:space="preserve"> </w:t>
      </w:r>
      <w:r w:rsidRPr="00211105">
        <w:rPr>
          <w:rFonts w:ascii="David" w:eastAsia="Calibri" w:hAnsi="David"/>
          <w:rtl/>
        </w:rPr>
        <w:t>.</w:t>
      </w:r>
    </w:p>
    <w:p w14:paraId="127B5D11" w14:textId="77777777" w:rsidR="00BE745E" w:rsidRPr="00CF5BD0" w:rsidRDefault="00BE745E" w:rsidP="00BE745E">
      <w:pPr>
        <w:numPr>
          <w:ilvl w:val="0"/>
          <w:numId w:val="2"/>
        </w:numPr>
        <w:spacing w:after="160" w:line="360" w:lineRule="auto"/>
        <w:jc w:val="both"/>
        <w:rPr>
          <w:rFonts w:ascii="David" w:eastAsia="Calibri" w:hAnsi="David"/>
          <w:b/>
          <w:bCs/>
          <w:rtl/>
        </w:rPr>
      </w:pPr>
      <w:r w:rsidRPr="00CF5BD0">
        <w:rPr>
          <w:rFonts w:ascii="David" w:eastAsia="Calibri" w:hAnsi="David"/>
          <w:b/>
          <w:bCs/>
          <w:rtl/>
        </w:rPr>
        <w:t>מוקד שירות טלפוני בשרות עצמי (מרכז גבייה)</w:t>
      </w:r>
      <w:r w:rsidR="00A35C7D">
        <w:rPr>
          <w:rFonts w:ascii="David" w:eastAsia="Calibri" w:hAnsi="David"/>
          <w:b/>
          <w:bCs/>
          <w:rtl/>
        </w:rPr>
        <w:t xml:space="preserve"> </w:t>
      </w:r>
      <w:r w:rsidRPr="00CF5BD0">
        <w:rPr>
          <w:rFonts w:ascii="David" w:eastAsia="Calibri" w:hAnsi="David"/>
          <w:b/>
          <w:bCs/>
          <w:rtl/>
        </w:rPr>
        <w:t xml:space="preserve"> - בטלפון 35592* או בטלפון 073-2055000</w:t>
      </w:r>
      <w:r w:rsidRPr="00CF5BD0">
        <w:rPr>
          <w:rFonts w:ascii="David" w:eastAsia="Calibri" w:hAnsi="David"/>
          <w:rtl/>
        </w:rPr>
        <w:t>.</w:t>
      </w:r>
    </w:p>
    <w:p w14:paraId="21AE0056" w14:textId="77777777" w:rsidR="00BE745E" w:rsidRPr="00211105" w:rsidRDefault="00BE745E" w:rsidP="00BE745E">
      <w:pPr>
        <w:numPr>
          <w:ilvl w:val="0"/>
          <w:numId w:val="2"/>
        </w:numPr>
        <w:spacing w:after="160" w:line="480" w:lineRule="auto"/>
        <w:jc w:val="both"/>
        <w:rPr>
          <w:rFonts w:ascii="David" w:eastAsia="Calibri" w:hAnsi="David"/>
          <w:b/>
          <w:bCs/>
        </w:rPr>
      </w:pPr>
      <w:r w:rsidRPr="00CF5BD0">
        <w:rPr>
          <w:rFonts w:ascii="David" w:eastAsia="Calibri" w:hAnsi="David"/>
          <w:b/>
          <w:bCs/>
          <w:rtl/>
        </w:rPr>
        <w:t>במזומן בכל סניף של בנק הדואר</w:t>
      </w:r>
      <w:r w:rsidRPr="00CF5BD0">
        <w:rPr>
          <w:rFonts w:ascii="David" w:eastAsia="Calibri" w:hAnsi="David"/>
          <w:rtl/>
        </w:rPr>
        <w:t xml:space="preserve"> - בהצגת תעודת זהות בלבד (אין צורך בשוברי תשלום)</w:t>
      </w:r>
      <w:r w:rsidRPr="00211105">
        <w:rPr>
          <w:rFonts w:ascii="David" w:eastAsia="Calibri" w:hAnsi="David"/>
          <w:rtl/>
        </w:rPr>
        <w:t>".</w:t>
      </w:r>
      <w:r>
        <w:rPr>
          <w:rFonts w:ascii="David" w:eastAsia="Calibri" w:hAnsi="David" w:hint="cs"/>
          <w:b/>
          <w:bCs/>
          <w:rtl/>
        </w:rPr>
        <w:t xml:space="preserve"> </w:t>
      </w:r>
      <w:r w:rsidRPr="00211105">
        <w:rPr>
          <w:rFonts w:ascii="David" w:hAnsi="David"/>
          <w:rtl/>
        </w:rPr>
        <w:t xml:space="preserve"> </w:t>
      </w:r>
    </w:p>
    <w:p w14:paraId="2B4FAEB2" w14:textId="77777777" w:rsidR="00BE745E" w:rsidRPr="00CF5BD0" w:rsidRDefault="00BE745E" w:rsidP="00BE745E">
      <w:pPr>
        <w:overflowPunct w:val="0"/>
        <w:autoSpaceDE w:val="0"/>
        <w:autoSpaceDN w:val="0"/>
        <w:spacing w:line="360" w:lineRule="auto"/>
        <w:jc w:val="both"/>
        <w:rPr>
          <w:rFonts w:ascii="David" w:hAnsi="David"/>
          <w:rtl/>
        </w:rPr>
      </w:pPr>
      <w:r w:rsidRPr="00CF5BD0">
        <w:rPr>
          <w:rFonts w:ascii="David" w:hAnsi="David"/>
          <w:rtl/>
        </w:rPr>
        <w:t xml:space="preserve">כאן המקום לציין, כי בהתאם להסכמות הצדדים (ראו דיון מיום 17.9.24) סוגיית חילוט הרכב הנכלל בכתב האישום תידון במסגרתו של הדיון בעניינו של הנאשם 2, ולאחר שתינתן לבעלי הרכב האפשרות להתייצב לדיון הבא בהקשר זה.   </w:t>
      </w:r>
    </w:p>
    <w:p w14:paraId="2AEDB922" w14:textId="77777777" w:rsidR="00BE745E" w:rsidRPr="00CF5BD0" w:rsidRDefault="00BE745E" w:rsidP="00BE745E">
      <w:pPr>
        <w:spacing w:line="360" w:lineRule="auto"/>
        <w:contextualSpacing/>
        <w:jc w:val="both"/>
        <w:rPr>
          <w:rFonts w:ascii="David" w:eastAsia="Calibri" w:hAnsi="David"/>
        </w:rPr>
      </w:pPr>
    </w:p>
    <w:p w14:paraId="7CE4185A" w14:textId="77777777" w:rsidR="00BE745E" w:rsidRPr="00CF5BD0" w:rsidRDefault="00BE745E" w:rsidP="00BE745E">
      <w:pPr>
        <w:spacing w:line="360" w:lineRule="auto"/>
        <w:contextualSpacing/>
        <w:jc w:val="both"/>
        <w:rPr>
          <w:rFonts w:ascii="David" w:eastAsia="Calibri" w:hAnsi="David"/>
          <w:rtl/>
        </w:rPr>
      </w:pPr>
      <w:r>
        <w:rPr>
          <w:rFonts w:ascii="David" w:eastAsia="Calibri" w:hAnsi="David"/>
          <w:rtl/>
        </w:rPr>
        <w:t xml:space="preserve">הנשק והאביזרים יושמדו </w:t>
      </w:r>
      <w:r w:rsidRPr="00CF5BD0">
        <w:rPr>
          <w:rFonts w:ascii="David" w:eastAsia="Calibri" w:hAnsi="David"/>
          <w:rtl/>
        </w:rPr>
        <w:t xml:space="preserve">לאחר שגזר דינם של כל הנאשמים בפרשה זו יהפוך לחלוט. </w:t>
      </w:r>
    </w:p>
    <w:p w14:paraId="55872E14" w14:textId="77777777" w:rsidR="00BE745E" w:rsidRPr="000D646A" w:rsidRDefault="00BE745E" w:rsidP="00BE745E">
      <w:pPr>
        <w:spacing w:line="360" w:lineRule="auto"/>
        <w:contextualSpacing/>
        <w:jc w:val="both"/>
        <w:rPr>
          <w:rFonts w:ascii="David" w:eastAsia="Calibri" w:hAnsi="David"/>
          <w:b/>
          <w:bCs/>
        </w:rPr>
      </w:pPr>
      <w:r w:rsidRPr="00CF5BD0">
        <w:rPr>
          <w:rFonts w:ascii="David" w:eastAsia="Calibri" w:hAnsi="David"/>
          <w:b/>
          <w:bCs/>
          <w:rtl/>
        </w:rPr>
        <w:t xml:space="preserve">זכות ערעור כחוק. </w:t>
      </w:r>
    </w:p>
    <w:p w14:paraId="3DFF98FF" w14:textId="77777777" w:rsidR="00BE745E" w:rsidRPr="000F2247" w:rsidRDefault="00BE745E" w:rsidP="00BE745E">
      <w:pPr>
        <w:rPr>
          <w:rFonts w:ascii="Arial" w:hAnsi="Arial"/>
          <w:b/>
          <w:bCs/>
          <w:sz w:val="26"/>
          <w:szCs w:val="26"/>
          <w:rtl/>
        </w:rPr>
      </w:pPr>
    </w:p>
    <w:p w14:paraId="119D3F6A" w14:textId="77777777" w:rsidR="00BE745E" w:rsidRPr="000F2247" w:rsidRDefault="00A35C7D" w:rsidP="00BE745E">
      <w:pPr>
        <w:spacing w:line="360" w:lineRule="auto"/>
        <w:jc w:val="both"/>
        <w:rPr>
          <w:rFonts w:ascii="Arial" w:hAnsi="Arial"/>
          <w:b/>
          <w:bCs/>
          <w:sz w:val="26"/>
          <w:szCs w:val="26"/>
        </w:rPr>
      </w:pPr>
      <w:bookmarkStart w:id="7" w:name="Nitan"/>
      <w:r w:rsidRPr="00A35C7D">
        <w:rPr>
          <w:rFonts w:ascii="Arial" w:hAnsi="Arial"/>
          <w:b/>
          <w:bCs/>
          <w:color w:val="FFFFFF"/>
          <w:sz w:val="2"/>
          <w:szCs w:val="2"/>
          <w:rtl/>
        </w:rPr>
        <w:t>5129371</w:t>
      </w:r>
      <w:r>
        <w:rPr>
          <w:rFonts w:ascii="Arial" w:hAnsi="Arial"/>
          <w:b/>
          <w:bCs/>
          <w:sz w:val="26"/>
          <w:szCs w:val="26"/>
          <w:rtl/>
        </w:rPr>
        <w:t xml:space="preserve">ניתן היום,  כ"ג אלול תשפ"ד, 26 ספטמבר 2024, במעמד הצדדים. </w:t>
      </w:r>
      <w:bookmarkEnd w:id="7"/>
      <w:r w:rsidR="00BE745E">
        <w:rPr>
          <w:rFonts w:ascii="Arial" w:hAnsi="Arial"/>
          <w:b/>
          <w:bCs/>
          <w:sz w:val="26"/>
          <w:szCs w:val="26"/>
          <w:rtl/>
        </w:rPr>
        <w:tab/>
      </w:r>
      <w:r w:rsidR="00BE745E">
        <w:rPr>
          <w:rFonts w:ascii="Arial" w:hAnsi="Arial"/>
          <w:b/>
          <w:bCs/>
          <w:sz w:val="26"/>
          <w:szCs w:val="26"/>
          <w:rtl/>
        </w:rPr>
        <w:tab/>
      </w:r>
      <w:r w:rsidR="00BE745E">
        <w:rPr>
          <w:rFonts w:ascii="Arial" w:hAnsi="Arial"/>
          <w:b/>
          <w:bCs/>
          <w:sz w:val="26"/>
          <w:szCs w:val="26"/>
          <w:rtl/>
        </w:rPr>
        <w:tab/>
      </w:r>
      <w:r w:rsidR="00BE745E">
        <w:rPr>
          <w:rFonts w:ascii="Arial" w:hAnsi="Arial"/>
          <w:b/>
          <w:bCs/>
          <w:sz w:val="26"/>
          <w:szCs w:val="26"/>
          <w:rtl/>
        </w:rPr>
        <w:tab/>
      </w:r>
      <w:r w:rsidR="00BE745E">
        <w:rPr>
          <w:rFonts w:ascii="Arial" w:hAnsi="Arial"/>
          <w:b/>
          <w:bCs/>
          <w:sz w:val="26"/>
          <w:szCs w:val="26"/>
          <w:rtl/>
        </w:rPr>
        <w:tab/>
      </w:r>
    </w:p>
    <w:tbl>
      <w:tblPr>
        <w:bidiVisual/>
        <w:tblW w:w="3936" w:type="dxa"/>
        <w:tblInd w:w="4584" w:type="dxa"/>
        <w:tblBorders>
          <w:insideH w:val="single" w:sz="4" w:space="0" w:color="auto"/>
          <w:insideV w:val="single" w:sz="4" w:space="0" w:color="auto"/>
        </w:tblBorders>
        <w:tblLook w:val="01E0" w:firstRow="1" w:lastRow="1" w:firstColumn="1" w:lastColumn="1" w:noHBand="0" w:noVBand="0"/>
      </w:tblPr>
      <w:tblGrid>
        <w:gridCol w:w="3936"/>
      </w:tblGrid>
      <w:tr w:rsidR="00BE745E" w14:paraId="745B0D72" w14:textId="77777777" w:rsidTr="00BE745E">
        <w:trPr>
          <w:trHeight w:val="316"/>
        </w:trPr>
        <w:tc>
          <w:tcPr>
            <w:tcW w:w="3936" w:type="dxa"/>
            <w:tcBorders>
              <w:top w:val="nil"/>
              <w:left w:val="nil"/>
              <w:bottom w:val="single" w:sz="4" w:space="0" w:color="auto"/>
              <w:right w:val="nil"/>
            </w:tcBorders>
            <w:shd w:val="clear" w:color="auto" w:fill="auto"/>
            <w:vAlign w:val="center"/>
          </w:tcPr>
          <w:p w14:paraId="589671A4" w14:textId="77777777" w:rsidR="00BE745E" w:rsidRPr="00A35C7D" w:rsidRDefault="00A35C7D" w:rsidP="00BE745E">
            <w:pPr>
              <w:jc w:val="center"/>
              <w:rPr>
                <w:rFonts w:cs="Times New Roman"/>
                <w:color w:val="FFFFFF"/>
                <w:sz w:val="2"/>
                <w:szCs w:val="2"/>
              </w:rPr>
            </w:pPr>
            <w:r w:rsidRPr="00A35C7D">
              <w:rPr>
                <w:rFonts w:cs="Times New Roman"/>
                <w:color w:val="FFFFFF"/>
                <w:sz w:val="2"/>
                <w:szCs w:val="2"/>
                <w:rtl/>
              </w:rPr>
              <w:t>54678313</w:t>
            </w:r>
          </w:p>
          <w:p w14:paraId="1E9279E5" w14:textId="77777777" w:rsidR="00BE745E" w:rsidRDefault="00BE745E" w:rsidP="00BE745E">
            <w:pPr>
              <w:jc w:val="center"/>
            </w:pPr>
          </w:p>
        </w:tc>
      </w:tr>
      <w:tr w:rsidR="00BE745E" w14:paraId="31C8066C" w14:textId="77777777" w:rsidTr="00BE745E">
        <w:trPr>
          <w:trHeight w:val="361"/>
        </w:trPr>
        <w:tc>
          <w:tcPr>
            <w:tcW w:w="3936" w:type="dxa"/>
            <w:tcBorders>
              <w:top w:val="single" w:sz="4" w:space="0" w:color="auto"/>
              <w:left w:val="nil"/>
              <w:bottom w:val="nil"/>
              <w:right w:val="nil"/>
            </w:tcBorders>
            <w:shd w:val="clear" w:color="auto" w:fill="auto"/>
            <w:vAlign w:val="center"/>
          </w:tcPr>
          <w:p w14:paraId="641FC4A6" w14:textId="77777777" w:rsidR="00BE745E" w:rsidRPr="00BE745E" w:rsidRDefault="00BE745E" w:rsidP="00BE745E">
            <w:pPr>
              <w:jc w:val="center"/>
              <w:rPr>
                <w:b/>
                <w:bCs/>
                <w:rtl/>
              </w:rPr>
            </w:pPr>
            <w:r w:rsidRPr="00BE745E">
              <w:rPr>
                <w:b/>
                <w:bCs/>
                <w:rtl/>
              </w:rPr>
              <w:t>אבי</w:t>
            </w:r>
            <w:r w:rsidRPr="00BE745E">
              <w:rPr>
                <w:rFonts w:hint="cs"/>
                <w:b/>
                <w:bCs/>
                <w:rtl/>
              </w:rPr>
              <w:t xml:space="preserve"> </w:t>
            </w:r>
            <w:r w:rsidRPr="00BE745E">
              <w:rPr>
                <w:b/>
                <w:bCs/>
                <w:rtl/>
              </w:rPr>
              <w:t>לוי</w:t>
            </w:r>
            <w:r w:rsidRPr="00BE745E">
              <w:rPr>
                <w:rFonts w:hint="cs"/>
                <w:b/>
                <w:bCs/>
                <w:rtl/>
              </w:rPr>
              <w:t xml:space="preserve">, </w:t>
            </w:r>
            <w:r w:rsidRPr="00BE745E">
              <w:rPr>
                <w:b/>
                <w:bCs/>
                <w:rtl/>
              </w:rPr>
              <w:t>שופט, סגן הנשיא</w:t>
            </w:r>
          </w:p>
        </w:tc>
      </w:tr>
    </w:tbl>
    <w:p w14:paraId="61AB2936" w14:textId="77777777" w:rsidR="00BE745E" w:rsidRDefault="00BE745E" w:rsidP="00BE745E">
      <w:pPr>
        <w:jc w:val="both"/>
        <w:rPr>
          <w:rFonts w:ascii="David" w:hAnsi="David"/>
          <w:rtl/>
        </w:rPr>
      </w:pPr>
    </w:p>
    <w:p w14:paraId="7E58DD7F" w14:textId="77777777" w:rsidR="00BE745E" w:rsidRPr="007F77DA" w:rsidRDefault="007F77DA" w:rsidP="00BE745E">
      <w:pPr>
        <w:jc w:val="center"/>
        <w:rPr>
          <w:rFonts w:ascii="Arial" w:hAnsi="Arial"/>
          <w:b/>
          <w:bCs/>
          <w:color w:val="FFFFFF"/>
          <w:sz w:val="2"/>
          <w:szCs w:val="2"/>
          <w:rtl/>
        </w:rPr>
      </w:pPr>
      <w:r w:rsidRPr="007F77DA">
        <w:rPr>
          <w:rFonts w:ascii="Arial" w:hAnsi="Arial"/>
          <w:b/>
          <w:bCs/>
          <w:color w:val="FFFFFF"/>
          <w:sz w:val="2"/>
          <w:szCs w:val="2"/>
          <w:rtl/>
        </w:rPr>
        <w:t>5129371</w:t>
      </w:r>
    </w:p>
    <w:p w14:paraId="32364C05" w14:textId="77777777" w:rsidR="002C00F7" w:rsidRPr="007F77DA" w:rsidRDefault="007F77DA" w:rsidP="00A35C7D">
      <w:pPr>
        <w:keepNext/>
        <w:rPr>
          <w:rFonts w:ascii="David" w:hAnsi="David"/>
          <w:color w:val="FFFFFF"/>
          <w:sz w:val="2"/>
          <w:szCs w:val="2"/>
          <w:rtl/>
        </w:rPr>
      </w:pPr>
      <w:r w:rsidRPr="007F77DA">
        <w:rPr>
          <w:rFonts w:ascii="David" w:hAnsi="David"/>
          <w:color w:val="FFFFFF"/>
          <w:sz w:val="2"/>
          <w:szCs w:val="2"/>
          <w:rtl/>
        </w:rPr>
        <w:t>54678313</w:t>
      </w:r>
    </w:p>
    <w:p w14:paraId="680F3175" w14:textId="77777777" w:rsidR="00A35C7D" w:rsidRDefault="00A35C7D" w:rsidP="00A35C7D">
      <w:pPr>
        <w:rPr>
          <w:rtl/>
        </w:rPr>
      </w:pPr>
    </w:p>
    <w:p w14:paraId="29E946F2" w14:textId="77777777" w:rsidR="00A35C7D" w:rsidRDefault="00A35C7D" w:rsidP="00A35C7D">
      <w:pPr>
        <w:jc w:val="center"/>
        <w:rPr>
          <w:color w:val="0000FF"/>
          <w:u w:val="single"/>
        </w:rPr>
      </w:pPr>
      <w:hyperlink r:id="rId37" w:history="1">
        <w:r>
          <w:rPr>
            <w:color w:val="0000FF"/>
            <w:u w:val="single"/>
            <w:rtl/>
          </w:rPr>
          <w:t>בעניין עריכה ושינויים במסמכי פסיקה, חקיקה ועוד באתר נבו – הקש כאן</w:t>
        </w:r>
      </w:hyperlink>
    </w:p>
    <w:p w14:paraId="75538BE6" w14:textId="77777777" w:rsidR="007F77DA" w:rsidRPr="007F77DA" w:rsidRDefault="007F77DA" w:rsidP="007F77DA">
      <w:pPr>
        <w:keepNext/>
        <w:rPr>
          <w:rFonts w:ascii="David" w:hAnsi="David"/>
          <w:color w:val="000000"/>
          <w:sz w:val="22"/>
          <w:szCs w:val="22"/>
          <w:rtl/>
        </w:rPr>
      </w:pPr>
    </w:p>
    <w:p w14:paraId="212AFC87" w14:textId="77777777" w:rsidR="007F77DA" w:rsidRPr="007F77DA" w:rsidRDefault="007F77DA" w:rsidP="007F77DA">
      <w:pPr>
        <w:keepNext/>
        <w:rPr>
          <w:rFonts w:ascii="David" w:hAnsi="David"/>
          <w:color w:val="000000"/>
          <w:sz w:val="22"/>
          <w:szCs w:val="22"/>
          <w:rtl/>
        </w:rPr>
      </w:pPr>
      <w:r w:rsidRPr="007F77DA">
        <w:rPr>
          <w:rFonts w:ascii="David" w:hAnsi="David"/>
          <w:color w:val="000000"/>
          <w:sz w:val="22"/>
          <w:szCs w:val="22"/>
          <w:rtl/>
        </w:rPr>
        <w:t>אבי לוי 54678313-/</w:t>
      </w:r>
    </w:p>
    <w:p w14:paraId="09269832" w14:textId="77777777" w:rsidR="00A35C7D" w:rsidRPr="00A35C7D" w:rsidRDefault="007F77DA" w:rsidP="007F77DA">
      <w:pPr>
        <w:rPr>
          <w:color w:val="0000FF"/>
          <w:u w:val="single"/>
        </w:rPr>
      </w:pPr>
      <w:r w:rsidRPr="007F77DA">
        <w:rPr>
          <w:color w:val="000000"/>
          <w:u w:val="single"/>
          <w:rtl/>
        </w:rPr>
        <w:t>נוסח מסמך זה כפוף לשינויי ניסוח ועריכה</w:t>
      </w:r>
    </w:p>
    <w:sectPr w:rsidR="00A35C7D" w:rsidRPr="00A35C7D" w:rsidSect="007F77DA">
      <w:headerReference w:type="even" r:id="rId38"/>
      <w:headerReference w:type="default" r:id="rId39"/>
      <w:footerReference w:type="even" r:id="rId40"/>
      <w:footerReference w:type="default" r:id="rId4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534C66" w14:textId="77777777" w:rsidR="00AD07FC" w:rsidRDefault="00AD07FC" w:rsidP="005338CA">
      <w:r>
        <w:separator/>
      </w:r>
    </w:p>
  </w:endnote>
  <w:endnote w:type="continuationSeparator" w:id="0">
    <w:p w14:paraId="098E8203" w14:textId="77777777" w:rsidR="00AD07FC" w:rsidRDefault="00AD07FC" w:rsidP="00533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 w:name="Miriam">
    <w:panose1 w:val="020B050205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454E1E" w14:textId="77777777" w:rsidR="007F77DA" w:rsidRDefault="007F77DA" w:rsidP="007F77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0D29DCD" w14:textId="77777777" w:rsidR="00E73BED" w:rsidRPr="007F77DA" w:rsidRDefault="007F77DA" w:rsidP="007F77DA">
    <w:pPr>
      <w:pStyle w:val="a5"/>
      <w:pBdr>
        <w:top w:val="single" w:sz="4" w:space="1" w:color="auto"/>
        <w:between w:val="single" w:sz="4" w:space="0" w:color="auto"/>
      </w:pBdr>
      <w:spacing w:after="60"/>
      <w:jc w:val="center"/>
      <w:rPr>
        <w:rFonts w:ascii="FrankRuehl" w:hAnsi="FrankRuehl" w:cs="FrankRuehl"/>
        <w:color w:val="000000"/>
      </w:rPr>
    </w:pPr>
    <w:r w:rsidRPr="007F77DA">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1ACCFB" w14:textId="77777777" w:rsidR="007F77DA" w:rsidRDefault="007F77DA" w:rsidP="007F77DA">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14913">
      <w:rPr>
        <w:rFonts w:ascii="FrankRuehl" w:hAnsi="FrankRuehl" w:cs="FrankRuehl"/>
        <w:noProof/>
        <w:rtl/>
      </w:rPr>
      <w:t>3</w:t>
    </w:r>
    <w:r>
      <w:rPr>
        <w:rFonts w:ascii="FrankRuehl" w:hAnsi="FrankRuehl" w:cs="FrankRuehl"/>
        <w:rtl/>
      </w:rPr>
      <w:fldChar w:fldCharType="end"/>
    </w:r>
  </w:p>
  <w:p w14:paraId="1B367F78" w14:textId="77777777" w:rsidR="00E73BED" w:rsidRPr="007F77DA" w:rsidRDefault="007F77DA" w:rsidP="007F77DA">
    <w:pPr>
      <w:pStyle w:val="a5"/>
      <w:pBdr>
        <w:top w:val="single" w:sz="4" w:space="1" w:color="auto"/>
        <w:between w:val="single" w:sz="4" w:space="0" w:color="auto"/>
      </w:pBdr>
      <w:spacing w:after="60"/>
      <w:jc w:val="center"/>
      <w:rPr>
        <w:rFonts w:ascii="FrankRuehl" w:hAnsi="FrankRuehl" w:cs="FrankRuehl"/>
        <w:color w:val="000000"/>
      </w:rPr>
    </w:pPr>
    <w:r w:rsidRPr="007F77DA">
      <w:rPr>
        <w:rFonts w:ascii="FrankRuehl" w:hAnsi="FrankRuehl" w:cs="FrankRuehl"/>
        <w:color w:val="000000"/>
      </w:rPr>
      <w:pict w14:anchorId="1A3F05C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A5BD02" w14:textId="77777777" w:rsidR="00AD07FC" w:rsidRDefault="00AD07FC" w:rsidP="005338CA">
      <w:r>
        <w:separator/>
      </w:r>
    </w:p>
  </w:footnote>
  <w:footnote w:type="continuationSeparator" w:id="0">
    <w:p w14:paraId="5FF6FE67" w14:textId="77777777" w:rsidR="00AD07FC" w:rsidRDefault="00AD07FC" w:rsidP="005338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1D78D2" w14:textId="77777777" w:rsidR="00A35C7D" w:rsidRPr="007F77DA" w:rsidRDefault="007F77DA" w:rsidP="007F77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1410-03-24</w:t>
    </w:r>
    <w:r>
      <w:rPr>
        <w:rFonts w:ascii="David" w:hAnsi="David"/>
        <w:color w:val="000000"/>
        <w:sz w:val="22"/>
        <w:szCs w:val="22"/>
        <w:rtl/>
      </w:rPr>
      <w:tab/>
      <w:t xml:space="preserve"> מדינת ישראל נ' עקאב אלנסאסרה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CB50E" w14:textId="77777777" w:rsidR="00A35C7D" w:rsidRPr="007F77DA" w:rsidRDefault="007F77DA" w:rsidP="007F77DA">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(חי') 1410-03-24</w:t>
    </w:r>
    <w:r>
      <w:rPr>
        <w:rFonts w:ascii="David" w:hAnsi="David"/>
        <w:color w:val="000000"/>
        <w:sz w:val="22"/>
        <w:szCs w:val="22"/>
        <w:rtl/>
      </w:rPr>
      <w:tab/>
      <w:t xml:space="preserve"> מדינת ישראל נ' עקאב אלנסאסרה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4639A"/>
    <w:multiLevelType w:val="hybridMultilevel"/>
    <w:tmpl w:val="539CD83A"/>
    <w:lvl w:ilvl="0" w:tplc="B3DC9918">
      <w:start w:val="1"/>
      <w:numFmt w:val="bullet"/>
      <w:lvlText w:val=""/>
      <w:lvlJc w:val="left"/>
      <w:pPr>
        <w:ind w:left="1440" w:hanging="360"/>
      </w:pPr>
      <w:rPr>
        <w:rFonts w:ascii="Symbol" w:hAnsi="Symbol" w:hint="default"/>
      </w:rPr>
    </w:lvl>
    <w:lvl w:ilvl="1" w:tplc="D0AE272C">
      <w:start w:val="1"/>
      <w:numFmt w:val="bullet"/>
      <w:lvlText w:val="o"/>
      <w:lvlJc w:val="left"/>
      <w:pPr>
        <w:ind w:left="2160" w:hanging="360"/>
      </w:pPr>
      <w:rPr>
        <w:rFonts w:ascii="Courier New" w:hAnsi="Courier New" w:cs="Courier New" w:hint="default"/>
      </w:rPr>
    </w:lvl>
    <w:lvl w:ilvl="2" w:tplc="4CE8AFEC">
      <w:start w:val="1"/>
      <w:numFmt w:val="bullet"/>
      <w:lvlText w:val=""/>
      <w:lvlJc w:val="left"/>
      <w:pPr>
        <w:ind w:left="2880" w:hanging="360"/>
      </w:pPr>
      <w:rPr>
        <w:rFonts w:ascii="Wingdings" w:hAnsi="Wingdings" w:hint="default"/>
      </w:rPr>
    </w:lvl>
    <w:lvl w:ilvl="3" w:tplc="66DC63D4">
      <w:start w:val="1"/>
      <w:numFmt w:val="bullet"/>
      <w:lvlText w:val=""/>
      <w:lvlJc w:val="left"/>
      <w:pPr>
        <w:ind w:left="3600" w:hanging="360"/>
      </w:pPr>
      <w:rPr>
        <w:rFonts w:ascii="Symbol" w:hAnsi="Symbol" w:hint="default"/>
      </w:rPr>
    </w:lvl>
    <w:lvl w:ilvl="4" w:tplc="39E8D01E">
      <w:start w:val="1"/>
      <w:numFmt w:val="bullet"/>
      <w:lvlText w:val="o"/>
      <w:lvlJc w:val="left"/>
      <w:pPr>
        <w:ind w:left="4320" w:hanging="360"/>
      </w:pPr>
      <w:rPr>
        <w:rFonts w:ascii="Courier New" w:hAnsi="Courier New" w:cs="Courier New" w:hint="default"/>
      </w:rPr>
    </w:lvl>
    <w:lvl w:ilvl="5" w:tplc="A17A33F8">
      <w:start w:val="1"/>
      <w:numFmt w:val="bullet"/>
      <w:lvlText w:val=""/>
      <w:lvlJc w:val="left"/>
      <w:pPr>
        <w:ind w:left="5040" w:hanging="360"/>
      </w:pPr>
      <w:rPr>
        <w:rFonts w:ascii="Wingdings" w:hAnsi="Wingdings" w:hint="default"/>
      </w:rPr>
    </w:lvl>
    <w:lvl w:ilvl="6" w:tplc="32B25C30">
      <w:start w:val="1"/>
      <w:numFmt w:val="bullet"/>
      <w:lvlText w:val=""/>
      <w:lvlJc w:val="left"/>
      <w:pPr>
        <w:ind w:left="5760" w:hanging="360"/>
      </w:pPr>
      <w:rPr>
        <w:rFonts w:ascii="Symbol" w:hAnsi="Symbol" w:hint="default"/>
      </w:rPr>
    </w:lvl>
    <w:lvl w:ilvl="7" w:tplc="117C14FE">
      <w:start w:val="1"/>
      <w:numFmt w:val="bullet"/>
      <w:lvlText w:val="o"/>
      <w:lvlJc w:val="left"/>
      <w:pPr>
        <w:ind w:left="6480" w:hanging="360"/>
      </w:pPr>
      <w:rPr>
        <w:rFonts w:ascii="Courier New" w:hAnsi="Courier New" w:cs="Courier New" w:hint="default"/>
      </w:rPr>
    </w:lvl>
    <w:lvl w:ilvl="8" w:tplc="A12A52C8">
      <w:start w:val="1"/>
      <w:numFmt w:val="bullet"/>
      <w:lvlText w:val=""/>
      <w:lvlJc w:val="left"/>
      <w:pPr>
        <w:ind w:left="7200" w:hanging="360"/>
      </w:pPr>
      <w:rPr>
        <w:rFonts w:ascii="Wingdings" w:hAnsi="Wingdings" w:hint="default"/>
      </w:rPr>
    </w:lvl>
  </w:abstractNum>
  <w:abstractNum w:abstractNumId="1" w15:restartNumberingAfterBreak="0">
    <w:nsid w:val="269675F0"/>
    <w:multiLevelType w:val="hybridMultilevel"/>
    <w:tmpl w:val="F3D4C91A"/>
    <w:lvl w:ilvl="0" w:tplc="04090013">
      <w:start w:val="1"/>
      <w:numFmt w:val="hebrew1"/>
      <w:lvlText w:val="%1."/>
      <w:lvlJc w:val="center"/>
      <w:pPr>
        <w:ind w:left="1352" w:hanging="360"/>
      </w:pPr>
    </w:lvl>
    <w:lvl w:ilvl="1" w:tplc="04090019">
      <w:start w:val="1"/>
      <w:numFmt w:val="lowerLetter"/>
      <w:lvlText w:val="%2."/>
      <w:lvlJc w:val="left"/>
      <w:pPr>
        <w:ind w:left="2263" w:hanging="360"/>
      </w:pPr>
    </w:lvl>
    <w:lvl w:ilvl="2" w:tplc="0409001B">
      <w:start w:val="1"/>
      <w:numFmt w:val="lowerRoman"/>
      <w:lvlText w:val="%3."/>
      <w:lvlJc w:val="right"/>
      <w:pPr>
        <w:ind w:left="2983" w:hanging="180"/>
      </w:pPr>
    </w:lvl>
    <w:lvl w:ilvl="3" w:tplc="0409000F">
      <w:start w:val="1"/>
      <w:numFmt w:val="decimal"/>
      <w:lvlText w:val="%4."/>
      <w:lvlJc w:val="left"/>
      <w:pPr>
        <w:ind w:left="3703" w:hanging="360"/>
      </w:pPr>
    </w:lvl>
    <w:lvl w:ilvl="4" w:tplc="04090019">
      <w:start w:val="1"/>
      <w:numFmt w:val="lowerLetter"/>
      <w:lvlText w:val="%5."/>
      <w:lvlJc w:val="left"/>
      <w:pPr>
        <w:ind w:left="4423" w:hanging="360"/>
      </w:pPr>
    </w:lvl>
    <w:lvl w:ilvl="5" w:tplc="0409001B">
      <w:start w:val="1"/>
      <w:numFmt w:val="lowerRoman"/>
      <w:lvlText w:val="%6."/>
      <w:lvlJc w:val="right"/>
      <w:pPr>
        <w:ind w:left="5143" w:hanging="180"/>
      </w:pPr>
    </w:lvl>
    <w:lvl w:ilvl="6" w:tplc="0409000F">
      <w:start w:val="1"/>
      <w:numFmt w:val="decimal"/>
      <w:lvlText w:val="%7."/>
      <w:lvlJc w:val="left"/>
      <w:pPr>
        <w:ind w:left="5863" w:hanging="360"/>
      </w:pPr>
    </w:lvl>
    <w:lvl w:ilvl="7" w:tplc="04090019">
      <w:start w:val="1"/>
      <w:numFmt w:val="lowerLetter"/>
      <w:lvlText w:val="%8."/>
      <w:lvlJc w:val="left"/>
      <w:pPr>
        <w:ind w:left="6583" w:hanging="360"/>
      </w:pPr>
    </w:lvl>
    <w:lvl w:ilvl="8" w:tplc="0409001B">
      <w:start w:val="1"/>
      <w:numFmt w:val="lowerRoman"/>
      <w:lvlText w:val="%9."/>
      <w:lvlJc w:val="right"/>
      <w:pPr>
        <w:ind w:left="7303" w:hanging="180"/>
      </w:pPr>
    </w:lvl>
  </w:abstractNum>
  <w:num w:numId="1" w16cid:durableId="18437414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876524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E745E"/>
    <w:rsid w:val="00014913"/>
    <w:rsid w:val="002C00F7"/>
    <w:rsid w:val="00322869"/>
    <w:rsid w:val="005338CA"/>
    <w:rsid w:val="007F77DA"/>
    <w:rsid w:val="00952E5C"/>
    <w:rsid w:val="00A35C7D"/>
    <w:rsid w:val="00AB6A27"/>
    <w:rsid w:val="00AD07FC"/>
    <w:rsid w:val="00BE745E"/>
    <w:rsid w:val="00DA6F7A"/>
    <w:rsid w:val="00E73BED"/>
    <w:rsid w:val="00F5016E"/>
    <w:rsid w:val="00F60C6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AC42FA"/>
  <w15:chartTrackingRefBased/>
  <w15:docId w15:val="{3B28D839-0043-4AD6-944C-E13C0723A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E745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E745E"/>
    <w:pPr>
      <w:tabs>
        <w:tab w:val="center" w:pos="4153"/>
        <w:tab w:val="right" w:pos="8306"/>
      </w:tabs>
    </w:pPr>
  </w:style>
  <w:style w:type="character" w:customStyle="1" w:styleId="a4">
    <w:name w:val="כותרת עליונה תו"/>
    <w:link w:val="a3"/>
    <w:rsid w:val="00BE745E"/>
    <w:rPr>
      <w:rFonts w:ascii="Times New Roman" w:eastAsia="Times New Roman" w:hAnsi="Times New Roman" w:cs="David"/>
      <w:sz w:val="24"/>
      <w:szCs w:val="24"/>
    </w:rPr>
  </w:style>
  <w:style w:type="paragraph" w:styleId="a5">
    <w:name w:val="footer"/>
    <w:basedOn w:val="a"/>
    <w:link w:val="a6"/>
    <w:rsid w:val="00BE745E"/>
    <w:pPr>
      <w:tabs>
        <w:tab w:val="center" w:pos="4153"/>
        <w:tab w:val="right" w:pos="8306"/>
      </w:tabs>
    </w:pPr>
  </w:style>
  <w:style w:type="character" w:customStyle="1" w:styleId="a6">
    <w:name w:val="כותרת תחתונה תו"/>
    <w:link w:val="a5"/>
    <w:rsid w:val="00BE745E"/>
    <w:rPr>
      <w:rFonts w:ascii="Times New Roman" w:eastAsia="Times New Roman" w:hAnsi="Times New Roman" w:cs="David"/>
      <w:sz w:val="24"/>
      <w:szCs w:val="24"/>
    </w:rPr>
  </w:style>
  <w:style w:type="table" w:styleId="a7">
    <w:name w:val="Table Grid"/>
    <w:basedOn w:val="a1"/>
    <w:rsid w:val="00BE745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E745E"/>
  </w:style>
  <w:style w:type="character" w:styleId="Hyperlink">
    <w:name w:val="Hyperlink"/>
    <w:rsid w:val="00A35C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case/28384637" TargetMode="External"/><Relationship Id="rId26" Type="http://schemas.openxmlformats.org/officeDocument/2006/relationships/hyperlink" Target="http://www.nevo.co.il/case/30681902" TargetMode="External"/><Relationship Id="rId39" Type="http://schemas.openxmlformats.org/officeDocument/2006/relationships/header" Target="header2.xml"/><Relationship Id="rId21" Type="http://schemas.openxmlformats.org/officeDocument/2006/relationships/hyperlink" Target="http://www.nevo.co.il/case/26934681" TargetMode="External"/><Relationship Id="rId34" Type="http://schemas.openxmlformats.org/officeDocument/2006/relationships/hyperlink" Target="http://www.nevo.co.il/law/70301/40g" TargetMode="External"/><Relationship Id="rId42"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31" TargetMode="External"/><Relationship Id="rId20" Type="http://schemas.openxmlformats.org/officeDocument/2006/relationships/hyperlink" Target="http://www.nevo.co.il/law/70301" TargetMode="External"/><Relationship Id="rId29" Type="http://schemas.openxmlformats.org/officeDocument/2006/relationships/hyperlink" Target="http://www.nevo.co.il/law/70301" TargetMode="External"/><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yperlink" Target="http://www.nevo.co.il/case/28883087" TargetMode="External"/><Relationship Id="rId32" Type="http://schemas.openxmlformats.org/officeDocument/2006/relationships/hyperlink" Target="http://www.nevo.co.il/law/70301/144.g" TargetMode="External"/><Relationship Id="rId37" Type="http://schemas.openxmlformats.org/officeDocument/2006/relationships/hyperlink" Target="http://www.nevo.co.il/advertisements/nevo-100.doc"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www.nevo.co.il/law/70301/144.b" TargetMode="External"/><Relationship Id="rId23" Type="http://schemas.openxmlformats.org/officeDocument/2006/relationships/hyperlink" Target="http://www.nevo.co.il/case/22690203" TargetMode="External"/><Relationship Id="rId28" Type="http://schemas.openxmlformats.org/officeDocument/2006/relationships/hyperlink" Target="http://www.nevo.co.il/law/70301/31" TargetMode="External"/><Relationship Id="rId36" Type="http://schemas.openxmlformats.org/officeDocument/2006/relationships/hyperlink" Target="http://www.nevo.co.il/law/70301" TargetMode="External"/><Relationship Id="rId10" Type="http://schemas.openxmlformats.org/officeDocument/2006/relationships/hyperlink" Target="http://www.nevo.co.il/law/70301/40g" TargetMode="External"/><Relationship Id="rId19" Type="http://schemas.openxmlformats.org/officeDocument/2006/relationships/hyperlink" Target="http://www.nevo.co.il/case/26905927" TargetMode="External"/><Relationship Id="rId31" Type="http://schemas.openxmlformats.org/officeDocument/2006/relationships/hyperlink" Target="http://www.nevo.co.il/law/70301/32.3" TargetMode="External"/><Relationship Id="rId4" Type="http://schemas.openxmlformats.org/officeDocument/2006/relationships/webSettings" Target="webSettings.xml"/><Relationship Id="rId9" Type="http://schemas.openxmlformats.org/officeDocument/2006/relationships/hyperlink" Target="http://www.nevo.co.il/law/70301/32.3" TargetMode="External"/><Relationship Id="rId14" Type="http://schemas.openxmlformats.org/officeDocument/2006/relationships/hyperlink" Target="http://www.nevo.co.il/law/70301/144.g" TargetMode="External"/><Relationship Id="rId22" Type="http://schemas.openxmlformats.org/officeDocument/2006/relationships/hyperlink" Target="http://www.nevo.co.il/case/21771409"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law/70301" TargetMode="External"/><Relationship Id="rId35" Type="http://schemas.openxmlformats.org/officeDocument/2006/relationships/hyperlink" Target="http://www.nevo.co.il/law/70301/144" TargetMode="External"/><Relationship Id="rId43" Type="http://schemas.openxmlformats.org/officeDocument/2006/relationships/theme" Target="theme/theme1.xml"/><Relationship Id="rId8" Type="http://schemas.openxmlformats.org/officeDocument/2006/relationships/hyperlink" Target="http://www.nevo.co.il/law/70301/31" TargetMode="External"/><Relationship Id="rId3" Type="http://schemas.openxmlformats.org/officeDocument/2006/relationships/settings" Target="settings.xml"/><Relationship Id="rId12" Type="http://schemas.openxmlformats.org/officeDocument/2006/relationships/hyperlink" Target="http://www.nevo.co.il/law/70301/144" TargetMode="External"/><Relationship Id="rId17" Type="http://schemas.openxmlformats.org/officeDocument/2006/relationships/hyperlink" Target="http://www.nevo.co.il/law/70301" TargetMode="External"/><Relationship Id="rId25" Type="http://schemas.openxmlformats.org/officeDocument/2006/relationships/hyperlink" Target="http://www.nevo.co.il/case/29677445" TargetMode="External"/><Relationship Id="rId33" Type="http://schemas.openxmlformats.org/officeDocument/2006/relationships/hyperlink" Target="http://www.nevo.co.il/law/70301/40i" TargetMode="External"/><Relationship Id="rId3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2296</Words>
  <Characters>11481</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13750</CharactersWithSpaces>
  <SharedDoc>false</SharedDoc>
  <HLinks>
    <vt:vector size="186" baseType="variant">
      <vt:variant>
        <vt:i4>393283</vt:i4>
      </vt:variant>
      <vt:variant>
        <vt:i4>90</vt:i4>
      </vt:variant>
      <vt:variant>
        <vt:i4>0</vt:i4>
      </vt:variant>
      <vt:variant>
        <vt:i4>5</vt:i4>
      </vt:variant>
      <vt:variant>
        <vt:lpwstr>http://www.nevo.co.il/advertisements/nevo-100.doc</vt:lpwstr>
      </vt:variant>
      <vt:variant>
        <vt:lpwstr/>
      </vt:variant>
      <vt:variant>
        <vt:i4>7995492</vt:i4>
      </vt:variant>
      <vt:variant>
        <vt:i4>87</vt:i4>
      </vt:variant>
      <vt:variant>
        <vt:i4>0</vt:i4>
      </vt:variant>
      <vt:variant>
        <vt:i4>5</vt:i4>
      </vt:variant>
      <vt:variant>
        <vt:lpwstr>http://www.nevo.co.il/law/70301</vt:lpwstr>
      </vt:variant>
      <vt:variant>
        <vt:lpwstr/>
      </vt:variant>
      <vt:variant>
        <vt:i4>6357092</vt:i4>
      </vt:variant>
      <vt:variant>
        <vt:i4>84</vt:i4>
      </vt:variant>
      <vt:variant>
        <vt:i4>0</vt:i4>
      </vt:variant>
      <vt:variant>
        <vt:i4>5</vt:i4>
      </vt:variant>
      <vt:variant>
        <vt:lpwstr>http://www.nevo.co.il/law/70301/144</vt:lpwstr>
      </vt:variant>
      <vt:variant>
        <vt:lpwstr/>
      </vt:variant>
      <vt:variant>
        <vt:i4>6619233</vt:i4>
      </vt:variant>
      <vt:variant>
        <vt:i4>81</vt:i4>
      </vt:variant>
      <vt:variant>
        <vt:i4>0</vt:i4>
      </vt:variant>
      <vt:variant>
        <vt:i4>5</vt:i4>
      </vt:variant>
      <vt:variant>
        <vt:lpwstr>http://www.nevo.co.il/law/70301/40g</vt:lpwstr>
      </vt:variant>
      <vt:variant>
        <vt:lpwstr/>
      </vt:variant>
      <vt:variant>
        <vt:i4>6619233</vt:i4>
      </vt:variant>
      <vt:variant>
        <vt:i4>78</vt:i4>
      </vt:variant>
      <vt:variant>
        <vt:i4>0</vt:i4>
      </vt:variant>
      <vt:variant>
        <vt:i4>5</vt:i4>
      </vt:variant>
      <vt:variant>
        <vt:lpwstr>http://www.nevo.co.il/law/70301/40i</vt:lpwstr>
      </vt:variant>
      <vt:variant>
        <vt:lpwstr/>
      </vt:variant>
      <vt:variant>
        <vt:i4>5177424</vt:i4>
      </vt:variant>
      <vt:variant>
        <vt:i4>75</vt:i4>
      </vt:variant>
      <vt:variant>
        <vt:i4>0</vt:i4>
      </vt:variant>
      <vt:variant>
        <vt:i4>5</vt:i4>
      </vt:variant>
      <vt:variant>
        <vt:lpwstr>http://www.nevo.co.il/law/70301/144.g</vt:lpwstr>
      </vt:variant>
      <vt:variant>
        <vt:lpwstr/>
      </vt:variant>
      <vt:variant>
        <vt:i4>5505096</vt:i4>
      </vt:variant>
      <vt:variant>
        <vt:i4>72</vt:i4>
      </vt:variant>
      <vt:variant>
        <vt:i4>0</vt:i4>
      </vt:variant>
      <vt:variant>
        <vt:i4>5</vt:i4>
      </vt:variant>
      <vt:variant>
        <vt:lpwstr>http://www.nevo.co.il/law/70301/32.3</vt:lpwstr>
      </vt:variant>
      <vt:variant>
        <vt:lpwstr/>
      </vt:variant>
      <vt:variant>
        <vt:i4>7995492</vt:i4>
      </vt:variant>
      <vt:variant>
        <vt:i4>69</vt:i4>
      </vt:variant>
      <vt:variant>
        <vt:i4>0</vt:i4>
      </vt:variant>
      <vt:variant>
        <vt:i4>5</vt:i4>
      </vt:variant>
      <vt:variant>
        <vt:lpwstr>http://www.nevo.co.il/law/70301</vt:lpwstr>
      </vt:variant>
      <vt:variant>
        <vt:lpwstr/>
      </vt:variant>
      <vt:variant>
        <vt:i4>7995492</vt:i4>
      </vt:variant>
      <vt:variant>
        <vt:i4>66</vt:i4>
      </vt:variant>
      <vt:variant>
        <vt:i4>0</vt:i4>
      </vt:variant>
      <vt:variant>
        <vt:i4>5</vt:i4>
      </vt:variant>
      <vt:variant>
        <vt:lpwstr>http://www.nevo.co.il/law/70301</vt:lpwstr>
      </vt:variant>
      <vt:variant>
        <vt:lpwstr/>
      </vt:variant>
      <vt:variant>
        <vt:i4>6553702</vt:i4>
      </vt:variant>
      <vt:variant>
        <vt:i4>63</vt:i4>
      </vt:variant>
      <vt:variant>
        <vt:i4>0</vt:i4>
      </vt:variant>
      <vt:variant>
        <vt:i4>5</vt:i4>
      </vt:variant>
      <vt:variant>
        <vt:lpwstr>http://www.nevo.co.il/law/70301/31</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3407989</vt:i4>
      </vt:variant>
      <vt:variant>
        <vt:i4>57</vt:i4>
      </vt:variant>
      <vt:variant>
        <vt:i4>0</vt:i4>
      </vt:variant>
      <vt:variant>
        <vt:i4>5</vt:i4>
      </vt:variant>
      <vt:variant>
        <vt:lpwstr>http://www.nevo.co.il/case/30681902</vt:lpwstr>
      </vt:variant>
      <vt:variant>
        <vt:lpwstr/>
      </vt:variant>
      <vt:variant>
        <vt:i4>3604606</vt:i4>
      </vt:variant>
      <vt:variant>
        <vt:i4>54</vt:i4>
      </vt:variant>
      <vt:variant>
        <vt:i4>0</vt:i4>
      </vt:variant>
      <vt:variant>
        <vt:i4>5</vt:i4>
      </vt:variant>
      <vt:variant>
        <vt:lpwstr>http://www.nevo.co.il/case/29677445</vt:lpwstr>
      </vt:variant>
      <vt:variant>
        <vt:lpwstr/>
      </vt:variant>
      <vt:variant>
        <vt:i4>3211380</vt:i4>
      </vt:variant>
      <vt:variant>
        <vt:i4>51</vt:i4>
      </vt:variant>
      <vt:variant>
        <vt:i4>0</vt:i4>
      </vt:variant>
      <vt:variant>
        <vt:i4>5</vt:i4>
      </vt:variant>
      <vt:variant>
        <vt:lpwstr>http://www.nevo.co.il/case/28883087</vt:lpwstr>
      </vt:variant>
      <vt:variant>
        <vt:lpwstr/>
      </vt:variant>
      <vt:variant>
        <vt:i4>3407997</vt:i4>
      </vt:variant>
      <vt:variant>
        <vt:i4>48</vt:i4>
      </vt:variant>
      <vt:variant>
        <vt:i4>0</vt:i4>
      </vt:variant>
      <vt:variant>
        <vt:i4>5</vt:i4>
      </vt:variant>
      <vt:variant>
        <vt:lpwstr>http://www.nevo.co.il/case/22690203</vt:lpwstr>
      </vt:variant>
      <vt:variant>
        <vt:lpwstr/>
      </vt:variant>
      <vt:variant>
        <vt:i4>3407990</vt:i4>
      </vt:variant>
      <vt:variant>
        <vt:i4>45</vt:i4>
      </vt:variant>
      <vt:variant>
        <vt:i4>0</vt:i4>
      </vt:variant>
      <vt:variant>
        <vt:i4>5</vt:i4>
      </vt:variant>
      <vt:variant>
        <vt:lpwstr>http://www.nevo.co.il/case/21771409</vt:lpwstr>
      </vt:variant>
      <vt:variant>
        <vt:lpwstr/>
      </vt:variant>
      <vt:variant>
        <vt:i4>3604599</vt:i4>
      </vt:variant>
      <vt:variant>
        <vt:i4>42</vt:i4>
      </vt:variant>
      <vt:variant>
        <vt:i4>0</vt:i4>
      </vt:variant>
      <vt:variant>
        <vt:i4>5</vt:i4>
      </vt:variant>
      <vt:variant>
        <vt:lpwstr>http://www.nevo.co.il/case/26934681</vt:lpwstr>
      </vt:variant>
      <vt:variant>
        <vt:lpwstr/>
      </vt:variant>
      <vt:variant>
        <vt:i4>7995492</vt:i4>
      </vt:variant>
      <vt:variant>
        <vt:i4>39</vt:i4>
      </vt:variant>
      <vt:variant>
        <vt:i4>0</vt:i4>
      </vt:variant>
      <vt:variant>
        <vt:i4>5</vt:i4>
      </vt:variant>
      <vt:variant>
        <vt:lpwstr>http://www.nevo.co.il/law/70301</vt:lpwstr>
      </vt:variant>
      <vt:variant>
        <vt:lpwstr/>
      </vt:variant>
      <vt:variant>
        <vt:i4>3932283</vt:i4>
      </vt:variant>
      <vt:variant>
        <vt:i4>36</vt:i4>
      </vt:variant>
      <vt:variant>
        <vt:i4>0</vt:i4>
      </vt:variant>
      <vt:variant>
        <vt:i4>5</vt:i4>
      </vt:variant>
      <vt:variant>
        <vt:lpwstr>http://www.nevo.co.il/case/26905927</vt:lpwstr>
      </vt:variant>
      <vt:variant>
        <vt:lpwstr/>
      </vt:variant>
      <vt:variant>
        <vt:i4>3539058</vt:i4>
      </vt:variant>
      <vt:variant>
        <vt:i4>33</vt:i4>
      </vt:variant>
      <vt:variant>
        <vt:i4>0</vt:i4>
      </vt:variant>
      <vt:variant>
        <vt:i4>5</vt:i4>
      </vt:variant>
      <vt:variant>
        <vt:lpwstr>http://www.nevo.co.il/case/28384637</vt:lpwstr>
      </vt:variant>
      <vt:variant>
        <vt:lpwstr/>
      </vt:variant>
      <vt:variant>
        <vt:i4>7995492</vt:i4>
      </vt:variant>
      <vt:variant>
        <vt:i4>30</vt:i4>
      </vt:variant>
      <vt:variant>
        <vt:i4>0</vt:i4>
      </vt:variant>
      <vt:variant>
        <vt:i4>5</vt:i4>
      </vt:variant>
      <vt:variant>
        <vt:lpwstr>http://www.nevo.co.il/law/70301</vt:lpwstr>
      </vt:variant>
      <vt:variant>
        <vt:lpwstr/>
      </vt:variant>
      <vt:variant>
        <vt:i4>6553702</vt:i4>
      </vt:variant>
      <vt:variant>
        <vt:i4>27</vt:i4>
      </vt:variant>
      <vt:variant>
        <vt:i4>0</vt:i4>
      </vt:variant>
      <vt:variant>
        <vt:i4>5</vt:i4>
      </vt:variant>
      <vt:variant>
        <vt:lpwstr>http://www.nevo.co.il/law/70301/31</vt:lpwstr>
      </vt:variant>
      <vt:variant>
        <vt:lpwstr/>
      </vt:variant>
      <vt:variant>
        <vt:i4>5177424</vt:i4>
      </vt:variant>
      <vt:variant>
        <vt:i4>24</vt:i4>
      </vt:variant>
      <vt:variant>
        <vt:i4>0</vt:i4>
      </vt:variant>
      <vt:variant>
        <vt:i4>5</vt:i4>
      </vt:variant>
      <vt:variant>
        <vt:lpwstr>http://www.nevo.co.il/law/70301/144.b</vt:lpwstr>
      </vt:variant>
      <vt:variant>
        <vt:lpwstr/>
      </vt:variant>
      <vt:variant>
        <vt:i4>5177424</vt:i4>
      </vt:variant>
      <vt:variant>
        <vt:i4>21</vt:i4>
      </vt:variant>
      <vt:variant>
        <vt:i4>0</vt:i4>
      </vt:variant>
      <vt:variant>
        <vt:i4>5</vt:i4>
      </vt:variant>
      <vt:variant>
        <vt:lpwstr>http://www.nevo.co.il/law/70301/144.g</vt:lpwstr>
      </vt:variant>
      <vt:variant>
        <vt:lpwstr/>
      </vt:variant>
      <vt:variant>
        <vt:i4>5177424</vt:i4>
      </vt:variant>
      <vt:variant>
        <vt:i4>18</vt:i4>
      </vt:variant>
      <vt:variant>
        <vt:i4>0</vt:i4>
      </vt:variant>
      <vt:variant>
        <vt:i4>5</vt:i4>
      </vt:variant>
      <vt:variant>
        <vt:lpwstr>http://www.nevo.co.il/law/70301/144.b</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http://www.nevo.co.il/law/70301/40g</vt:lpwstr>
      </vt:variant>
      <vt:variant>
        <vt:lpwstr/>
      </vt:variant>
      <vt:variant>
        <vt:i4>5505096</vt:i4>
      </vt:variant>
      <vt:variant>
        <vt:i4>6</vt:i4>
      </vt:variant>
      <vt:variant>
        <vt:i4>0</vt:i4>
      </vt:variant>
      <vt:variant>
        <vt:i4>5</vt:i4>
      </vt:variant>
      <vt:variant>
        <vt:lpwstr>http://www.nevo.co.il/law/70301/32.3</vt:lpwstr>
      </vt:variant>
      <vt:variant>
        <vt:lpwstr/>
      </vt:variant>
      <vt:variant>
        <vt:i4>6553702</vt:i4>
      </vt:variant>
      <vt:variant>
        <vt:i4>3</vt:i4>
      </vt:variant>
      <vt:variant>
        <vt:i4>0</vt:i4>
      </vt:variant>
      <vt:variant>
        <vt:i4>5</vt:i4>
      </vt:variant>
      <vt:variant>
        <vt:lpwstr>http://www.nevo.co.il/law/70301/31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2025-04-25T11:01:00Z</dcterms:created>
  <dcterms:modified xsi:type="dcterms:W3CDTF">2025-04-25T11:01:00Z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1410</vt:lpwstr>
  </property>
  <property fmtid="{D5CDD505-2E9C-101B-9397-08002B2CF9AE}" pid="6" name="NEWPARTB">
    <vt:lpwstr>03</vt:lpwstr>
  </property>
  <property fmtid="{D5CDD505-2E9C-101B-9397-08002B2CF9AE}" pid="7" name="NEWPARTC">
    <vt:lpwstr>24</vt:lpwstr>
  </property>
  <property fmtid="{D5CDD505-2E9C-101B-9397-08002B2CF9AE}" pid="8" name="APPELLANT">
    <vt:lpwstr>מדינת ישראל</vt:lpwstr>
  </property>
  <property fmtid="{D5CDD505-2E9C-101B-9397-08002B2CF9AE}" pid="9" name="APPELLEE">
    <vt:lpwstr>עקאב אלנסאסרה;וענונו אזברגה</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20240926</vt:lpwstr>
  </property>
  <property fmtid="{D5CDD505-2E9C-101B-9397-08002B2CF9AE}" pid="13" name="TYPE_N_DATE">
    <vt:lpwstr>39020240926</vt:lpwstr>
  </property>
  <property fmtid="{D5CDD505-2E9C-101B-9397-08002B2CF9AE}" pid="14" name="WORDNUMPAGES">
    <vt:lpwstr>7</vt:lpwstr>
  </property>
  <property fmtid="{D5CDD505-2E9C-101B-9397-08002B2CF9AE}" pid="15" name="TYPE_ABS_DATE">
    <vt:lpwstr>390020240926</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YES</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28384637;26905927;26934681;21771409;22690203;28883087;29677445;30681902</vt:lpwstr>
  </property>
  <property fmtid="{D5CDD505-2E9C-101B-9397-08002B2CF9AE}" pid="36" name="LAWLISTTMP1">
    <vt:lpwstr>70301/144.b:2;031:2;032.3;144.g;040i;040g;144</vt:lpwstr>
  </property>
  <property fmtid="{D5CDD505-2E9C-101B-9397-08002B2CF9AE}" pid="37" name="NOSE1ID">
    <vt:lpwstr>77;18</vt:lpwstr>
  </property>
  <property fmtid="{D5CDD505-2E9C-101B-9397-08002B2CF9AE}" pid="38" name="NOSE2ID">
    <vt:lpwstr>1446;15670</vt:lpwstr>
  </property>
  <property fmtid="{D5CDD505-2E9C-101B-9397-08002B2CF9AE}" pid="39" name="NOSE3ID">
    <vt:lpwstr>13800;15672</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דיון פלילי</vt:lpwstr>
  </property>
  <property fmtid="{D5CDD505-2E9C-101B-9397-08002B2CF9AE}" pid="44" name="NOSE22">
    <vt:lpwstr>ענישה</vt:lpwstr>
  </property>
  <property fmtid="{D5CDD505-2E9C-101B-9397-08002B2CF9AE}" pid="45" name="NOSE32">
    <vt:lpwstr>מכת מדינה</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METAKZER">
    <vt:lpwstr>מיכל</vt:lpwstr>
  </property>
  <property fmtid="{D5CDD505-2E9C-101B-9397-08002B2CF9AE}" pid="71" name="PADIDATE">
    <vt:lpwstr>20241006</vt:lpwstr>
  </property>
</Properties>
</file>