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DA1D02" w:rsidRPr="00F231B8" w14:paraId="4B5E0630" w14:textId="77777777" w:rsidTr="008D20DE">
        <w:trPr>
          <w:trHeight w:hRule="exact" w:val="418"/>
          <w:jc w:val="center"/>
        </w:trPr>
        <w:tc>
          <w:tcPr>
            <w:tcW w:w="8721" w:type="dxa"/>
            <w:gridSpan w:val="2"/>
          </w:tcPr>
          <w:p w14:paraId="1A8715DA" w14:textId="77777777" w:rsidR="00DA1D02" w:rsidRPr="00F231B8" w:rsidRDefault="00DA1D02" w:rsidP="005F18D5">
            <w:pPr>
              <w:pStyle w:val="a3"/>
              <w:jc w:val="center"/>
              <w:rPr>
                <w:rFonts w:ascii="Tahoma" w:hAnsi="Tahoma" w:cs="Tahoma"/>
                <w:color w:val="000080"/>
                <w:rtl/>
              </w:rPr>
            </w:pPr>
            <w:bookmarkStart w:id="0" w:name="LastJudge"/>
            <w:r w:rsidRPr="00F231B8">
              <w:rPr>
                <w:rFonts w:ascii="Tahoma" w:hAnsi="Tahoma" w:cs="Tahoma"/>
                <w:b/>
                <w:bCs/>
                <w:color w:val="000080"/>
                <w:rtl/>
              </w:rPr>
              <w:t>בית המשפט המחוזי בחיפה</w:t>
            </w:r>
          </w:p>
        </w:tc>
      </w:tr>
      <w:tr w:rsidR="00DA1D02" w:rsidRPr="00F231B8" w14:paraId="26196F4D" w14:textId="77777777" w:rsidTr="008D20DE">
        <w:trPr>
          <w:trHeight w:val="337"/>
          <w:jc w:val="center"/>
        </w:trPr>
        <w:tc>
          <w:tcPr>
            <w:tcW w:w="5061" w:type="dxa"/>
          </w:tcPr>
          <w:p w14:paraId="71204FE7" w14:textId="77777777" w:rsidR="00DA1D02" w:rsidRPr="00F231B8" w:rsidRDefault="00DA1D02" w:rsidP="005F18D5">
            <w:pPr>
              <w:rPr>
                <w:rFonts w:cs="FrankRuehl"/>
                <w:sz w:val="28"/>
                <w:szCs w:val="28"/>
                <w:rtl/>
              </w:rPr>
            </w:pPr>
            <w:r w:rsidRPr="00F231B8">
              <w:rPr>
                <w:rFonts w:cs="FrankRuehl"/>
                <w:sz w:val="28"/>
                <w:szCs w:val="28"/>
                <w:rtl/>
              </w:rPr>
              <w:t>ת"פ</w:t>
            </w:r>
            <w:r w:rsidRPr="00F231B8">
              <w:rPr>
                <w:rFonts w:cs="FrankRuehl" w:hint="cs"/>
                <w:sz w:val="28"/>
                <w:szCs w:val="28"/>
                <w:rtl/>
              </w:rPr>
              <w:t xml:space="preserve"> </w:t>
            </w:r>
            <w:r w:rsidRPr="00F231B8">
              <w:rPr>
                <w:rFonts w:cs="FrankRuehl"/>
                <w:sz w:val="28"/>
                <w:szCs w:val="28"/>
                <w:rtl/>
              </w:rPr>
              <w:t>39708-03-24</w:t>
            </w:r>
            <w:r w:rsidRPr="00F231B8">
              <w:rPr>
                <w:rFonts w:cs="FrankRuehl" w:hint="cs"/>
                <w:sz w:val="28"/>
                <w:szCs w:val="28"/>
                <w:rtl/>
              </w:rPr>
              <w:t xml:space="preserve"> </w:t>
            </w:r>
            <w:r w:rsidRPr="00F231B8">
              <w:rPr>
                <w:rFonts w:cs="FrankRuehl"/>
                <w:sz w:val="28"/>
                <w:szCs w:val="28"/>
                <w:rtl/>
              </w:rPr>
              <w:t>מדינת ישראל נ' שלאעטה(עציר)</w:t>
            </w:r>
          </w:p>
          <w:p w14:paraId="7FA64368" w14:textId="77777777" w:rsidR="00DA1D02" w:rsidRPr="00F231B8" w:rsidRDefault="00DA1D02" w:rsidP="005F18D5">
            <w:pPr>
              <w:pStyle w:val="a3"/>
              <w:rPr>
                <w:rFonts w:cs="FrankRuehl"/>
                <w:sz w:val="28"/>
                <w:szCs w:val="28"/>
                <w:rtl/>
              </w:rPr>
            </w:pPr>
          </w:p>
        </w:tc>
        <w:tc>
          <w:tcPr>
            <w:tcW w:w="3660" w:type="dxa"/>
          </w:tcPr>
          <w:p w14:paraId="2874DB9A" w14:textId="77777777" w:rsidR="00DA1D02" w:rsidRPr="00F231B8" w:rsidRDefault="00DA1D02" w:rsidP="005F18D5">
            <w:pPr>
              <w:pStyle w:val="a3"/>
              <w:jc w:val="right"/>
              <w:rPr>
                <w:rFonts w:cs="FrankRuehl"/>
                <w:sz w:val="28"/>
                <w:szCs w:val="28"/>
                <w:rtl/>
              </w:rPr>
            </w:pPr>
          </w:p>
        </w:tc>
      </w:tr>
    </w:tbl>
    <w:p w14:paraId="38CF93F9" w14:textId="77777777" w:rsidR="00DA1D02" w:rsidRPr="00F231B8" w:rsidRDefault="00DA1D02" w:rsidP="00DA1D02">
      <w:pPr>
        <w:pStyle w:val="a3"/>
        <w:rPr>
          <w:rtl/>
        </w:rPr>
      </w:pPr>
      <w:r w:rsidRPr="00F231B8">
        <w:rPr>
          <w:rFonts w:hint="cs"/>
          <w:rtl/>
        </w:rPr>
        <w:t xml:space="preserve"> </w:t>
      </w:r>
    </w:p>
    <w:p w14:paraId="0E6C7760" w14:textId="77777777" w:rsidR="00DA1D02" w:rsidRPr="00F231B8" w:rsidRDefault="00DA1D02" w:rsidP="00DA1D02">
      <w:pPr>
        <w:jc w:val="both"/>
        <w:rPr>
          <w:rFonts w:ascii="David" w:hAnsi="David"/>
          <w:rtl/>
        </w:rPr>
      </w:pPr>
    </w:p>
    <w:p w14:paraId="722C4F06" w14:textId="77777777" w:rsidR="00DA1D02" w:rsidRPr="00F231B8" w:rsidRDefault="00DA1D02" w:rsidP="00DA1D02">
      <w:pPr>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DA1D02" w:rsidRPr="00F231B8" w14:paraId="0F8C4BF2" w14:textId="77777777" w:rsidTr="00DA1D02">
        <w:trPr>
          <w:gridAfter w:val="1"/>
          <w:wAfter w:w="56" w:type="dxa"/>
        </w:trPr>
        <w:tc>
          <w:tcPr>
            <w:tcW w:w="8718" w:type="dxa"/>
            <w:gridSpan w:val="2"/>
            <w:shd w:val="clear" w:color="auto" w:fill="auto"/>
          </w:tcPr>
          <w:p w14:paraId="28E09F61" w14:textId="77777777" w:rsidR="00DA1D02" w:rsidRPr="00F231B8" w:rsidRDefault="00DA1D02" w:rsidP="005F18D5">
            <w:pPr>
              <w:rPr>
                <w:b/>
                <w:bCs/>
                <w:sz w:val="26"/>
                <w:szCs w:val="26"/>
                <w:rtl/>
              </w:rPr>
            </w:pPr>
            <w:r w:rsidRPr="00F231B8">
              <w:rPr>
                <w:rFonts w:hint="cs"/>
                <w:b/>
                <w:bCs/>
                <w:sz w:val="26"/>
                <w:szCs w:val="26"/>
                <w:rtl/>
              </w:rPr>
              <w:t>לפני כבוד השופט נתנאל בנישו</w:t>
            </w:r>
            <w:r w:rsidRPr="00F231B8">
              <w:rPr>
                <w:rStyle w:val="TimesNewRomanTimesNewRoman"/>
                <w:rtl/>
              </w:rPr>
              <w:t xml:space="preserve"> </w:t>
            </w:r>
          </w:p>
          <w:p w14:paraId="4C4F0C00" w14:textId="77777777" w:rsidR="00DA1D02" w:rsidRPr="00F231B8" w:rsidRDefault="00DA1D02" w:rsidP="005F18D5">
            <w:pPr>
              <w:rPr>
                <w:b/>
                <w:bCs/>
                <w:sz w:val="26"/>
                <w:szCs w:val="26"/>
                <w:rtl/>
              </w:rPr>
            </w:pPr>
          </w:p>
        </w:tc>
      </w:tr>
      <w:tr w:rsidR="00DA1D02" w:rsidRPr="00F231B8" w14:paraId="2D2DF215" w14:textId="77777777" w:rsidTr="00DA1D02">
        <w:trPr>
          <w:cantSplit/>
          <w:trHeight w:val="566"/>
        </w:trPr>
        <w:tc>
          <w:tcPr>
            <w:tcW w:w="2880" w:type="dxa"/>
            <w:shd w:val="clear" w:color="auto" w:fill="auto"/>
          </w:tcPr>
          <w:p w14:paraId="144A44A1" w14:textId="77777777" w:rsidR="00DA1D02" w:rsidRPr="00F231B8" w:rsidRDefault="00DA1D02" w:rsidP="00DA1D02">
            <w:pPr>
              <w:ind w:left="26"/>
              <w:rPr>
                <w:b/>
                <w:bCs/>
                <w:rtl/>
              </w:rPr>
            </w:pPr>
            <w:bookmarkStart w:id="1" w:name="FirstAppellant"/>
            <w:bookmarkStart w:id="2" w:name="FirstLawyer"/>
            <w:r w:rsidRPr="00F231B8">
              <w:rPr>
                <w:rFonts w:hint="cs"/>
                <w:b/>
                <w:bCs/>
                <w:rtl/>
              </w:rPr>
              <w:t>המאשימה</w:t>
            </w:r>
          </w:p>
        </w:tc>
        <w:tc>
          <w:tcPr>
            <w:tcW w:w="5922" w:type="dxa"/>
            <w:gridSpan w:val="2"/>
            <w:shd w:val="clear" w:color="auto" w:fill="auto"/>
          </w:tcPr>
          <w:p w14:paraId="0037936F" w14:textId="77777777" w:rsidR="00DA1D02" w:rsidRPr="00F231B8" w:rsidRDefault="00DA1D02" w:rsidP="005F18D5">
            <w:pPr>
              <w:rPr>
                <w:b/>
                <w:bCs/>
                <w:rtl/>
              </w:rPr>
            </w:pPr>
            <w:r w:rsidRPr="00F231B8">
              <w:rPr>
                <w:rFonts w:hint="cs"/>
                <w:b/>
                <w:bCs/>
                <w:rtl/>
              </w:rPr>
              <w:t xml:space="preserve">מדינת ישראל </w:t>
            </w:r>
          </w:p>
          <w:p w14:paraId="6F1FAC9D" w14:textId="77777777" w:rsidR="00DA1D02" w:rsidRPr="00F231B8" w:rsidRDefault="00DA1D02" w:rsidP="005F18D5">
            <w:pPr>
              <w:rPr>
                <w:rtl/>
              </w:rPr>
            </w:pPr>
            <w:r w:rsidRPr="00F231B8">
              <w:rPr>
                <w:rFonts w:hint="cs"/>
                <w:rtl/>
              </w:rPr>
              <w:t>ע"י ב"כ עו"ד אביה בן יאיר</w:t>
            </w:r>
          </w:p>
        </w:tc>
      </w:tr>
      <w:bookmarkEnd w:id="1"/>
      <w:bookmarkEnd w:id="2"/>
      <w:tr w:rsidR="00DA1D02" w:rsidRPr="00F231B8" w14:paraId="4FADFDEE" w14:textId="77777777" w:rsidTr="00DA1D02">
        <w:tc>
          <w:tcPr>
            <w:tcW w:w="8802" w:type="dxa"/>
            <w:gridSpan w:val="3"/>
            <w:shd w:val="clear" w:color="auto" w:fill="auto"/>
            <w:vAlign w:val="center"/>
          </w:tcPr>
          <w:p w14:paraId="56ACD8D5" w14:textId="77777777" w:rsidR="00DA1D02" w:rsidRPr="00F231B8" w:rsidRDefault="00DA1D02" w:rsidP="00DA1D02">
            <w:pPr>
              <w:jc w:val="center"/>
              <w:rPr>
                <w:rFonts w:ascii="Arial" w:hAnsi="Arial"/>
                <w:b/>
                <w:bCs/>
                <w:rtl/>
              </w:rPr>
            </w:pPr>
          </w:p>
          <w:p w14:paraId="40074EFA" w14:textId="77777777" w:rsidR="00DA1D02" w:rsidRPr="00F231B8" w:rsidRDefault="00DA1D02" w:rsidP="00DA1D02">
            <w:pPr>
              <w:jc w:val="center"/>
              <w:rPr>
                <w:rFonts w:ascii="Arial" w:hAnsi="Arial"/>
                <w:b/>
                <w:bCs/>
                <w:rtl/>
              </w:rPr>
            </w:pPr>
            <w:r w:rsidRPr="00F231B8">
              <w:rPr>
                <w:rFonts w:ascii="Arial" w:hAnsi="Arial" w:hint="cs"/>
                <w:b/>
                <w:bCs/>
                <w:rtl/>
              </w:rPr>
              <w:t>נגד</w:t>
            </w:r>
          </w:p>
          <w:p w14:paraId="736DA05D" w14:textId="77777777" w:rsidR="00DA1D02" w:rsidRPr="00F231B8" w:rsidRDefault="00DA1D02" w:rsidP="005F18D5">
            <w:pPr>
              <w:rPr>
                <w:rFonts w:ascii="Arial" w:hAnsi="Arial"/>
                <w:b/>
                <w:bCs/>
                <w:rtl/>
              </w:rPr>
            </w:pPr>
          </w:p>
        </w:tc>
      </w:tr>
      <w:tr w:rsidR="00DA1D02" w:rsidRPr="00F231B8" w14:paraId="352C07CD" w14:textId="77777777" w:rsidTr="00DA1D02">
        <w:tc>
          <w:tcPr>
            <w:tcW w:w="2880" w:type="dxa"/>
            <w:shd w:val="clear" w:color="auto" w:fill="auto"/>
          </w:tcPr>
          <w:p w14:paraId="60F36DE6" w14:textId="77777777" w:rsidR="00DA1D02" w:rsidRPr="00F231B8" w:rsidRDefault="00DA1D02" w:rsidP="00DA1D02">
            <w:pPr>
              <w:ind w:left="26"/>
              <w:rPr>
                <w:b/>
                <w:bCs/>
              </w:rPr>
            </w:pPr>
            <w:r w:rsidRPr="00F231B8">
              <w:rPr>
                <w:rFonts w:hint="cs"/>
                <w:b/>
                <w:bCs/>
                <w:rtl/>
              </w:rPr>
              <w:t>הנאשם</w:t>
            </w:r>
          </w:p>
        </w:tc>
        <w:tc>
          <w:tcPr>
            <w:tcW w:w="5922" w:type="dxa"/>
            <w:gridSpan w:val="2"/>
            <w:shd w:val="clear" w:color="auto" w:fill="auto"/>
          </w:tcPr>
          <w:p w14:paraId="75CBF39B" w14:textId="77777777" w:rsidR="00DA1D02" w:rsidRPr="00F231B8" w:rsidRDefault="00DA1D02" w:rsidP="005F18D5">
            <w:pPr>
              <w:rPr>
                <w:b/>
                <w:bCs/>
                <w:rtl/>
              </w:rPr>
            </w:pPr>
            <w:r w:rsidRPr="00F231B8">
              <w:rPr>
                <w:rtl/>
              </w:rPr>
              <w:t xml:space="preserve"> </w:t>
            </w:r>
            <w:r w:rsidRPr="00F231B8">
              <w:rPr>
                <w:rFonts w:hint="cs"/>
                <w:b/>
                <w:bCs/>
                <w:rtl/>
              </w:rPr>
              <w:t>תאמר שלאעטה (עציר),</w:t>
            </w:r>
            <w:r w:rsidRPr="00F231B8">
              <w:rPr>
                <w:rtl/>
              </w:rPr>
              <w:t xml:space="preserve"> </w:t>
            </w:r>
            <w:r w:rsidRPr="00F231B8">
              <w:rPr>
                <w:rFonts w:hint="cs"/>
                <w:b/>
                <w:bCs/>
                <w:rtl/>
              </w:rPr>
              <w:t xml:space="preserve">ת"ז </w:t>
            </w:r>
            <w:r w:rsidR="00F231B8">
              <w:rPr>
                <w:b/>
                <w:bCs/>
              </w:rPr>
              <w:t>xxxxxxxxxx</w:t>
            </w:r>
          </w:p>
          <w:p w14:paraId="2C4D8675" w14:textId="77777777" w:rsidR="00DA1D02" w:rsidRPr="00F231B8" w:rsidRDefault="00DA1D02" w:rsidP="005F18D5">
            <w:pPr>
              <w:rPr>
                <w:rtl/>
              </w:rPr>
            </w:pPr>
            <w:r w:rsidRPr="00F231B8">
              <w:rPr>
                <w:rFonts w:hint="cs"/>
                <w:rtl/>
              </w:rPr>
              <w:t xml:space="preserve"> ע"י ב"כ עו"ד טארק נעאמנה וטורקי טראביה</w:t>
            </w:r>
          </w:p>
        </w:tc>
      </w:tr>
    </w:tbl>
    <w:p w14:paraId="75342061" w14:textId="77777777" w:rsidR="008F2A9B" w:rsidRPr="008F2A9B" w:rsidRDefault="008F2A9B" w:rsidP="008F2A9B">
      <w:pPr>
        <w:spacing w:before="120" w:after="120" w:line="240" w:lineRule="exact"/>
        <w:ind w:left="283" w:hanging="283"/>
        <w:jc w:val="both"/>
        <w:rPr>
          <w:rFonts w:ascii="FrankRuehl" w:hAnsi="FrankRuehl" w:cs="FrankRuehl"/>
          <w:rtl/>
        </w:rPr>
      </w:pPr>
      <w:bookmarkStart w:id="3" w:name="LawTable"/>
      <w:bookmarkEnd w:id="3"/>
    </w:p>
    <w:p w14:paraId="6BCB326E" w14:textId="77777777" w:rsidR="008F2A9B" w:rsidRPr="008F2A9B" w:rsidRDefault="008F2A9B" w:rsidP="008F2A9B">
      <w:pPr>
        <w:spacing w:before="120" w:after="120" w:line="240" w:lineRule="exact"/>
        <w:ind w:left="283" w:hanging="283"/>
        <w:jc w:val="both"/>
        <w:rPr>
          <w:rFonts w:ascii="FrankRuehl" w:hAnsi="FrankRuehl" w:cs="FrankRuehl"/>
          <w:rtl/>
        </w:rPr>
      </w:pPr>
      <w:r w:rsidRPr="008F2A9B">
        <w:rPr>
          <w:rFonts w:ascii="FrankRuehl" w:hAnsi="FrankRuehl" w:cs="FrankRuehl"/>
          <w:rtl/>
        </w:rPr>
        <w:t xml:space="preserve">חקיקה שאוזכרה: </w:t>
      </w:r>
    </w:p>
    <w:p w14:paraId="6D5A9647" w14:textId="77777777" w:rsidR="008F2A9B" w:rsidRPr="008F2A9B" w:rsidRDefault="008F2A9B" w:rsidP="008F2A9B">
      <w:pPr>
        <w:spacing w:before="120" w:after="120" w:line="240" w:lineRule="exact"/>
        <w:ind w:left="283" w:hanging="283"/>
        <w:jc w:val="both"/>
        <w:rPr>
          <w:rFonts w:ascii="FrankRuehl" w:hAnsi="FrankRuehl" w:cs="FrankRuehl"/>
          <w:color w:val="0000FF"/>
          <w:rtl/>
        </w:rPr>
      </w:pPr>
      <w:hyperlink r:id="rId7" w:history="1">
        <w:r w:rsidRPr="008F2A9B">
          <w:rPr>
            <w:rStyle w:val="Hyperlink"/>
            <w:rFonts w:ascii="FrankRuehl" w:hAnsi="FrankRuehl" w:cs="FrankRuehl"/>
            <w:u w:val="none"/>
            <w:rtl/>
          </w:rPr>
          <w:t>חוק העונשין, תשל"ז-1977</w:t>
        </w:r>
      </w:hyperlink>
      <w:r w:rsidRPr="008F2A9B">
        <w:rPr>
          <w:rFonts w:ascii="FrankRuehl" w:hAnsi="FrankRuehl" w:cs="FrankRuehl"/>
          <w:color w:val="0000FF"/>
          <w:rtl/>
        </w:rPr>
        <w:t xml:space="preserve">: סע'  </w:t>
      </w:r>
      <w:hyperlink r:id="rId8" w:history="1">
        <w:r w:rsidRPr="008F2A9B">
          <w:rPr>
            <w:rStyle w:val="Hyperlink"/>
            <w:rFonts w:ascii="FrankRuehl" w:hAnsi="FrankRuehl" w:cs="FrankRuehl"/>
            <w:u w:val="none"/>
          </w:rPr>
          <w:t>144</w:t>
        </w:r>
      </w:hyperlink>
      <w:r w:rsidRPr="008F2A9B">
        <w:rPr>
          <w:rFonts w:ascii="FrankRuehl" w:hAnsi="FrankRuehl" w:cs="FrankRuehl"/>
          <w:color w:val="0000FF"/>
          <w:rtl/>
        </w:rPr>
        <w:t xml:space="preserve">, </w:t>
      </w:r>
      <w:hyperlink r:id="rId9" w:history="1">
        <w:r w:rsidRPr="008F2A9B">
          <w:rPr>
            <w:rStyle w:val="Hyperlink"/>
            <w:rFonts w:ascii="FrankRuehl" w:hAnsi="FrankRuehl" w:cs="FrankRuehl"/>
            <w:u w:val="none"/>
          </w:rPr>
          <w:t xml:space="preserve">144 </w:t>
        </w:r>
      </w:hyperlink>
      <w:r w:rsidRPr="008F2A9B">
        <w:rPr>
          <w:rFonts w:ascii="FrankRuehl" w:hAnsi="FrankRuehl" w:cs="FrankRuehl"/>
          <w:color w:val="0000FF"/>
          <w:rtl/>
        </w:rPr>
        <w:t>(ז)</w:t>
      </w:r>
    </w:p>
    <w:p w14:paraId="4744066C" w14:textId="77777777" w:rsidR="00DA1D02" w:rsidRPr="008F2A9B" w:rsidRDefault="00DA1D02" w:rsidP="008F2A9B">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A1D02" w14:paraId="1ED13CDB" w14:textId="77777777" w:rsidTr="00DA1D02">
        <w:trPr>
          <w:trHeight w:val="355"/>
          <w:jc w:val="center"/>
        </w:trPr>
        <w:tc>
          <w:tcPr>
            <w:tcW w:w="8820" w:type="dxa"/>
            <w:tcBorders>
              <w:top w:val="nil"/>
              <w:left w:val="nil"/>
              <w:bottom w:val="nil"/>
              <w:right w:val="nil"/>
            </w:tcBorders>
            <w:shd w:val="clear" w:color="auto" w:fill="auto"/>
          </w:tcPr>
          <w:p w14:paraId="17B734FA" w14:textId="77777777" w:rsidR="00F231B8" w:rsidRPr="00F231B8" w:rsidRDefault="00F231B8" w:rsidP="00F231B8">
            <w:pPr>
              <w:jc w:val="center"/>
              <w:rPr>
                <w:rFonts w:ascii="David" w:hAnsi="David"/>
                <w:b/>
                <w:bCs/>
                <w:sz w:val="32"/>
                <w:szCs w:val="32"/>
                <w:u w:val="single"/>
                <w:rtl/>
              </w:rPr>
            </w:pPr>
            <w:bookmarkStart w:id="5" w:name="PsakDin" w:colFirst="0" w:colLast="0"/>
            <w:bookmarkEnd w:id="0"/>
            <w:r w:rsidRPr="00F231B8">
              <w:rPr>
                <w:rFonts w:ascii="David" w:hAnsi="David"/>
                <w:b/>
                <w:bCs/>
                <w:sz w:val="32"/>
                <w:szCs w:val="32"/>
                <w:u w:val="single"/>
                <w:rtl/>
              </w:rPr>
              <w:t>גזר דין</w:t>
            </w:r>
          </w:p>
          <w:p w14:paraId="6A782931" w14:textId="77777777" w:rsidR="00DA1D02" w:rsidRPr="00F231B8" w:rsidRDefault="00DA1D02" w:rsidP="00F231B8">
            <w:pPr>
              <w:jc w:val="center"/>
              <w:rPr>
                <w:rFonts w:ascii="David" w:hAnsi="David"/>
                <w:bCs/>
                <w:sz w:val="32"/>
                <w:szCs w:val="32"/>
                <w:u w:val="single"/>
                <w:rtl/>
              </w:rPr>
            </w:pPr>
          </w:p>
        </w:tc>
      </w:tr>
      <w:bookmarkEnd w:id="5"/>
    </w:tbl>
    <w:p w14:paraId="5C18614B" w14:textId="77777777" w:rsidR="00DA1D02" w:rsidRDefault="00DA1D02" w:rsidP="00DA1D02">
      <w:pPr>
        <w:rPr>
          <w:rFonts w:ascii="Arial" w:hAnsi="Arial"/>
          <w:sz w:val="26"/>
          <w:szCs w:val="26"/>
          <w:rtl/>
        </w:rPr>
      </w:pPr>
    </w:p>
    <w:p w14:paraId="2E595BE1" w14:textId="77777777" w:rsidR="00DA1D02" w:rsidRDefault="00DA1D02" w:rsidP="00DA1D02">
      <w:pPr>
        <w:spacing w:line="360" w:lineRule="auto"/>
        <w:jc w:val="both"/>
        <w:rPr>
          <w:rFonts w:ascii="Arial" w:hAnsi="Arial"/>
          <w:b/>
          <w:bCs/>
          <w:u w:val="single"/>
          <w:rtl/>
        </w:rPr>
      </w:pPr>
    </w:p>
    <w:p w14:paraId="35269437" w14:textId="77777777" w:rsidR="00DA1D02" w:rsidRPr="0077511B" w:rsidRDefault="00DA1D02" w:rsidP="00DA1D02">
      <w:pPr>
        <w:spacing w:line="360" w:lineRule="auto"/>
        <w:jc w:val="both"/>
        <w:rPr>
          <w:rFonts w:ascii="Arial" w:hAnsi="Arial"/>
          <w:rtl/>
        </w:rPr>
      </w:pPr>
      <w:r w:rsidRPr="0077511B">
        <w:rPr>
          <w:rFonts w:ascii="Arial" w:hAnsi="Arial"/>
          <w:b/>
          <w:bCs/>
          <w:u w:val="single"/>
          <w:rtl/>
        </w:rPr>
        <w:t xml:space="preserve">כתב </w:t>
      </w:r>
      <w:r w:rsidRPr="0077511B">
        <w:rPr>
          <w:rFonts w:ascii="Arial" w:hAnsi="Arial" w:hint="cs"/>
          <w:b/>
          <w:bCs/>
          <w:u w:val="single"/>
          <w:rtl/>
        </w:rPr>
        <w:t>ה</w:t>
      </w:r>
      <w:r w:rsidRPr="0077511B">
        <w:rPr>
          <w:rFonts w:ascii="Arial" w:hAnsi="Arial"/>
          <w:b/>
          <w:bCs/>
          <w:u w:val="single"/>
          <w:rtl/>
        </w:rPr>
        <w:t xml:space="preserve">אישום </w:t>
      </w:r>
      <w:r w:rsidRPr="0077511B">
        <w:rPr>
          <w:rFonts w:ascii="Arial" w:hAnsi="Arial" w:hint="cs"/>
          <w:b/>
          <w:bCs/>
          <w:u w:val="single"/>
          <w:rtl/>
        </w:rPr>
        <w:t>ה</w:t>
      </w:r>
      <w:r w:rsidRPr="0077511B">
        <w:rPr>
          <w:rFonts w:ascii="Arial" w:hAnsi="Arial"/>
          <w:b/>
          <w:bCs/>
          <w:u w:val="single"/>
          <w:rtl/>
        </w:rPr>
        <w:t>מתוקן</w:t>
      </w:r>
    </w:p>
    <w:p w14:paraId="2410D4C7" w14:textId="77777777" w:rsidR="00DA1D02" w:rsidRPr="0077511B" w:rsidRDefault="00DA1D02" w:rsidP="00DA1D02">
      <w:pPr>
        <w:spacing w:line="360" w:lineRule="auto"/>
        <w:jc w:val="both"/>
        <w:rPr>
          <w:rFonts w:ascii="Arial" w:hAnsi="Arial"/>
          <w:rtl/>
        </w:rPr>
      </w:pPr>
      <w:bookmarkStart w:id="6" w:name="ABSTRACT_START"/>
      <w:bookmarkEnd w:id="6"/>
      <w:r w:rsidRPr="0077511B">
        <w:rPr>
          <w:rFonts w:ascii="Arial" w:hAnsi="Arial"/>
          <w:rtl/>
        </w:rPr>
        <w:t>הנאשם הורשע על פי הודאתו, במסגרת הסדר טיעון</w:t>
      </w:r>
      <w:r w:rsidRPr="0077511B">
        <w:rPr>
          <w:rFonts w:ascii="Arial" w:hAnsi="Arial" w:hint="cs"/>
          <w:rtl/>
        </w:rPr>
        <w:t>,</w:t>
      </w:r>
      <w:r w:rsidRPr="0077511B">
        <w:rPr>
          <w:rFonts w:ascii="Arial" w:hAnsi="Arial"/>
          <w:rtl/>
        </w:rPr>
        <w:t xml:space="preserve"> בכתב אישום מתוקן</w:t>
      </w:r>
      <w:r w:rsidRPr="0077511B">
        <w:rPr>
          <w:rFonts w:ascii="Arial" w:hAnsi="Arial" w:hint="cs"/>
          <w:rtl/>
        </w:rPr>
        <w:t>,</w:t>
      </w:r>
      <w:r w:rsidRPr="0077511B">
        <w:rPr>
          <w:rFonts w:ascii="Arial" w:hAnsi="Arial"/>
          <w:rtl/>
        </w:rPr>
        <w:t xml:space="preserve"> המייחס לו </w:t>
      </w:r>
      <w:r w:rsidRPr="0077511B">
        <w:rPr>
          <w:rFonts w:ascii="Arial" w:hAnsi="Arial" w:hint="cs"/>
          <w:rtl/>
        </w:rPr>
        <w:t xml:space="preserve">עבירה של </w:t>
      </w:r>
      <w:r w:rsidRPr="0077511B">
        <w:rPr>
          <w:rFonts w:ascii="Arial" w:hAnsi="Arial"/>
          <w:rtl/>
        </w:rPr>
        <w:t xml:space="preserve">סיוע להחזקת אקדח. </w:t>
      </w:r>
    </w:p>
    <w:p w14:paraId="34BFA51E" w14:textId="77777777" w:rsidR="00DA1D02" w:rsidRPr="0077511B" w:rsidRDefault="00DA1D02" w:rsidP="00DA1D02">
      <w:pPr>
        <w:spacing w:line="360" w:lineRule="auto"/>
        <w:jc w:val="both"/>
        <w:rPr>
          <w:rFonts w:ascii="Arial" w:hAnsi="Arial"/>
        </w:rPr>
      </w:pPr>
      <w:bookmarkStart w:id="7" w:name="ABSTRACT_END"/>
      <w:bookmarkEnd w:id="7"/>
    </w:p>
    <w:p w14:paraId="372E4D09" w14:textId="77777777" w:rsidR="00DA1D02" w:rsidRPr="0077511B" w:rsidRDefault="00DA1D02" w:rsidP="00DA1D02">
      <w:pPr>
        <w:spacing w:line="360" w:lineRule="auto"/>
        <w:jc w:val="both"/>
        <w:rPr>
          <w:rFonts w:ascii="Arial" w:hAnsi="Arial"/>
          <w:rtl/>
        </w:rPr>
      </w:pPr>
      <w:r w:rsidRPr="0077511B">
        <w:rPr>
          <w:rFonts w:ascii="Arial" w:hAnsi="Arial"/>
          <w:rtl/>
        </w:rPr>
        <w:t>על פי המתואר בכתב האישום</w:t>
      </w:r>
      <w:r w:rsidRPr="0077511B">
        <w:rPr>
          <w:rFonts w:ascii="Arial" w:hAnsi="Arial" w:hint="cs"/>
          <w:rtl/>
        </w:rPr>
        <w:t xml:space="preserve"> המתוקן</w:t>
      </w:r>
      <w:r w:rsidRPr="0077511B">
        <w:rPr>
          <w:rFonts w:ascii="Arial" w:hAnsi="Arial"/>
          <w:rtl/>
        </w:rPr>
        <w:t>, ביום 3.3.24, בסמוך לשעה 23:00, סייע הנאשם לאחר להחזיק אקדח מסוג גלוק ובתוכו מחסנית הטעונה ב-16 כדורים. האקדח הונח על אחד מגלגלי רכב מסוג יונדאי, שחנה בחצר הסמוכה לביתו של הנאשם</w:t>
      </w:r>
      <w:r w:rsidRPr="0077511B">
        <w:rPr>
          <w:rFonts w:ascii="Arial" w:hAnsi="Arial" w:hint="cs"/>
          <w:rtl/>
        </w:rPr>
        <w:t>,</w:t>
      </w:r>
      <w:r w:rsidRPr="0077511B">
        <w:rPr>
          <w:rFonts w:ascii="Arial" w:hAnsi="Arial"/>
          <w:rtl/>
        </w:rPr>
        <w:t xml:space="preserve"> והכל בלא רשות על פי דין. </w:t>
      </w:r>
    </w:p>
    <w:p w14:paraId="064E23A5" w14:textId="77777777" w:rsidR="00DA1D02" w:rsidRPr="0077511B" w:rsidRDefault="00DA1D02" w:rsidP="00DA1D02">
      <w:pPr>
        <w:spacing w:line="360" w:lineRule="auto"/>
        <w:jc w:val="both"/>
        <w:rPr>
          <w:rFonts w:ascii="Arial" w:hAnsi="Arial"/>
          <w:rtl/>
        </w:rPr>
      </w:pPr>
    </w:p>
    <w:p w14:paraId="7EBA2E74" w14:textId="77777777" w:rsidR="00DA1D02" w:rsidRPr="0077511B" w:rsidRDefault="00DA1D02" w:rsidP="00DA1D02">
      <w:pPr>
        <w:spacing w:line="360" w:lineRule="auto"/>
        <w:jc w:val="both"/>
        <w:rPr>
          <w:rFonts w:ascii="Arial" w:hAnsi="Arial"/>
          <w:b/>
          <w:bCs/>
          <w:u w:val="single"/>
          <w:rtl/>
        </w:rPr>
      </w:pPr>
      <w:r w:rsidRPr="0077511B">
        <w:rPr>
          <w:rFonts w:ascii="Arial" w:hAnsi="Arial"/>
          <w:b/>
          <w:bCs/>
          <w:u w:val="single"/>
          <w:rtl/>
        </w:rPr>
        <w:t>טיעוני הצדדים לעונש</w:t>
      </w:r>
    </w:p>
    <w:p w14:paraId="47951D37" w14:textId="77777777" w:rsidR="00DA1D02" w:rsidRPr="0077511B" w:rsidRDefault="00DA1D02" w:rsidP="00DA1D02">
      <w:pPr>
        <w:spacing w:line="360" w:lineRule="auto"/>
        <w:jc w:val="both"/>
        <w:rPr>
          <w:rFonts w:ascii="Arial" w:hAnsi="Arial"/>
          <w:rtl/>
        </w:rPr>
      </w:pPr>
      <w:r w:rsidRPr="0077511B">
        <w:rPr>
          <w:rFonts w:ascii="Arial" w:hAnsi="Arial"/>
          <w:rtl/>
        </w:rPr>
        <w:t>במסגרת טיעוניה לעונש, הגישה ב"כ המאשימה את גיליון הרישום הפלילי של הנאשם וכן את עברו התעבורתי</w:t>
      </w:r>
      <w:r w:rsidRPr="0077511B">
        <w:rPr>
          <w:rFonts w:ascii="Arial" w:hAnsi="Arial" w:hint="cs"/>
          <w:rtl/>
        </w:rPr>
        <w:t xml:space="preserve"> (ת/1)</w:t>
      </w:r>
      <w:r w:rsidRPr="0077511B">
        <w:rPr>
          <w:rFonts w:ascii="Arial" w:hAnsi="Arial"/>
          <w:rtl/>
        </w:rPr>
        <w:t xml:space="preserve">. </w:t>
      </w:r>
    </w:p>
    <w:p w14:paraId="3E8E913C" w14:textId="77777777" w:rsidR="00DA1D02" w:rsidRPr="0077511B" w:rsidRDefault="00DA1D02" w:rsidP="00DA1D02">
      <w:pPr>
        <w:spacing w:line="360" w:lineRule="auto"/>
        <w:jc w:val="both"/>
        <w:rPr>
          <w:rFonts w:ascii="Arial" w:hAnsi="Arial"/>
          <w:rtl/>
        </w:rPr>
      </w:pPr>
    </w:p>
    <w:p w14:paraId="7E6684DB" w14:textId="77777777" w:rsidR="00DA1D02" w:rsidRPr="0077511B" w:rsidRDefault="00DA1D02" w:rsidP="00DA1D02">
      <w:pPr>
        <w:spacing w:line="360" w:lineRule="auto"/>
        <w:jc w:val="both"/>
        <w:rPr>
          <w:rFonts w:ascii="Arial" w:hAnsi="Arial"/>
          <w:rtl/>
        </w:rPr>
      </w:pPr>
      <w:r w:rsidRPr="0077511B">
        <w:rPr>
          <w:rFonts w:ascii="Arial" w:hAnsi="Arial"/>
          <w:rtl/>
        </w:rPr>
        <w:t xml:space="preserve">בטיעוניה, עמדה </w:t>
      </w:r>
      <w:r w:rsidRPr="0077511B">
        <w:rPr>
          <w:rFonts w:ascii="Arial" w:hAnsi="Arial"/>
          <w:b/>
          <w:bCs/>
          <w:rtl/>
        </w:rPr>
        <w:t>ב"כ המאשימה</w:t>
      </w:r>
      <w:r w:rsidRPr="0077511B">
        <w:rPr>
          <w:rFonts w:ascii="Arial" w:hAnsi="Arial"/>
          <w:rtl/>
        </w:rPr>
        <w:t xml:space="preserve"> על הערכים החברתיים המוגנים שנפגעו מביצוע העבירה, קדושת החיים</w:t>
      </w:r>
      <w:r w:rsidRPr="0077511B">
        <w:rPr>
          <w:rFonts w:ascii="Arial" w:hAnsi="Arial" w:hint="cs"/>
          <w:rtl/>
        </w:rPr>
        <w:t>,</w:t>
      </w:r>
      <w:r w:rsidRPr="0077511B">
        <w:rPr>
          <w:rFonts w:ascii="Arial" w:hAnsi="Arial"/>
          <w:rtl/>
        </w:rPr>
        <w:t xml:space="preserve"> וכן ביטחונו </w:t>
      </w:r>
      <w:r w:rsidRPr="0077511B">
        <w:rPr>
          <w:rFonts w:ascii="Arial" w:hAnsi="Arial" w:hint="cs"/>
          <w:rtl/>
        </w:rPr>
        <w:t>ו</w:t>
      </w:r>
      <w:r w:rsidRPr="0077511B">
        <w:rPr>
          <w:rFonts w:ascii="Arial" w:hAnsi="Arial"/>
          <w:rtl/>
        </w:rPr>
        <w:t xml:space="preserve">שלמות גופו של האדם ושל הציבור בכללותו. כן נטען כי נפגע ערך השמירה על שלטון החוק. </w:t>
      </w:r>
    </w:p>
    <w:p w14:paraId="3E03D280" w14:textId="77777777" w:rsidR="00DA1D02" w:rsidRPr="0077511B" w:rsidRDefault="00DA1D02" w:rsidP="00DA1D02">
      <w:pPr>
        <w:spacing w:line="360" w:lineRule="auto"/>
        <w:jc w:val="both"/>
        <w:rPr>
          <w:rFonts w:ascii="Arial" w:hAnsi="Arial"/>
          <w:rtl/>
        </w:rPr>
      </w:pPr>
    </w:p>
    <w:p w14:paraId="33AF459A" w14:textId="77777777" w:rsidR="00DA1D02" w:rsidRPr="0077511B" w:rsidRDefault="00DA1D02" w:rsidP="00DA1D02">
      <w:pPr>
        <w:spacing w:line="360" w:lineRule="auto"/>
        <w:jc w:val="both"/>
        <w:rPr>
          <w:rFonts w:ascii="Arial" w:hAnsi="Arial"/>
          <w:rtl/>
        </w:rPr>
      </w:pPr>
      <w:r w:rsidRPr="0077511B">
        <w:rPr>
          <w:rFonts w:ascii="Arial" w:hAnsi="Arial"/>
          <w:rtl/>
        </w:rPr>
        <w:lastRenderedPageBreak/>
        <w:t xml:space="preserve">ב"כ המאשימה הדגישה את המסוכנות הטמונה בעבירות נשק, המשמשות לא פעם כאמצעי לביצוע עבירות אלימות. </w:t>
      </w:r>
      <w:r w:rsidRPr="0077511B">
        <w:rPr>
          <w:rFonts w:ascii="Arial" w:hAnsi="Arial" w:hint="cs"/>
          <w:rtl/>
        </w:rPr>
        <w:t xml:space="preserve">כן, </w:t>
      </w:r>
      <w:r w:rsidRPr="0077511B">
        <w:rPr>
          <w:rFonts w:ascii="Arial" w:hAnsi="Arial"/>
          <w:rtl/>
        </w:rPr>
        <w:t>הפנתה התובעת לפסיק</w:t>
      </w:r>
      <w:r w:rsidRPr="0077511B">
        <w:rPr>
          <w:rFonts w:ascii="Arial" w:hAnsi="Arial" w:hint="cs"/>
          <w:rtl/>
        </w:rPr>
        <w:t>ת</w:t>
      </w:r>
      <w:r w:rsidRPr="0077511B">
        <w:rPr>
          <w:rFonts w:ascii="Arial" w:hAnsi="Arial"/>
          <w:rtl/>
        </w:rPr>
        <w:t xml:space="preserve"> בית המשפט העליון, הרואה בעבירות החזקת נשק </w:t>
      </w:r>
      <w:r w:rsidRPr="0077511B">
        <w:rPr>
          <w:rFonts w:ascii="Arial" w:hAnsi="Arial" w:hint="cs"/>
          <w:rtl/>
        </w:rPr>
        <w:t>"</w:t>
      </w:r>
      <w:r w:rsidRPr="0077511B">
        <w:rPr>
          <w:rFonts w:ascii="Arial" w:hAnsi="Arial"/>
          <w:rtl/>
        </w:rPr>
        <w:t>מכת מדינה</w:t>
      </w:r>
      <w:r w:rsidRPr="0077511B">
        <w:rPr>
          <w:rFonts w:ascii="Arial" w:hAnsi="Arial" w:hint="cs"/>
          <w:rtl/>
        </w:rPr>
        <w:t>"</w:t>
      </w:r>
      <w:r w:rsidRPr="0077511B">
        <w:rPr>
          <w:rFonts w:ascii="Arial" w:hAnsi="Arial"/>
          <w:rtl/>
        </w:rPr>
        <w:t xml:space="preserve"> של ממש. עוד היא הטעימה כי בשל היקף התופעה והצורך למגרה, קבע בית המשפט העליון מגמה גוברת והולכת של החמרה בענישה.</w:t>
      </w:r>
      <w:r w:rsidRPr="0077511B">
        <w:rPr>
          <w:rFonts w:ascii="Arial" w:hAnsi="Arial" w:hint="cs"/>
          <w:rtl/>
        </w:rPr>
        <w:t xml:space="preserve"> </w:t>
      </w:r>
      <w:r w:rsidRPr="0077511B">
        <w:rPr>
          <w:rFonts w:ascii="Arial" w:hAnsi="Arial"/>
          <w:rtl/>
        </w:rPr>
        <w:t xml:space="preserve">על כן, סברה ב"כ המאשימה כי </w:t>
      </w:r>
      <w:r w:rsidRPr="0077511B">
        <w:rPr>
          <w:rFonts w:ascii="Arial" w:hAnsi="Arial" w:hint="cs"/>
          <w:rtl/>
        </w:rPr>
        <w:t>גם בענייננו מצווה ב</w:t>
      </w:r>
      <w:r w:rsidRPr="0077511B">
        <w:rPr>
          <w:rFonts w:ascii="Arial" w:hAnsi="Arial"/>
          <w:rtl/>
        </w:rPr>
        <w:t>ית המשפט ל</w:t>
      </w:r>
      <w:r w:rsidRPr="0077511B">
        <w:rPr>
          <w:rFonts w:ascii="Arial" w:hAnsi="Arial" w:hint="cs"/>
          <w:rtl/>
        </w:rPr>
        <w:t>העביר מסר ברור</w:t>
      </w:r>
      <w:r w:rsidRPr="0077511B">
        <w:rPr>
          <w:rFonts w:ascii="Arial" w:hAnsi="Arial"/>
          <w:rtl/>
        </w:rPr>
        <w:t xml:space="preserve">, תוך החמרה עונשית בעבירות החזקת הנשק על נגזרותיהן. </w:t>
      </w:r>
    </w:p>
    <w:p w14:paraId="660DFB43" w14:textId="77777777" w:rsidR="00DA1D02" w:rsidRPr="0077511B" w:rsidRDefault="00DA1D02" w:rsidP="00DA1D02">
      <w:pPr>
        <w:spacing w:line="360" w:lineRule="auto"/>
        <w:jc w:val="both"/>
        <w:rPr>
          <w:rFonts w:ascii="Arial" w:hAnsi="Arial"/>
          <w:rtl/>
        </w:rPr>
      </w:pPr>
    </w:p>
    <w:p w14:paraId="416D1CC5" w14:textId="77777777" w:rsidR="00DA1D02" w:rsidRPr="0077511B" w:rsidRDefault="00DA1D02" w:rsidP="00DA1D02">
      <w:pPr>
        <w:spacing w:line="360" w:lineRule="auto"/>
        <w:jc w:val="both"/>
        <w:rPr>
          <w:rFonts w:ascii="Arial" w:hAnsi="Arial"/>
          <w:rtl/>
        </w:rPr>
      </w:pPr>
      <w:r w:rsidRPr="0077511B">
        <w:rPr>
          <w:rFonts w:ascii="Arial" w:hAnsi="Arial"/>
          <w:rtl/>
        </w:rPr>
        <w:t xml:space="preserve">באשר לנסיבות העבירה, ציינה התובעת כי הנאשם סייע לאחר להחזיק בנשק תיקני, אשר היה טעון במחסנית ובכדורים. המכלול האמור, מאפשר ביצוע ירי תוך זמן קצר ביותר. כן עמדה ב"כ המאשימה על פוטנציאל הנזק שהיה עלול להיגרם כתוצאה מהחזקת הנשק ומהשימוש בו, במיוחד בהקשר למציאות השוררת במדינה בעת האחרונה. </w:t>
      </w:r>
    </w:p>
    <w:p w14:paraId="11F58CD5" w14:textId="77777777" w:rsidR="00DA1D02" w:rsidRPr="0077511B" w:rsidRDefault="00DA1D02" w:rsidP="00DA1D02">
      <w:pPr>
        <w:spacing w:line="360" w:lineRule="auto"/>
        <w:jc w:val="both"/>
        <w:rPr>
          <w:rFonts w:ascii="Arial" w:hAnsi="Arial"/>
          <w:rtl/>
        </w:rPr>
      </w:pPr>
    </w:p>
    <w:p w14:paraId="14288400" w14:textId="77777777" w:rsidR="00DA1D02" w:rsidRPr="0077511B" w:rsidRDefault="00DA1D02" w:rsidP="00DA1D02">
      <w:pPr>
        <w:spacing w:line="360" w:lineRule="auto"/>
        <w:jc w:val="both"/>
        <w:rPr>
          <w:rFonts w:ascii="Arial" w:hAnsi="Arial"/>
          <w:rtl/>
        </w:rPr>
      </w:pPr>
      <w:r w:rsidRPr="0077511B">
        <w:rPr>
          <w:rFonts w:ascii="Arial" w:hAnsi="Arial" w:hint="cs"/>
          <w:rtl/>
        </w:rPr>
        <w:t xml:space="preserve">בנוסף, </w:t>
      </w:r>
      <w:r w:rsidRPr="0077511B">
        <w:rPr>
          <w:rFonts w:ascii="Arial" w:hAnsi="Arial"/>
          <w:rtl/>
        </w:rPr>
        <w:t xml:space="preserve">ב"כ המאשימה הפנתה להנחיית פרקליט המדינה </w:t>
      </w:r>
      <w:r w:rsidRPr="0077511B">
        <w:rPr>
          <w:rFonts w:ascii="Arial" w:hAnsi="Arial" w:hint="cs"/>
          <w:rtl/>
        </w:rPr>
        <w:t xml:space="preserve">בנוגע למתחמי ענישה בעבירות נשק, </w:t>
      </w:r>
      <w:r w:rsidRPr="0077511B">
        <w:rPr>
          <w:rFonts w:ascii="Arial" w:hAnsi="Arial"/>
          <w:rtl/>
        </w:rPr>
        <w:t>וכן לתיקון 140 ל</w:t>
      </w:r>
      <w:hyperlink r:id="rId10" w:history="1">
        <w:r w:rsidR="00F231B8" w:rsidRPr="00F231B8">
          <w:rPr>
            <w:rFonts w:ascii="Arial" w:hAnsi="Arial"/>
            <w:color w:val="0000FF"/>
            <w:u w:val="single"/>
            <w:rtl/>
          </w:rPr>
          <w:t>חוק העונשין</w:t>
        </w:r>
      </w:hyperlink>
      <w:r w:rsidRPr="0077511B">
        <w:rPr>
          <w:rFonts w:ascii="Arial" w:hAnsi="Arial"/>
          <w:rtl/>
        </w:rPr>
        <w:t>, התשל"ז-1977</w:t>
      </w:r>
      <w:r w:rsidRPr="0077511B">
        <w:rPr>
          <w:rFonts w:ascii="Arial" w:hAnsi="Arial" w:hint="cs"/>
          <w:rtl/>
        </w:rPr>
        <w:t>,</w:t>
      </w:r>
      <w:r w:rsidRPr="0077511B">
        <w:rPr>
          <w:rFonts w:ascii="Arial" w:hAnsi="Arial"/>
          <w:rtl/>
        </w:rPr>
        <w:t xml:space="preserve"> הקובע עונש מזערי של רבע מהעונש המרבי הקבוע בחוק. </w:t>
      </w:r>
    </w:p>
    <w:p w14:paraId="715CA573" w14:textId="77777777" w:rsidR="00DA1D02" w:rsidRPr="0077511B" w:rsidRDefault="00DA1D02" w:rsidP="00DA1D02">
      <w:pPr>
        <w:spacing w:line="360" w:lineRule="auto"/>
        <w:jc w:val="both"/>
        <w:rPr>
          <w:rFonts w:ascii="Arial" w:hAnsi="Arial"/>
          <w:rtl/>
        </w:rPr>
      </w:pPr>
    </w:p>
    <w:p w14:paraId="0A44287D" w14:textId="77777777" w:rsidR="00DA1D02" w:rsidRPr="0077511B" w:rsidRDefault="00DA1D02" w:rsidP="00DA1D02">
      <w:pPr>
        <w:spacing w:line="360" w:lineRule="auto"/>
        <w:jc w:val="both"/>
        <w:rPr>
          <w:rFonts w:ascii="Arial" w:hAnsi="Arial"/>
          <w:rtl/>
        </w:rPr>
      </w:pPr>
      <w:r w:rsidRPr="0077511B">
        <w:rPr>
          <w:rFonts w:ascii="Arial" w:hAnsi="Arial"/>
          <w:rtl/>
        </w:rPr>
        <w:t>באשר למדיניות הענישה הנוהגת, סקרה ב"כ המאשימה שורה של פסקי דין שניתנו על ידי ערכאות שונות ובהן נדונו נאשמים בעבירות דומות של החזקת נשק, עליהם הוטלו עונשי</w:t>
      </w:r>
      <w:r w:rsidRPr="0077511B">
        <w:rPr>
          <w:rFonts w:ascii="Arial" w:hAnsi="Arial" w:hint="cs"/>
          <w:rtl/>
        </w:rPr>
        <w:t>ם</w:t>
      </w:r>
      <w:r w:rsidRPr="0077511B">
        <w:rPr>
          <w:rFonts w:ascii="Arial" w:hAnsi="Arial"/>
          <w:rtl/>
        </w:rPr>
        <w:t xml:space="preserve"> הנעים בין 9 לבין 24 חודשי מאסר</w:t>
      </w:r>
      <w:r w:rsidRPr="0077511B">
        <w:rPr>
          <w:rFonts w:ascii="Arial" w:hAnsi="Arial" w:hint="cs"/>
          <w:rtl/>
        </w:rPr>
        <w:t xml:space="preserve"> בפועל</w:t>
      </w:r>
      <w:r w:rsidRPr="0077511B">
        <w:rPr>
          <w:rFonts w:ascii="Arial" w:hAnsi="Arial"/>
          <w:rtl/>
        </w:rPr>
        <w:t>.</w:t>
      </w:r>
      <w:r w:rsidRPr="0077511B">
        <w:rPr>
          <w:rFonts w:ascii="Arial" w:hAnsi="Arial" w:hint="cs"/>
          <w:rtl/>
        </w:rPr>
        <w:t xml:space="preserve"> </w:t>
      </w:r>
    </w:p>
    <w:p w14:paraId="73D1F2B0" w14:textId="77777777" w:rsidR="00DA1D02" w:rsidRPr="0077511B" w:rsidRDefault="00DA1D02" w:rsidP="00DA1D02">
      <w:pPr>
        <w:spacing w:line="360" w:lineRule="auto"/>
        <w:jc w:val="both"/>
        <w:rPr>
          <w:rFonts w:ascii="Arial" w:hAnsi="Arial"/>
          <w:rtl/>
        </w:rPr>
      </w:pPr>
    </w:p>
    <w:p w14:paraId="58583B61" w14:textId="77777777" w:rsidR="00DA1D02" w:rsidRPr="0077511B" w:rsidRDefault="00DA1D02" w:rsidP="00DA1D02">
      <w:pPr>
        <w:spacing w:line="360" w:lineRule="auto"/>
        <w:jc w:val="both"/>
        <w:rPr>
          <w:rFonts w:ascii="Arial" w:hAnsi="Arial"/>
          <w:rtl/>
        </w:rPr>
      </w:pPr>
      <w:r w:rsidRPr="0077511B">
        <w:rPr>
          <w:rFonts w:ascii="Arial" w:hAnsi="Arial"/>
          <w:rtl/>
        </w:rPr>
        <w:t>לאור כל אלה, ביקשה ב"כ המאשימה לקבוע מתחם עונש הולם הנע בין 12-24 חודשי מאסר לריצוי בפועל, לצד מאסר מותנה ארוך ומרתיע וקנס משמעותי.</w:t>
      </w:r>
    </w:p>
    <w:p w14:paraId="4BEAD260" w14:textId="77777777" w:rsidR="00DA1D02" w:rsidRPr="0077511B" w:rsidRDefault="00DA1D02" w:rsidP="00DA1D02">
      <w:pPr>
        <w:spacing w:line="360" w:lineRule="auto"/>
        <w:jc w:val="both"/>
        <w:rPr>
          <w:rFonts w:ascii="Arial" w:hAnsi="Arial"/>
          <w:rtl/>
        </w:rPr>
      </w:pPr>
    </w:p>
    <w:p w14:paraId="0A959A6C" w14:textId="77777777" w:rsidR="00DA1D02" w:rsidRPr="0077511B" w:rsidRDefault="00DA1D02" w:rsidP="00DA1D02">
      <w:pPr>
        <w:spacing w:line="360" w:lineRule="auto"/>
        <w:jc w:val="both"/>
        <w:rPr>
          <w:rFonts w:ascii="Arial" w:hAnsi="Arial"/>
          <w:rtl/>
        </w:rPr>
      </w:pPr>
      <w:r w:rsidRPr="0077511B">
        <w:rPr>
          <w:rFonts w:ascii="Arial" w:hAnsi="Arial"/>
          <w:rtl/>
        </w:rPr>
        <w:t xml:space="preserve">באשר לנסיבות שאינן קשורות </w:t>
      </w:r>
      <w:r w:rsidRPr="0077511B">
        <w:rPr>
          <w:rFonts w:ascii="Arial" w:hAnsi="Arial" w:hint="cs"/>
          <w:rtl/>
        </w:rPr>
        <w:t>ב</w:t>
      </w:r>
      <w:r w:rsidRPr="0077511B">
        <w:rPr>
          <w:rFonts w:ascii="Arial" w:hAnsi="Arial"/>
          <w:rtl/>
        </w:rPr>
        <w:t xml:space="preserve">ביצוע העבירה, התייחסה ב"כ המאשימה להודאתו של הנאשם בכתב האישום מתוקן שחסכה זמן שיפוטי יקר. </w:t>
      </w:r>
    </w:p>
    <w:p w14:paraId="2851EA24" w14:textId="77777777" w:rsidR="00DA1D02" w:rsidRPr="0077511B" w:rsidRDefault="00DA1D02" w:rsidP="00DA1D02">
      <w:pPr>
        <w:spacing w:line="360" w:lineRule="auto"/>
        <w:jc w:val="both"/>
        <w:rPr>
          <w:rFonts w:ascii="Arial" w:hAnsi="Arial"/>
          <w:rtl/>
        </w:rPr>
      </w:pPr>
    </w:p>
    <w:p w14:paraId="699036CD" w14:textId="77777777" w:rsidR="00DA1D02" w:rsidRPr="0077511B" w:rsidRDefault="00DA1D02" w:rsidP="00DA1D02">
      <w:pPr>
        <w:spacing w:line="360" w:lineRule="auto"/>
        <w:jc w:val="both"/>
        <w:rPr>
          <w:rFonts w:ascii="Arial" w:hAnsi="Arial"/>
          <w:rtl/>
        </w:rPr>
      </w:pPr>
      <w:r w:rsidRPr="0077511B">
        <w:rPr>
          <w:rFonts w:ascii="Arial" w:hAnsi="Arial"/>
          <w:rtl/>
        </w:rPr>
        <w:t xml:space="preserve">כן פירטה התובעת באשר לעברו של הנאשם, אשר לחובתו </w:t>
      </w:r>
      <w:r w:rsidRPr="0077511B">
        <w:rPr>
          <w:rFonts w:ascii="Arial" w:hAnsi="Arial" w:hint="cs"/>
          <w:rtl/>
        </w:rPr>
        <w:t>שלוש</w:t>
      </w:r>
      <w:r w:rsidRPr="0077511B">
        <w:rPr>
          <w:rFonts w:ascii="Arial" w:hAnsi="Arial"/>
          <w:rtl/>
        </w:rPr>
        <w:t xml:space="preserve"> הרשעות קודמות, אחת משנת 2018 בגין חבלה בצוותא, נוספת משנת 2020 בגין החזקת סמים ואחרונה משנת 2022 בגין מסירת ידיעה כוזבת וסיכון חיי אדם במזיד בנתיב תחבורה, בעטיה ריצה 22 חודשי מאסר לצד עונשים נוספים. בנוסף</w:t>
      </w:r>
      <w:r w:rsidRPr="0077511B">
        <w:rPr>
          <w:rFonts w:ascii="Arial" w:hAnsi="Arial" w:hint="cs"/>
          <w:rtl/>
        </w:rPr>
        <w:t>,</w:t>
      </w:r>
      <w:r w:rsidRPr="0077511B">
        <w:rPr>
          <w:rFonts w:ascii="Arial" w:hAnsi="Arial"/>
          <w:rtl/>
        </w:rPr>
        <w:t xml:space="preserve"> הפנתה ב"כ המאשימה לעב</w:t>
      </w:r>
      <w:r w:rsidRPr="0077511B">
        <w:rPr>
          <w:rFonts w:ascii="Arial" w:hAnsi="Arial" w:hint="cs"/>
          <w:rtl/>
        </w:rPr>
        <w:t>י</w:t>
      </w:r>
      <w:r w:rsidRPr="0077511B">
        <w:rPr>
          <w:rFonts w:ascii="Arial" w:hAnsi="Arial"/>
          <w:rtl/>
        </w:rPr>
        <w:t>רות התעבורה של הנאשם, ביניהן שתי הרשעות בעבירות חמורות</w:t>
      </w:r>
      <w:r w:rsidRPr="0077511B">
        <w:rPr>
          <w:rFonts w:ascii="Arial" w:hAnsi="Arial" w:hint="cs"/>
          <w:rtl/>
        </w:rPr>
        <w:t>,</w:t>
      </w:r>
      <w:r w:rsidRPr="0077511B">
        <w:rPr>
          <w:rFonts w:ascii="Arial" w:hAnsi="Arial"/>
          <w:rtl/>
        </w:rPr>
        <w:t xml:space="preserve"> שהובילו להטלת מאסר מותנה. העובדה שלמרות גילו הצעיר</w:t>
      </w:r>
      <w:r w:rsidRPr="0077511B">
        <w:rPr>
          <w:rFonts w:ascii="Arial" w:hAnsi="Arial" w:hint="cs"/>
          <w:rtl/>
        </w:rPr>
        <w:t xml:space="preserve"> (בן 25)</w:t>
      </w:r>
      <w:r w:rsidRPr="0077511B">
        <w:rPr>
          <w:rFonts w:ascii="Arial" w:hAnsi="Arial"/>
          <w:rtl/>
        </w:rPr>
        <w:t xml:space="preserve"> הנאשם כבר הספיק לצבור הרשעות רבות, חלקן בעבירות משמעותיות, וכן חזרתו ל</w:t>
      </w:r>
      <w:r w:rsidRPr="0077511B">
        <w:rPr>
          <w:rFonts w:ascii="Arial" w:hAnsi="Arial" w:hint="cs"/>
          <w:rtl/>
        </w:rPr>
        <w:t>ס</w:t>
      </w:r>
      <w:r w:rsidRPr="0077511B">
        <w:rPr>
          <w:rFonts w:ascii="Arial" w:hAnsi="Arial"/>
          <w:rtl/>
        </w:rPr>
        <w:t>ורו זמן מועט לאחר שהשתחרר ממאסר קודם, מצדיקות, לדעת ב"כ המאשימה, החמרה עונשית.</w:t>
      </w:r>
    </w:p>
    <w:p w14:paraId="5C933A80" w14:textId="77777777" w:rsidR="00DA1D02" w:rsidRPr="0077511B" w:rsidRDefault="00DA1D02" w:rsidP="00DA1D02">
      <w:pPr>
        <w:spacing w:line="360" w:lineRule="auto"/>
        <w:jc w:val="both"/>
        <w:rPr>
          <w:rFonts w:ascii="Arial" w:hAnsi="Arial"/>
          <w:rtl/>
        </w:rPr>
      </w:pPr>
    </w:p>
    <w:p w14:paraId="17382D26" w14:textId="77777777" w:rsidR="00DA1D02" w:rsidRPr="0077511B" w:rsidRDefault="00DA1D02" w:rsidP="00DA1D02">
      <w:pPr>
        <w:spacing w:line="360" w:lineRule="auto"/>
        <w:jc w:val="both"/>
        <w:rPr>
          <w:rFonts w:ascii="Arial" w:hAnsi="Arial"/>
          <w:rtl/>
        </w:rPr>
      </w:pPr>
      <w:r w:rsidRPr="0077511B">
        <w:rPr>
          <w:rFonts w:ascii="Arial" w:hAnsi="Arial"/>
          <w:rtl/>
        </w:rPr>
        <w:t xml:space="preserve">על רקע כלל האמור, עתרה ב"כ המאשימה להטיל על הנאשם עונש מאסר ברף הבינוני-עליון של המתחם. </w:t>
      </w:r>
    </w:p>
    <w:p w14:paraId="6128CCD1" w14:textId="77777777" w:rsidR="00DA1D02" w:rsidRPr="0077511B" w:rsidRDefault="00DA1D02" w:rsidP="00DA1D02">
      <w:pPr>
        <w:jc w:val="both"/>
        <w:rPr>
          <w:rFonts w:ascii="Arial" w:hAnsi="Arial"/>
          <w:b/>
          <w:bCs/>
          <w:rtl/>
        </w:rPr>
      </w:pPr>
    </w:p>
    <w:p w14:paraId="754648BC" w14:textId="77777777" w:rsidR="00DA1D02" w:rsidRPr="0077511B" w:rsidRDefault="00DA1D02" w:rsidP="00DA1D02">
      <w:pPr>
        <w:jc w:val="both"/>
        <w:rPr>
          <w:rFonts w:ascii="Arial" w:hAnsi="Arial"/>
          <w:rtl/>
        </w:rPr>
      </w:pPr>
      <w:r w:rsidRPr="0077511B">
        <w:rPr>
          <w:rFonts w:ascii="Arial" w:hAnsi="Arial"/>
          <w:b/>
          <w:bCs/>
          <w:rtl/>
        </w:rPr>
        <w:t>ב"כ הנאשם</w:t>
      </w:r>
      <w:r w:rsidRPr="0077511B">
        <w:rPr>
          <w:rFonts w:ascii="Arial" w:hAnsi="Arial"/>
          <w:rtl/>
        </w:rPr>
        <w:t xml:space="preserve"> חלק על גישתה של התובעת. </w:t>
      </w:r>
    </w:p>
    <w:p w14:paraId="24615A32" w14:textId="77777777" w:rsidR="00DA1D02" w:rsidRPr="0077511B" w:rsidRDefault="00DA1D02" w:rsidP="00DA1D02">
      <w:pPr>
        <w:jc w:val="both"/>
        <w:rPr>
          <w:rFonts w:ascii="Arial" w:hAnsi="Arial"/>
          <w:rtl/>
        </w:rPr>
      </w:pPr>
    </w:p>
    <w:p w14:paraId="45CDFA6B" w14:textId="77777777" w:rsidR="00DA1D02" w:rsidRPr="0077511B" w:rsidRDefault="00DA1D02" w:rsidP="00DA1D02">
      <w:pPr>
        <w:spacing w:line="360" w:lineRule="auto"/>
        <w:jc w:val="both"/>
        <w:rPr>
          <w:rFonts w:ascii="Arial" w:hAnsi="Arial"/>
          <w:rtl/>
        </w:rPr>
      </w:pPr>
      <w:r w:rsidRPr="0077511B">
        <w:rPr>
          <w:rFonts w:ascii="Arial" w:hAnsi="Arial"/>
          <w:rtl/>
        </w:rPr>
        <w:t xml:space="preserve">ראשית, הדגיש הסנגור את הודאתו של הנאשם באשמה, לאחר התיקון המהותי של כתב האישום, אשר נבע מקשיים ראיתיים משמעותיים. הסנגור ציין כי עבירת סיוע להחזקת נשק, בה הורשע הנאשם בסופו של יום, הייתה אמורה להתברר בבית המשפט השלום. </w:t>
      </w:r>
      <w:r w:rsidRPr="0077511B">
        <w:rPr>
          <w:rFonts w:ascii="Arial" w:hAnsi="Arial" w:hint="cs"/>
          <w:rtl/>
        </w:rPr>
        <w:t xml:space="preserve">אי לכך, סבר </w:t>
      </w:r>
      <w:r w:rsidRPr="0077511B">
        <w:rPr>
          <w:rFonts w:ascii="Arial" w:hAnsi="Arial"/>
          <w:rtl/>
        </w:rPr>
        <w:t xml:space="preserve">הסנגור כי עתירת ב"כ המאשימה אינה משקפת את תיקונו המהותי של כתב האישום כאמור, כאשר נותרה עבירה מצומצמת של סיוע להחזקת נשק. </w:t>
      </w:r>
    </w:p>
    <w:p w14:paraId="0A0CB4F0" w14:textId="77777777" w:rsidR="00DA1D02" w:rsidRPr="0077511B" w:rsidRDefault="00DA1D02" w:rsidP="00DA1D02">
      <w:pPr>
        <w:spacing w:line="360" w:lineRule="auto"/>
        <w:jc w:val="both"/>
        <w:rPr>
          <w:rFonts w:ascii="Arial" w:hAnsi="Arial"/>
          <w:rtl/>
        </w:rPr>
      </w:pPr>
    </w:p>
    <w:p w14:paraId="24861B67" w14:textId="77777777" w:rsidR="00DA1D02" w:rsidRPr="0077511B" w:rsidRDefault="00DA1D02" w:rsidP="00DA1D02">
      <w:pPr>
        <w:spacing w:line="360" w:lineRule="auto"/>
        <w:jc w:val="both"/>
        <w:rPr>
          <w:rFonts w:ascii="Arial" w:hAnsi="Arial"/>
          <w:rtl/>
        </w:rPr>
      </w:pPr>
      <w:r w:rsidRPr="0077511B">
        <w:rPr>
          <w:rFonts w:ascii="Arial" w:hAnsi="Arial" w:hint="cs"/>
          <w:rtl/>
        </w:rPr>
        <w:t xml:space="preserve">כל זאת, כאשר </w:t>
      </w:r>
      <w:r w:rsidRPr="0077511B">
        <w:rPr>
          <w:rFonts w:ascii="Arial" w:hAnsi="Arial"/>
          <w:rtl/>
        </w:rPr>
        <w:t>לדברי</w:t>
      </w:r>
      <w:r w:rsidRPr="0077511B">
        <w:rPr>
          <w:rFonts w:ascii="Arial" w:hAnsi="Arial" w:hint="cs"/>
          <w:rtl/>
        </w:rPr>
        <w:t>ו</w:t>
      </w:r>
      <w:r w:rsidRPr="0077511B">
        <w:rPr>
          <w:rFonts w:ascii="Arial" w:hAnsi="Arial"/>
          <w:rtl/>
        </w:rPr>
        <w:t xml:space="preserve">, </w:t>
      </w:r>
      <w:r w:rsidRPr="0077511B">
        <w:rPr>
          <w:rFonts w:ascii="Arial" w:hAnsi="Arial" w:hint="cs"/>
          <w:rtl/>
        </w:rPr>
        <w:t>מדובר ב</w:t>
      </w:r>
      <w:r w:rsidRPr="0077511B">
        <w:rPr>
          <w:rFonts w:ascii="Arial" w:hAnsi="Arial"/>
          <w:rtl/>
        </w:rPr>
        <w:t>סיוע ארעי</w:t>
      </w:r>
      <w:r w:rsidRPr="0077511B">
        <w:rPr>
          <w:rFonts w:ascii="Arial" w:hAnsi="Arial" w:hint="cs"/>
          <w:rtl/>
        </w:rPr>
        <w:t>,</w:t>
      </w:r>
      <w:r w:rsidRPr="0077511B">
        <w:rPr>
          <w:rFonts w:ascii="Arial" w:hAnsi="Arial"/>
          <w:rtl/>
        </w:rPr>
        <w:t xml:space="preserve"> ליום אחד בלבד. </w:t>
      </w:r>
    </w:p>
    <w:p w14:paraId="47D60B72" w14:textId="77777777" w:rsidR="00DA1D02" w:rsidRPr="0077511B" w:rsidRDefault="00DA1D02" w:rsidP="00DA1D02">
      <w:pPr>
        <w:spacing w:line="360" w:lineRule="auto"/>
        <w:jc w:val="both"/>
        <w:rPr>
          <w:rFonts w:ascii="Arial" w:hAnsi="Arial"/>
          <w:rtl/>
        </w:rPr>
      </w:pPr>
    </w:p>
    <w:p w14:paraId="7981E3C3" w14:textId="77777777" w:rsidR="00DA1D02" w:rsidRPr="0077511B" w:rsidRDefault="00DA1D02" w:rsidP="00DA1D02">
      <w:pPr>
        <w:spacing w:line="360" w:lineRule="auto"/>
        <w:jc w:val="both"/>
        <w:rPr>
          <w:rFonts w:ascii="Arial" w:hAnsi="Arial"/>
          <w:rtl/>
        </w:rPr>
      </w:pPr>
      <w:r w:rsidRPr="0077511B">
        <w:rPr>
          <w:rFonts w:ascii="Arial" w:hAnsi="Arial"/>
          <w:rtl/>
        </w:rPr>
        <w:t>כן נטען כי אין להפיל על כתפיו של הנאשם את כל תחלואי החברה הערבית, כאשר הוא הורשע בעבירה מוגבלת של סיוע להחזקת אקדח.</w:t>
      </w:r>
    </w:p>
    <w:p w14:paraId="070B9765" w14:textId="77777777" w:rsidR="00DA1D02" w:rsidRPr="0077511B" w:rsidRDefault="00DA1D02" w:rsidP="00DA1D02">
      <w:pPr>
        <w:spacing w:line="360" w:lineRule="auto"/>
        <w:jc w:val="both"/>
        <w:rPr>
          <w:rFonts w:ascii="Arial" w:hAnsi="Arial"/>
          <w:rtl/>
        </w:rPr>
      </w:pPr>
    </w:p>
    <w:p w14:paraId="62BBB25D" w14:textId="77777777" w:rsidR="00DA1D02" w:rsidRPr="0077511B" w:rsidRDefault="00DA1D02" w:rsidP="00DA1D02">
      <w:pPr>
        <w:spacing w:line="360" w:lineRule="auto"/>
        <w:jc w:val="both"/>
        <w:rPr>
          <w:rFonts w:ascii="Arial" w:hAnsi="Arial"/>
          <w:rtl/>
        </w:rPr>
      </w:pPr>
      <w:r w:rsidRPr="0077511B">
        <w:rPr>
          <w:rFonts w:ascii="Arial" w:hAnsi="Arial"/>
          <w:rtl/>
        </w:rPr>
        <w:t xml:space="preserve">בשונה מהתובעת, סבר הסנגור כי אין לזקוף לחובת הנאשם את עברו הפלילי. לשיטתו, עיקר העבירות  בהן הורשע הן במהותן עבירות תעבורה, אשר אין ביניהן לבין ההרשעה הנוכחית כל קשר. כן </w:t>
      </w:r>
      <w:r w:rsidRPr="0077511B">
        <w:rPr>
          <w:rFonts w:ascii="Arial" w:hAnsi="Arial" w:hint="cs"/>
          <w:rtl/>
        </w:rPr>
        <w:t>ה</w:t>
      </w:r>
      <w:r w:rsidRPr="0077511B">
        <w:rPr>
          <w:rFonts w:ascii="Arial" w:hAnsi="Arial"/>
          <w:rtl/>
        </w:rPr>
        <w:t>דגיש הסנגור כי הנאשם ריצה מאסר בפועל רק בגין הרשעה אחת.</w:t>
      </w:r>
    </w:p>
    <w:p w14:paraId="55B68E39" w14:textId="77777777" w:rsidR="00DA1D02" w:rsidRPr="0077511B" w:rsidRDefault="00DA1D02" w:rsidP="00DA1D02">
      <w:pPr>
        <w:spacing w:line="360" w:lineRule="auto"/>
        <w:jc w:val="both"/>
        <w:rPr>
          <w:rFonts w:ascii="Arial" w:hAnsi="Arial"/>
          <w:rtl/>
        </w:rPr>
      </w:pPr>
    </w:p>
    <w:p w14:paraId="577B04E3" w14:textId="77777777" w:rsidR="00DA1D02" w:rsidRPr="0077511B" w:rsidRDefault="00DA1D02" w:rsidP="00DA1D02">
      <w:pPr>
        <w:spacing w:line="360" w:lineRule="auto"/>
        <w:jc w:val="both"/>
        <w:rPr>
          <w:rFonts w:ascii="Arial" w:hAnsi="Arial"/>
          <w:rtl/>
        </w:rPr>
      </w:pPr>
      <w:r w:rsidRPr="0077511B">
        <w:rPr>
          <w:rFonts w:ascii="Arial" w:hAnsi="Arial"/>
          <w:rtl/>
        </w:rPr>
        <w:t>לצד האמור, ב</w:t>
      </w:r>
      <w:r w:rsidRPr="0077511B">
        <w:rPr>
          <w:rFonts w:ascii="Arial" w:hAnsi="Arial" w:hint="cs"/>
          <w:rtl/>
        </w:rPr>
        <w:t>י</w:t>
      </w:r>
      <w:r w:rsidRPr="0077511B">
        <w:rPr>
          <w:rFonts w:ascii="Arial" w:hAnsi="Arial"/>
          <w:rtl/>
        </w:rPr>
        <w:t>קש הסנגור להתחשב בעובדה כי הנאשם מצוי במעצר עד תום ההליכים, בתנאים קשים</w:t>
      </w:r>
      <w:r w:rsidRPr="0077511B">
        <w:rPr>
          <w:rFonts w:ascii="Arial" w:hAnsi="Arial" w:hint="cs"/>
          <w:rtl/>
        </w:rPr>
        <w:t>,</w:t>
      </w:r>
      <w:r w:rsidRPr="0077511B">
        <w:rPr>
          <w:rFonts w:ascii="Arial" w:hAnsi="Arial"/>
          <w:rtl/>
        </w:rPr>
        <w:t xml:space="preserve"> מזה למעלה מ-4 חודשים. </w:t>
      </w:r>
    </w:p>
    <w:p w14:paraId="25774CB0" w14:textId="77777777" w:rsidR="00DA1D02" w:rsidRPr="0077511B" w:rsidRDefault="00DA1D02" w:rsidP="00DA1D02">
      <w:pPr>
        <w:spacing w:line="360" w:lineRule="auto"/>
        <w:jc w:val="both"/>
        <w:rPr>
          <w:rFonts w:ascii="Arial" w:hAnsi="Arial"/>
          <w:rtl/>
        </w:rPr>
      </w:pPr>
    </w:p>
    <w:p w14:paraId="6CC5B5B4" w14:textId="77777777" w:rsidR="00DA1D02" w:rsidRPr="0077511B" w:rsidRDefault="00DA1D02" w:rsidP="00DA1D02">
      <w:pPr>
        <w:spacing w:line="360" w:lineRule="auto"/>
        <w:jc w:val="both"/>
        <w:rPr>
          <w:rFonts w:ascii="Arial" w:hAnsi="Arial"/>
          <w:rtl/>
        </w:rPr>
      </w:pPr>
      <w:r w:rsidRPr="0077511B">
        <w:rPr>
          <w:rFonts w:ascii="Arial" w:hAnsi="Arial" w:hint="cs"/>
          <w:rtl/>
        </w:rPr>
        <w:t>עוד הוא ביקש</w:t>
      </w:r>
      <w:r w:rsidRPr="0077511B">
        <w:rPr>
          <w:rFonts w:ascii="Arial" w:hAnsi="Arial"/>
          <w:rtl/>
        </w:rPr>
        <w:t xml:space="preserve"> להתחשב בעובדה כי</w:t>
      </w:r>
      <w:r w:rsidRPr="0077511B">
        <w:rPr>
          <w:rFonts w:ascii="Arial" w:hAnsi="Arial" w:hint="cs"/>
          <w:rtl/>
        </w:rPr>
        <w:t>,</w:t>
      </w:r>
      <w:r w:rsidRPr="0077511B">
        <w:rPr>
          <w:rFonts w:ascii="Arial" w:hAnsi="Arial"/>
          <w:rtl/>
        </w:rPr>
        <w:t xml:space="preserve"> טרם מעצרו</w:t>
      </w:r>
      <w:r w:rsidRPr="0077511B">
        <w:rPr>
          <w:rFonts w:ascii="Arial" w:hAnsi="Arial" w:hint="cs"/>
          <w:rtl/>
        </w:rPr>
        <w:t>,</w:t>
      </w:r>
      <w:r w:rsidRPr="0077511B">
        <w:rPr>
          <w:rFonts w:ascii="Arial" w:hAnsi="Arial"/>
          <w:rtl/>
        </w:rPr>
        <w:t xml:space="preserve"> ה</w:t>
      </w:r>
      <w:r w:rsidRPr="0077511B">
        <w:rPr>
          <w:rFonts w:ascii="Arial" w:hAnsi="Arial" w:hint="cs"/>
          <w:rtl/>
        </w:rPr>
        <w:t>נאשם</w:t>
      </w:r>
      <w:r w:rsidRPr="0077511B">
        <w:rPr>
          <w:rFonts w:ascii="Arial" w:hAnsi="Arial"/>
          <w:rtl/>
        </w:rPr>
        <w:t xml:space="preserve"> היה המפרנס היחידי של משפח</w:t>
      </w:r>
      <w:r w:rsidRPr="0077511B">
        <w:rPr>
          <w:rFonts w:ascii="Arial" w:hAnsi="Arial" w:hint="cs"/>
          <w:rtl/>
        </w:rPr>
        <w:t>תו</w:t>
      </w:r>
      <w:r w:rsidRPr="0077511B">
        <w:rPr>
          <w:rFonts w:ascii="Arial" w:hAnsi="Arial"/>
          <w:rtl/>
        </w:rPr>
        <w:t>, תמך בהוריו ובאחיו</w:t>
      </w:r>
      <w:r w:rsidRPr="0077511B">
        <w:rPr>
          <w:rFonts w:ascii="Arial" w:hAnsi="Arial" w:hint="cs"/>
          <w:rtl/>
        </w:rPr>
        <w:t xml:space="preserve"> </w:t>
      </w:r>
      <w:r w:rsidRPr="0077511B">
        <w:rPr>
          <w:rFonts w:ascii="Arial" w:hAnsi="Arial"/>
          <w:rtl/>
        </w:rPr>
        <w:t xml:space="preserve">והיווה </w:t>
      </w:r>
      <w:r w:rsidRPr="0077511B">
        <w:rPr>
          <w:rFonts w:ascii="Arial" w:hAnsi="Arial" w:hint="cs"/>
          <w:rtl/>
        </w:rPr>
        <w:t>עבורם "</w:t>
      </w:r>
      <w:r w:rsidRPr="0077511B">
        <w:rPr>
          <w:rFonts w:ascii="Arial" w:hAnsi="Arial"/>
          <w:rtl/>
        </w:rPr>
        <w:t>עמוד שדרה</w:t>
      </w:r>
      <w:r w:rsidRPr="0077511B">
        <w:rPr>
          <w:rFonts w:ascii="Arial" w:hAnsi="Arial" w:hint="cs"/>
          <w:rtl/>
        </w:rPr>
        <w:t>" משפחתי</w:t>
      </w:r>
      <w:r w:rsidRPr="0077511B">
        <w:rPr>
          <w:rFonts w:ascii="Arial" w:hAnsi="Arial"/>
          <w:rtl/>
        </w:rPr>
        <w:t xml:space="preserve">. </w:t>
      </w:r>
    </w:p>
    <w:p w14:paraId="77D8BC50" w14:textId="77777777" w:rsidR="00DA1D02" w:rsidRPr="0077511B" w:rsidRDefault="00DA1D02" w:rsidP="00DA1D02">
      <w:pPr>
        <w:spacing w:line="360" w:lineRule="auto"/>
        <w:jc w:val="both"/>
        <w:rPr>
          <w:rFonts w:ascii="Arial" w:hAnsi="Arial"/>
          <w:rtl/>
        </w:rPr>
      </w:pPr>
    </w:p>
    <w:p w14:paraId="50BD4811" w14:textId="77777777" w:rsidR="00DA1D02" w:rsidRPr="0077511B" w:rsidRDefault="00DA1D02" w:rsidP="00DA1D02">
      <w:pPr>
        <w:spacing w:line="360" w:lineRule="auto"/>
        <w:jc w:val="both"/>
        <w:rPr>
          <w:rFonts w:ascii="Arial" w:hAnsi="Arial"/>
          <w:rtl/>
        </w:rPr>
      </w:pPr>
      <w:r w:rsidRPr="0077511B">
        <w:rPr>
          <w:rFonts w:ascii="Arial" w:hAnsi="Arial"/>
          <w:rtl/>
        </w:rPr>
        <w:t xml:space="preserve">הסנגור </w:t>
      </w:r>
      <w:r w:rsidRPr="0077511B">
        <w:rPr>
          <w:rFonts w:ascii="Arial" w:hAnsi="Arial" w:hint="cs"/>
          <w:rtl/>
        </w:rPr>
        <w:t>ה</w:t>
      </w:r>
      <w:r w:rsidRPr="0077511B">
        <w:rPr>
          <w:rFonts w:ascii="Arial" w:hAnsi="Arial"/>
          <w:rtl/>
        </w:rPr>
        <w:t>פנה אף הוא למספר פסקי דין, תוך שהוא מאבחן את המקרה דנן לקולא. לדבריו, בהתאם לענישה הנוהגת, ובשים לב לעובדה כי הנאשם הורשע בעבירת סיוע</w:t>
      </w:r>
      <w:r w:rsidRPr="0077511B">
        <w:rPr>
          <w:rFonts w:ascii="Arial" w:hAnsi="Arial" w:hint="cs"/>
          <w:rtl/>
        </w:rPr>
        <w:t xml:space="preserve"> </w:t>
      </w:r>
      <w:r w:rsidRPr="0077511B">
        <w:rPr>
          <w:rFonts w:ascii="Arial" w:hAnsi="Arial"/>
          <w:rtl/>
        </w:rPr>
        <w:t>, אשר העונש עליה הוא מחצית העונש הקבוע לצד העבירה המושלמת, יש לקבוע מתחם עונשי של מס</w:t>
      </w:r>
      <w:r w:rsidRPr="0077511B">
        <w:rPr>
          <w:rFonts w:ascii="Arial" w:hAnsi="Arial" w:hint="cs"/>
          <w:rtl/>
        </w:rPr>
        <w:t>פר</w:t>
      </w:r>
      <w:r w:rsidRPr="0077511B">
        <w:rPr>
          <w:rFonts w:ascii="Arial" w:hAnsi="Arial"/>
          <w:rtl/>
        </w:rPr>
        <w:t xml:space="preserve"> חודשי</w:t>
      </w:r>
      <w:r w:rsidRPr="0077511B">
        <w:rPr>
          <w:rFonts w:ascii="Arial" w:hAnsi="Arial" w:hint="cs"/>
          <w:rtl/>
        </w:rPr>
        <w:t xml:space="preserve"> מאסר ספורים </w:t>
      </w:r>
      <w:r w:rsidRPr="0077511B">
        <w:rPr>
          <w:rFonts w:ascii="Arial" w:hAnsi="Arial"/>
          <w:rtl/>
        </w:rPr>
        <w:t xml:space="preserve">ם עד </w:t>
      </w:r>
      <w:r w:rsidRPr="0077511B">
        <w:rPr>
          <w:rFonts w:ascii="Arial" w:hAnsi="Arial" w:hint="cs"/>
          <w:rtl/>
        </w:rPr>
        <w:t>תשעה</w:t>
      </w:r>
      <w:r w:rsidRPr="0077511B">
        <w:rPr>
          <w:rFonts w:ascii="Arial" w:hAnsi="Arial"/>
          <w:rtl/>
        </w:rPr>
        <w:t xml:space="preserve"> חודשי מאסר לריצוי בפועל. </w:t>
      </w:r>
    </w:p>
    <w:p w14:paraId="08828986" w14:textId="77777777" w:rsidR="00DA1D02" w:rsidRPr="0077511B" w:rsidRDefault="00DA1D02" w:rsidP="00DA1D02">
      <w:pPr>
        <w:spacing w:line="360" w:lineRule="auto"/>
        <w:jc w:val="both"/>
        <w:rPr>
          <w:rFonts w:ascii="Arial" w:hAnsi="Arial"/>
          <w:rtl/>
        </w:rPr>
      </w:pPr>
    </w:p>
    <w:p w14:paraId="12E288E3" w14:textId="77777777" w:rsidR="00DA1D02" w:rsidRPr="0077511B" w:rsidRDefault="00DA1D02" w:rsidP="00DA1D02">
      <w:pPr>
        <w:spacing w:line="360" w:lineRule="auto"/>
        <w:jc w:val="both"/>
        <w:rPr>
          <w:rFonts w:ascii="Arial" w:hAnsi="Arial"/>
          <w:rtl/>
        </w:rPr>
      </w:pPr>
      <w:r w:rsidRPr="0077511B">
        <w:rPr>
          <w:rFonts w:ascii="Arial" w:hAnsi="Arial"/>
          <w:rtl/>
        </w:rPr>
        <w:t xml:space="preserve">לגישתו, את עונשו של הנאשם יש למקם ברף התחתון, ולהסתפק בימי מעצרו כמאסר בפועל. </w:t>
      </w:r>
    </w:p>
    <w:p w14:paraId="17AA3094" w14:textId="77777777" w:rsidR="00DA1D02" w:rsidRPr="0077511B" w:rsidRDefault="00DA1D02" w:rsidP="00DA1D02">
      <w:pPr>
        <w:spacing w:line="360" w:lineRule="auto"/>
        <w:jc w:val="both"/>
        <w:rPr>
          <w:rFonts w:ascii="Arial" w:hAnsi="Arial"/>
          <w:rtl/>
        </w:rPr>
      </w:pPr>
    </w:p>
    <w:p w14:paraId="77165582" w14:textId="77777777" w:rsidR="00DA1D02" w:rsidRDefault="00DA1D02" w:rsidP="00DA1D02">
      <w:pPr>
        <w:spacing w:line="360" w:lineRule="auto"/>
        <w:jc w:val="both"/>
        <w:rPr>
          <w:rFonts w:ascii="Arial" w:hAnsi="Arial"/>
          <w:b/>
          <w:bCs/>
          <w:u w:val="single"/>
          <w:rtl/>
        </w:rPr>
      </w:pPr>
      <w:r w:rsidRPr="0077511B">
        <w:rPr>
          <w:rFonts w:ascii="Arial" w:hAnsi="Arial"/>
          <w:b/>
          <w:bCs/>
          <w:rtl/>
        </w:rPr>
        <w:t>הנאשם בדברו האחרון</w:t>
      </w:r>
      <w:r w:rsidRPr="0077511B">
        <w:rPr>
          <w:rFonts w:ascii="Arial" w:hAnsi="Arial"/>
          <w:rtl/>
        </w:rPr>
        <w:t xml:space="preserve"> ציין כי הוא שילם את חובו לחברה</w:t>
      </w:r>
      <w:r w:rsidRPr="0077511B">
        <w:rPr>
          <w:rFonts w:ascii="Arial" w:hAnsi="Arial" w:hint="cs"/>
          <w:rtl/>
        </w:rPr>
        <w:t xml:space="preserve"> בגין מעשיו עד כה</w:t>
      </w:r>
      <w:r w:rsidRPr="0077511B">
        <w:rPr>
          <w:rFonts w:ascii="Arial" w:hAnsi="Arial"/>
          <w:rtl/>
        </w:rPr>
        <w:t xml:space="preserve">. במהלך מאסרו הקודם, השתתף בקבוצות טיפוליות והוא מאוד מעונין להתקדם בחיים, לדאוג לפרנסתו ולפרנסת משפחתו ולא לחזור לבית הסוהר. </w:t>
      </w:r>
    </w:p>
    <w:p w14:paraId="2EDB61D3" w14:textId="77777777" w:rsidR="00DA1D02" w:rsidRDefault="00DA1D02" w:rsidP="00DA1D02">
      <w:pPr>
        <w:spacing w:line="360" w:lineRule="auto"/>
        <w:jc w:val="both"/>
        <w:rPr>
          <w:rFonts w:ascii="Arial" w:hAnsi="Arial"/>
          <w:b/>
          <w:bCs/>
          <w:u w:val="single"/>
          <w:rtl/>
        </w:rPr>
      </w:pPr>
    </w:p>
    <w:p w14:paraId="3144B066" w14:textId="77777777" w:rsidR="00DA1D02" w:rsidRPr="0077511B" w:rsidRDefault="00DA1D02" w:rsidP="00DA1D02">
      <w:pPr>
        <w:spacing w:line="360" w:lineRule="auto"/>
        <w:jc w:val="both"/>
        <w:rPr>
          <w:rFonts w:ascii="Arial" w:hAnsi="Arial"/>
          <w:b/>
          <w:bCs/>
          <w:u w:val="single"/>
          <w:rtl/>
        </w:rPr>
      </w:pPr>
      <w:r w:rsidRPr="0077511B">
        <w:rPr>
          <w:rFonts w:ascii="Arial" w:hAnsi="Arial"/>
          <w:b/>
          <w:bCs/>
          <w:u w:val="single"/>
          <w:rtl/>
        </w:rPr>
        <w:t>דיון והכרעה</w:t>
      </w:r>
    </w:p>
    <w:p w14:paraId="332FFD3E" w14:textId="77777777" w:rsidR="00DA1D02" w:rsidRPr="0077511B" w:rsidRDefault="00DA1D02" w:rsidP="00DA1D02">
      <w:pPr>
        <w:jc w:val="both"/>
        <w:rPr>
          <w:rFonts w:ascii="Arial" w:hAnsi="Arial"/>
          <w:b/>
          <w:bCs/>
          <w:u w:val="single"/>
          <w:rtl/>
        </w:rPr>
      </w:pPr>
    </w:p>
    <w:p w14:paraId="5312F23D" w14:textId="77777777" w:rsidR="00DA1D02" w:rsidRPr="0077511B" w:rsidRDefault="00DA1D02" w:rsidP="00DA1D02">
      <w:pPr>
        <w:spacing w:line="360" w:lineRule="auto"/>
        <w:jc w:val="both"/>
        <w:rPr>
          <w:rFonts w:ascii="Arial" w:hAnsi="Arial"/>
          <w:b/>
          <w:bCs/>
          <w:rtl/>
        </w:rPr>
      </w:pPr>
      <w:r w:rsidRPr="0077511B">
        <w:rPr>
          <w:rFonts w:ascii="Arial" w:hAnsi="Arial"/>
          <w:b/>
          <w:bCs/>
          <w:rtl/>
        </w:rPr>
        <w:t>הערכים המוגנים</w:t>
      </w:r>
    </w:p>
    <w:p w14:paraId="18E3E947" w14:textId="77777777" w:rsidR="00DA1D02" w:rsidRPr="0077511B" w:rsidRDefault="008D20DE" w:rsidP="00DA1D02">
      <w:pPr>
        <w:spacing w:line="360" w:lineRule="auto"/>
        <w:jc w:val="both"/>
        <w:rPr>
          <w:rFonts w:ascii="Arial" w:hAnsi="Arial"/>
          <w:rtl/>
        </w:rPr>
      </w:pPr>
      <w:hyperlink r:id="rId11" w:history="1">
        <w:r w:rsidRPr="008D20DE">
          <w:rPr>
            <w:rStyle w:val="Hyperlink"/>
            <w:rFonts w:ascii="Arial" w:hAnsi="Arial"/>
            <w:color w:val="0000FF"/>
            <w:rtl/>
          </w:rPr>
          <w:t>סעיף 144</w:t>
        </w:r>
      </w:hyperlink>
      <w:r w:rsidR="00DA1D02" w:rsidRPr="0077511B">
        <w:rPr>
          <w:rFonts w:ascii="Arial" w:hAnsi="Arial"/>
          <w:rtl/>
        </w:rPr>
        <w:t xml:space="preserve"> ל</w:t>
      </w:r>
      <w:hyperlink r:id="rId12" w:history="1">
        <w:r w:rsidR="00F231B8" w:rsidRPr="00F231B8">
          <w:rPr>
            <w:rFonts w:ascii="Arial" w:hAnsi="Arial"/>
            <w:color w:val="0000FF"/>
            <w:u w:val="single"/>
            <w:rtl/>
          </w:rPr>
          <w:t>חוק העונשין</w:t>
        </w:r>
      </w:hyperlink>
      <w:r w:rsidR="00DA1D02" w:rsidRPr="0077511B">
        <w:rPr>
          <w:rFonts w:ascii="Arial" w:hAnsi="Arial"/>
          <w:rtl/>
        </w:rPr>
        <w:t xml:space="preserve"> מגלם בחובו תכליות של הגנה על חיי האדם, שלום הציבור וביטחונו (ראו מיני רבים </w:t>
      </w:r>
      <w:hyperlink r:id="rId13" w:history="1">
        <w:r w:rsidR="00F231B8" w:rsidRPr="00F231B8">
          <w:rPr>
            <w:rFonts w:ascii="Arial" w:hAnsi="Arial"/>
            <w:color w:val="0000FF"/>
            <w:u w:val="single"/>
            <w:rtl/>
          </w:rPr>
          <w:t>ע"פ 7971/23</w:t>
        </w:r>
      </w:hyperlink>
      <w:r w:rsidR="00DA1D02" w:rsidRPr="0077511B">
        <w:rPr>
          <w:rFonts w:ascii="Arial" w:hAnsi="Arial"/>
          <w:rtl/>
        </w:rPr>
        <w:t xml:space="preserve"> </w:t>
      </w:r>
      <w:r w:rsidR="00DA1D02" w:rsidRPr="0077511B">
        <w:rPr>
          <w:rFonts w:ascii="Arial" w:hAnsi="Arial"/>
          <w:b/>
          <w:bCs/>
          <w:rtl/>
        </w:rPr>
        <w:t>אגבאריה</w:t>
      </w:r>
      <w:r w:rsidR="00DA1D02" w:rsidRPr="0077511B">
        <w:rPr>
          <w:rFonts w:ascii="Arial" w:hAnsi="Arial"/>
          <w:rtl/>
        </w:rPr>
        <w:t xml:space="preserve"> נ' </w:t>
      </w:r>
      <w:r w:rsidR="00DA1D02" w:rsidRPr="0077511B">
        <w:rPr>
          <w:rFonts w:ascii="Arial" w:hAnsi="Arial"/>
          <w:b/>
          <w:bCs/>
          <w:rtl/>
        </w:rPr>
        <w:t>מדינת ישראל</w:t>
      </w:r>
      <w:r w:rsidR="00DA1D02" w:rsidRPr="0077511B">
        <w:rPr>
          <w:rFonts w:ascii="Arial" w:hAnsi="Arial"/>
          <w:rtl/>
        </w:rPr>
        <w:t xml:space="preserve"> (פורסם בנבו, 26.5.24)). </w:t>
      </w:r>
    </w:p>
    <w:p w14:paraId="7A78F778" w14:textId="77777777" w:rsidR="00DA1D02" w:rsidRPr="0077511B" w:rsidRDefault="00DA1D02" w:rsidP="00DA1D02">
      <w:pPr>
        <w:spacing w:line="360" w:lineRule="auto"/>
        <w:jc w:val="both"/>
        <w:rPr>
          <w:rFonts w:ascii="Arial" w:hAnsi="Arial"/>
          <w:rtl/>
        </w:rPr>
      </w:pPr>
    </w:p>
    <w:p w14:paraId="0DBABD05" w14:textId="77777777" w:rsidR="00DA1D02" w:rsidRPr="0077511B" w:rsidRDefault="00DA1D02" w:rsidP="00DA1D02">
      <w:pPr>
        <w:spacing w:line="360" w:lineRule="auto"/>
        <w:jc w:val="both"/>
        <w:rPr>
          <w:rFonts w:ascii="Arial" w:hAnsi="Arial"/>
          <w:rtl/>
        </w:rPr>
      </w:pPr>
      <w:r w:rsidRPr="0077511B">
        <w:rPr>
          <w:rFonts w:ascii="Arial" w:hAnsi="Arial" w:hint="cs"/>
          <w:rtl/>
        </w:rPr>
        <w:t xml:space="preserve">רבות נכתב על </w:t>
      </w:r>
      <w:r w:rsidRPr="0077511B">
        <w:rPr>
          <w:rFonts w:ascii="Arial" w:hAnsi="Arial"/>
          <w:rtl/>
        </w:rPr>
        <w:t>הסיכון הכרוך בהחזקת נשק שלא כדין</w:t>
      </w:r>
      <w:r w:rsidRPr="0077511B">
        <w:rPr>
          <w:rFonts w:ascii="Arial" w:hAnsi="Arial" w:hint="cs"/>
          <w:rtl/>
        </w:rPr>
        <w:t xml:space="preserve">. זה </w:t>
      </w:r>
      <w:r w:rsidRPr="0077511B">
        <w:rPr>
          <w:rFonts w:ascii="Arial" w:hAnsi="Arial"/>
          <w:rtl/>
        </w:rPr>
        <w:t>מתבטא בחשש שהמחזיק בנשק יעשה בו שימוש וכן באפשרות כי נשק זה יגיע לידיים אחרות (</w:t>
      </w:r>
      <w:hyperlink r:id="rId14" w:history="1">
        <w:r w:rsidR="00F231B8" w:rsidRPr="00F231B8">
          <w:rPr>
            <w:rFonts w:ascii="Arial" w:hAnsi="Arial"/>
            <w:color w:val="0000FF"/>
            <w:u w:val="single"/>
            <w:rtl/>
          </w:rPr>
          <w:t>ע"פ 4945/14</w:t>
        </w:r>
      </w:hyperlink>
      <w:r w:rsidRPr="0077511B">
        <w:rPr>
          <w:rFonts w:ascii="Arial" w:hAnsi="Arial"/>
          <w:rtl/>
        </w:rPr>
        <w:t xml:space="preserve"> </w:t>
      </w:r>
      <w:r w:rsidRPr="0077511B">
        <w:rPr>
          <w:rFonts w:ascii="Arial" w:hAnsi="Arial"/>
          <w:b/>
          <w:bCs/>
          <w:rtl/>
        </w:rPr>
        <w:t>מדינת ישראל</w:t>
      </w:r>
      <w:r w:rsidRPr="0077511B">
        <w:rPr>
          <w:rFonts w:ascii="Arial" w:hAnsi="Arial"/>
          <w:rtl/>
        </w:rPr>
        <w:t xml:space="preserve"> נ' </w:t>
      </w:r>
      <w:r w:rsidRPr="0077511B">
        <w:rPr>
          <w:rFonts w:ascii="Arial" w:hAnsi="Arial"/>
          <w:b/>
          <w:bCs/>
          <w:rtl/>
        </w:rPr>
        <w:t>סלימאן</w:t>
      </w:r>
      <w:r w:rsidRPr="0077511B">
        <w:rPr>
          <w:rFonts w:ascii="Arial" w:hAnsi="Arial"/>
          <w:rtl/>
        </w:rPr>
        <w:t xml:space="preserve"> (פורסם בנבו, 19.1.14). הוא משליך על הביטחון במרחב הציבורי והפרטי, על תחושת הביטחון, ולא פחות מכך על שלטון החוק, בשל הכרסום המתמיד בייחוד הפעלת הכוח על ידי מי שהוסמך לכך על פי דין. </w:t>
      </w:r>
    </w:p>
    <w:p w14:paraId="4FF21732" w14:textId="77777777" w:rsidR="00DA1D02" w:rsidRPr="0077511B" w:rsidRDefault="00DA1D02" w:rsidP="00DA1D02">
      <w:pPr>
        <w:spacing w:line="360" w:lineRule="auto"/>
        <w:jc w:val="both"/>
        <w:rPr>
          <w:rFonts w:ascii="Arial" w:hAnsi="Arial"/>
          <w:rtl/>
        </w:rPr>
      </w:pPr>
    </w:p>
    <w:p w14:paraId="1570C3B7" w14:textId="77777777" w:rsidR="00DA1D02" w:rsidRPr="0077511B" w:rsidRDefault="00DA1D02" w:rsidP="00DA1D02">
      <w:pPr>
        <w:spacing w:line="360" w:lineRule="auto"/>
        <w:jc w:val="both"/>
        <w:rPr>
          <w:rFonts w:ascii="Arial" w:hAnsi="Arial"/>
          <w:b/>
          <w:bCs/>
          <w:rtl/>
        </w:rPr>
      </w:pPr>
      <w:r w:rsidRPr="0077511B">
        <w:rPr>
          <w:rFonts w:ascii="Arial" w:hAnsi="Arial"/>
          <w:b/>
          <w:bCs/>
          <w:rtl/>
        </w:rPr>
        <w:t>נסיבות הקשורות בביצוע העבירה</w:t>
      </w:r>
    </w:p>
    <w:p w14:paraId="22110233" w14:textId="77777777" w:rsidR="00DA1D02" w:rsidRPr="0077511B" w:rsidRDefault="00DA1D02" w:rsidP="00DA1D02">
      <w:pPr>
        <w:spacing w:line="360" w:lineRule="auto"/>
        <w:jc w:val="both"/>
        <w:rPr>
          <w:rFonts w:ascii="Arial" w:hAnsi="Arial"/>
          <w:rtl/>
        </w:rPr>
      </w:pPr>
      <w:r w:rsidRPr="0077511B">
        <w:rPr>
          <w:rFonts w:ascii="Arial" w:hAnsi="Arial"/>
          <w:rtl/>
        </w:rPr>
        <w:t xml:space="preserve">בבואנו לקבוע את מתחם העונש ההולם למעשה העבירה שבוצעה על ידי הנאשם נעמוד על נסיבותיה של העבירה. </w:t>
      </w:r>
    </w:p>
    <w:p w14:paraId="018E1348" w14:textId="77777777" w:rsidR="00DA1D02" w:rsidRPr="0077511B" w:rsidRDefault="00DA1D02" w:rsidP="00DA1D02">
      <w:pPr>
        <w:spacing w:line="360" w:lineRule="auto"/>
        <w:jc w:val="both"/>
        <w:rPr>
          <w:rFonts w:ascii="Arial" w:hAnsi="Arial"/>
          <w:rtl/>
        </w:rPr>
      </w:pPr>
    </w:p>
    <w:p w14:paraId="42865FD6" w14:textId="77777777" w:rsidR="00DA1D02" w:rsidRPr="0077511B" w:rsidRDefault="00DA1D02" w:rsidP="00DA1D02">
      <w:pPr>
        <w:spacing w:line="360" w:lineRule="auto"/>
        <w:jc w:val="both"/>
        <w:rPr>
          <w:rFonts w:ascii="Arial" w:hAnsi="Arial"/>
          <w:rtl/>
        </w:rPr>
      </w:pPr>
      <w:r w:rsidRPr="0077511B">
        <w:rPr>
          <w:rFonts w:ascii="Arial" w:hAnsi="Arial"/>
          <w:rtl/>
        </w:rPr>
        <w:t xml:space="preserve">בראש ובראשונה, נדרשת התייחסות לעובדה כי חלקו של הנאשם הסתכם בסיוע. </w:t>
      </w:r>
      <w:r w:rsidRPr="0077511B">
        <w:rPr>
          <w:rFonts w:ascii="Arial" w:hAnsi="Arial" w:hint="cs"/>
          <w:rtl/>
        </w:rPr>
        <w:t xml:space="preserve">זאת ועוד, </w:t>
      </w:r>
      <w:r w:rsidRPr="0077511B">
        <w:rPr>
          <w:rFonts w:ascii="Arial" w:hAnsi="Arial"/>
          <w:rtl/>
        </w:rPr>
        <w:t xml:space="preserve"> כתב האישום נעדר פרטים בנוגע למחזיק בנשק, לו סייע הנאשם. בדומה, איננו יודעים במשך כמה זמן בוצעה העבירה, באילו נסיבות, ואף אלו פעולות בוצעו על ידי הנאשם על מנת לסייע כאמור. כל אלה נזקפות לטובת הנאשם, גם אם יש לזכור שסיוע להחזקת נשק מחייב מידה כלשהי של תכנון ועשייה אקטיבית. </w:t>
      </w:r>
    </w:p>
    <w:p w14:paraId="381774CD" w14:textId="77777777" w:rsidR="00DA1D02" w:rsidRPr="0077511B" w:rsidRDefault="00DA1D02" w:rsidP="00DA1D02">
      <w:pPr>
        <w:spacing w:line="360" w:lineRule="auto"/>
        <w:jc w:val="both"/>
        <w:rPr>
          <w:rFonts w:ascii="Arial" w:hAnsi="Arial"/>
          <w:rtl/>
        </w:rPr>
      </w:pPr>
    </w:p>
    <w:p w14:paraId="76E8BC87" w14:textId="77777777" w:rsidR="00DA1D02" w:rsidRPr="0077511B" w:rsidRDefault="00DA1D02" w:rsidP="00DA1D02">
      <w:pPr>
        <w:spacing w:line="360" w:lineRule="auto"/>
        <w:jc w:val="both"/>
        <w:rPr>
          <w:rFonts w:ascii="Arial" w:hAnsi="Arial"/>
          <w:rtl/>
        </w:rPr>
      </w:pPr>
      <w:r w:rsidRPr="0077511B">
        <w:rPr>
          <w:rFonts w:ascii="Arial" w:hAnsi="Arial" w:hint="cs"/>
          <w:rtl/>
        </w:rPr>
        <w:t>לצד האמור</w:t>
      </w:r>
      <w:r w:rsidRPr="0077511B">
        <w:rPr>
          <w:rFonts w:ascii="Arial" w:hAnsi="Arial"/>
          <w:rtl/>
        </w:rPr>
        <w:t xml:space="preserve">, אין להתעלם מפוטנציאל הנזק אשר היה עלול להיגרם מהסיוע להחזקת הנשק ומהשימוש האפשרי בו. </w:t>
      </w:r>
    </w:p>
    <w:p w14:paraId="59958200" w14:textId="77777777" w:rsidR="00DA1D02" w:rsidRPr="0077511B" w:rsidRDefault="00DA1D02" w:rsidP="00DA1D02">
      <w:pPr>
        <w:spacing w:line="360" w:lineRule="auto"/>
        <w:jc w:val="both"/>
        <w:rPr>
          <w:rFonts w:ascii="Arial" w:hAnsi="Arial"/>
          <w:rtl/>
        </w:rPr>
      </w:pPr>
    </w:p>
    <w:p w14:paraId="57A916AF" w14:textId="77777777" w:rsidR="00DA1D02" w:rsidRPr="0077511B" w:rsidRDefault="00DA1D02" w:rsidP="00DA1D02">
      <w:pPr>
        <w:spacing w:line="360" w:lineRule="auto"/>
        <w:jc w:val="both"/>
        <w:rPr>
          <w:rFonts w:ascii="Arial" w:hAnsi="Arial"/>
          <w:rtl/>
        </w:rPr>
      </w:pPr>
      <w:r w:rsidRPr="0077511B">
        <w:rPr>
          <w:rFonts w:ascii="Arial" w:hAnsi="Arial"/>
          <w:rtl/>
        </w:rPr>
        <w:t>בעניין זה, יש להדגיש שתיים. ראשית, כי מבחינת פוטנציאל הנזק, אין משמעות רבה לעובדה  כי הנאשם אך סייע להחזקת הנשק. זאת</w:t>
      </w:r>
      <w:r w:rsidRPr="0077511B">
        <w:rPr>
          <w:rFonts w:ascii="Arial" w:hAnsi="Arial" w:hint="cs"/>
          <w:rtl/>
        </w:rPr>
        <w:t>,</w:t>
      </w:r>
      <w:r w:rsidRPr="0077511B">
        <w:rPr>
          <w:rFonts w:ascii="Arial" w:hAnsi="Arial"/>
          <w:rtl/>
        </w:rPr>
        <w:t xml:space="preserve"> מאחר שגם לו הייתה שליטה על הנשק שאפשרה לעשות בו שימוש, בעוד הסיכון שאדם אחר ישתמש בנשק שקול</w:t>
      </w:r>
      <w:r w:rsidRPr="0077511B">
        <w:rPr>
          <w:rFonts w:ascii="Arial" w:hAnsi="Arial" w:hint="cs"/>
          <w:rtl/>
        </w:rPr>
        <w:t>,</w:t>
      </w:r>
      <w:r w:rsidRPr="0077511B">
        <w:rPr>
          <w:rFonts w:ascii="Arial" w:hAnsi="Arial"/>
          <w:rtl/>
        </w:rPr>
        <w:t xml:space="preserve"> </w:t>
      </w:r>
      <w:r w:rsidRPr="0077511B">
        <w:rPr>
          <w:rFonts w:ascii="Arial" w:hAnsi="Arial" w:hint="cs"/>
          <w:rtl/>
        </w:rPr>
        <w:t xml:space="preserve">בין אם הנאשם </w:t>
      </w:r>
      <w:r w:rsidRPr="0077511B">
        <w:rPr>
          <w:rFonts w:ascii="Arial" w:hAnsi="Arial"/>
          <w:rtl/>
        </w:rPr>
        <w:t>מחזיק בו ו</w:t>
      </w:r>
      <w:r w:rsidRPr="0077511B">
        <w:rPr>
          <w:rFonts w:ascii="Arial" w:hAnsi="Arial" w:hint="cs"/>
          <w:rtl/>
        </w:rPr>
        <w:t xml:space="preserve">בין אם הוא </w:t>
      </w:r>
      <w:r w:rsidRPr="0077511B">
        <w:rPr>
          <w:rFonts w:ascii="Arial" w:hAnsi="Arial"/>
          <w:rtl/>
        </w:rPr>
        <w:t xml:space="preserve">מסייע </w:t>
      </w:r>
      <w:r w:rsidRPr="0077511B">
        <w:rPr>
          <w:rFonts w:ascii="Arial" w:hAnsi="Arial" w:hint="cs"/>
          <w:rtl/>
        </w:rPr>
        <w:t>ל</w:t>
      </w:r>
      <w:r w:rsidRPr="0077511B">
        <w:rPr>
          <w:rFonts w:ascii="Arial" w:hAnsi="Arial"/>
          <w:rtl/>
        </w:rPr>
        <w:t>החזקה בלבד. שנית, אין בעובדה כי המניע לסיוע לא הוברר כדי להקל עם הנאשם. הצורך במלחמה שערה נגד תופעת החזקת הנשק הבלתי חוקית אינו מתיישב עם תפיסה סלחנית כלפי התופעה כולה, תהא מטרת ההחזקה אשר תהא.</w:t>
      </w:r>
    </w:p>
    <w:p w14:paraId="0CD82BDE" w14:textId="77777777" w:rsidR="00DA1D02" w:rsidRPr="0077511B" w:rsidRDefault="00DA1D02" w:rsidP="00DA1D02">
      <w:pPr>
        <w:spacing w:line="360" w:lineRule="auto"/>
        <w:jc w:val="both"/>
        <w:rPr>
          <w:rFonts w:ascii="Arial" w:hAnsi="Arial"/>
          <w:rtl/>
        </w:rPr>
      </w:pPr>
    </w:p>
    <w:p w14:paraId="5C179387" w14:textId="77777777" w:rsidR="00DA1D02" w:rsidRPr="0077511B" w:rsidRDefault="00DA1D02" w:rsidP="00DA1D02">
      <w:pPr>
        <w:spacing w:line="360" w:lineRule="auto"/>
        <w:jc w:val="both"/>
        <w:rPr>
          <w:rFonts w:ascii="Arial" w:hAnsi="Arial"/>
          <w:rtl/>
        </w:rPr>
      </w:pPr>
      <w:r w:rsidRPr="0077511B">
        <w:rPr>
          <w:rFonts w:ascii="Arial" w:hAnsi="Arial"/>
          <w:rtl/>
        </w:rPr>
        <w:t xml:space="preserve">עוד יש לתת את הדעת לעובדה כי הנאשם סייע להחזקת אקדח תיקני ובו מחסנית ותחמושת. נשק זה הוחזק, כשהוא מוכן לשימוש, מחוץ לביתו של הנאשם, במקום מוסתר, דבר המלמד על פוטנציאל סיכון משמעותי. </w:t>
      </w:r>
    </w:p>
    <w:p w14:paraId="0F837E82" w14:textId="77777777" w:rsidR="00DA1D02" w:rsidRPr="0077511B" w:rsidRDefault="00DA1D02" w:rsidP="00DA1D02">
      <w:pPr>
        <w:spacing w:line="360" w:lineRule="auto"/>
        <w:jc w:val="both"/>
        <w:rPr>
          <w:rFonts w:ascii="Arial" w:hAnsi="Arial"/>
          <w:rtl/>
        </w:rPr>
      </w:pPr>
      <w:r w:rsidRPr="0077511B">
        <w:rPr>
          <w:rFonts w:ascii="Arial" w:hAnsi="Arial"/>
          <w:rtl/>
        </w:rPr>
        <w:t>עם זאת, תפיסת הנשק מצמצמת את פוטנציאל הנזק האמור, נסיבה העומדת לזכות הנאשם, גם אם לא נוצרה בע</w:t>
      </w:r>
      <w:r w:rsidRPr="0077511B">
        <w:rPr>
          <w:rFonts w:ascii="Arial" w:hAnsi="Arial" w:hint="cs"/>
          <w:rtl/>
        </w:rPr>
        <w:t>ט</w:t>
      </w:r>
      <w:r w:rsidRPr="0077511B">
        <w:rPr>
          <w:rFonts w:ascii="Arial" w:hAnsi="Arial"/>
          <w:rtl/>
        </w:rPr>
        <w:t xml:space="preserve">יו.   </w:t>
      </w:r>
    </w:p>
    <w:p w14:paraId="4298FA3F" w14:textId="77777777" w:rsidR="00DA1D02" w:rsidRPr="00581C81" w:rsidRDefault="00DA1D02" w:rsidP="00DA1D02">
      <w:pPr>
        <w:spacing w:line="360" w:lineRule="auto"/>
        <w:jc w:val="both"/>
        <w:rPr>
          <w:rFonts w:ascii="Arial" w:hAnsi="Arial"/>
          <w:sz w:val="22"/>
          <w:szCs w:val="22"/>
          <w:rtl/>
        </w:rPr>
      </w:pPr>
    </w:p>
    <w:p w14:paraId="01C5257F" w14:textId="77777777" w:rsidR="00DA1D02" w:rsidRPr="0077511B" w:rsidRDefault="00DA1D02" w:rsidP="00DA1D02">
      <w:pPr>
        <w:spacing w:line="360" w:lineRule="auto"/>
        <w:jc w:val="both"/>
        <w:rPr>
          <w:rFonts w:ascii="Arial" w:hAnsi="Arial"/>
          <w:b/>
          <w:bCs/>
          <w:rtl/>
        </w:rPr>
      </w:pPr>
      <w:r w:rsidRPr="0077511B">
        <w:rPr>
          <w:rFonts w:ascii="Arial" w:hAnsi="Arial"/>
          <w:b/>
          <w:bCs/>
          <w:rtl/>
        </w:rPr>
        <w:t xml:space="preserve">הענישה הנוהגת </w:t>
      </w:r>
    </w:p>
    <w:p w14:paraId="033C2E1D" w14:textId="77777777" w:rsidR="00DA1D02" w:rsidRPr="0077511B" w:rsidRDefault="00DA1D02" w:rsidP="00DA1D02">
      <w:pPr>
        <w:spacing w:line="360" w:lineRule="auto"/>
        <w:jc w:val="both"/>
        <w:rPr>
          <w:rFonts w:ascii="Arial" w:hAnsi="Arial"/>
          <w:rtl/>
        </w:rPr>
      </w:pPr>
      <w:r w:rsidRPr="0077511B">
        <w:rPr>
          <w:rFonts w:ascii="Arial" w:hAnsi="Arial"/>
          <w:rtl/>
        </w:rPr>
        <w:t xml:space="preserve">על רקע פגיעתן הקשה של עבירות הנשק בערכים מרכזיים כהגנה על חי האדם, הביטחון, הסדר הציבורי והמשילות השלטונית, ולאור נפוצות החזקת הנשק שלא כדין, שהוגדרה כ"מכת מדינה" (ראו </w:t>
      </w:r>
      <w:hyperlink r:id="rId15" w:history="1">
        <w:r w:rsidR="00F231B8" w:rsidRPr="00F231B8">
          <w:rPr>
            <w:rFonts w:ascii="Arial" w:hAnsi="Arial"/>
            <w:color w:val="0000FF"/>
            <w:u w:val="single"/>
            <w:rtl/>
          </w:rPr>
          <w:t>ע"פ 2482/22</w:t>
        </w:r>
      </w:hyperlink>
      <w:r w:rsidRPr="0077511B">
        <w:rPr>
          <w:rFonts w:ascii="Arial" w:hAnsi="Arial"/>
          <w:rtl/>
        </w:rPr>
        <w:t xml:space="preserve"> </w:t>
      </w:r>
      <w:r w:rsidRPr="0077511B">
        <w:rPr>
          <w:rFonts w:ascii="Arial" w:hAnsi="Arial"/>
          <w:b/>
          <w:bCs/>
          <w:rtl/>
        </w:rPr>
        <w:t>מדינת ישראל</w:t>
      </w:r>
      <w:r w:rsidRPr="0077511B">
        <w:rPr>
          <w:rFonts w:ascii="Arial" w:hAnsi="Arial"/>
          <w:rtl/>
        </w:rPr>
        <w:t xml:space="preserve"> נ' </w:t>
      </w:r>
      <w:r w:rsidRPr="0077511B">
        <w:rPr>
          <w:rFonts w:ascii="Arial" w:hAnsi="Arial"/>
          <w:b/>
          <w:bCs/>
          <w:rtl/>
        </w:rPr>
        <w:t>קדורה</w:t>
      </w:r>
      <w:r w:rsidRPr="0077511B">
        <w:rPr>
          <w:rFonts w:ascii="Arial" w:hAnsi="Arial"/>
          <w:rtl/>
        </w:rPr>
        <w:t xml:space="preserve"> (פורסם בנבו, 14.4.22) וכ"מצב חירום לאומי" (ראו עניין </w:t>
      </w:r>
      <w:r w:rsidRPr="0077511B">
        <w:rPr>
          <w:rFonts w:ascii="Arial" w:hAnsi="Arial"/>
          <w:b/>
          <w:bCs/>
          <w:rtl/>
        </w:rPr>
        <w:t>אגבאריה</w:t>
      </w:r>
      <w:r w:rsidRPr="0077511B">
        <w:rPr>
          <w:rFonts w:ascii="Arial" w:hAnsi="Arial"/>
          <w:rtl/>
        </w:rPr>
        <w:t xml:space="preserve"> הנ"ל), ניכרת זה מכבר החמרה משמעותית בענישה והודגש לא אחת הצורך בהטלת עונשי מאסר מ</w:t>
      </w:r>
      <w:r w:rsidRPr="0077511B">
        <w:rPr>
          <w:rFonts w:ascii="Arial" w:hAnsi="Arial" w:hint="cs"/>
          <w:rtl/>
        </w:rPr>
        <w:t>וחשיים וממושכים</w:t>
      </w:r>
      <w:r w:rsidRPr="0077511B">
        <w:rPr>
          <w:rFonts w:ascii="Arial" w:hAnsi="Arial"/>
          <w:rtl/>
        </w:rPr>
        <w:t>:</w:t>
      </w:r>
    </w:p>
    <w:p w14:paraId="36C1D220" w14:textId="77777777" w:rsidR="00DA1D02" w:rsidRDefault="00DA1D02" w:rsidP="00DA1D02">
      <w:pPr>
        <w:spacing w:line="360" w:lineRule="auto"/>
        <w:jc w:val="both"/>
        <w:rPr>
          <w:rFonts w:ascii="Arial" w:hAnsi="Arial"/>
          <w:sz w:val="12"/>
          <w:szCs w:val="12"/>
          <w:rtl/>
        </w:rPr>
      </w:pPr>
    </w:p>
    <w:p w14:paraId="44A6D9F4" w14:textId="77777777" w:rsidR="00DA1D02" w:rsidRPr="0077511B" w:rsidRDefault="00DA1D02" w:rsidP="00DA1D02">
      <w:pPr>
        <w:pStyle w:val="ruller5"/>
        <w:bidi/>
        <w:spacing w:before="0" w:beforeAutospacing="0" w:after="0" w:afterAutospacing="0" w:line="360" w:lineRule="auto"/>
        <w:ind w:left="850" w:right="993"/>
        <w:jc w:val="both"/>
        <w:rPr>
          <w:rFonts w:ascii="Arial" w:hAnsi="Arial" w:cs="David"/>
          <w:b/>
          <w:bCs/>
          <w:i/>
          <w:iCs/>
          <w:rtl/>
        </w:rPr>
      </w:pPr>
      <w:r w:rsidRPr="0077511B">
        <w:rPr>
          <w:rFonts w:ascii="Arial" w:hAnsi="Arial" w:cs="David"/>
          <w:b/>
          <w:bCs/>
          <w:i/>
          <w:iCs/>
          <w:rtl/>
        </w:rPr>
        <w:t>"התופעה של החזקת נשק שלא כדין על ידי אזרחים מהווה איום על שלום הציבור ועל הסדר הציבורי. היא התשתית ו'הגורם בלעדיו אין</w:t>
      </w:r>
      <w:r w:rsidRPr="0077511B">
        <w:rPr>
          <w:rFonts w:ascii="Arial" w:hAnsi="Arial" w:cs="David"/>
          <w:b/>
          <w:bCs/>
          <w:i/>
          <w:iCs/>
        </w:rPr>
        <w:t>(causa sine qua non)</w:t>
      </w:r>
      <w:r w:rsidR="00F231B8">
        <w:rPr>
          <w:rFonts w:ascii="Arial" w:hAnsi="Arial" w:cs="David"/>
          <w:b/>
          <w:bCs/>
          <w:i/>
          <w:iCs/>
        </w:rPr>
        <w:t xml:space="preserve"> </w:t>
      </w:r>
      <w:r w:rsidRPr="0077511B">
        <w:rPr>
          <w:rFonts w:ascii="Arial" w:hAnsi="Arial" w:cs="David"/>
          <w:b/>
          <w:bCs/>
          <w:i/>
          <w:iCs/>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w:t>
      </w:r>
    </w:p>
    <w:p w14:paraId="50045103" w14:textId="77777777" w:rsidR="00DA1D02" w:rsidRPr="0077511B" w:rsidRDefault="00DA1D02" w:rsidP="00DA1D02">
      <w:pPr>
        <w:pStyle w:val="ruller5"/>
        <w:bidi/>
        <w:spacing w:before="0" w:beforeAutospacing="0" w:after="0" w:afterAutospacing="0" w:line="360" w:lineRule="auto"/>
        <w:ind w:left="1642" w:right="1282"/>
        <w:jc w:val="both"/>
        <w:rPr>
          <w:rFonts w:ascii="Arial" w:hAnsi="Arial" w:cs="David"/>
          <w:b/>
          <w:bCs/>
          <w:i/>
          <w:iCs/>
          <w:rtl/>
        </w:rPr>
      </w:pPr>
    </w:p>
    <w:p w14:paraId="50A4C518" w14:textId="77777777" w:rsidR="00DA1D02" w:rsidRPr="0077511B" w:rsidRDefault="00DA1D02" w:rsidP="00DA1D02">
      <w:pPr>
        <w:pStyle w:val="ruller5"/>
        <w:bidi/>
        <w:spacing w:before="0" w:beforeAutospacing="0" w:after="0" w:afterAutospacing="0" w:line="360" w:lineRule="auto"/>
        <w:ind w:left="850" w:right="993"/>
        <w:jc w:val="both"/>
        <w:rPr>
          <w:rFonts w:ascii="Arial" w:hAnsi="Arial" w:cs="David"/>
          <w:rtl/>
        </w:rPr>
      </w:pPr>
      <w:r w:rsidRPr="0077511B">
        <w:rPr>
          <w:rFonts w:ascii="Arial" w:hAnsi="Arial" w:cs="David"/>
          <w:b/>
          <w:bCs/>
          <w:i/>
          <w:i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F231B8">
        <w:rPr>
          <w:rFonts w:ascii="Arial" w:hAnsi="Arial" w:cs="David"/>
          <w:b/>
          <w:bCs/>
          <w:i/>
          <w:iCs/>
          <w:rtl/>
        </w:rPr>
        <w:t xml:space="preserve"> </w:t>
      </w:r>
      <w:r w:rsidRPr="0077511B">
        <w:rPr>
          <w:rFonts w:ascii="Arial" w:hAnsi="Arial" w:cs="David"/>
          <w:b/>
          <w:bCs/>
          <w:i/>
          <w:iCs/>
          <w:rtl/>
        </w:rPr>
        <w:t>[...]</w:t>
      </w:r>
      <w:r w:rsidR="00F231B8">
        <w:rPr>
          <w:rFonts w:ascii="Arial" w:hAnsi="Arial" w:cs="David"/>
          <w:b/>
          <w:bCs/>
          <w:i/>
          <w:iCs/>
          <w:rtl/>
        </w:rPr>
        <w:t xml:space="preserve"> </w:t>
      </w:r>
      <w:r w:rsidRPr="0077511B">
        <w:rPr>
          <w:rFonts w:ascii="Arial" w:hAnsi="Arial" w:cs="David"/>
          <w:b/>
          <w:bCs/>
          <w:i/>
          <w:i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77511B">
        <w:rPr>
          <w:rFonts w:ascii="Arial" w:hAnsi="Arial" w:cs="David"/>
          <w:rtl/>
        </w:rPr>
        <w:t xml:space="preserve"> (עניין </w:t>
      </w:r>
      <w:r w:rsidRPr="0077511B">
        <w:rPr>
          <w:rFonts w:ascii="Arial" w:hAnsi="Arial" w:cs="David"/>
          <w:b/>
          <w:bCs/>
          <w:rtl/>
        </w:rPr>
        <w:t xml:space="preserve">סובח </w:t>
      </w:r>
      <w:r w:rsidRPr="0077511B">
        <w:rPr>
          <w:rFonts w:ascii="Arial" w:hAnsi="Arial" w:cs="David"/>
          <w:rtl/>
        </w:rPr>
        <w:t xml:space="preserve">הנ"ל) </w:t>
      </w:r>
    </w:p>
    <w:p w14:paraId="5C29FDDD" w14:textId="77777777" w:rsidR="00DA1D02" w:rsidRPr="0077511B" w:rsidRDefault="00DA1D02" w:rsidP="00DA1D02">
      <w:pPr>
        <w:pStyle w:val="ruller5"/>
        <w:bidi/>
        <w:spacing w:before="0" w:beforeAutospacing="0" w:after="0" w:afterAutospacing="0" w:line="360" w:lineRule="auto"/>
        <w:ind w:left="850" w:right="993"/>
        <w:jc w:val="both"/>
        <w:rPr>
          <w:rFonts w:ascii="Arial" w:hAnsi="Arial" w:cs="David"/>
          <w:b/>
          <w:bCs/>
          <w:i/>
          <w:iCs/>
          <w:rtl/>
        </w:rPr>
      </w:pPr>
    </w:p>
    <w:p w14:paraId="51FCE073" w14:textId="77777777" w:rsidR="00DA1D02" w:rsidRPr="0077511B" w:rsidRDefault="00DA1D02" w:rsidP="00DA1D02">
      <w:pPr>
        <w:pStyle w:val="ruller5"/>
        <w:bidi/>
        <w:spacing w:before="0" w:beforeAutospacing="0" w:after="0" w:afterAutospacing="0" w:line="360" w:lineRule="auto"/>
        <w:jc w:val="both"/>
        <w:rPr>
          <w:rFonts w:ascii="Arial" w:hAnsi="Arial" w:cs="David"/>
          <w:rtl/>
        </w:rPr>
      </w:pPr>
      <w:r w:rsidRPr="0077511B">
        <w:rPr>
          <w:rFonts w:ascii="Arial" w:hAnsi="Arial" w:cs="David"/>
          <w:rtl/>
        </w:rPr>
        <w:t>יתרה מזו, מעבר לפוטנציאל הנזק הישיר הטמון ב</w:t>
      </w:r>
      <w:r w:rsidRPr="0077511B">
        <w:rPr>
          <w:rFonts w:ascii="Arial" w:hAnsi="Arial" w:cs="David" w:hint="cs"/>
          <w:rtl/>
        </w:rPr>
        <w:t xml:space="preserve">עבירות הנשק כאמור, </w:t>
      </w:r>
      <w:r w:rsidRPr="0077511B">
        <w:rPr>
          <w:rFonts w:ascii="Arial" w:hAnsi="Arial" w:cs="David"/>
          <w:rtl/>
        </w:rPr>
        <w:t>נדרש לתת את הדעת להשפעות החברתיות הרוחביות וההרסניות, הנגרמות ההתפשטות הנשק ה</w:t>
      </w:r>
      <w:r w:rsidRPr="0077511B">
        <w:rPr>
          <w:rFonts w:ascii="Arial" w:hAnsi="Arial" w:cs="David" w:hint="cs"/>
          <w:rtl/>
        </w:rPr>
        <w:t>בלתי</w:t>
      </w:r>
      <w:r w:rsidRPr="0077511B">
        <w:rPr>
          <w:rFonts w:ascii="Arial" w:hAnsi="Arial" w:cs="David"/>
          <w:rtl/>
        </w:rPr>
        <w:t xml:space="preserve"> חוקי. זו מייצרת אווירה ציבורית בה "כל דאלים גבר", בעקבותיה נדחק מקומם של גורמי האכיפה והביטחון, ונוצרת "תרבות" כללית אלימה ועבריינית, הרואה בחיוב החזקת נשק ושימוש בו.</w:t>
      </w:r>
      <w:r w:rsidRPr="0077511B">
        <w:rPr>
          <w:rFonts w:ascii="Arial" w:hAnsi="Arial" w:cs="David" w:hint="cs"/>
          <w:rtl/>
        </w:rPr>
        <w:t xml:space="preserve"> </w:t>
      </w:r>
      <w:r w:rsidRPr="0077511B">
        <w:rPr>
          <w:rFonts w:ascii="Arial" w:hAnsi="Arial" w:cs="David"/>
          <w:rtl/>
        </w:rPr>
        <w:t xml:space="preserve">  </w:t>
      </w:r>
    </w:p>
    <w:p w14:paraId="6D3B7B75" w14:textId="77777777" w:rsidR="00DA1D02" w:rsidRPr="0077511B" w:rsidRDefault="00F231B8" w:rsidP="00DA1D02">
      <w:pPr>
        <w:pStyle w:val="ruller4"/>
        <w:bidi/>
        <w:spacing w:before="0" w:beforeAutospacing="0" w:after="0" w:afterAutospacing="0" w:line="360" w:lineRule="auto"/>
        <w:jc w:val="both"/>
        <w:rPr>
          <w:rFonts w:ascii="Arial" w:hAnsi="Arial"/>
          <w:rtl/>
        </w:rPr>
      </w:pPr>
      <w:r>
        <w:rPr>
          <w:rFonts w:ascii="Arial" w:hAnsi="Arial" w:cs="David"/>
          <w:rtl/>
        </w:rPr>
        <w:t xml:space="preserve">       </w:t>
      </w:r>
    </w:p>
    <w:p w14:paraId="1DFC35FC" w14:textId="77777777" w:rsidR="00DA1D02" w:rsidRPr="0077511B" w:rsidRDefault="00DA1D02" w:rsidP="00DA1D02">
      <w:pPr>
        <w:spacing w:line="360" w:lineRule="auto"/>
        <w:jc w:val="both"/>
        <w:rPr>
          <w:rFonts w:ascii="Arial" w:hAnsi="Arial"/>
          <w:rtl/>
        </w:rPr>
      </w:pPr>
      <w:r w:rsidRPr="0077511B">
        <w:rPr>
          <w:rFonts w:ascii="Arial" w:hAnsi="Arial"/>
          <w:rtl/>
        </w:rPr>
        <w:t xml:space="preserve">אל מול הסיכון המוחשי לערכים חברתיים בסיסיים אלה, הודגש משקלם המרכזי של שיקולי ההרתעה, הפרטית והכללית, והעדפתם על פני שיקולי ענישה אחרים (ראו לדוגמה </w:t>
      </w:r>
      <w:hyperlink r:id="rId16" w:history="1">
        <w:r w:rsidR="00F231B8" w:rsidRPr="00F231B8">
          <w:rPr>
            <w:rFonts w:ascii="Arial" w:hAnsi="Arial"/>
            <w:color w:val="0000FF"/>
            <w:u w:val="single"/>
            <w:rtl/>
          </w:rPr>
          <w:t>ע"פ 309/22</w:t>
        </w:r>
      </w:hyperlink>
      <w:r w:rsidRPr="0077511B">
        <w:rPr>
          <w:rFonts w:ascii="Arial" w:hAnsi="Arial"/>
          <w:rtl/>
        </w:rPr>
        <w:t xml:space="preserve"> </w:t>
      </w:r>
      <w:r w:rsidRPr="0077511B">
        <w:rPr>
          <w:rFonts w:ascii="Arial" w:hAnsi="Arial"/>
          <w:b/>
          <w:bCs/>
          <w:rtl/>
        </w:rPr>
        <w:t>מדינת ישראל</w:t>
      </w:r>
      <w:r w:rsidRPr="0077511B">
        <w:rPr>
          <w:rFonts w:ascii="Arial" w:hAnsi="Arial"/>
          <w:rtl/>
        </w:rPr>
        <w:t xml:space="preserve"> נ' </w:t>
      </w:r>
      <w:r w:rsidRPr="0077511B">
        <w:rPr>
          <w:rFonts w:ascii="Arial" w:hAnsi="Arial"/>
          <w:b/>
          <w:bCs/>
          <w:rtl/>
        </w:rPr>
        <w:t>ביאדסה</w:t>
      </w:r>
      <w:r w:rsidRPr="0077511B">
        <w:rPr>
          <w:rFonts w:ascii="Arial" w:hAnsi="Arial"/>
          <w:rtl/>
        </w:rPr>
        <w:t xml:space="preserve"> (פורסם בנבו, 10.5.22), </w:t>
      </w:r>
      <w:hyperlink r:id="rId17" w:history="1">
        <w:r w:rsidR="00F231B8" w:rsidRPr="00F231B8">
          <w:rPr>
            <w:rFonts w:ascii="Arial" w:hAnsi="Arial"/>
            <w:color w:val="0000FF"/>
            <w:u w:val="single"/>
            <w:rtl/>
          </w:rPr>
          <w:t>ע"פ 1695/22</w:t>
        </w:r>
      </w:hyperlink>
      <w:r w:rsidRPr="0077511B">
        <w:rPr>
          <w:rFonts w:ascii="Arial" w:hAnsi="Arial"/>
          <w:rtl/>
        </w:rPr>
        <w:t xml:space="preserve"> </w:t>
      </w:r>
      <w:r w:rsidRPr="0077511B">
        <w:rPr>
          <w:rFonts w:ascii="Arial" w:hAnsi="Arial"/>
          <w:b/>
          <w:bCs/>
          <w:rtl/>
        </w:rPr>
        <w:t>מדינת ישראל</w:t>
      </w:r>
      <w:r w:rsidRPr="0077511B">
        <w:rPr>
          <w:rFonts w:ascii="Arial" w:hAnsi="Arial"/>
          <w:rtl/>
        </w:rPr>
        <w:t xml:space="preserve"> נ' </w:t>
      </w:r>
      <w:r w:rsidRPr="0077511B">
        <w:rPr>
          <w:rFonts w:ascii="Arial" w:hAnsi="Arial"/>
          <w:b/>
          <w:bCs/>
          <w:rtl/>
        </w:rPr>
        <w:t>גאנים</w:t>
      </w:r>
      <w:r w:rsidRPr="0077511B">
        <w:rPr>
          <w:rFonts w:ascii="Arial" w:hAnsi="Arial"/>
          <w:rtl/>
        </w:rPr>
        <w:t xml:space="preserve"> (פורסם בנבו, 29.3.22)). </w:t>
      </w:r>
    </w:p>
    <w:p w14:paraId="6FAFCF66" w14:textId="77777777" w:rsidR="00DA1D02" w:rsidRPr="0077511B" w:rsidRDefault="00DA1D02" w:rsidP="00DA1D02">
      <w:pPr>
        <w:spacing w:line="360" w:lineRule="auto"/>
        <w:jc w:val="both"/>
        <w:rPr>
          <w:rFonts w:ascii="Arial" w:hAnsi="Arial"/>
          <w:rtl/>
        </w:rPr>
      </w:pPr>
    </w:p>
    <w:p w14:paraId="46B46780" w14:textId="77777777" w:rsidR="00DA1D02" w:rsidRPr="0077511B" w:rsidRDefault="00DA1D02" w:rsidP="00DA1D02">
      <w:pPr>
        <w:spacing w:line="360" w:lineRule="auto"/>
        <w:jc w:val="both"/>
        <w:rPr>
          <w:rFonts w:ascii="Arial" w:hAnsi="Arial"/>
          <w:rtl/>
        </w:rPr>
      </w:pPr>
      <w:r w:rsidRPr="0077511B">
        <w:rPr>
          <w:rFonts w:ascii="Arial" w:hAnsi="Arial"/>
          <w:rtl/>
        </w:rPr>
        <w:t>מגמת ההחמרה האמורה אינה נחלתו הבלעדית של בית המשפט. היא אף מצאה ביטוי בתיקון 140 ל</w:t>
      </w:r>
      <w:hyperlink r:id="rId18" w:history="1">
        <w:r w:rsidR="00F231B8" w:rsidRPr="00F231B8">
          <w:rPr>
            <w:rFonts w:ascii="Arial" w:hAnsi="Arial"/>
            <w:color w:val="0000FF"/>
            <w:u w:val="single"/>
            <w:rtl/>
          </w:rPr>
          <w:t>חוק העונשין</w:t>
        </w:r>
      </w:hyperlink>
      <w:r w:rsidRPr="0077511B">
        <w:rPr>
          <w:rFonts w:ascii="Arial" w:hAnsi="Arial"/>
          <w:rtl/>
        </w:rPr>
        <w:t>, תשל"ז- 1977, אשר קבע עונש מזערי בעביר</w:t>
      </w:r>
      <w:r w:rsidRPr="0077511B">
        <w:rPr>
          <w:rFonts w:ascii="Arial" w:hAnsi="Arial" w:hint="cs"/>
          <w:rtl/>
        </w:rPr>
        <w:t>ות אלה</w:t>
      </w:r>
      <w:r w:rsidRPr="0077511B">
        <w:rPr>
          <w:rFonts w:ascii="Arial" w:hAnsi="Arial"/>
          <w:rtl/>
        </w:rPr>
        <w:t xml:space="preserve">, ממנו מוסמך לחרוג בית המשפט אך בהתקיים "טעמים מיוחדים שיירשמו" (ראו </w:t>
      </w:r>
      <w:hyperlink r:id="rId19" w:history="1">
        <w:r w:rsidR="008F2A9B" w:rsidRPr="008F2A9B">
          <w:rPr>
            <w:rStyle w:val="Hyperlink"/>
            <w:rFonts w:ascii="Arial" w:hAnsi="Arial"/>
            <w:color w:val="0000FF"/>
            <w:rtl/>
          </w:rPr>
          <w:t>סעיף 144 (ז)</w:t>
        </w:r>
      </w:hyperlink>
      <w:r w:rsidRPr="0077511B">
        <w:rPr>
          <w:rFonts w:ascii="Arial" w:hAnsi="Arial"/>
          <w:rtl/>
        </w:rPr>
        <w:t xml:space="preserve"> לחוק). </w:t>
      </w:r>
    </w:p>
    <w:p w14:paraId="11F385A0" w14:textId="77777777" w:rsidR="00DA1D02" w:rsidRPr="0077511B" w:rsidRDefault="00DA1D02" w:rsidP="00DA1D02">
      <w:pPr>
        <w:spacing w:line="360" w:lineRule="auto"/>
        <w:jc w:val="both"/>
        <w:rPr>
          <w:rFonts w:ascii="Arial" w:hAnsi="Arial"/>
          <w:rtl/>
        </w:rPr>
      </w:pPr>
    </w:p>
    <w:p w14:paraId="465A02B9" w14:textId="77777777" w:rsidR="00DA1D02" w:rsidRDefault="00DA1D02" w:rsidP="00DA1D02">
      <w:pPr>
        <w:spacing w:line="360" w:lineRule="auto"/>
        <w:jc w:val="both"/>
        <w:rPr>
          <w:rFonts w:ascii="Arial" w:hAnsi="Arial"/>
          <w:rtl/>
        </w:rPr>
      </w:pPr>
      <w:r>
        <w:rPr>
          <w:rFonts w:ascii="Arial" w:hAnsi="Arial" w:hint="cs"/>
          <w:rtl/>
        </w:rPr>
        <w:t>המנעד העונשי לעבירות החזקת אקדח, רחב למדי, גם אם בשנים האחרונות, ניכרת החמרה כאמור. נדגים במספר פסקי דין.</w:t>
      </w:r>
    </w:p>
    <w:p w14:paraId="06274482" w14:textId="77777777" w:rsidR="00DA1D02" w:rsidRDefault="00DA1D02" w:rsidP="00DA1D02">
      <w:pPr>
        <w:spacing w:line="360" w:lineRule="auto"/>
        <w:jc w:val="both"/>
        <w:rPr>
          <w:rFonts w:ascii="Arial" w:hAnsi="Arial"/>
          <w:rtl/>
        </w:rPr>
      </w:pPr>
    </w:p>
    <w:p w14:paraId="2B7BE5C7" w14:textId="77777777" w:rsidR="00DA1D02" w:rsidRDefault="00DA1D02" w:rsidP="00DA1D02">
      <w:pPr>
        <w:spacing w:line="360" w:lineRule="auto"/>
        <w:jc w:val="both"/>
        <w:rPr>
          <w:rFonts w:ascii="Arial" w:hAnsi="Arial"/>
          <w:rtl/>
        </w:rPr>
      </w:pPr>
      <w:r w:rsidRPr="0077511B">
        <w:rPr>
          <w:rFonts w:ascii="Arial" w:hAnsi="Arial" w:hint="cs"/>
          <w:rtl/>
        </w:rPr>
        <w:t>ב</w:t>
      </w:r>
      <w:bookmarkStart w:id="8" w:name="casename_body"/>
      <w:r w:rsidR="00F231B8" w:rsidRPr="00F231B8">
        <w:rPr>
          <w:rFonts w:ascii="Arial" w:hAnsi="Arial"/>
          <w:color w:val="0000FF"/>
          <w:u w:val="single"/>
          <w:rtl/>
        </w:rPr>
        <w:fldChar w:fldCharType="begin"/>
      </w:r>
      <w:r w:rsidR="00F231B8" w:rsidRPr="00F231B8">
        <w:rPr>
          <w:rFonts w:ascii="Arial" w:hAnsi="Arial"/>
          <w:color w:val="0000FF"/>
          <w:u w:val="single"/>
          <w:rtl/>
        </w:rPr>
        <w:instrText xml:space="preserve"> </w:instrText>
      </w:r>
      <w:r w:rsidR="00F231B8" w:rsidRPr="00F231B8">
        <w:rPr>
          <w:rFonts w:ascii="Arial" w:hAnsi="Arial"/>
          <w:color w:val="0000FF"/>
          <w:u w:val="single"/>
        </w:rPr>
        <w:instrText xml:space="preserve">HYPERLINK </w:instrText>
      </w:r>
      <w:r w:rsidR="00F231B8" w:rsidRPr="00F231B8">
        <w:rPr>
          <w:rFonts w:ascii="Arial" w:hAnsi="Arial"/>
          <w:color w:val="0000FF"/>
          <w:u w:val="single"/>
          <w:rtl/>
        </w:rPr>
        <w:instrText>"</w:instrText>
      </w:r>
      <w:r w:rsidR="00F231B8" w:rsidRPr="00F231B8">
        <w:rPr>
          <w:rFonts w:ascii="Arial" w:hAnsi="Arial"/>
          <w:color w:val="0000FF"/>
          <w:u w:val="single"/>
        </w:rPr>
        <w:instrText>http://www.nevo.co.il/case/22505401"</w:instrText>
      </w:r>
      <w:r w:rsidR="00F231B8" w:rsidRPr="00F231B8">
        <w:rPr>
          <w:rFonts w:ascii="Arial" w:hAnsi="Arial"/>
          <w:color w:val="0000FF"/>
          <w:u w:val="single"/>
          <w:rtl/>
        </w:rPr>
        <w:instrText xml:space="preserve"> </w:instrText>
      </w:r>
      <w:r w:rsidR="00F231B8" w:rsidRPr="00F231B8">
        <w:rPr>
          <w:rFonts w:ascii="Arial" w:hAnsi="Arial"/>
          <w:color w:val="0000FF"/>
          <w:u w:val="single"/>
          <w:rtl/>
        </w:rPr>
      </w:r>
      <w:r w:rsidR="00F231B8" w:rsidRPr="00F231B8">
        <w:rPr>
          <w:rFonts w:ascii="Arial" w:hAnsi="Arial"/>
          <w:color w:val="0000FF"/>
          <w:u w:val="single"/>
          <w:rtl/>
        </w:rPr>
        <w:fldChar w:fldCharType="separate"/>
      </w:r>
      <w:bookmarkEnd w:id="8"/>
      <w:r w:rsidR="00F231B8" w:rsidRPr="00F231B8">
        <w:rPr>
          <w:rFonts w:ascii="Arial" w:hAnsi="Arial"/>
          <w:color w:val="0000FF"/>
          <w:u w:val="single"/>
          <w:rtl/>
        </w:rPr>
        <w:t>ע"פ 2541/17</w:t>
      </w:r>
      <w:r w:rsidR="00F231B8" w:rsidRPr="00F231B8">
        <w:rPr>
          <w:rFonts w:ascii="Arial" w:hAnsi="Arial"/>
          <w:color w:val="0000FF"/>
          <w:u w:val="single"/>
          <w:rtl/>
        </w:rPr>
        <w:fldChar w:fldCharType="end"/>
      </w:r>
      <w:r w:rsidRPr="0077511B">
        <w:rPr>
          <w:rFonts w:ascii="David" w:hAnsi="David"/>
          <w:rtl/>
        </w:rPr>
        <w:t xml:space="preserve"> </w:t>
      </w:r>
      <w:r w:rsidRPr="0077511B">
        <w:rPr>
          <w:rFonts w:ascii="Arial" w:hAnsi="Arial" w:hint="cs"/>
          <w:b/>
          <w:bCs/>
          <w:rtl/>
        </w:rPr>
        <w:t xml:space="preserve">זיד </w:t>
      </w:r>
      <w:r w:rsidRPr="0077511B">
        <w:rPr>
          <w:rFonts w:ascii="Arial" w:hAnsi="Arial" w:hint="cs"/>
          <w:rtl/>
        </w:rPr>
        <w:t>נ'</w:t>
      </w:r>
      <w:r w:rsidRPr="0077511B">
        <w:rPr>
          <w:rFonts w:ascii="Arial" w:hAnsi="Arial" w:hint="cs"/>
          <w:b/>
          <w:bCs/>
          <w:rtl/>
        </w:rPr>
        <w:t xml:space="preserve"> מדינת ישראל</w:t>
      </w:r>
      <w:r w:rsidRPr="0077511B">
        <w:rPr>
          <w:rFonts w:ascii="Arial" w:hAnsi="Arial" w:hint="cs"/>
          <w:rtl/>
        </w:rPr>
        <w:t xml:space="preserve"> (פורסם בנבו, 3.5.18) נדחה ערעורו של נאשם ללא עבר פלילי, שנכח ברכב בו הוחזק בידיעתו אקדח על ידי אחר לפרק זמן קצר. בית המשפט העליון לא התערב בעונש של שישה חודשי מאסר לריצוי בפועל, בשים לב לחלקו השולי של הנאשם בעבירה ובשל נסיבותיו המקלות. </w:t>
      </w:r>
    </w:p>
    <w:p w14:paraId="4B2ABFC2" w14:textId="77777777" w:rsidR="00DA1D02" w:rsidRDefault="00DA1D02" w:rsidP="00DA1D02">
      <w:pPr>
        <w:spacing w:line="360" w:lineRule="auto"/>
        <w:jc w:val="both"/>
        <w:rPr>
          <w:rFonts w:ascii="Arial" w:hAnsi="Arial"/>
          <w:rtl/>
        </w:rPr>
      </w:pPr>
    </w:p>
    <w:p w14:paraId="420B65B8" w14:textId="77777777" w:rsidR="00DA1D02" w:rsidRPr="0077511B" w:rsidRDefault="00DA1D02" w:rsidP="00DA1D02">
      <w:pPr>
        <w:spacing w:line="360" w:lineRule="auto"/>
        <w:jc w:val="both"/>
        <w:rPr>
          <w:rFonts w:ascii="Arial" w:hAnsi="Arial"/>
          <w:rtl/>
        </w:rPr>
      </w:pPr>
      <w:r w:rsidRPr="0077511B">
        <w:rPr>
          <w:rFonts w:ascii="Arial" w:hAnsi="Arial" w:hint="cs"/>
          <w:rtl/>
        </w:rPr>
        <w:t>ב</w:t>
      </w:r>
      <w:hyperlink r:id="rId20" w:history="1">
        <w:r w:rsidR="00F231B8" w:rsidRPr="00F231B8">
          <w:rPr>
            <w:rFonts w:ascii="Arial" w:hAnsi="Arial"/>
            <w:color w:val="0000FF"/>
            <w:u w:val="single"/>
            <w:rtl/>
          </w:rPr>
          <w:t>ת"פ 11843-03-20</w:t>
        </w:r>
      </w:hyperlink>
      <w:r w:rsidRPr="0077511B">
        <w:rPr>
          <w:rFonts w:ascii="Arial" w:hAnsi="Arial" w:hint="cs"/>
          <w:rtl/>
        </w:rPr>
        <w:t xml:space="preserve"> </w:t>
      </w:r>
      <w:r w:rsidRPr="0077511B">
        <w:rPr>
          <w:rFonts w:ascii="Arial" w:hAnsi="Arial" w:hint="cs"/>
          <w:b/>
          <w:bCs/>
          <w:rtl/>
        </w:rPr>
        <w:t xml:space="preserve">מדינת ישראל </w:t>
      </w:r>
      <w:r w:rsidRPr="0077511B">
        <w:rPr>
          <w:rFonts w:ascii="Arial" w:hAnsi="Arial" w:hint="cs"/>
          <w:rtl/>
        </w:rPr>
        <w:t xml:space="preserve">נ' </w:t>
      </w:r>
      <w:r w:rsidRPr="0077511B">
        <w:rPr>
          <w:rFonts w:ascii="Arial" w:hAnsi="Arial" w:hint="cs"/>
          <w:b/>
          <w:bCs/>
          <w:rtl/>
        </w:rPr>
        <w:t xml:space="preserve">בייך </w:t>
      </w:r>
      <w:r w:rsidRPr="0077511B">
        <w:rPr>
          <w:rFonts w:ascii="Arial" w:hAnsi="Arial" w:hint="cs"/>
          <w:rtl/>
        </w:rPr>
        <w:t xml:space="preserve">(פורסם בנבו, 18.2.21), גזר בית המשפט המחוזי בחיפה 9 חודשי מאסר לריצוי בפועל על נאשם שהורשע בסיוע להחזקה ונשיאת אקדח. </w:t>
      </w:r>
    </w:p>
    <w:p w14:paraId="4A4A216E" w14:textId="77777777" w:rsidR="00DA1D02" w:rsidRPr="0077511B" w:rsidRDefault="00DA1D02" w:rsidP="00DA1D02">
      <w:pPr>
        <w:spacing w:line="360" w:lineRule="auto"/>
        <w:jc w:val="both"/>
        <w:rPr>
          <w:rFonts w:ascii="Arial" w:hAnsi="Arial"/>
          <w:rtl/>
        </w:rPr>
      </w:pPr>
    </w:p>
    <w:p w14:paraId="18F14DC8" w14:textId="77777777" w:rsidR="00DA1D02" w:rsidRPr="0077511B" w:rsidRDefault="00DA1D02" w:rsidP="00DA1D02">
      <w:pPr>
        <w:spacing w:line="360" w:lineRule="auto"/>
        <w:jc w:val="both"/>
        <w:rPr>
          <w:rFonts w:ascii="Arial" w:hAnsi="Arial"/>
          <w:rtl/>
        </w:rPr>
      </w:pPr>
      <w:r w:rsidRPr="0077511B">
        <w:rPr>
          <w:rFonts w:ascii="Arial" w:hAnsi="Arial" w:hint="cs"/>
          <w:rtl/>
        </w:rPr>
        <w:t>ב</w:t>
      </w:r>
      <w:hyperlink r:id="rId21" w:history="1">
        <w:r w:rsidR="00F231B8" w:rsidRPr="00F231B8">
          <w:rPr>
            <w:rFonts w:ascii="Arial" w:hAnsi="Arial"/>
            <w:color w:val="0000FF"/>
            <w:u w:val="single"/>
            <w:rtl/>
          </w:rPr>
          <w:t>ע"פ 2141/21</w:t>
        </w:r>
      </w:hyperlink>
      <w:r w:rsidRPr="0077511B">
        <w:rPr>
          <w:rFonts w:ascii="Arial" w:hAnsi="Arial" w:hint="cs"/>
          <w:rtl/>
        </w:rPr>
        <w:t xml:space="preserve"> </w:t>
      </w:r>
      <w:r w:rsidRPr="0077511B">
        <w:rPr>
          <w:rFonts w:ascii="Arial" w:hAnsi="Arial" w:hint="cs"/>
          <w:b/>
          <w:bCs/>
          <w:rtl/>
        </w:rPr>
        <w:t>חניני</w:t>
      </w:r>
      <w:r w:rsidRPr="0077511B">
        <w:rPr>
          <w:rFonts w:ascii="Arial" w:hAnsi="Arial" w:hint="cs"/>
          <w:rtl/>
        </w:rPr>
        <w:t xml:space="preserve"> נ' </w:t>
      </w:r>
      <w:r w:rsidRPr="0077511B">
        <w:rPr>
          <w:rFonts w:ascii="Arial" w:hAnsi="Arial" w:hint="cs"/>
          <w:b/>
          <w:bCs/>
          <w:rtl/>
        </w:rPr>
        <w:t xml:space="preserve">מדינת ישראל </w:t>
      </w:r>
      <w:r w:rsidRPr="0077511B">
        <w:rPr>
          <w:rFonts w:ascii="Arial" w:hAnsi="Arial" w:hint="cs"/>
          <w:rtl/>
        </w:rPr>
        <w:t>(פורסם בנבו, 27.5.21) נדחה ערעור הנאשם על חומרת עונש של 20 חודשי מאסר לריצוי בפועל בגין החזקת אקדח.</w:t>
      </w:r>
    </w:p>
    <w:p w14:paraId="7C41BCCE" w14:textId="77777777" w:rsidR="00DA1D02" w:rsidRPr="0077511B" w:rsidRDefault="00DA1D02" w:rsidP="00DA1D02">
      <w:pPr>
        <w:spacing w:line="360" w:lineRule="auto"/>
        <w:jc w:val="both"/>
        <w:rPr>
          <w:rFonts w:ascii="Arial" w:hAnsi="Arial"/>
          <w:rtl/>
        </w:rPr>
      </w:pPr>
    </w:p>
    <w:p w14:paraId="00F53229" w14:textId="77777777" w:rsidR="00DA1D02" w:rsidRPr="0077511B" w:rsidRDefault="00DA1D02" w:rsidP="00DA1D02">
      <w:pPr>
        <w:spacing w:line="360" w:lineRule="auto"/>
        <w:jc w:val="both"/>
        <w:rPr>
          <w:rFonts w:ascii="Arial" w:hAnsi="Arial"/>
          <w:rtl/>
        </w:rPr>
      </w:pPr>
      <w:r w:rsidRPr="0077511B">
        <w:rPr>
          <w:rFonts w:ascii="Arial" w:hAnsi="Arial" w:hint="cs"/>
          <w:rtl/>
        </w:rPr>
        <w:t xml:space="preserve">בעפ"ג 14070-01-23 </w:t>
      </w:r>
      <w:r w:rsidRPr="0077511B">
        <w:rPr>
          <w:rFonts w:ascii="Arial" w:hAnsi="Arial" w:hint="cs"/>
          <w:b/>
          <w:bCs/>
          <w:rtl/>
        </w:rPr>
        <w:t>אלהוזייל</w:t>
      </w:r>
      <w:r w:rsidRPr="0077511B">
        <w:rPr>
          <w:rFonts w:ascii="Arial" w:hAnsi="Arial" w:hint="cs"/>
          <w:rtl/>
        </w:rPr>
        <w:t xml:space="preserve"> נ' </w:t>
      </w:r>
      <w:r w:rsidRPr="0077511B">
        <w:rPr>
          <w:rFonts w:ascii="Arial" w:hAnsi="Arial" w:hint="cs"/>
          <w:b/>
          <w:bCs/>
          <w:rtl/>
        </w:rPr>
        <w:t>מדינת ישראל</w:t>
      </w:r>
      <w:r w:rsidRPr="0077511B">
        <w:rPr>
          <w:rFonts w:ascii="Arial" w:hAnsi="Arial" w:hint="cs"/>
          <w:rtl/>
        </w:rPr>
        <w:t xml:space="preserve"> (פורסם בנבו, 22.3.23) נדחה ערעור על חומרת עונשו של המערער, שהחזיק באקדח וברח מפני השוטרים. באותו עניין, נקבע מתחם ענישה הנע בין 20 לבין 40 חודשי מאסר ונגזרו על המערער, שהיה נעדר עבר פלילי, 24 חודשי מאסר לריצוי בפועל.</w:t>
      </w:r>
    </w:p>
    <w:p w14:paraId="5992042B" w14:textId="77777777" w:rsidR="00DA1D02" w:rsidRPr="0077511B" w:rsidRDefault="00DA1D02" w:rsidP="00DA1D02">
      <w:pPr>
        <w:spacing w:line="360" w:lineRule="auto"/>
        <w:jc w:val="both"/>
        <w:rPr>
          <w:rFonts w:ascii="Arial" w:hAnsi="Arial"/>
          <w:rtl/>
        </w:rPr>
      </w:pPr>
    </w:p>
    <w:p w14:paraId="51B6C515" w14:textId="77777777" w:rsidR="00DA1D02" w:rsidRPr="0077511B" w:rsidRDefault="00DA1D02" w:rsidP="00DA1D02">
      <w:pPr>
        <w:spacing w:line="360" w:lineRule="auto"/>
        <w:jc w:val="both"/>
        <w:rPr>
          <w:rFonts w:ascii="Arial" w:hAnsi="Arial"/>
          <w:rtl/>
        </w:rPr>
      </w:pPr>
      <w:r w:rsidRPr="0077511B">
        <w:rPr>
          <w:rFonts w:ascii="Arial" w:hAnsi="Arial" w:hint="cs"/>
          <w:rtl/>
        </w:rPr>
        <w:t>ב</w:t>
      </w:r>
      <w:hyperlink r:id="rId22" w:history="1">
        <w:r w:rsidR="00F231B8" w:rsidRPr="00F231B8">
          <w:rPr>
            <w:rFonts w:ascii="Arial" w:hAnsi="Arial"/>
            <w:color w:val="0000FF"/>
            <w:u w:val="single"/>
            <w:rtl/>
          </w:rPr>
          <w:t>ת"פ 63100-02-24</w:t>
        </w:r>
      </w:hyperlink>
      <w:r w:rsidRPr="0077511B">
        <w:rPr>
          <w:rFonts w:ascii="Arial" w:hAnsi="Arial" w:hint="cs"/>
          <w:rtl/>
        </w:rPr>
        <w:t xml:space="preserve"> </w:t>
      </w:r>
      <w:r w:rsidRPr="0077511B">
        <w:rPr>
          <w:rFonts w:ascii="Arial" w:hAnsi="Arial" w:hint="cs"/>
          <w:b/>
          <w:bCs/>
          <w:rtl/>
        </w:rPr>
        <w:t xml:space="preserve">מדינת ישראל </w:t>
      </w:r>
      <w:r w:rsidRPr="0077511B">
        <w:rPr>
          <w:rFonts w:ascii="Arial" w:hAnsi="Arial" w:hint="cs"/>
          <w:rtl/>
        </w:rPr>
        <w:t xml:space="preserve">נ' </w:t>
      </w:r>
      <w:r w:rsidRPr="0077511B">
        <w:rPr>
          <w:rFonts w:ascii="Arial" w:hAnsi="Arial" w:hint="cs"/>
          <w:b/>
          <w:bCs/>
          <w:rtl/>
        </w:rPr>
        <w:t>מחאג'נה</w:t>
      </w:r>
      <w:r w:rsidRPr="0077511B">
        <w:rPr>
          <w:rFonts w:ascii="Arial" w:hAnsi="Arial" w:hint="cs"/>
          <w:rtl/>
        </w:rPr>
        <w:t xml:space="preserve"> (פורסם בנבו, 25.6.24), קבעתי מתחם עונשי של 24 </w:t>
      </w:r>
      <w:r w:rsidRPr="0077511B">
        <w:rPr>
          <w:rFonts w:ascii="Arial" w:hAnsi="Arial"/>
          <w:rtl/>
        </w:rPr>
        <w:t>–</w:t>
      </w:r>
      <w:r w:rsidRPr="0077511B">
        <w:rPr>
          <w:rFonts w:ascii="Arial" w:hAnsi="Arial" w:hint="cs"/>
          <w:rtl/>
        </w:rPr>
        <w:t xml:space="preserve"> 40 חודשי מאסר לריצוי בפועל, בעניינו של נאשם ללא עבר פלילי, שהחזיק בביתו שני אקדחים, 3 מחסניות ותחמושת תואמת. </w:t>
      </w:r>
    </w:p>
    <w:p w14:paraId="6BB3854D" w14:textId="77777777" w:rsidR="00DA1D02" w:rsidRPr="0077511B" w:rsidRDefault="00DA1D02" w:rsidP="00DA1D02">
      <w:pPr>
        <w:pStyle w:val="listparagraph"/>
        <w:bidi/>
        <w:spacing w:before="0" w:beforeAutospacing="0" w:after="0" w:afterAutospacing="0" w:line="330" w:lineRule="atLeast"/>
        <w:ind w:right="426"/>
        <w:jc w:val="both"/>
        <w:rPr>
          <w:rFonts w:ascii="David" w:hAnsi="David" w:cs="David"/>
          <w:color w:val="000000"/>
          <w:rtl/>
        </w:rPr>
      </w:pPr>
    </w:p>
    <w:p w14:paraId="610DD089" w14:textId="77777777" w:rsidR="00DA1D02" w:rsidRPr="0077511B" w:rsidRDefault="00DA1D02" w:rsidP="00DA1D02">
      <w:pPr>
        <w:spacing w:line="360" w:lineRule="auto"/>
        <w:jc w:val="both"/>
        <w:rPr>
          <w:rFonts w:ascii="David" w:hAnsi="David"/>
        </w:rPr>
      </w:pPr>
      <w:r w:rsidRPr="0077511B">
        <w:rPr>
          <w:rFonts w:ascii="Arial" w:hAnsi="Arial"/>
          <w:rtl/>
        </w:rPr>
        <w:t>כאשר אנו עוסקים בעבירת סיוע, בהעדר נסיבות חריגות, יש להעמיד את מתחם הענישה על מחצית המתחם שהיה נקבע לעבירה המושלמת (</w:t>
      </w:r>
      <w:hyperlink r:id="rId23" w:history="1">
        <w:r w:rsidR="00F231B8" w:rsidRPr="00F231B8">
          <w:rPr>
            <w:rFonts w:ascii="Arial" w:hAnsi="Arial"/>
            <w:color w:val="0000FF"/>
            <w:u w:val="single"/>
            <w:rtl/>
          </w:rPr>
          <w:t>ע"פ 4592/15</w:t>
        </w:r>
      </w:hyperlink>
      <w:r w:rsidR="00F231B8">
        <w:rPr>
          <w:rFonts w:ascii="Arial" w:hAnsi="Arial"/>
          <w:rtl/>
        </w:rPr>
        <w:t xml:space="preserve"> </w:t>
      </w:r>
      <w:r w:rsidRPr="008F2C73">
        <w:rPr>
          <w:rFonts w:ascii="Arial" w:hAnsi="Arial"/>
          <w:b/>
          <w:bCs/>
          <w:rtl/>
        </w:rPr>
        <w:t>פדידה</w:t>
      </w:r>
      <w:r w:rsidRPr="0077511B">
        <w:rPr>
          <w:rFonts w:ascii="Arial" w:hAnsi="Arial"/>
          <w:rtl/>
        </w:rPr>
        <w:t xml:space="preserve"> נ'</w:t>
      </w:r>
      <w:r w:rsidRPr="008F2C73">
        <w:rPr>
          <w:rFonts w:ascii="Arial" w:hAnsi="Arial"/>
          <w:b/>
          <w:bCs/>
          <w:rtl/>
        </w:rPr>
        <w:t xml:space="preserve"> מדינת ישראל</w:t>
      </w:r>
      <w:r w:rsidR="00F231B8">
        <w:rPr>
          <w:rFonts w:ascii="Arial" w:hAnsi="Arial"/>
          <w:rtl/>
        </w:rPr>
        <w:t xml:space="preserve"> </w:t>
      </w:r>
      <w:r>
        <w:rPr>
          <w:rFonts w:ascii="Arial" w:hAnsi="Arial" w:hint="cs"/>
          <w:rtl/>
        </w:rPr>
        <w:t>(</w:t>
      </w:r>
      <w:r w:rsidRPr="0077511B">
        <w:rPr>
          <w:rFonts w:ascii="Arial" w:hAnsi="Arial"/>
          <w:rtl/>
        </w:rPr>
        <w:t xml:space="preserve">פורסם </w:t>
      </w:r>
      <w:r w:rsidRPr="0077511B">
        <w:rPr>
          <w:rFonts w:ascii="Arial" w:hAnsi="Arial" w:hint="cs"/>
          <w:rtl/>
        </w:rPr>
        <w:t>ב</w:t>
      </w:r>
      <w:r w:rsidRPr="0077511B">
        <w:rPr>
          <w:rFonts w:ascii="Arial" w:hAnsi="Arial"/>
          <w:rtl/>
        </w:rPr>
        <w:t>נבו</w:t>
      </w:r>
      <w:r>
        <w:rPr>
          <w:rFonts w:ascii="Arial" w:hAnsi="Arial" w:hint="cs"/>
          <w:rtl/>
        </w:rPr>
        <w:t>,</w:t>
      </w:r>
      <w:r w:rsidR="00F231B8">
        <w:rPr>
          <w:rFonts w:ascii="Arial" w:hAnsi="Arial"/>
          <w:rtl/>
        </w:rPr>
        <w:t xml:space="preserve"> </w:t>
      </w:r>
      <w:r w:rsidRPr="0077511B">
        <w:rPr>
          <w:rFonts w:ascii="Arial" w:hAnsi="Arial"/>
          <w:rtl/>
        </w:rPr>
        <w:t>8.2.16)).</w:t>
      </w:r>
    </w:p>
    <w:p w14:paraId="6A05F175" w14:textId="77777777" w:rsidR="00DA1D02" w:rsidRPr="0077511B" w:rsidRDefault="00DA1D02" w:rsidP="00DA1D02">
      <w:pPr>
        <w:spacing w:line="360" w:lineRule="auto"/>
        <w:jc w:val="both"/>
        <w:rPr>
          <w:rFonts w:ascii="Arial" w:hAnsi="Arial"/>
          <w:rtl/>
        </w:rPr>
      </w:pPr>
    </w:p>
    <w:p w14:paraId="010CFF9B" w14:textId="77777777" w:rsidR="00DA1D02" w:rsidRPr="0077511B" w:rsidRDefault="00DA1D02" w:rsidP="00DA1D02">
      <w:pPr>
        <w:spacing w:line="360" w:lineRule="auto"/>
        <w:jc w:val="both"/>
        <w:rPr>
          <w:rFonts w:ascii="Arial" w:hAnsi="Arial"/>
          <w:rtl/>
        </w:rPr>
      </w:pPr>
      <w:r w:rsidRPr="0077511B">
        <w:rPr>
          <w:rFonts w:ascii="Arial" w:hAnsi="Arial"/>
          <w:rtl/>
        </w:rPr>
        <w:t>על רקע כלל האמור, לנוכח הערכים המוגנים עליהם עמדנו, חומרת העבירה ונסיבותיה וכן לאור מדיניות הענישה הנוהגת, הגעתי למסקנה כי במקרה דנן יש לקבוע מתחם עונשי העומד על 1</w:t>
      </w:r>
      <w:r>
        <w:rPr>
          <w:rFonts w:ascii="Arial" w:hAnsi="Arial" w:hint="cs"/>
          <w:rtl/>
        </w:rPr>
        <w:t>0-20</w:t>
      </w:r>
      <w:r w:rsidRPr="0077511B">
        <w:rPr>
          <w:rFonts w:ascii="Arial" w:hAnsi="Arial"/>
          <w:rtl/>
        </w:rPr>
        <w:t xml:space="preserve"> חודשי מאסר לריצוי בפועל. אל עונש זה יתווסף מאסר מותנה משמעותי, לשם הגברת ההרתעה העתידית וכן קנס.</w:t>
      </w:r>
    </w:p>
    <w:p w14:paraId="6AB69893" w14:textId="77777777" w:rsidR="00DA1D02" w:rsidRPr="0077511B" w:rsidRDefault="00DA1D02" w:rsidP="00DA1D02">
      <w:pPr>
        <w:spacing w:line="360" w:lineRule="auto"/>
        <w:jc w:val="both"/>
        <w:rPr>
          <w:rFonts w:ascii="Arial" w:hAnsi="Arial"/>
          <w:rtl/>
        </w:rPr>
      </w:pPr>
    </w:p>
    <w:p w14:paraId="7A08333D" w14:textId="77777777" w:rsidR="00DA1D02" w:rsidRPr="0077511B" w:rsidRDefault="00DA1D02" w:rsidP="00DA1D02">
      <w:pPr>
        <w:spacing w:line="360" w:lineRule="auto"/>
        <w:jc w:val="both"/>
        <w:rPr>
          <w:rFonts w:ascii="Arial" w:hAnsi="Arial"/>
          <w:b/>
          <w:bCs/>
          <w:u w:val="single"/>
          <w:rtl/>
        </w:rPr>
      </w:pPr>
      <w:r w:rsidRPr="0077511B">
        <w:rPr>
          <w:rFonts w:ascii="Arial" w:hAnsi="Arial"/>
          <w:b/>
          <w:bCs/>
          <w:u w:val="single"/>
          <w:rtl/>
        </w:rPr>
        <w:t>נסיבות שאינן קשורות בעבירה</w:t>
      </w:r>
    </w:p>
    <w:p w14:paraId="27A2AFC9" w14:textId="77777777" w:rsidR="00DA1D02" w:rsidRPr="0077511B" w:rsidRDefault="00DA1D02" w:rsidP="00DA1D02">
      <w:pPr>
        <w:spacing w:line="360" w:lineRule="auto"/>
        <w:jc w:val="both"/>
        <w:rPr>
          <w:rFonts w:ascii="Arial" w:hAnsi="Arial"/>
          <w:rtl/>
        </w:rPr>
      </w:pPr>
      <w:r w:rsidRPr="0077511B">
        <w:rPr>
          <w:rFonts w:ascii="Arial" w:hAnsi="Arial"/>
          <w:rtl/>
        </w:rPr>
        <w:t xml:space="preserve">כאמור, לחובתו של הנאשם שלוש הרשעות קודמות. </w:t>
      </w:r>
    </w:p>
    <w:p w14:paraId="273E78FA" w14:textId="77777777" w:rsidR="00DA1D02" w:rsidRPr="0077511B" w:rsidRDefault="00DA1D02" w:rsidP="00DA1D02">
      <w:pPr>
        <w:spacing w:line="360" w:lineRule="auto"/>
        <w:jc w:val="both"/>
        <w:rPr>
          <w:rFonts w:ascii="Arial" w:hAnsi="Arial"/>
          <w:rtl/>
        </w:rPr>
      </w:pPr>
      <w:r w:rsidRPr="0077511B">
        <w:rPr>
          <w:rFonts w:ascii="Arial" w:hAnsi="Arial"/>
          <w:rtl/>
        </w:rPr>
        <w:t xml:space="preserve">גם אם מסכים אני עם ב"כ הנאשם כי אלה אינן מתחום העבריינות בו עסקינן היום, לא ניתן להתעלם מהעובדה כי הנאשם חוזר פעם אחר פעם לבצע עבירות. הדברים אמורים במיוחד כאשר הוא שוחרר </w:t>
      </w:r>
      <w:r>
        <w:rPr>
          <w:rFonts w:ascii="Arial" w:hAnsi="Arial" w:hint="cs"/>
          <w:rtl/>
        </w:rPr>
        <w:t>כחצי שנה בלבד לפני ביצוע העבירה הנוכחית מ</w:t>
      </w:r>
      <w:r w:rsidRPr="0077511B">
        <w:rPr>
          <w:rFonts w:ascii="Arial" w:hAnsi="Arial"/>
          <w:rtl/>
        </w:rPr>
        <w:t xml:space="preserve">מאסר משמעותי בן 22 חודשים. </w:t>
      </w:r>
    </w:p>
    <w:p w14:paraId="22B3E930" w14:textId="77777777" w:rsidR="00DA1D02" w:rsidRPr="0077511B" w:rsidRDefault="00DA1D02" w:rsidP="00DA1D02">
      <w:pPr>
        <w:spacing w:line="360" w:lineRule="auto"/>
        <w:jc w:val="both"/>
        <w:rPr>
          <w:rFonts w:ascii="Arial" w:hAnsi="Arial"/>
          <w:rtl/>
        </w:rPr>
      </w:pPr>
    </w:p>
    <w:p w14:paraId="6B058C29" w14:textId="77777777" w:rsidR="00DA1D02" w:rsidRDefault="00DA1D02" w:rsidP="00DA1D02">
      <w:pPr>
        <w:spacing w:line="360" w:lineRule="auto"/>
        <w:jc w:val="both"/>
        <w:rPr>
          <w:rFonts w:ascii="Arial" w:hAnsi="Arial"/>
          <w:rtl/>
        </w:rPr>
      </w:pPr>
      <w:r w:rsidRPr="0077511B">
        <w:rPr>
          <w:rFonts w:ascii="Arial" w:hAnsi="Arial"/>
          <w:rtl/>
        </w:rPr>
        <w:t>במצב דברים זה, היה מצופה שהנאשם יזהר בקלה כבחמורה וירחיק עצמו מכל עשייה עבריינית.</w:t>
      </w:r>
      <w:r w:rsidRPr="0077511B">
        <w:rPr>
          <w:rFonts w:ascii="Arial" w:hAnsi="Arial" w:hint="cs"/>
          <w:rtl/>
        </w:rPr>
        <w:t xml:space="preserve"> </w:t>
      </w:r>
      <w:r w:rsidRPr="0077511B">
        <w:rPr>
          <w:rFonts w:ascii="Arial" w:hAnsi="Arial"/>
          <w:rtl/>
        </w:rPr>
        <w:t xml:space="preserve">הנאשם לא נהג כאמור, אלא עירב עצמו בעבירה אשר חומרתה הפכה לנחלת הכלל. </w:t>
      </w:r>
    </w:p>
    <w:p w14:paraId="4EDEE3CD" w14:textId="77777777" w:rsidR="00DA1D02" w:rsidRDefault="00DA1D02" w:rsidP="00DA1D02">
      <w:pPr>
        <w:spacing w:line="360" w:lineRule="auto"/>
        <w:jc w:val="both"/>
        <w:rPr>
          <w:rFonts w:ascii="Arial" w:hAnsi="Arial"/>
          <w:rtl/>
        </w:rPr>
      </w:pPr>
    </w:p>
    <w:p w14:paraId="57D60052" w14:textId="77777777" w:rsidR="00DA1D02" w:rsidRPr="0077511B" w:rsidRDefault="00DA1D02" w:rsidP="00DA1D02">
      <w:pPr>
        <w:spacing w:line="360" w:lineRule="auto"/>
        <w:jc w:val="both"/>
        <w:rPr>
          <w:rFonts w:ascii="Arial" w:hAnsi="Arial"/>
          <w:rtl/>
        </w:rPr>
      </w:pPr>
      <w:r>
        <w:rPr>
          <w:rFonts w:ascii="Arial" w:hAnsi="Arial" w:hint="cs"/>
          <w:rtl/>
        </w:rPr>
        <w:t xml:space="preserve">התנהגות זו מבטאת זלזול בוטה בחובה הבסיסית לשמור על החוק, ומחייבת העברת מסר בלתי מתפשר לנאשם. </w:t>
      </w:r>
    </w:p>
    <w:p w14:paraId="47D72341" w14:textId="77777777" w:rsidR="00DA1D02" w:rsidRPr="0077511B" w:rsidRDefault="00DA1D02" w:rsidP="00DA1D02">
      <w:pPr>
        <w:spacing w:line="360" w:lineRule="auto"/>
        <w:jc w:val="both"/>
        <w:rPr>
          <w:rFonts w:ascii="Arial" w:hAnsi="Arial"/>
          <w:rtl/>
        </w:rPr>
      </w:pPr>
    </w:p>
    <w:p w14:paraId="237049CF" w14:textId="77777777" w:rsidR="00DA1D02" w:rsidRPr="0077511B" w:rsidRDefault="00DA1D02" w:rsidP="00DA1D02">
      <w:pPr>
        <w:spacing w:line="360" w:lineRule="auto"/>
        <w:jc w:val="both"/>
        <w:rPr>
          <w:rFonts w:ascii="Arial" w:hAnsi="Arial"/>
          <w:rtl/>
        </w:rPr>
      </w:pPr>
      <w:r w:rsidRPr="0077511B">
        <w:rPr>
          <w:rFonts w:ascii="Arial" w:hAnsi="Arial"/>
          <w:rtl/>
        </w:rPr>
        <w:t>מאידך גיסא, עומדת לזכות הנאשם הודאתו המהירה באשמה, לאחר שתוקן כתב האישום באופן משמעותי. עוד ניכר היה כי הנאשם מבין את חומרת מעשיו ומתחרט עליה</w:t>
      </w:r>
      <w:r w:rsidRPr="0077511B">
        <w:rPr>
          <w:rFonts w:ascii="Arial" w:hAnsi="Arial" w:hint="cs"/>
          <w:rtl/>
        </w:rPr>
        <w:t>ם</w:t>
      </w:r>
      <w:r w:rsidRPr="0077511B">
        <w:rPr>
          <w:rFonts w:ascii="Arial" w:hAnsi="Arial"/>
          <w:rtl/>
        </w:rPr>
        <w:t>.</w:t>
      </w:r>
    </w:p>
    <w:p w14:paraId="25CC51D5" w14:textId="77777777" w:rsidR="00DA1D02" w:rsidRPr="0077511B" w:rsidRDefault="00DA1D02" w:rsidP="00DA1D02">
      <w:pPr>
        <w:spacing w:line="360" w:lineRule="auto"/>
        <w:jc w:val="both"/>
        <w:rPr>
          <w:rFonts w:ascii="Arial" w:hAnsi="Arial"/>
          <w:rtl/>
        </w:rPr>
      </w:pPr>
    </w:p>
    <w:p w14:paraId="2A6C24BC" w14:textId="77777777" w:rsidR="00DA1D02" w:rsidRPr="0077511B" w:rsidRDefault="00DA1D02" w:rsidP="00DA1D02">
      <w:pPr>
        <w:spacing w:line="360" w:lineRule="auto"/>
        <w:jc w:val="both"/>
        <w:rPr>
          <w:rFonts w:ascii="Arial" w:hAnsi="Arial"/>
          <w:rtl/>
        </w:rPr>
      </w:pPr>
      <w:r w:rsidRPr="0077511B">
        <w:rPr>
          <w:rFonts w:ascii="Arial" w:hAnsi="Arial" w:hint="cs"/>
          <w:rtl/>
        </w:rPr>
        <w:t xml:space="preserve">לבסוף, אין להתעלם מהנזק שייגרם למשפחתו, גם אם זה נובע מהחלטתו המודעת של הנאשם לנהוג כפי שנהג. </w:t>
      </w:r>
    </w:p>
    <w:p w14:paraId="11C9F74C" w14:textId="77777777" w:rsidR="00DA1D02" w:rsidRPr="0077511B" w:rsidRDefault="00DA1D02" w:rsidP="00DA1D02">
      <w:pPr>
        <w:spacing w:line="360" w:lineRule="auto"/>
        <w:jc w:val="both"/>
        <w:rPr>
          <w:rFonts w:ascii="Arial" w:hAnsi="Arial"/>
          <w:rtl/>
        </w:rPr>
      </w:pPr>
    </w:p>
    <w:p w14:paraId="0C20DE87" w14:textId="77777777" w:rsidR="00DA1D02" w:rsidRPr="0077511B" w:rsidRDefault="00DA1D02" w:rsidP="00DA1D02">
      <w:pPr>
        <w:spacing w:line="360" w:lineRule="auto"/>
        <w:jc w:val="both"/>
        <w:rPr>
          <w:rFonts w:ascii="Arial" w:hAnsi="Arial"/>
          <w:b/>
          <w:bCs/>
          <w:u w:val="single"/>
          <w:rtl/>
        </w:rPr>
      </w:pPr>
      <w:r w:rsidRPr="0077511B">
        <w:rPr>
          <w:rFonts w:ascii="Arial" w:hAnsi="Arial"/>
          <w:b/>
          <w:bCs/>
          <w:u w:val="single"/>
          <w:rtl/>
        </w:rPr>
        <w:t>סוף דבר</w:t>
      </w:r>
    </w:p>
    <w:p w14:paraId="64059232" w14:textId="77777777" w:rsidR="00DA1D02" w:rsidRDefault="00DA1D02" w:rsidP="00DA1D02">
      <w:pPr>
        <w:spacing w:line="360" w:lineRule="auto"/>
        <w:jc w:val="both"/>
        <w:rPr>
          <w:rFonts w:ascii="Arial" w:hAnsi="Arial"/>
          <w:rtl/>
        </w:rPr>
      </w:pPr>
      <w:r>
        <w:rPr>
          <w:rFonts w:ascii="Arial" w:hAnsi="Arial" w:hint="cs"/>
          <w:rtl/>
        </w:rPr>
        <w:t xml:space="preserve">כאמור, יש לקבוע את עונשו של הנאשם </w:t>
      </w:r>
      <w:r w:rsidRPr="0077511B">
        <w:rPr>
          <w:rFonts w:ascii="Arial" w:hAnsi="Arial"/>
          <w:rtl/>
        </w:rPr>
        <w:t>בשים לב לערך החברתי שנפגע, לשיקולי הענישה השונים, בראשם צורכי הרתעה, לנסיבות ביצוע העבירה, לעובדה כי עסקינן בסיוע בלבד ולנסיבות האישיות של הנאשם</w:t>
      </w:r>
      <w:r>
        <w:rPr>
          <w:rFonts w:ascii="Arial" w:hAnsi="Arial" w:hint="cs"/>
          <w:rtl/>
        </w:rPr>
        <w:t>.</w:t>
      </w:r>
      <w:r w:rsidRPr="0077511B">
        <w:rPr>
          <w:rFonts w:ascii="Arial" w:hAnsi="Arial"/>
          <w:rtl/>
        </w:rPr>
        <w:t xml:space="preserve"> </w:t>
      </w:r>
      <w:r>
        <w:rPr>
          <w:rFonts w:ascii="Arial" w:hAnsi="Arial" w:hint="cs"/>
          <w:rtl/>
        </w:rPr>
        <w:t xml:space="preserve">לצד האמור, על העונש לבטא את החומרה המיוחדת הנובעת מהעובדה כי הנאשם ביצע את העבירה למרות ששוחרר לפני תקופה קצרה ממאסר ממושך ולמרות עברו הפלילי המכביד. </w:t>
      </w:r>
    </w:p>
    <w:p w14:paraId="44C667FF" w14:textId="77777777" w:rsidR="00DA1D02" w:rsidRDefault="00DA1D02" w:rsidP="00DA1D02">
      <w:pPr>
        <w:spacing w:line="360" w:lineRule="auto"/>
        <w:jc w:val="both"/>
        <w:rPr>
          <w:rFonts w:ascii="Arial" w:hAnsi="Arial"/>
          <w:rtl/>
        </w:rPr>
      </w:pPr>
    </w:p>
    <w:p w14:paraId="0A9087B1" w14:textId="77777777" w:rsidR="00DA1D02" w:rsidRPr="0077511B" w:rsidRDefault="00DA1D02" w:rsidP="00DA1D02">
      <w:pPr>
        <w:spacing w:line="360" w:lineRule="auto"/>
        <w:jc w:val="both"/>
        <w:rPr>
          <w:rFonts w:ascii="Arial" w:hAnsi="Arial"/>
          <w:rtl/>
        </w:rPr>
      </w:pPr>
      <w:r>
        <w:rPr>
          <w:rFonts w:ascii="Arial" w:hAnsi="Arial" w:hint="cs"/>
          <w:rtl/>
        </w:rPr>
        <w:t xml:space="preserve">לנוכח נסיבה זו, המוסיפה נופך חומרה ליתר שיקולי הענישה עליהם עמדתי, מצאתי להעמיד את </w:t>
      </w:r>
      <w:r w:rsidRPr="0077511B">
        <w:rPr>
          <w:rFonts w:ascii="Arial" w:hAnsi="Arial"/>
          <w:rtl/>
        </w:rPr>
        <w:t xml:space="preserve">עונשו ברף הבינוני </w:t>
      </w:r>
      <w:r>
        <w:rPr>
          <w:rFonts w:ascii="Arial" w:hAnsi="Arial"/>
          <w:rtl/>
        </w:rPr>
        <w:t>–</w:t>
      </w:r>
      <w:r>
        <w:rPr>
          <w:rFonts w:ascii="Arial" w:hAnsi="Arial" w:hint="cs"/>
          <w:rtl/>
        </w:rPr>
        <w:t xml:space="preserve">גבוה </w:t>
      </w:r>
      <w:r w:rsidRPr="0077511B">
        <w:rPr>
          <w:rFonts w:ascii="Arial" w:hAnsi="Arial"/>
          <w:rtl/>
        </w:rPr>
        <w:t xml:space="preserve">של המתחם. </w:t>
      </w:r>
    </w:p>
    <w:p w14:paraId="65B253E9" w14:textId="77777777" w:rsidR="00DA1D02" w:rsidRPr="0077511B" w:rsidRDefault="00DA1D02" w:rsidP="00DA1D02">
      <w:pPr>
        <w:spacing w:line="360" w:lineRule="auto"/>
        <w:jc w:val="both"/>
        <w:rPr>
          <w:rFonts w:ascii="Arial" w:hAnsi="Arial"/>
          <w:rtl/>
        </w:rPr>
      </w:pPr>
    </w:p>
    <w:p w14:paraId="0549FDD8" w14:textId="77777777" w:rsidR="00DA1D02" w:rsidRDefault="00DA1D02" w:rsidP="00DA1D02">
      <w:pPr>
        <w:spacing w:line="360" w:lineRule="auto"/>
        <w:jc w:val="both"/>
        <w:rPr>
          <w:rFonts w:ascii="Arial" w:hAnsi="Arial"/>
          <w:b/>
          <w:bCs/>
          <w:rtl/>
        </w:rPr>
      </w:pPr>
      <w:r w:rsidRPr="0077511B">
        <w:rPr>
          <w:rFonts w:ascii="Arial" w:hAnsi="Arial"/>
          <w:b/>
          <w:bCs/>
          <w:rtl/>
        </w:rPr>
        <w:t>בהתחשב בכלל האמור, הנני גוזר על הנאשם את העונשים הבאים:</w:t>
      </w:r>
    </w:p>
    <w:p w14:paraId="029C060A" w14:textId="77777777" w:rsidR="00DA1D02" w:rsidRPr="0077511B" w:rsidRDefault="00DA1D02" w:rsidP="00DA1D02">
      <w:pPr>
        <w:spacing w:line="360" w:lineRule="auto"/>
        <w:jc w:val="both"/>
        <w:rPr>
          <w:rFonts w:ascii="Arial" w:hAnsi="Arial"/>
          <w:b/>
          <w:bCs/>
          <w:rtl/>
        </w:rPr>
      </w:pPr>
    </w:p>
    <w:p w14:paraId="36A05472" w14:textId="77777777" w:rsidR="00DA1D02" w:rsidRDefault="00DA1D02" w:rsidP="00DA1D02">
      <w:pPr>
        <w:pStyle w:val="a9"/>
        <w:numPr>
          <w:ilvl w:val="0"/>
          <w:numId w:val="1"/>
        </w:numPr>
        <w:spacing w:line="360" w:lineRule="auto"/>
        <w:jc w:val="both"/>
        <w:rPr>
          <w:b/>
          <w:bCs/>
        </w:rPr>
      </w:pPr>
      <w:r>
        <w:rPr>
          <w:rFonts w:hint="cs"/>
          <w:b/>
          <w:bCs/>
          <w:rtl/>
        </w:rPr>
        <w:t>16</w:t>
      </w:r>
      <w:r w:rsidRPr="0077511B">
        <w:rPr>
          <w:b/>
          <w:bCs/>
          <w:rtl/>
        </w:rPr>
        <w:t xml:space="preserve"> חודשי מאסר לריצוי בפועל מיום מעצרו של הנאשם בתיק זה. </w:t>
      </w:r>
    </w:p>
    <w:p w14:paraId="3FD476B4" w14:textId="77777777" w:rsidR="00DA1D02" w:rsidRPr="0077511B" w:rsidRDefault="00DA1D02" w:rsidP="00DA1D02">
      <w:pPr>
        <w:pStyle w:val="a9"/>
        <w:spacing w:line="360" w:lineRule="auto"/>
        <w:jc w:val="both"/>
        <w:rPr>
          <w:b/>
          <w:bCs/>
          <w:rtl/>
        </w:rPr>
      </w:pPr>
    </w:p>
    <w:p w14:paraId="54DAA757" w14:textId="77777777" w:rsidR="00DA1D02" w:rsidRDefault="00DA1D02" w:rsidP="00DA1D02">
      <w:pPr>
        <w:pStyle w:val="a9"/>
        <w:numPr>
          <w:ilvl w:val="0"/>
          <w:numId w:val="1"/>
        </w:numPr>
        <w:spacing w:line="360" w:lineRule="auto"/>
        <w:jc w:val="both"/>
        <w:rPr>
          <w:b/>
          <w:bCs/>
        </w:rPr>
      </w:pPr>
      <w:r w:rsidRPr="0077511B">
        <w:rPr>
          <w:b/>
          <w:bCs/>
          <w:rtl/>
        </w:rPr>
        <w:t>12 חודשי מאסר מותנים, והתנאי הוא כי הנאשם לא יעבור עבירה לפי סעיף 144 (א), או (ב), או (ב2) ל</w:t>
      </w:r>
      <w:hyperlink r:id="rId24" w:history="1">
        <w:r w:rsidR="00F231B8" w:rsidRPr="00F231B8">
          <w:rPr>
            <w:b/>
            <w:bCs/>
            <w:color w:val="0000FF"/>
            <w:u w:val="single"/>
            <w:rtl/>
          </w:rPr>
          <w:t>חוק העונשין</w:t>
        </w:r>
      </w:hyperlink>
      <w:r w:rsidRPr="0077511B">
        <w:rPr>
          <w:b/>
          <w:bCs/>
          <w:rtl/>
        </w:rPr>
        <w:t>, התשל"ז-1977 במשך שלוש שנים מיום שחרורו ממאסרו.</w:t>
      </w:r>
    </w:p>
    <w:p w14:paraId="6352872D" w14:textId="77777777" w:rsidR="00DA1D02" w:rsidRPr="00581C81" w:rsidRDefault="00DA1D02" w:rsidP="00DA1D02">
      <w:pPr>
        <w:pStyle w:val="a9"/>
        <w:rPr>
          <w:b/>
          <w:bCs/>
          <w:rtl/>
        </w:rPr>
      </w:pPr>
    </w:p>
    <w:p w14:paraId="7018A9A1" w14:textId="77777777" w:rsidR="00DA1D02" w:rsidRDefault="00DA1D02" w:rsidP="00DA1D02">
      <w:pPr>
        <w:pStyle w:val="a9"/>
        <w:numPr>
          <w:ilvl w:val="0"/>
          <w:numId w:val="1"/>
        </w:numPr>
        <w:spacing w:line="360" w:lineRule="auto"/>
        <w:jc w:val="both"/>
        <w:rPr>
          <w:b/>
          <w:bCs/>
        </w:rPr>
      </w:pPr>
      <w:r w:rsidRPr="0077511B">
        <w:rPr>
          <w:b/>
          <w:bCs/>
          <w:rtl/>
        </w:rPr>
        <w:t xml:space="preserve">קנס בסך </w:t>
      </w:r>
      <w:r>
        <w:rPr>
          <w:rFonts w:hint="cs"/>
          <w:b/>
          <w:bCs/>
          <w:rtl/>
        </w:rPr>
        <w:t>2</w:t>
      </w:r>
      <w:r w:rsidRPr="0077511B">
        <w:rPr>
          <w:b/>
          <w:bCs/>
          <w:rtl/>
        </w:rPr>
        <w:t xml:space="preserve">,000 ₪ שישולם עד ליום 24.7.2025. לא ישלם הנאשם את הקנס האמור, יאסר לתקופה נוספת של חודש.  </w:t>
      </w:r>
    </w:p>
    <w:p w14:paraId="7D306EFC" w14:textId="77777777" w:rsidR="00DA1D02" w:rsidRDefault="00DA1D02" w:rsidP="00DA1D02">
      <w:pPr>
        <w:pStyle w:val="a9"/>
        <w:rPr>
          <w:b/>
          <w:bCs/>
          <w:rtl/>
        </w:rPr>
      </w:pPr>
    </w:p>
    <w:p w14:paraId="461EB029" w14:textId="77777777" w:rsidR="00DA1D02" w:rsidRPr="00FE3EDE" w:rsidRDefault="00DA1D02" w:rsidP="00DA1D02">
      <w:pPr>
        <w:pStyle w:val="a9"/>
        <w:rPr>
          <w:b/>
          <w:bCs/>
          <w:rtl/>
        </w:rPr>
      </w:pPr>
    </w:p>
    <w:p w14:paraId="2258DD0D" w14:textId="77777777" w:rsidR="00DA1D02" w:rsidRPr="00FE3EDE" w:rsidRDefault="00DA1D02" w:rsidP="00DA1D02">
      <w:pPr>
        <w:spacing w:line="360" w:lineRule="auto"/>
        <w:jc w:val="both"/>
        <w:rPr>
          <w:b/>
          <w:bCs/>
        </w:rPr>
      </w:pPr>
      <w:r>
        <w:rPr>
          <w:rFonts w:hint="cs"/>
          <w:b/>
          <w:bCs/>
          <w:rtl/>
        </w:rPr>
        <w:t>זכות ערעור תוך 45 ימים לבית המשפט העליון.</w:t>
      </w:r>
    </w:p>
    <w:p w14:paraId="4625127D" w14:textId="77777777" w:rsidR="00DA1D02" w:rsidRPr="00F231B8" w:rsidRDefault="00F231B8" w:rsidP="00DA1D02">
      <w:pPr>
        <w:jc w:val="both"/>
        <w:rPr>
          <w:rFonts w:ascii="Arial" w:hAnsi="Arial"/>
          <w:b/>
          <w:bCs/>
          <w:color w:val="FFFFFF"/>
          <w:sz w:val="2"/>
          <w:szCs w:val="2"/>
          <w:rtl/>
        </w:rPr>
      </w:pPr>
      <w:r w:rsidRPr="00F231B8">
        <w:rPr>
          <w:rFonts w:ascii="Arial" w:hAnsi="Arial"/>
          <w:b/>
          <w:bCs/>
          <w:color w:val="FFFFFF"/>
          <w:sz w:val="2"/>
          <w:szCs w:val="2"/>
          <w:rtl/>
        </w:rPr>
        <w:t>5129371</w:t>
      </w:r>
    </w:p>
    <w:p w14:paraId="17432C4A" w14:textId="77777777" w:rsidR="00DA1D02" w:rsidRDefault="00F231B8" w:rsidP="00DA1D02">
      <w:pPr>
        <w:spacing w:line="360" w:lineRule="auto"/>
        <w:jc w:val="both"/>
        <w:rPr>
          <w:rFonts w:ascii="Arial" w:hAnsi="Arial"/>
          <w:b/>
          <w:bCs/>
          <w:rtl/>
        </w:rPr>
      </w:pPr>
      <w:bookmarkStart w:id="9" w:name="Nitan"/>
      <w:r w:rsidRPr="00F231B8">
        <w:rPr>
          <w:rFonts w:ascii="Arial" w:hAnsi="Arial"/>
          <w:b/>
          <w:bCs/>
          <w:color w:val="FFFFFF"/>
          <w:sz w:val="2"/>
          <w:szCs w:val="2"/>
          <w:rtl/>
        </w:rPr>
        <w:t>54678313</w:t>
      </w:r>
      <w:r>
        <w:rPr>
          <w:rFonts w:ascii="Arial" w:hAnsi="Arial"/>
          <w:b/>
          <w:bCs/>
          <w:rtl/>
        </w:rPr>
        <w:t xml:space="preserve">ניתן היום,  י"ח תמוז תשפ"ד, 24 יולי 2024, בפומבי ובמעמד הצדדים. </w:t>
      </w:r>
      <w:bookmarkEnd w:id="9"/>
    </w:p>
    <w:p w14:paraId="0706D56C" w14:textId="77777777" w:rsidR="00DA1D02" w:rsidRPr="0077511B" w:rsidRDefault="00DA1D02" w:rsidP="00DA1D02">
      <w:pPr>
        <w:spacing w:line="360" w:lineRule="auto"/>
        <w:jc w:val="both"/>
        <w:rPr>
          <w:rFonts w:ascii="Arial" w:hAnsi="Arial"/>
          <w:b/>
          <w:bCs/>
          <w:rtl/>
        </w:rPr>
      </w:pPr>
    </w:p>
    <w:p w14:paraId="2C364F1A" w14:textId="77777777" w:rsidR="00DA1D02" w:rsidRPr="000F2247" w:rsidRDefault="00DA1D02" w:rsidP="00DA1D02">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3A855B22" w14:textId="77777777" w:rsidR="00DA1D02" w:rsidRPr="000F2247" w:rsidRDefault="00DA1D02" w:rsidP="00F231B8">
      <w:pPr>
        <w:jc w:val="both"/>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905F428" w14:textId="77777777" w:rsidR="00DA1D02" w:rsidRPr="000F2247" w:rsidRDefault="00DA1D02" w:rsidP="00DA1D02">
      <w:pPr>
        <w:jc w:val="both"/>
        <w:rPr>
          <w:rFonts w:ascii="Arial" w:hAnsi="Arial"/>
          <w:b/>
          <w:bCs/>
          <w:sz w:val="26"/>
          <w:szCs w:val="26"/>
          <w:rtl/>
        </w:rPr>
      </w:pPr>
    </w:p>
    <w:p w14:paraId="64745CF9" w14:textId="77777777" w:rsidR="00B507CD" w:rsidRPr="00F231B8" w:rsidRDefault="00B507CD" w:rsidP="00F231B8">
      <w:pPr>
        <w:keepNext/>
        <w:rPr>
          <w:rFonts w:ascii="David" w:hAnsi="David"/>
          <w:color w:val="000000"/>
          <w:sz w:val="22"/>
          <w:szCs w:val="22"/>
          <w:rtl/>
        </w:rPr>
      </w:pPr>
    </w:p>
    <w:p w14:paraId="5F1FB05F" w14:textId="77777777" w:rsidR="00F231B8" w:rsidRPr="00F231B8" w:rsidRDefault="00F231B8" w:rsidP="00F231B8">
      <w:pPr>
        <w:keepNext/>
        <w:rPr>
          <w:rFonts w:ascii="David" w:hAnsi="David"/>
          <w:color w:val="000000"/>
          <w:sz w:val="22"/>
          <w:szCs w:val="22"/>
          <w:rtl/>
        </w:rPr>
      </w:pPr>
      <w:r w:rsidRPr="00F231B8">
        <w:rPr>
          <w:rFonts w:ascii="David" w:hAnsi="David"/>
          <w:color w:val="000000"/>
          <w:sz w:val="22"/>
          <w:szCs w:val="22"/>
          <w:rtl/>
        </w:rPr>
        <w:t>נתנאל בנישו 54678313</w:t>
      </w:r>
    </w:p>
    <w:p w14:paraId="5DBE0646" w14:textId="77777777" w:rsidR="00F231B8" w:rsidRDefault="00F231B8" w:rsidP="00F231B8">
      <w:r w:rsidRPr="00F231B8">
        <w:rPr>
          <w:color w:val="000000"/>
          <w:rtl/>
        </w:rPr>
        <w:t>נוסח מסמך זה כפוף לשינויי ניסוח ועריכה</w:t>
      </w:r>
    </w:p>
    <w:p w14:paraId="5E039C7F" w14:textId="77777777" w:rsidR="00F231B8" w:rsidRDefault="00F231B8" w:rsidP="00F231B8">
      <w:pPr>
        <w:rPr>
          <w:rtl/>
        </w:rPr>
      </w:pPr>
    </w:p>
    <w:p w14:paraId="4B9791A6" w14:textId="77777777" w:rsidR="00F231B8" w:rsidRDefault="00F231B8" w:rsidP="00F231B8">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0BB5B29" w14:textId="77777777" w:rsidR="00F231B8" w:rsidRPr="00F231B8" w:rsidRDefault="00F231B8" w:rsidP="00F231B8">
      <w:pPr>
        <w:jc w:val="center"/>
        <w:rPr>
          <w:color w:val="0000FF"/>
          <w:u w:val="single"/>
        </w:rPr>
      </w:pPr>
    </w:p>
    <w:sectPr w:rsidR="00F231B8" w:rsidRPr="00F231B8" w:rsidSect="00F231B8">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B626D" w14:textId="77777777" w:rsidR="00AC1347" w:rsidRDefault="00AC1347" w:rsidP="00411DC4">
      <w:r>
        <w:separator/>
      </w:r>
    </w:p>
  </w:endnote>
  <w:endnote w:type="continuationSeparator" w:id="0">
    <w:p w14:paraId="6667E7D6" w14:textId="77777777" w:rsidR="00AC1347" w:rsidRDefault="00AC1347" w:rsidP="0041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6D6A9" w14:textId="77777777" w:rsidR="00F231B8" w:rsidRDefault="00F231B8" w:rsidP="00F231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35FD24" w14:textId="77777777" w:rsidR="005F18D5" w:rsidRPr="00F231B8" w:rsidRDefault="00F231B8" w:rsidP="00F231B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C2699" w14:textId="77777777" w:rsidR="00F231B8" w:rsidRDefault="00F231B8" w:rsidP="00F231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597A">
      <w:rPr>
        <w:rFonts w:ascii="FrankRuehl" w:hAnsi="FrankRuehl" w:cs="FrankRuehl"/>
        <w:noProof/>
        <w:rtl/>
      </w:rPr>
      <w:t>1</w:t>
    </w:r>
    <w:r>
      <w:rPr>
        <w:rFonts w:ascii="FrankRuehl" w:hAnsi="FrankRuehl" w:cs="FrankRuehl"/>
        <w:rtl/>
      </w:rPr>
      <w:fldChar w:fldCharType="end"/>
    </w:r>
  </w:p>
  <w:p w14:paraId="18416804" w14:textId="77777777" w:rsidR="005F18D5" w:rsidRPr="00F231B8" w:rsidRDefault="00F231B8" w:rsidP="00F231B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8FA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7AB6C" w14:textId="77777777" w:rsidR="00AC1347" w:rsidRDefault="00AC1347" w:rsidP="00411DC4">
      <w:r>
        <w:separator/>
      </w:r>
    </w:p>
  </w:footnote>
  <w:footnote w:type="continuationSeparator" w:id="0">
    <w:p w14:paraId="7A6FABBC" w14:textId="77777777" w:rsidR="00AC1347" w:rsidRDefault="00AC1347" w:rsidP="00411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99B53" w14:textId="77777777" w:rsidR="00F231B8" w:rsidRPr="00F231B8" w:rsidRDefault="00F231B8" w:rsidP="00F231B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39708-03-24</w:t>
    </w:r>
    <w:r>
      <w:rPr>
        <w:rFonts w:ascii="David" w:hAnsi="David"/>
        <w:color w:val="000000"/>
        <w:sz w:val="22"/>
        <w:szCs w:val="22"/>
        <w:rtl/>
      </w:rPr>
      <w:tab/>
      <w:t xml:space="preserve"> מדינת ישראל נ' תאמר שלאעטה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BE3F9" w14:textId="77777777" w:rsidR="00F231B8" w:rsidRPr="00F231B8" w:rsidRDefault="00F231B8" w:rsidP="00F231B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39708-03-24</w:t>
    </w:r>
    <w:r>
      <w:rPr>
        <w:rFonts w:ascii="David" w:hAnsi="David"/>
        <w:color w:val="000000"/>
        <w:sz w:val="22"/>
        <w:szCs w:val="22"/>
        <w:rtl/>
      </w:rPr>
      <w:tab/>
      <w:t xml:space="preserve"> מדינת ישראל נ' תאמר שלאעטה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54882"/>
    <w:multiLevelType w:val="hybridMultilevel"/>
    <w:tmpl w:val="99F49D46"/>
    <w:lvl w:ilvl="0" w:tplc="2F18FB2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21635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1D02"/>
    <w:rsid w:val="001B5A3B"/>
    <w:rsid w:val="00411DC4"/>
    <w:rsid w:val="005B018E"/>
    <w:rsid w:val="005F18D5"/>
    <w:rsid w:val="0082597A"/>
    <w:rsid w:val="008D20DE"/>
    <w:rsid w:val="008F2A9B"/>
    <w:rsid w:val="00AC1347"/>
    <w:rsid w:val="00B507CD"/>
    <w:rsid w:val="00C0622C"/>
    <w:rsid w:val="00DA1D02"/>
    <w:rsid w:val="00F231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2438C4"/>
  <w15:chartTrackingRefBased/>
  <w15:docId w15:val="{B2A154D4-130F-4F53-A8B7-90ED256C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1D0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1D02"/>
    <w:pPr>
      <w:tabs>
        <w:tab w:val="center" w:pos="4153"/>
        <w:tab w:val="right" w:pos="8306"/>
      </w:tabs>
    </w:pPr>
  </w:style>
  <w:style w:type="character" w:customStyle="1" w:styleId="a4">
    <w:name w:val="כותרת עליונה תו"/>
    <w:link w:val="a3"/>
    <w:rsid w:val="00DA1D02"/>
    <w:rPr>
      <w:rFonts w:ascii="Times New Roman" w:eastAsia="Times New Roman" w:hAnsi="Times New Roman" w:cs="David"/>
      <w:sz w:val="24"/>
      <w:szCs w:val="24"/>
    </w:rPr>
  </w:style>
  <w:style w:type="paragraph" w:styleId="a5">
    <w:name w:val="footer"/>
    <w:basedOn w:val="a"/>
    <w:link w:val="a6"/>
    <w:rsid w:val="00DA1D02"/>
    <w:pPr>
      <w:tabs>
        <w:tab w:val="center" w:pos="4153"/>
        <w:tab w:val="right" w:pos="8306"/>
      </w:tabs>
    </w:pPr>
  </w:style>
  <w:style w:type="character" w:customStyle="1" w:styleId="a6">
    <w:name w:val="כותרת תחתונה תו"/>
    <w:link w:val="a5"/>
    <w:rsid w:val="00DA1D02"/>
    <w:rPr>
      <w:rFonts w:ascii="Times New Roman" w:eastAsia="Times New Roman" w:hAnsi="Times New Roman" w:cs="David"/>
      <w:sz w:val="24"/>
      <w:szCs w:val="24"/>
    </w:rPr>
  </w:style>
  <w:style w:type="table" w:styleId="a7">
    <w:name w:val="Table Grid"/>
    <w:basedOn w:val="a1"/>
    <w:rsid w:val="00DA1D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A1D02"/>
  </w:style>
  <w:style w:type="character" w:customStyle="1" w:styleId="TimesNewRomanTimesNewRoman">
    <w:name w:val="סגנון (לטיני) Times New Roman (עברית ושפות אחרות) Times New Roman..."/>
    <w:rsid w:val="00DA1D02"/>
    <w:rPr>
      <w:rFonts w:ascii="Times New Roman" w:hAnsi="Times New Roman" w:cs="David" w:hint="default"/>
      <w:b/>
      <w:bCs/>
      <w:sz w:val="26"/>
      <w:szCs w:val="26"/>
    </w:rPr>
  </w:style>
  <w:style w:type="paragraph" w:styleId="a9">
    <w:name w:val="List Paragraph"/>
    <w:basedOn w:val="a"/>
    <w:qFormat/>
    <w:rsid w:val="00DA1D02"/>
    <w:pPr>
      <w:ind w:left="720"/>
      <w:contextualSpacing/>
    </w:pPr>
  </w:style>
  <w:style w:type="paragraph" w:customStyle="1" w:styleId="ruller5">
    <w:name w:val="ruller5"/>
    <w:basedOn w:val="a"/>
    <w:rsid w:val="00DA1D02"/>
    <w:pPr>
      <w:bidi w:val="0"/>
      <w:spacing w:before="100" w:beforeAutospacing="1" w:after="100" w:afterAutospacing="1"/>
    </w:pPr>
    <w:rPr>
      <w:rFonts w:cs="Times New Roman"/>
    </w:rPr>
  </w:style>
  <w:style w:type="paragraph" w:customStyle="1" w:styleId="ruller4">
    <w:name w:val="ruller4"/>
    <w:basedOn w:val="a"/>
    <w:rsid w:val="00DA1D02"/>
    <w:pPr>
      <w:bidi w:val="0"/>
      <w:spacing w:before="100" w:beforeAutospacing="1" w:after="100" w:afterAutospacing="1"/>
    </w:pPr>
    <w:rPr>
      <w:rFonts w:cs="Times New Roman"/>
    </w:rPr>
  </w:style>
  <w:style w:type="paragraph" w:customStyle="1" w:styleId="listparagraph">
    <w:name w:val="listparagraph"/>
    <w:basedOn w:val="a"/>
    <w:rsid w:val="00DA1D02"/>
    <w:pPr>
      <w:bidi w:val="0"/>
      <w:spacing w:before="100" w:beforeAutospacing="1" w:after="100" w:afterAutospacing="1"/>
    </w:pPr>
    <w:rPr>
      <w:rFonts w:cs="Times New Roman"/>
    </w:rPr>
  </w:style>
  <w:style w:type="character" w:styleId="Hyperlink">
    <w:name w:val="Hyperlink"/>
    <w:rsid w:val="00F231B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30168342"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7502726"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8384637"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8243273" TargetMode="External"/><Relationship Id="rId20" Type="http://schemas.openxmlformats.org/officeDocument/2006/relationships/hyperlink" Target="http://www.nevo.co.il/case/2651689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28513828" TargetMode="External"/><Relationship Id="rId23" Type="http://schemas.openxmlformats.org/officeDocument/2006/relationships/hyperlink" Target="http://www.nevo.co.il/case/20412551"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144.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case/17065136" TargetMode="External"/><Relationship Id="rId22" Type="http://schemas.openxmlformats.org/officeDocument/2006/relationships/hyperlink" Target="http://www.nevo.co.il/case/30476730"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2185</Words>
  <Characters>10930</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13089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3211376</vt:i4>
      </vt:variant>
      <vt:variant>
        <vt:i4>51</vt:i4>
      </vt:variant>
      <vt:variant>
        <vt:i4>0</vt:i4>
      </vt:variant>
      <vt:variant>
        <vt:i4>5</vt:i4>
      </vt:variant>
      <vt:variant>
        <vt:lpwstr>http://www.nevo.co.il/case/20412551</vt:lpwstr>
      </vt:variant>
      <vt:variant>
        <vt:lpwstr/>
      </vt:variant>
      <vt:variant>
        <vt:i4>3276916</vt:i4>
      </vt:variant>
      <vt:variant>
        <vt:i4>48</vt:i4>
      </vt:variant>
      <vt:variant>
        <vt:i4>0</vt:i4>
      </vt:variant>
      <vt:variant>
        <vt:i4>5</vt:i4>
      </vt:variant>
      <vt:variant>
        <vt:lpwstr>http://www.nevo.co.il/case/30476730</vt:lpwstr>
      </vt:variant>
      <vt:variant>
        <vt:lpwstr/>
      </vt:variant>
      <vt:variant>
        <vt:i4>3604596</vt:i4>
      </vt:variant>
      <vt:variant>
        <vt:i4>45</vt:i4>
      </vt:variant>
      <vt:variant>
        <vt:i4>0</vt:i4>
      </vt:variant>
      <vt:variant>
        <vt:i4>5</vt:i4>
      </vt:variant>
      <vt:variant>
        <vt:lpwstr>http://www.nevo.co.il/case/27502726</vt:lpwstr>
      </vt:variant>
      <vt:variant>
        <vt:lpwstr/>
      </vt:variant>
      <vt:variant>
        <vt:i4>3670139</vt:i4>
      </vt:variant>
      <vt:variant>
        <vt:i4>42</vt:i4>
      </vt:variant>
      <vt:variant>
        <vt:i4>0</vt:i4>
      </vt:variant>
      <vt:variant>
        <vt:i4>5</vt:i4>
      </vt:variant>
      <vt:variant>
        <vt:lpwstr>http://www.nevo.co.il/case/26516895</vt:lpwstr>
      </vt:variant>
      <vt:variant>
        <vt:lpwstr/>
      </vt:variant>
      <vt:variant>
        <vt:i4>3276914</vt:i4>
      </vt:variant>
      <vt:variant>
        <vt:i4>39</vt:i4>
      </vt:variant>
      <vt:variant>
        <vt:i4>0</vt:i4>
      </vt:variant>
      <vt:variant>
        <vt:i4>5</vt:i4>
      </vt:variant>
      <vt:variant>
        <vt:lpwstr>http://www.nevo.co.il/case/22505401</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7995492</vt:i4>
      </vt:variant>
      <vt:variant>
        <vt:i4>33</vt:i4>
      </vt:variant>
      <vt:variant>
        <vt:i4>0</vt:i4>
      </vt:variant>
      <vt:variant>
        <vt:i4>5</vt:i4>
      </vt:variant>
      <vt:variant>
        <vt:lpwstr>http://www.nevo.co.il/law/70301</vt:lpwstr>
      </vt:variant>
      <vt:variant>
        <vt:lpwstr/>
      </vt:variant>
      <vt:variant>
        <vt:i4>3539058</vt:i4>
      </vt:variant>
      <vt:variant>
        <vt:i4>30</vt:i4>
      </vt:variant>
      <vt:variant>
        <vt:i4>0</vt:i4>
      </vt:variant>
      <vt:variant>
        <vt:i4>5</vt:i4>
      </vt:variant>
      <vt:variant>
        <vt:lpwstr>http://www.nevo.co.il/case/28384637</vt:lpwstr>
      </vt:variant>
      <vt:variant>
        <vt:lpwstr/>
      </vt:variant>
      <vt:variant>
        <vt:i4>3407994</vt:i4>
      </vt:variant>
      <vt:variant>
        <vt:i4>27</vt:i4>
      </vt:variant>
      <vt:variant>
        <vt:i4>0</vt:i4>
      </vt:variant>
      <vt:variant>
        <vt:i4>5</vt:i4>
      </vt:variant>
      <vt:variant>
        <vt:lpwstr>http://www.nevo.co.il/case/28243273</vt:lpwstr>
      </vt:variant>
      <vt:variant>
        <vt:lpwstr/>
      </vt:variant>
      <vt:variant>
        <vt:i4>3539061</vt:i4>
      </vt:variant>
      <vt:variant>
        <vt:i4>24</vt:i4>
      </vt:variant>
      <vt:variant>
        <vt:i4>0</vt:i4>
      </vt:variant>
      <vt:variant>
        <vt:i4>5</vt:i4>
      </vt:variant>
      <vt:variant>
        <vt:lpwstr>http://www.nevo.co.il/case/28513828</vt:lpwstr>
      </vt:variant>
      <vt:variant>
        <vt:lpwstr/>
      </vt:variant>
      <vt:variant>
        <vt:i4>3604596</vt:i4>
      </vt:variant>
      <vt:variant>
        <vt:i4>21</vt:i4>
      </vt:variant>
      <vt:variant>
        <vt:i4>0</vt:i4>
      </vt:variant>
      <vt:variant>
        <vt:i4>5</vt:i4>
      </vt:variant>
      <vt:variant>
        <vt:lpwstr>http://www.nevo.co.il/case/17065136</vt:lpwstr>
      </vt:variant>
      <vt:variant>
        <vt:lpwstr/>
      </vt:variant>
      <vt:variant>
        <vt:i4>4063345</vt:i4>
      </vt:variant>
      <vt:variant>
        <vt:i4>18</vt:i4>
      </vt:variant>
      <vt:variant>
        <vt:i4>0</vt:i4>
      </vt:variant>
      <vt:variant>
        <vt:i4>5</vt:i4>
      </vt:variant>
      <vt:variant>
        <vt:lpwstr>http://www.nevo.co.il/case/30168342</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39708</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תאמר שלאעטה</vt:lpwstr>
  </property>
  <property fmtid="{D5CDD505-2E9C-101B-9397-08002B2CF9AE}" pid="10" name="LAWYER">
    <vt:lpwstr>אביה בן יאיר;טארק נעאמנה;טורקי טראביה</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20240724</vt:lpwstr>
  </property>
  <property fmtid="{D5CDD505-2E9C-101B-9397-08002B2CF9AE}" pid="14" name="TYPE_N_DATE">
    <vt:lpwstr>39020240724</vt:lpwstr>
  </property>
  <property fmtid="{D5CDD505-2E9C-101B-9397-08002B2CF9AE}" pid="15" name="CASESLISTTMP1">
    <vt:lpwstr>30168342;17065136;28513828;28243273;28384637;22505401;26516895;27502726;30476730;20412551</vt:lpwstr>
  </property>
  <property fmtid="{D5CDD505-2E9C-101B-9397-08002B2CF9AE}" pid="16" name="CASENOTES1">
    <vt:lpwstr>ProcID=135&amp;PartA=14070&amp;PartB=01&amp;PartC=23</vt:lpwstr>
  </property>
  <property fmtid="{D5CDD505-2E9C-101B-9397-08002B2CF9AE}" pid="17" name="CASENOTES2">
    <vt:lpwstr>ProcID=235&amp;PartA=10&amp;PartC=20</vt:lpwstr>
  </property>
  <property fmtid="{D5CDD505-2E9C-101B-9397-08002B2CF9AE}" pid="18" name="WORDNUMPAGES">
    <vt:lpwstr>8</vt:lpwstr>
  </property>
  <property fmtid="{D5CDD505-2E9C-101B-9397-08002B2CF9AE}" pid="19" name="TYPE_ABS_DATE">
    <vt:lpwstr>390020240724</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70301/144;144.g</vt:lpwstr>
  </property>
</Properties>
</file>