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3"/>
        <w:gridCol w:w="3656"/>
        <w:gridCol w:w="99"/>
      </w:tblGrid>
      <w:tr w:rsidR="00091B20" w:rsidRPr="006B3C7F" w14:paraId="0D864357" w14:textId="77777777" w:rsidTr="000E45AE">
        <w:trPr>
          <w:gridAfter w:val="1"/>
          <w:wAfter w:w="99" w:type="dxa"/>
          <w:trHeight w:hRule="exact" w:val="418"/>
          <w:jc w:val="center"/>
        </w:trPr>
        <w:tc>
          <w:tcPr>
            <w:tcW w:w="8721" w:type="dxa"/>
            <w:gridSpan w:val="4"/>
          </w:tcPr>
          <w:p w14:paraId="65551EAA" w14:textId="77777777" w:rsidR="00091B20" w:rsidRPr="006B3C7F" w:rsidRDefault="00091B20" w:rsidP="006851C8">
            <w:pPr>
              <w:pStyle w:val="a3"/>
              <w:jc w:val="center"/>
              <w:rPr>
                <w:rFonts w:ascii="Tahoma" w:hAnsi="Tahoma" w:cs="Tahoma"/>
                <w:color w:val="000080"/>
                <w:rtl/>
              </w:rPr>
            </w:pPr>
            <w:r w:rsidRPr="006B3C7F">
              <w:rPr>
                <w:rFonts w:ascii="Tahoma" w:hAnsi="Tahoma" w:cs="Tahoma"/>
                <w:b/>
                <w:bCs/>
                <w:color w:val="000080"/>
                <w:rtl/>
              </w:rPr>
              <w:t>בית המשפט המחוזי בחיפה</w:t>
            </w:r>
          </w:p>
        </w:tc>
      </w:tr>
      <w:tr w:rsidR="00091B20" w:rsidRPr="006B3C7F" w14:paraId="48A79E06" w14:textId="77777777" w:rsidTr="000E45AE">
        <w:trPr>
          <w:gridAfter w:val="1"/>
          <w:wAfter w:w="99" w:type="dxa"/>
          <w:trHeight w:val="337"/>
          <w:jc w:val="center"/>
        </w:trPr>
        <w:tc>
          <w:tcPr>
            <w:tcW w:w="5065" w:type="dxa"/>
            <w:gridSpan w:val="3"/>
          </w:tcPr>
          <w:p w14:paraId="72D22370" w14:textId="77777777" w:rsidR="00091B20" w:rsidRPr="006B3C7F" w:rsidRDefault="00091B20" w:rsidP="006851C8">
            <w:pPr>
              <w:rPr>
                <w:rFonts w:cs="FrankRuehl"/>
                <w:sz w:val="28"/>
                <w:szCs w:val="28"/>
                <w:rtl/>
              </w:rPr>
            </w:pPr>
            <w:r w:rsidRPr="006B3C7F">
              <w:rPr>
                <w:rFonts w:cs="FrankRuehl"/>
                <w:sz w:val="28"/>
                <w:szCs w:val="28"/>
                <w:rtl/>
              </w:rPr>
              <w:t>ת"פ</w:t>
            </w:r>
            <w:r w:rsidRPr="006B3C7F">
              <w:rPr>
                <w:rFonts w:cs="FrankRuehl" w:hint="cs"/>
                <w:sz w:val="28"/>
                <w:szCs w:val="28"/>
                <w:rtl/>
              </w:rPr>
              <w:t xml:space="preserve"> </w:t>
            </w:r>
            <w:r w:rsidRPr="006B3C7F">
              <w:rPr>
                <w:rFonts w:cs="FrankRuehl"/>
                <w:sz w:val="28"/>
                <w:szCs w:val="28"/>
                <w:rtl/>
              </w:rPr>
              <w:t>4459-03-24</w:t>
            </w:r>
            <w:r w:rsidRPr="006B3C7F">
              <w:rPr>
                <w:rFonts w:cs="FrankRuehl" w:hint="cs"/>
                <w:sz w:val="28"/>
                <w:szCs w:val="28"/>
                <w:rtl/>
              </w:rPr>
              <w:t xml:space="preserve"> </w:t>
            </w:r>
            <w:r w:rsidRPr="006B3C7F">
              <w:rPr>
                <w:rFonts w:cs="FrankRuehl"/>
                <w:sz w:val="28"/>
                <w:szCs w:val="28"/>
                <w:rtl/>
              </w:rPr>
              <w:t>מדינת ישראל נ' מחאג'נה(עצור/אסיר בפיקוח) ואח'</w:t>
            </w:r>
          </w:p>
        </w:tc>
        <w:tc>
          <w:tcPr>
            <w:tcW w:w="3656" w:type="dxa"/>
          </w:tcPr>
          <w:p w14:paraId="02A680CB" w14:textId="77777777" w:rsidR="00091B20" w:rsidRPr="006B3C7F" w:rsidRDefault="00091B20" w:rsidP="006851C8">
            <w:pPr>
              <w:pStyle w:val="a3"/>
              <w:jc w:val="right"/>
              <w:rPr>
                <w:rFonts w:cs="FrankRuehl"/>
                <w:sz w:val="28"/>
                <w:szCs w:val="28"/>
                <w:rtl/>
              </w:rPr>
            </w:pPr>
          </w:p>
        </w:tc>
      </w:tr>
      <w:tr w:rsidR="00091B20" w:rsidRPr="006B3C7F" w14:paraId="1240C1C4" w14:textId="77777777" w:rsidTr="000E45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1662173" w14:textId="77777777" w:rsidR="00091B20" w:rsidRPr="006B3C7F" w:rsidRDefault="00091B20" w:rsidP="00091B20">
            <w:pPr>
              <w:jc w:val="both"/>
              <w:rPr>
                <w:rFonts w:ascii="David" w:hAnsi="David"/>
                <w:sz w:val="26"/>
                <w:szCs w:val="26"/>
              </w:rPr>
            </w:pPr>
            <w:r w:rsidRPr="006B3C7F">
              <w:rPr>
                <w:rFonts w:hint="cs"/>
                <w:rtl/>
              </w:rPr>
              <w:t xml:space="preserve"> </w:t>
            </w:r>
            <w:r w:rsidRPr="006B3C7F">
              <w:rPr>
                <w:rFonts w:ascii="David" w:hAnsi="David" w:hint="cs"/>
                <w:sz w:val="26"/>
                <w:szCs w:val="26"/>
                <w:rtl/>
              </w:rPr>
              <w:t>ל</w:t>
            </w:r>
            <w:r w:rsidRPr="006B3C7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61E1E62" w14:textId="77777777" w:rsidR="00091B20" w:rsidRPr="006B3C7F" w:rsidRDefault="00091B20" w:rsidP="006851C8">
            <w:pPr>
              <w:rPr>
                <w:rFonts w:ascii="David" w:hAnsi="David"/>
                <w:b/>
                <w:bCs/>
                <w:sz w:val="26"/>
                <w:szCs w:val="26"/>
                <w:rtl/>
              </w:rPr>
            </w:pPr>
            <w:r w:rsidRPr="006B3C7F">
              <w:rPr>
                <w:rFonts w:ascii="David" w:hAnsi="David" w:hint="cs"/>
                <w:b/>
                <w:bCs/>
                <w:sz w:val="26"/>
                <w:szCs w:val="26"/>
                <w:rtl/>
              </w:rPr>
              <w:t xml:space="preserve">סגן הנשיא, כב' השופט אבי לוי </w:t>
            </w:r>
          </w:p>
          <w:p w14:paraId="6C8054C4" w14:textId="77777777" w:rsidR="00091B20" w:rsidRPr="006B3C7F" w:rsidRDefault="00091B20" w:rsidP="00091B20">
            <w:pPr>
              <w:jc w:val="both"/>
              <w:rPr>
                <w:rFonts w:ascii="David" w:hAnsi="David"/>
                <w:sz w:val="26"/>
                <w:szCs w:val="26"/>
              </w:rPr>
            </w:pPr>
          </w:p>
        </w:tc>
      </w:tr>
      <w:tr w:rsidR="00091B20" w:rsidRPr="006B3C7F" w14:paraId="75053207" w14:textId="77777777" w:rsidTr="000E45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5638AB" w14:textId="77777777" w:rsidR="00091B20" w:rsidRPr="006B3C7F" w:rsidRDefault="00091B20" w:rsidP="00091B20">
            <w:pPr>
              <w:jc w:val="both"/>
              <w:rPr>
                <w:rFonts w:ascii="David" w:hAnsi="David"/>
                <w:sz w:val="26"/>
                <w:szCs w:val="26"/>
              </w:rPr>
            </w:pPr>
            <w:bookmarkStart w:id="0" w:name="FirstAppellant"/>
            <w:bookmarkStart w:id="1" w:name="LastJudge"/>
            <w:bookmarkEnd w:id="1"/>
            <w:r w:rsidRPr="006B3C7F">
              <w:rPr>
                <w:rFonts w:ascii="David" w:hAnsi="David"/>
                <w:sz w:val="26"/>
                <w:szCs w:val="26"/>
                <w:rtl/>
              </w:rPr>
              <w:t>בעניין:</w:t>
            </w:r>
          </w:p>
        </w:tc>
        <w:tc>
          <w:tcPr>
            <w:tcW w:w="3219" w:type="dxa"/>
            <w:tcBorders>
              <w:top w:val="nil"/>
              <w:left w:val="nil"/>
              <w:bottom w:val="nil"/>
              <w:right w:val="nil"/>
            </w:tcBorders>
            <w:shd w:val="clear" w:color="auto" w:fill="auto"/>
          </w:tcPr>
          <w:p w14:paraId="5BC8E85D" w14:textId="77777777" w:rsidR="00091B20" w:rsidRPr="006B3C7F" w:rsidRDefault="00091B20" w:rsidP="00091B20">
            <w:pPr>
              <w:suppressLineNumbers/>
            </w:pPr>
            <w:r w:rsidRPr="006B3C7F">
              <w:rPr>
                <w:rFonts w:ascii="Arial" w:hAnsi="Arial" w:hint="cs"/>
                <w:b/>
                <w:bCs/>
                <w:sz w:val="26"/>
                <w:szCs w:val="26"/>
                <w:rtl/>
              </w:rPr>
              <w:t>ה</w:t>
            </w:r>
            <w:r w:rsidRPr="006B3C7F">
              <w:rPr>
                <w:rFonts w:ascii="Arial" w:hAnsi="Arial"/>
                <w:b/>
                <w:bCs/>
                <w:sz w:val="26"/>
                <w:szCs w:val="26"/>
                <w:rtl/>
              </w:rPr>
              <w:t>מאשימה</w:t>
            </w:r>
          </w:p>
          <w:p w14:paraId="4587155F" w14:textId="77777777" w:rsidR="00091B20" w:rsidRPr="006B3C7F" w:rsidRDefault="00091B20" w:rsidP="006851C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A4BB254" w14:textId="77777777" w:rsidR="00091B20" w:rsidRPr="006B3C7F" w:rsidRDefault="00091B20" w:rsidP="00091B20">
            <w:pPr>
              <w:suppressLineNumbers/>
              <w:rPr>
                <w:rFonts w:ascii="David" w:hAnsi="David"/>
                <w:sz w:val="26"/>
                <w:szCs w:val="26"/>
              </w:rPr>
            </w:pPr>
            <w:r w:rsidRPr="006B3C7F">
              <w:rPr>
                <w:rFonts w:ascii="Arial" w:hAnsi="Arial"/>
                <w:b/>
                <w:bCs/>
                <w:sz w:val="26"/>
                <w:szCs w:val="26"/>
                <w:rtl/>
              </w:rPr>
              <w:t>מדינת ישראל</w:t>
            </w:r>
            <w:r w:rsidRPr="006B3C7F">
              <w:rPr>
                <w:rFonts w:ascii="Arial" w:hAnsi="Arial" w:hint="cs"/>
                <w:b/>
                <w:bCs/>
                <w:sz w:val="26"/>
                <w:szCs w:val="26"/>
                <w:rtl/>
              </w:rPr>
              <w:t xml:space="preserve"> </w:t>
            </w:r>
          </w:p>
        </w:tc>
      </w:tr>
      <w:bookmarkEnd w:id="0"/>
      <w:tr w:rsidR="00091B20" w:rsidRPr="006B3C7F" w14:paraId="2B179732" w14:textId="77777777" w:rsidTr="000E45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5D3DDD" w14:textId="77777777" w:rsidR="00091B20" w:rsidRPr="006B3C7F" w:rsidRDefault="00091B20" w:rsidP="00091B2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B1B22ED" w14:textId="77777777" w:rsidR="00091B20" w:rsidRPr="006B3C7F" w:rsidRDefault="00091B20" w:rsidP="00091B20">
            <w:pPr>
              <w:jc w:val="center"/>
              <w:rPr>
                <w:rFonts w:ascii="David" w:hAnsi="David"/>
                <w:b/>
                <w:bCs/>
                <w:sz w:val="26"/>
                <w:szCs w:val="26"/>
              </w:rPr>
            </w:pPr>
            <w:r w:rsidRPr="006B3C7F">
              <w:rPr>
                <w:rFonts w:ascii="David" w:hAnsi="David"/>
                <w:b/>
                <w:bCs/>
                <w:sz w:val="26"/>
                <w:szCs w:val="26"/>
                <w:rtl/>
              </w:rPr>
              <w:t>נגד</w:t>
            </w:r>
          </w:p>
        </w:tc>
      </w:tr>
      <w:tr w:rsidR="00091B20" w:rsidRPr="006B3C7F" w14:paraId="5772D859" w14:textId="77777777" w:rsidTr="000E45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3101C60" w14:textId="77777777" w:rsidR="00091B20" w:rsidRPr="006B3C7F" w:rsidRDefault="00091B20" w:rsidP="006851C8">
            <w:pPr>
              <w:rPr>
                <w:rFonts w:ascii="David" w:hAnsi="David"/>
                <w:sz w:val="26"/>
                <w:szCs w:val="26"/>
                <w:rtl/>
              </w:rPr>
            </w:pPr>
          </w:p>
        </w:tc>
        <w:tc>
          <w:tcPr>
            <w:tcW w:w="3219" w:type="dxa"/>
            <w:tcBorders>
              <w:top w:val="nil"/>
              <w:left w:val="nil"/>
              <w:bottom w:val="nil"/>
              <w:right w:val="nil"/>
            </w:tcBorders>
            <w:shd w:val="clear" w:color="auto" w:fill="auto"/>
          </w:tcPr>
          <w:p w14:paraId="5C1D6617" w14:textId="77777777" w:rsidR="00091B20" w:rsidRPr="006B3C7F" w:rsidRDefault="00091B20" w:rsidP="006851C8">
            <w:pPr>
              <w:rPr>
                <w:rFonts w:ascii="Arial" w:hAnsi="Arial"/>
                <w:b/>
                <w:bCs/>
                <w:sz w:val="26"/>
                <w:szCs w:val="26"/>
                <w:rtl/>
              </w:rPr>
            </w:pPr>
            <w:r w:rsidRPr="006B3C7F">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EE26AAD" w14:textId="77777777" w:rsidR="00091B20" w:rsidRPr="006B3C7F" w:rsidRDefault="00091B20" w:rsidP="006851C8">
            <w:pPr>
              <w:rPr>
                <w:rFonts w:ascii="David" w:hAnsi="David"/>
                <w:sz w:val="26"/>
                <w:szCs w:val="26"/>
              </w:rPr>
            </w:pPr>
          </w:p>
          <w:p w14:paraId="7F236561" w14:textId="77777777" w:rsidR="00091B20" w:rsidRPr="006B3C7F" w:rsidRDefault="00091B20" w:rsidP="00091B20">
            <w:pPr>
              <w:suppressLineNumbers/>
              <w:rPr>
                <w:rFonts w:ascii="Arial" w:hAnsi="Arial"/>
                <w:b/>
                <w:bCs/>
                <w:sz w:val="26"/>
                <w:szCs w:val="26"/>
                <w:rtl/>
              </w:rPr>
            </w:pPr>
            <w:r w:rsidRPr="006B3C7F">
              <w:rPr>
                <w:rFonts w:ascii="Arial" w:hAnsi="Arial"/>
                <w:b/>
                <w:bCs/>
                <w:sz w:val="26"/>
                <w:szCs w:val="26"/>
                <w:rtl/>
              </w:rPr>
              <w:t>1. עלי מחאג'נה (עצור/אסיר בפיקוח)</w:t>
            </w:r>
            <w:r w:rsidRPr="006B3C7F">
              <w:rPr>
                <w:rFonts w:ascii="Arial" w:hAnsi="Arial" w:hint="cs"/>
                <w:b/>
                <w:bCs/>
                <w:sz w:val="26"/>
                <w:szCs w:val="26"/>
                <w:rtl/>
              </w:rPr>
              <w:t xml:space="preserve"> </w:t>
            </w:r>
          </w:p>
          <w:p w14:paraId="0BF5483B" w14:textId="77777777" w:rsidR="00091B20" w:rsidRPr="006B3C7F" w:rsidRDefault="00091B20" w:rsidP="00091B20">
            <w:pPr>
              <w:suppressLineNumbers/>
              <w:rPr>
                <w:rtl/>
              </w:rPr>
            </w:pPr>
            <w:r w:rsidRPr="006B3C7F">
              <w:rPr>
                <w:rFonts w:ascii="Arial" w:hAnsi="Arial"/>
                <w:b/>
                <w:bCs/>
                <w:sz w:val="26"/>
                <w:szCs w:val="26"/>
                <w:rtl/>
              </w:rPr>
              <w:t>2. מוחמד מחאג'נה (עציר)</w:t>
            </w:r>
            <w:r w:rsidRPr="006B3C7F">
              <w:rPr>
                <w:rFonts w:ascii="Arial" w:hAnsi="Arial" w:hint="cs"/>
                <w:b/>
                <w:bCs/>
                <w:sz w:val="26"/>
                <w:szCs w:val="26"/>
                <w:rtl/>
              </w:rPr>
              <w:t xml:space="preserve"> </w:t>
            </w:r>
          </w:p>
          <w:p w14:paraId="5BE0BB00" w14:textId="77777777" w:rsidR="00091B20" w:rsidRPr="006B3C7F" w:rsidRDefault="00091B20" w:rsidP="00091B20">
            <w:pPr>
              <w:suppressLineNumbers/>
            </w:pPr>
          </w:p>
        </w:tc>
      </w:tr>
    </w:tbl>
    <w:p w14:paraId="6BE2B701" w14:textId="77777777" w:rsidR="006B3C7F" w:rsidRPr="006B3C7F" w:rsidRDefault="006B3C7F" w:rsidP="006B3C7F">
      <w:pPr>
        <w:spacing w:before="120" w:after="120" w:line="240" w:lineRule="exact"/>
        <w:ind w:left="283" w:hanging="283"/>
        <w:jc w:val="both"/>
        <w:rPr>
          <w:rFonts w:ascii="FrankRuehl" w:hAnsi="FrankRuehl" w:cs="FrankRuehl"/>
          <w:rtl/>
        </w:rPr>
      </w:pPr>
    </w:p>
    <w:p w14:paraId="7393980C" w14:textId="77777777" w:rsidR="007E2E67" w:rsidRPr="007E2E67" w:rsidRDefault="007E2E67" w:rsidP="007E2E67">
      <w:pPr>
        <w:spacing w:before="120" w:after="120" w:line="240" w:lineRule="exact"/>
        <w:ind w:left="283" w:hanging="283"/>
        <w:jc w:val="both"/>
        <w:rPr>
          <w:rFonts w:ascii="FrankRuehl" w:hAnsi="FrankRuehl" w:cs="FrankRuehl"/>
          <w:rtl/>
        </w:rPr>
      </w:pPr>
      <w:bookmarkStart w:id="2" w:name="LawTable"/>
      <w:bookmarkEnd w:id="2"/>
      <w:r w:rsidRPr="007E2E67">
        <w:rPr>
          <w:rFonts w:ascii="FrankRuehl" w:hAnsi="FrankRuehl" w:cs="FrankRuehl"/>
          <w:rtl/>
        </w:rPr>
        <w:t xml:space="preserve">חקיקה שאוזכרה: </w:t>
      </w:r>
    </w:p>
    <w:p w14:paraId="003CF9C7" w14:textId="77777777" w:rsidR="007E2E67" w:rsidRPr="007E2E67" w:rsidRDefault="007E2E67" w:rsidP="007E2E67">
      <w:pPr>
        <w:spacing w:before="120" w:after="120" w:line="240" w:lineRule="exact"/>
        <w:ind w:left="283" w:hanging="283"/>
        <w:jc w:val="both"/>
        <w:rPr>
          <w:rFonts w:ascii="FrankRuehl" w:hAnsi="FrankRuehl" w:cs="FrankRuehl"/>
          <w:color w:val="0000FF"/>
          <w:rtl/>
        </w:rPr>
      </w:pPr>
      <w:hyperlink r:id="rId7" w:history="1">
        <w:r w:rsidRPr="007E2E67">
          <w:rPr>
            <w:rStyle w:val="Hyperlink"/>
            <w:rFonts w:ascii="FrankRuehl" w:hAnsi="FrankRuehl" w:cs="FrankRuehl"/>
            <w:u w:val="none"/>
            <w:rtl/>
          </w:rPr>
          <w:t>חוק העונשין, תשל"ז-1977</w:t>
        </w:r>
      </w:hyperlink>
      <w:r w:rsidRPr="007E2E67">
        <w:rPr>
          <w:rFonts w:ascii="FrankRuehl" w:hAnsi="FrankRuehl" w:cs="FrankRuehl"/>
          <w:color w:val="0000FF"/>
          <w:rtl/>
        </w:rPr>
        <w:t xml:space="preserve">: סע'  </w:t>
      </w:r>
      <w:hyperlink r:id="rId8" w:history="1">
        <w:r w:rsidRPr="007E2E67">
          <w:rPr>
            <w:rStyle w:val="Hyperlink"/>
            <w:rFonts w:ascii="FrankRuehl" w:hAnsi="FrankRuehl" w:cs="FrankRuehl"/>
            <w:u w:val="none"/>
          </w:rPr>
          <w:t>31</w:t>
        </w:r>
      </w:hyperlink>
      <w:r w:rsidRPr="007E2E67">
        <w:rPr>
          <w:rFonts w:ascii="FrankRuehl" w:hAnsi="FrankRuehl" w:cs="FrankRuehl"/>
          <w:color w:val="0000FF"/>
          <w:rtl/>
        </w:rPr>
        <w:t xml:space="preserve">, </w:t>
      </w:r>
      <w:hyperlink r:id="rId9" w:history="1">
        <w:r w:rsidRPr="007E2E67">
          <w:rPr>
            <w:rStyle w:val="Hyperlink"/>
            <w:rFonts w:ascii="FrankRuehl" w:hAnsi="FrankRuehl" w:cs="FrankRuehl"/>
            <w:u w:val="none"/>
          </w:rPr>
          <w:t>32</w:t>
        </w:r>
      </w:hyperlink>
      <w:r w:rsidRPr="007E2E67">
        <w:rPr>
          <w:rFonts w:ascii="FrankRuehl" w:hAnsi="FrankRuehl" w:cs="FrankRuehl"/>
          <w:color w:val="0000FF"/>
          <w:rtl/>
        </w:rPr>
        <w:t xml:space="preserve">(3), </w:t>
      </w:r>
      <w:hyperlink r:id="rId10" w:history="1">
        <w:r w:rsidRPr="007E2E67">
          <w:rPr>
            <w:rStyle w:val="Hyperlink"/>
            <w:rFonts w:ascii="FrankRuehl" w:hAnsi="FrankRuehl" w:cs="FrankRuehl"/>
            <w:u w:val="none"/>
          </w:rPr>
          <w:t>40</w:t>
        </w:r>
        <w:r w:rsidRPr="007E2E67">
          <w:rPr>
            <w:rStyle w:val="Hyperlink"/>
            <w:rFonts w:ascii="FrankRuehl" w:hAnsi="FrankRuehl" w:cs="FrankRuehl"/>
            <w:u w:val="none"/>
            <w:rtl/>
          </w:rPr>
          <w:t>ז</w:t>
        </w:r>
      </w:hyperlink>
      <w:r w:rsidRPr="007E2E67">
        <w:rPr>
          <w:rFonts w:ascii="FrankRuehl" w:hAnsi="FrankRuehl" w:cs="FrankRuehl"/>
          <w:color w:val="0000FF"/>
          <w:rtl/>
        </w:rPr>
        <w:t xml:space="preserve">, </w:t>
      </w:r>
      <w:hyperlink r:id="rId11" w:history="1">
        <w:r w:rsidRPr="007E2E67">
          <w:rPr>
            <w:rStyle w:val="Hyperlink"/>
            <w:rFonts w:ascii="FrankRuehl" w:hAnsi="FrankRuehl" w:cs="FrankRuehl"/>
            <w:u w:val="none"/>
          </w:rPr>
          <w:t>40</w:t>
        </w:r>
        <w:r w:rsidRPr="007E2E67">
          <w:rPr>
            <w:rStyle w:val="Hyperlink"/>
            <w:rFonts w:ascii="FrankRuehl" w:hAnsi="FrankRuehl" w:cs="FrankRuehl"/>
            <w:u w:val="none"/>
            <w:rtl/>
          </w:rPr>
          <w:t>ט</w:t>
        </w:r>
      </w:hyperlink>
      <w:r w:rsidRPr="007E2E67">
        <w:rPr>
          <w:rFonts w:ascii="FrankRuehl" w:hAnsi="FrankRuehl" w:cs="FrankRuehl"/>
          <w:color w:val="0000FF"/>
          <w:rtl/>
        </w:rPr>
        <w:t xml:space="preserve">, </w:t>
      </w:r>
      <w:hyperlink r:id="rId12" w:history="1">
        <w:r w:rsidRPr="007E2E67">
          <w:rPr>
            <w:rStyle w:val="Hyperlink"/>
            <w:rFonts w:ascii="FrankRuehl" w:hAnsi="FrankRuehl" w:cs="FrankRuehl"/>
            <w:u w:val="none"/>
          </w:rPr>
          <w:t>144</w:t>
        </w:r>
      </w:hyperlink>
      <w:r w:rsidRPr="007E2E67">
        <w:rPr>
          <w:rFonts w:ascii="FrankRuehl" w:hAnsi="FrankRuehl" w:cs="FrankRuehl"/>
          <w:color w:val="0000FF"/>
          <w:rtl/>
        </w:rPr>
        <w:t xml:space="preserve">, </w:t>
      </w:r>
      <w:hyperlink r:id="rId13" w:history="1">
        <w:r w:rsidRPr="007E2E67">
          <w:rPr>
            <w:rStyle w:val="Hyperlink"/>
            <w:rFonts w:ascii="FrankRuehl" w:hAnsi="FrankRuehl" w:cs="FrankRuehl"/>
            <w:u w:val="none"/>
          </w:rPr>
          <w:t>144</w:t>
        </w:r>
      </w:hyperlink>
      <w:r w:rsidRPr="007E2E67">
        <w:rPr>
          <w:rFonts w:ascii="FrankRuehl" w:hAnsi="FrankRuehl" w:cs="FrankRuehl"/>
          <w:color w:val="0000FF"/>
          <w:rtl/>
        </w:rPr>
        <w:t xml:space="preserve">(א), </w:t>
      </w:r>
      <w:hyperlink r:id="rId14" w:history="1">
        <w:r w:rsidRPr="007E2E67">
          <w:rPr>
            <w:rStyle w:val="Hyperlink"/>
            <w:rFonts w:ascii="FrankRuehl" w:hAnsi="FrankRuehl" w:cs="FrankRuehl"/>
            <w:u w:val="none"/>
          </w:rPr>
          <w:t>144</w:t>
        </w:r>
      </w:hyperlink>
      <w:r w:rsidRPr="007E2E67">
        <w:rPr>
          <w:rFonts w:ascii="FrankRuehl" w:hAnsi="FrankRuehl" w:cs="FrankRuehl"/>
          <w:color w:val="0000FF"/>
          <w:rtl/>
        </w:rPr>
        <w:t xml:space="preserve">(ז), </w:t>
      </w:r>
      <w:hyperlink r:id="rId15" w:history="1">
        <w:r w:rsidRPr="007E2E67">
          <w:rPr>
            <w:rStyle w:val="Hyperlink"/>
            <w:rFonts w:ascii="FrankRuehl" w:hAnsi="FrankRuehl" w:cs="FrankRuehl"/>
            <w:u w:val="none"/>
          </w:rPr>
          <w:t>275</w:t>
        </w:r>
      </w:hyperlink>
      <w:r w:rsidRPr="007E2E67">
        <w:rPr>
          <w:rFonts w:ascii="FrankRuehl" w:hAnsi="FrankRuehl" w:cs="FrankRuehl"/>
          <w:color w:val="0000FF"/>
          <w:rtl/>
        </w:rPr>
        <w:t xml:space="preserve">, </w:t>
      </w:r>
      <w:hyperlink r:id="rId16" w:history="1">
        <w:r w:rsidRPr="007E2E67">
          <w:rPr>
            <w:rStyle w:val="Hyperlink"/>
            <w:rFonts w:ascii="FrankRuehl" w:hAnsi="FrankRuehl" w:cs="FrankRuehl"/>
            <w:u w:val="none"/>
          </w:rPr>
          <w:t>40</w:t>
        </w:r>
        <w:r w:rsidRPr="007E2E67">
          <w:rPr>
            <w:rStyle w:val="Hyperlink"/>
            <w:rFonts w:ascii="FrankRuehl" w:hAnsi="FrankRuehl" w:cs="FrankRuehl"/>
            <w:u w:val="none"/>
            <w:rtl/>
          </w:rPr>
          <w:t>יג</w:t>
        </w:r>
      </w:hyperlink>
      <w:r w:rsidRPr="007E2E67">
        <w:rPr>
          <w:rFonts w:ascii="FrankRuehl" w:hAnsi="FrankRuehl" w:cs="FrankRuehl"/>
          <w:color w:val="0000FF"/>
          <w:rtl/>
        </w:rPr>
        <w:t xml:space="preserve">(א), </w:t>
      </w:r>
      <w:hyperlink r:id="rId17" w:history="1">
        <w:r w:rsidRPr="007E2E67">
          <w:rPr>
            <w:rStyle w:val="Hyperlink"/>
            <w:rFonts w:ascii="FrankRuehl" w:hAnsi="FrankRuehl" w:cs="FrankRuehl"/>
            <w:u w:val="none"/>
          </w:rPr>
          <w:t>40</w:t>
        </w:r>
        <w:r w:rsidRPr="007E2E67">
          <w:rPr>
            <w:rStyle w:val="Hyperlink"/>
            <w:rFonts w:ascii="FrankRuehl" w:hAnsi="FrankRuehl" w:cs="FrankRuehl"/>
            <w:u w:val="none"/>
            <w:rtl/>
          </w:rPr>
          <w:t>יג</w:t>
        </w:r>
      </w:hyperlink>
      <w:r w:rsidRPr="007E2E67">
        <w:rPr>
          <w:rFonts w:ascii="FrankRuehl" w:hAnsi="FrankRuehl" w:cs="FrankRuehl"/>
          <w:color w:val="0000FF"/>
          <w:rtl/>
        </w:rPr>
        <w:t>(ג)</w:t>
      </w:r>
    </w:p>
    <w:p w14:paraId="3E46ECAF" w14:textId="77777777" w:rsidR="007E2E67" w:rsidRDefault="007E2E67" w:rsidP="007E2E67">
      <w:pPr>
        <w:rPr>
          <w:rFonts w:hint="cs"/>
          <w:rtl/>
        </w:rPr>
      </w:pPr>
      <w:bookmarkStart w:id="3" w:name="LawTable_End"/>
      <w:bookmarkEnd w:id="3"/>
    </w:p>
    <w:p w14:paraId="41F2C18E" w14:textId="77777777" w:rsidR="007E2E67" w:rsidRPr="007E2E67" w:rsidRDefault="007E2E67" w:rsidP="007E2E67">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1B20" w:rsidRPr="00CF1C82" w14:paraId="10FD8E2B" w14:textId="77777777" w:rsidTr="00091B20">
        <w:trPr>
          <w:trHeight w:val="355"/>
          <w:jc w:val="center"/>
        </w:trPr>
        <w:tc>
          <w:tcPr>
            <w:tcW w:w="8820" w:type="dxa"/>
            <w:tcBorders>
              <w:top w:val="nil"/>
              <w:left w:val="nil"/>
              <w:bottom w:val="nil"/>
              <w:right w:val="nil"/>
            </w:tcBorders>
            <w:shd w:val="clear" w:color="auto" w:fill="auto"/>
          </w:tcPr>
          <w:p w14:paraId="18F82D7E" w14:textId="77777777" w:rsidR="006B3C7F" w:rsidRPr="006B3C7F" w:rsidRDefault="006B3C7F" w:rsidP="006B3C7F">
            <w:pPr>
              <w:jc w:val="center"/>
              <w:rPr>
                <w:rFonts w:ascii="David" w:hAnsi="David"/>
                <w:b/>
                <w:bCs/>
                <w:sz w:val="32"/>
                <w:szCs w:val="32"/>
                <w:rtl/>
              </w:rPr>
            </w:pPr>
            <w:bookmarkStart w:id="4" w:name="PsakDin" w:colFirst="0" w:colLast="0"/>
            <w:r w:rsidRPr="006B3C7F">
              <w:rPr>
                <w:rFonts w:ascii="David" w:hAnsi="David"/>
                <w:b/>
                <w:bCs/>
                <w:sz w:val="32"/>
                <w:szCs w:val="32"/>
                <w:rtl/>
              </w:rPr>
              <w:t>גזר דין</w:t>
            </w:r>
          </w:p>
          <w:p w14:paraId="03F60A80" w14:textId="77777777" w:rsidR="00091B20" w:rsidRPr="006B3C7F" w:rsidRDefault="00091B20" w:rsidP="006B3C7F">
            <w:pPr>
              <w:jc w:val="center"/>
              <w:rPr>
                <w:rFonts w:ascii="David" w:hAnsi="David"/>
                <w:bCs/>
                <w:sz w:val="32"/>
                <w:szCs w:val="32"/>
                <w:rtl/>
              </w:rPr>
            </w:pPr>
          </w:p>
        </w:tc>
      </w:tr>
      <w:bookmarkEnd w:id="4"/>
    </w:tbl>
    <w:p w14:paraId="6A43CDE7" w14:textId="77777777" w:rsidR="00091B20" w:rsidRDefault="00091B20" w:rsidP="00091B20">
      <w:pPr>
        <w:spacing w:after="200"/>
        <w:jc w:val="both"/>
        <w:rPr>
          <w:rFonts w:ascii="Calibri" w:eastAsia="Calibri" w:hAnsi="Calibri"/>
          <w:b/>
          <w:bCs/>
          <w:u w:val="single"/>
          <w:rtl/>
        </w:rPr>
      </w:pPr>
    </w:p>
    <w:p w14:paraId="463EFF4B" w14:textId="77777777" w:rsidR="00091B20" w:rsidRPr="001D06EC" w:rsidRDefault="00091B20" w:rsidP="00091B20">
      <w:pPr>
        <w:spacing w:after="200"/>
        <w:jc w:val="both"/>
        <w:rPr>
          <w:rFonts w:ascii="Calibri" w:eastAsia="Calibri" w:hAnsi="Calibri"/>
          <w:b/>
          <w:bCs/>
          <w:u w:val="single"/>
        </w:rPr>
      </w:pPr>
      <w:r w:rsidRPr="001D06EC">
        <w:rPr>
          <w:rFonts w:ascii="Calibri" w:eastAsia="Calibri" w:hAnsi="Calibri"/>
          <w:b/>
          <w:bCs/>
          <w:u w:val="single"/>
          <w:rtl/>
        </w:rPr>
        <w:t>כללי</w:t>
      </w:r>
    </w:p>
    <w:p w14:paraId="79D4BB0E" w14:textId="77777777" w:rsidR="00091B20" w:rsidRPr="001D06EC" w:rsidRDefault="00091B20" w:rsidP="00091B20">
      <w:pPr>
        <w:spacing w:after="200" w:line="360" w:lineRule="auto"/>
        <w:jc w:val="both"/>
        <w:rPr>
          <w:rFonts w:ascii="Calibri" w:eastAsia="Calibri" w:hAnsi="Calibri"/>
        </w:rPr>
      </w:pPr>
      <w:bookmarkStart w:id="5" w:name="ABSTRACT_START"/>
      <w:bookmarkEnd w:id="5"/>
      <w:r w:rsidRPr="001D06EC">
        <w:rPr>
          <w:rFonts w:ascii="Calibri" w:eastAsia="Calibri" w:hAnsi="Calibri"/>
          <w:rtl/>
        </w:rPr>
        <w:t xml:space="preserve">הנאשמים שלפניי, </w:t>
      </w:r>
      <w:r w:rsidRPr="001D06EC">
        <w:rPr>
          <w:rFonts w:ascii="Calibri" w:eastAsia="Calibri" w:hAnsi="Calibri"/>
          <w:b/>
          <w:bCs/>
          <w:rtl/>
        </w:rPr>
        <w:t xml:space="preserve">עלי מחאג'נה </w:t>
      </w:r>
      <w:r w:rsidRPr="001D06EC">
        <w:rPr>
          <w:rFonts w:ascii="Calibri" w:eastAsia="Calibri" w:hAnsi="Calibri"/>
          <w:rtl/>
        </w:rPr>
        <w:t>(להלן: "</w:t>
      </w:r>
      <w:r w:rsidRPr="001D06EC">
        <w:rPr>
          <w:rFonts w:ascii="Calibri" w:eastAsia="Calibri" w:hAnsi="Calibri"/>
          <w:b/>
          <w:bCs/>
          <w:rtl/>
        </w:rPr>
        <w:t>הנאשם 1</w:t>
      </w:r>
      <w:r w:rsidRPr="001D06EC">
        <w:rPr>
          <w:rFonts w:ascii="Calibri" w:eastAsia="Calibri" w:hAnsi="Calibri"/>
          <w:rtl/>
        </w:rPr>
        <w:t xml:space="preserve">"), </w:t>
      </w:r>
      <w:r w:rsidRPr="001D06EC">
        <w:rPr>
          <w:rFonts w:ascii="Calibri" w:eastAsia="Calibri" w:hAnsi="Calibri"/>
          <w:b/>
          <w:bCs/>
          <w:rtl/>
        </w:rPr>
        <w:t xml:space="preserve">ומוחמד מחאג'נה </w:t>
      </w:r>
      <w:r w:rsidRPr="001D06EC">
        <w:rPr>
          <w:rFonts w:ascii="Calibri" w:eastAsia="Calibri" w:hAnsi="Calibri"/>
          <w:rtl/>
        </w:rPr>
        <w:t>(להלן: "</w:t>
      </w:r>
      <w:r w:rsidRPr="001D06EC">
        <w:rPr>
          <w:rFonts w:ascii="Calibri" w:eastAsia="Calibri" w:hAnsi="Calibri"/>
          <w:b/>
          <w:bCs/>
          <w:rtl/>
        </w:rPr>
        <w:t>הנאשם 2</w:t>
      </w:r>
      <w:r w:rsidRPr="001D06EC">
        <w:rPr>
          <w:rFonts w:ascii="Calibri" w:eastAsia="Calibri" w:hAnsi="Calibri"/>
          <w:rtl/>
        </w:rPr>
        <w:t xml:space="preserve">") הורשעו ביום 15.7.24 על-סמך הודאתם בעובדות כתב אישום מתוקן אשר הוגש נגדם.  </w:t>
      </w:r>
    </w:p>
    <w:p w14:paraId="71190DFB" w14:textId="77777777" w:rsidR="00091B20" w:rsidRPr="001D06EC" w:rsidRDefault="00091B20" w:rsidP="00091B20">
      <w:pPr>
        <w:spacing w:after="200" w:line="360" w:lineRule="auto"/>
        <w:jc w:val="both"/>
        <w:rPr>
          <w:rFonts w:ascii="David" w:eastAsia="Calibri" w:hAnsi="David"/>
          <w:rtl/>
        </w:rPr>
      </w:pPr>
      <w:r w:rsidRPr="001D06EC">
        <w:rPr>
          <w:rFonts w:ascii="David" w:eastAsia="Calibri" w:hAnsi="David"/>
          <w:b/>
          <w:bCs/>
          <w:rtl/>
        </w:rPr>
        <w:t>הנאשם 1</w:t>
      </w:r>
      <w:r w:rsidRPr="001D06EC">
        <w:rPr>
          <w:rFonts w:ascii="David" w:eastAsia="Calibri" w:hAnsi="David"/>
          <w:rtl/>
        </w:rPr>
        <w:t xml:space="preserve"> הורשע בביצוען של עבירות שעניינן </w:t>
      </w:r>
      <w:r w:rsidRPr="001D06EC">
        <w:rPr>
          <w:rFonts w:ascii="David" w:eastAsia="Calibri" w:hAnsi="David"/>
          <w:b/>
          <w:bCs/>
          <w:rtl/>
        </w:rPr>
        <w:t>בסיוע להחזקת נשק</w:t>
      </w:r>
      <w:r w:rsidRPr="001D06EC">
        <w:rPr>
          <w:rFonts w:ascii="David" w:eastAsia="Calibri" w:hAnsi="David"/>
          <w:rtl/>
        </w:rPr>
        <w:t xml:space="preserve"> לפי </w:t>
      </w:r>
      <w:hyperlink r:id="rId18" w:history="1">
        <w:r w:rsidR="000E45AE" w:rsidRPr="000E45AE">
          <w:rPr>
            <w:rStyle w:val="Hyperlink"/>
            <w:rFonts w:ascii="David" w:eastAsia="Calibri" w:hAnsi="David"/>
            <w:color w:val="0000FF"/>
            <w:rtl/>
          </w:rPr>
          <w:t>סעיפים 144(א)</w:t>
        </w:r>
      </w:hyperlink>
      <w:r w:rsidRPr="001D06EC">
        <w:rPr>
          <w:rFonts w:ascii="David" w:eastAsia="Calibri" w:hAnsi="David"/>
          <w:rtl/>
        </w:rPr>
        <w:t xml:space="preserve"> ו - </w:t>
      </w:r>
      <w:hyperlink r:id="rId19" w:history="1">
        <w:r w:rsidR="000E45AE" w:rsidRPr="000E45AE">
          <w:rPr>
            <w:rStyle w:val="Hyperlink"/>
            <w:rFonts w:ascii="David" w:eastAsia="Calibri" w:hAnsi="David"/>
            <w:color w:val="0000FF"/>
            <w:rtl/>
          </w:rPr>
          <w:t>31</w:t>
        </w:r>
      </w:hyperlink>
      <w:r w:rsidRPr="001D06EC">
        <w:rPr>
          <w:rFonts w:ascii="David" w:eastAsia="Calibri" w:hAnsi="David"/>
          <w:rtl/>
        </w:rPr>
        <w:t xml:space="preserve"> ל</w:t>
      </w:r>
      <w:hyperlink r:id="rId20" w:history="1">
        <w:r w:rsidR="006B3C7F" w:rsidRPr="006B3C7F">
          <w:rPr>
            <w:rFonts w:ascii="David" w:eastAsia="Calibri" w:hAnsi="David"/>
            <w:color w:val="0000FF"/>
            <w:u w:val="single"/>
            <w:rtl/>
          </w:rPr>
          <w:t>חוק העונשין</w:t>
        </w:r>
      </w:hyperlink>
      <w:r w:rsidRPr="001D06EC">
        <w:rPr>
          <w:rFonts w:ascii="David" w:eastAsia="Calibri" w:hAnsi="David"/>
          <w:rtl/>
        </w:rPr>
        <w:t xml:space="preserve"> (להלן: "</w:t>
      </w:r>
      <w:r w:rsidRPr="001D06EC">
        <w:rPr>
          <w:rFonts w:ascii="David" w:eastAsia="Calibri" w:hAnsi="David"/>
          <w:b/>
          <w:bCs/>
          <w:rtl/>
        </w:rPr>
        <w:t>חוק העונשין</w:t>
      </w:r>
      <w:r w:rsidRPr="001D06EC">
        <w:rPr>
          <w:rFonts w:ascii="David" w:eastAsia="Calibri" w:hAnsi="David"/>
          <w:rtl/>
        </w:rPr>
        <w:t>" או "</w:t>
      </w:r>
      <w:r w:rsidRPr="001D06EC">
        <w:rPr>
          <w:rFonts w:ascii="David" w:eastAsia="Calibri" w:hAnsi="David"/>
          <w:b/>
          <w:bCs/>
          <w:rtl/>
        </w:rPr>
        <w:t>החוק</w:t>
      </w:r>
      <w:r w:rsidRPr="001D06EC">
        <w:rPr>
          <w:rFonts w:ascii="David" w:eastAsia="Calibri" w:hAnsi="David"/>
          <w:rtl/>
        </w:rPr>
        <w:t xml:space="preserve">") </w:t>
      </w:r>
      <w:r w:rsidRPr="001D06EC">
        <w:rPr>
          <w:rFonts w:ascii="David" w:eastAsia="Calibri" w:hAnsi="David"/>
          <w:b/>
          <w:bCs/>
          <w:rtl/>
        </w:rPr>
        <w:t>והפרעה לשוטר במילוי תפקיד</w:t>
      </w:r>
      <w:r w:rsidRPr="001D06EC">
        <w:rPr>
          <w:rFonts w:ascii="David" w:eastAsia="Calibri" w:hAnsi="David"/>
          <w:rtl/>
        </w:rPr>
        <w:t xml:space="preserve"> לפי </w:t>
      </w:r>
      <w:hyperlink r:id="rId21" w:history="1">
        <w:r w:rsidR="000E45AE" w:rsidRPr="000E45AE">
          <w:rPr>
            <w:rStyle w:val="Hyperlink"/>
            <w:rFonts w:ascii="David" w:eastAsia="Calibri" w:hAnsi="David"/>
            <w:color w:val="0000FF"/>
            <w:rtl/>
          </w:rPr>
          <w:t>סעיף 275</w:t>
        </w:r>
      </w:hyperlink>
      <w:r w:rsidRPr="001D06EC">
        <w:rPr>
          <w:rFonts w:ascii="David" w:eastAsia="Calibri" w:hAnsi="David"/>
          <w:rtl/>
        </w:rPr>
        <w:t xml:space="preserve"> לחוק. </w:t>
      </w:r>
    </w:p>
    <w:p w14:paraId="693A46CC" w14:textId="77777777" w:rsidR="00091B20" w:rsidRPr="001D06EC" w:rsidRDefault="00091B20" w:rsidP="00091B20">
      <w:pPr>
        <w:spacing w:after="200" w:line="360" w:lineRule="auto"/>
        <w:jc w:val="both"/>
        <w:rPr>
          <w:rFonts w:ascii="David" w:eastAsia="Calibri" w:hAnsi="David"/>
          <w:b/>
          <w:bCs/>
          <w:rtl/>
        </w:rPr>
      </w:pPr>
      <w:r w:rsidRPr="001D06EC">
        <w:rPr>
          <w:rFonts w:ascii="David" w:eastAsia="Calibri" w:hAnsi="David"/>
          <w:b/>
          <w:bCs/>
          <w:rtl/>
        </w:rPr>
        <w:t xml:space="preserve">הנאשם 2 </w:t>
      </w:r>
      <w:r w:rsidRPr="001D06EC">
        <w:rPr>
          <w:rFonts w:ascii="David" w:eastAsia="Calibri" w:hAnsi="David"/>
          <w:rtl/>
        </w:rPr>
        <w:t xml:space="preserve">הורשע בביצוען של עבירות שעניינן </w:t>
      </w:r>
      <w:r w:rsidRPr="001D06EC">
        <w:rPr>
          <w:rFonts w:ascii="Calibri" w:eastAsia="Calibri" w:hAnsi="Calibri"/>
          <w:b/>
          <w:bCs/>
          <w:rtl/>
        </w:rPr>
        <w:t xml:space="preserve">החזקת נשק </w:t>
      </w:r>
      <w:r w:rsidRPr="001D06EC">
        <w:rPr>
          <w:rFonts w:ascii="Calibri" w:eastAsia="Calibri" w:hAnsi="Calibri"/>
          <w:rtl/>
        </w:rPr>
        <w:t xml:space="preserve">לפי </w:t>
      </w:r>
      <w:hyperlink r:id="rId22" w:history="1">
        <w:r w:rsidR="000E45AE" w:rsidRPr="000E45AE">
          <w:rPr>
            <w:rStyle w:val="Hyperlink"/>
            <w:rFonts w:ascii="Calibri" w:eastAsia="Calibri" w:hAnsi="Calibri"/>
            <w:color w:val="0000FF"/>
            <w:rtl/>
          </w:rPr>
          <w:t>סעיף 144(א)</w:t>
        </w:r>
      </w:hyperlink>
      <w:r w:rsidRPr="001D06EC">
        <w:rPr>
          <w:rFonts w:ascii="David" w:eastAsia="Calibri" w:hAnsi="David"/>
          <w:rtl/>
        </w:rPr>
        <w:t xml:space="preserve"> רישה וסיפה ל</w:t>
      </w:r>
      <w:hyperlink r:id="rId23" w:history="1">
        <w:r w:rsidR="006B3C7F" w:rsidRPr="006B3C7F">
          <w:rPr>
            <w:rFonts w:ascii="David" w:eastAsia="Calibri" w:hAnsi="David"/>
            <w:color w:val="0000FF"/>
            <w:u w:val="single"/>
            <w:rtl/>
          </w:rPr>
          <w:t>חוק העונשין</w:t>
        </w:r>
      </w:hyperlink>
      <w:r w:rsidRPr="001D06EC">
        <w:rPr>
          <w:rFonts w:ascii="David" w:eastAsia="Calibri" w:hAnsi="David"/>
          <w:rtl/>
        </w:rPr>
        <w:t xml:space="preserve">  </w:t>
      </w:r>
      <w:r w:rsidRPr="001D06EC">
        <w:rPr>
          <w:rFonts w:ascii="David" w:eastAsia="Calibri" w:hAnsi="David"/>
          <w:b/>
          <w:bCs/>
          <w:rtl/>
        </w:rPr>
        <w:t>והפרעה לשוטר במילוי תפקיד</w:t>
      </w:r>
      <w:r w:rsidRPr="001D06EC">
        <w:rPr>
          <w:rFonts w:ascii="David" w:eastAsia="Calibri" w:hAnsi="David"/>
          <w:rtl/>
        </w:rPr>
        <w:t xml:space="preserve"> לפי </w:t>
      </w:r>
      <w:hyperlink r:id="rId24" w:history="1">
        <w:r w:rsidR="000E45AE" w:rsidRPr="000E45AE">
          <w:rPr>
            <w:rStyle w:val="Hyperlink"/>
            <w:rFonts w:ascii="David" w:eastAsia="Calibri" w:hAnsi="David"/>
            <w:color w:val="0000FF"/>
            <w:rtl/>
          </w:rPr>
          <w:t>סעיף 275</w:t>
        </w:r>
      </w:hyperlink>
      <w:r w:rsidRPr="001D06EC">
        <w:rPr>
          <w:rFonts w:ascii="David" w:eastAsia="Calibri" w:hAnsi="David"/>
          <w:rtl/>
        </w:rPr>
        <w:t xml:space="preserve"> לחוק.</w:t>
      </w:r>
      <w:r w:rsidRPr="001D06EC">
        <w:rPr>
          <w:rFonts w:ascii="David" w:eastAsia="Calibri" w:hAnsi="David"/>
          <w:b/>
          <w:bCs/>
          <w:rtl/>
        </w:rPr>
        <w:t xml:space="preserve"> </w:t>
      </w:r>
    </w:p>
    <w:p w14:paraId="7BBB009C" w14:textId="77777777" w:rsidR="00091B20" w:rsidRPr="001D06EC" w:rsidRDefault="00091B20" w:rsidP="00091B20">
      <w:pPr>
        <w:spacing w:after="200" w:line="360" w:lineRule="auto"/>
        <w:jc w:val="both"/>
        <w:rPr>
          <w:rFonts w:ascii="David" w:eastAsia="Calibri" w:hAnsi="David"/>
          <w:rtl/>
        </w:rPr>
      </w:pPr>
      <w:bookmarkStart w:id="6" w:name="ABSTRACT_END"/>
      <w:bookmarkEnd w:id="6"/>
      <w:r w:rsidRPr="001D06EC">
        <w:rPr>
          <w:rFonts w:ascii="David" w:eastAsia="Calibri" w:hAnsi="David"/>
          <w:rtl/>
        </w:rPr>
        <w:t xml:space="preserve">כאן המקום לציין, כי במסגרת הסדר הטיעון הצדדים לא הגיעו להסכמות בעניין הענישה. עם זאת, הוסכם, כי כלי רכב שנתפס יוחזר לנאשם 1 בכפוף ולאחר הפקדה ע"ס 15,000 ₪, סכום שיחולט חלף הרכב האמור.  </w:t>
      </w:r>
    </w:p>
    <w:p w14:paraId="50134E37"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u w:val="single"/>
          <w:rtl/>
        </w:rPr>
        <w:t xml:space="preserve">עובדות ההרשעה </w:t>
      </w:r>
      <w:r w:rsidRPr="001D06EC">
        <w:rPr>
          <w:rFonts w:ascii="Calibri" w:eastAsia="Calibri" w:hAnsi="Calibri"/>
          <w:rtl/>
        </w:rPr>
        <w:t xml:space="preserve"> </w:t>
      </w:r>
    </w:p>
    <w:p w14:paraId="0FAC8367"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 xml:space="preserve">עובדות הרשעתם של הנאשמים בכתב האישום המתוקן, הינן כדלהלן -   </w:t>
      </w:r>
    </w:p>
    <w:p w14:paraId="6839BDB7"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 xml:space="preserve">בתאריך 14.2.24 בשעה 17:20 או בסמוך לכך ישבו הנאשמים ברכב מסוג "טויוטה" בעל לוחית זיהוי מספר 443-66-401, כאשר הנאשם 1 ישב במושב הנהג ונאשם 2 ישב במושב הנוסע, כשברשותו </w:t>
      </w:r>
      <w:r w:rsidRPr="001D06EC">
        <w:rPr>
          <w:rFonts w:ascii="Calibri" w:eastAsia="Calibri" w:hAnsi="Calibri"/>
          <w:rtl/>
        </w:rPr>
        <w:lastRenderedPageBreak/>
        <w:t xml:space="preserve">אקדח מסוג </w:t>
      </w:r>
      <w:r w:rsidRPr="001D06EC">
        <w:rPr>
          <w:rFonts w:ascii="Calibri" w:eastAsia="Calibri" w:hAnsi="Calibri"/>
        </w:rPr>
        <w:t>Baretta</w:t>
      </w:r>
      <w:r w:rsidRPr="001D06EC">
        <w:rPr>
          <w:rFonts w:ascii="Calibri" w:eastAsia="Calibri" w:hAnsi="Calibri"/>
          <w:rtl/>
        </w:rPr>
        <w:t xml:space="preserve"> שהוא כלי נשק שסוגל לירות כדור ושבכוחו להמית אדם ובתוכו מחסנית שהינה אבזר נשק, ושאותם החזיק הנאשם 2 שלא כדין.  </w:t>
      </w:r>
    </w:p>
    <w:p w14:paraId="0A2FF145"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 xml:space="preserve">בשלב זה השוטרים עלא פלאח ודאוד עליסאת, שהיו במסגרת פעילות משטרתית שגרתית בשכונת אלמסאית באום אל פאחם, התקרבו אל הרכב. </w:t>
      </w:r>
    </w:p>
    <w:p w14:paraId="6C47AB19"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 xml:space="preserve">לאחר שהנאשמים הבחינו בשוטרים מתקרבים לעברם, החזיק הנאשם 2 את הנשק והניח אותו מתחת למושב. נאשם 1 סייע לו בהחזקת הנשק על ידי כך שהחל מסיע את הרכב במטרה למנוע מהשוטרים לחסום אותו ולתפוס את הנשק, שהיה אותה העת ברכב . כן התבטא הסיוע בכך שבהיותו נהג הרכב ניסה למלט את עצמו ואת חברו בנסיעה מן המקום ולחמוק מן השוטרים הממלאים את תפקידם כחוק, וזאת בכוונה להפריע להם או להכשילם בכך. </w:t>
      </w:r>
    </w:p>
    <w:p w14:paraId="147BBF6B"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 xml:space="preserve">בשלב זה עצרו השוטרים את הנאשמים כשהנשק מונח מתחת למושב הנהג. במעשיהם המתוארים לעיל, כך נכתב בכתב האישום המתוקן, ביצעו הנאשמים עבירות כדלקמן – </w:t>
      </w:r>
    </w:p>
    <w:p w14:paraId="6A6B1D8C"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נאשם 2 החזיק אקדח ומחסנית המהווים יחדיו נשק שהינו כלי שסוגל לירות כדור ושבכוחו</w:t>
      </w:r>
      <w:r>
        <w:rPr>
          <w:rFonts w:ascii="Calibri" w:eastAsia="Calibri" w:hAnsi="Calibri"/>
          <w:rtl/>
        </w:rPr>
        <w:t xml:space="preserve"> להמית אדם, כל זאת </w:t>
      </w:r>
      <w:r w:rsidRPr="001D06EC">
        <w:rPr>
          <w:rFonts w:ascii="Calibri" w:eastAsia="Calibri" w:hAnsi="Calibri"/>
          <w:rtl/>
        </w:rPr>
        <w:t xml:space="preserve">בלא רשות על פי דין להחזקתם והכול בסיועו של נאשם 1 שעשה מעשים כדי לאפשר את החזקתם ולהקל עליה. </w:t>
      </w:r>
    </w:p>
    <w:p w14:paraId="2A596E1C"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 xml:space="preserve">נאשם 1 עשה מעשה בכוונה להפריע לשוטרים כשהם ממלאים את תפקידם כחוק או כדי </w:t>
      </w:r>
      <w:r>
        <w:rPr>
          <w:rFonts w:ascii="Calibri" w:eastAsia="Calibri" w:hAnsi="Calibri"/>
          <w:rtl/>
        </w:rPr>
        <w:t>להכשילם בכך שהחל בנסיעה עם הרכב</w:t>
      </w:r>
      <w:r w:rsidRPr="001D06EC">
        <w:rPr>
          <w:rFonts w:ascii="Calibri" w:eastAsia="Calibri" w:hAnsi="Calibri" w:hint="cs"/>
        </w:rPr>
        <w:t xml:space="preserve">  </w:t>
      </w:r>
      <w:r w:rsidRPr="001D06EC">
        <w:rPr>
          <w:rFonts w:ascii="Calibri" w:eastAsia="Calibri" w:hAnsi="Calibri"/>
          <w:rtl/>
        </w:rPr>
        <w:t xml:space="preserve">ונאשם 2 עשה מעשה בכוונה להפריע לשוטרים כשהם ממלאים תפקידם כחוק או כדי להכשילם בכך שהניח את הנשק מתחת למושב. </w:t>
      </w:r>
    </w:p>
    <w:p w14:paraId="43E1F160" w14:textId="77777777" w:rsidR="00091B20" w:rsidRPr="001D06EC" w:rsidRDefault="00091B20" w:rsidP="00091B20">
      <w:pPr>
        <w:spacing w:after="200" w:line="360" w:lineRule="auto"/>
        <w:jc w:val="both"/>
        <w:rPr>
          <w:rFonts w:ascii="Calibri" w:eastAsia="Calibri" w:hAnsi="Calibri"/>
          <w:u w:val="single"/>
          <w:rtl/>
        </w:rPr>
      </w:pPr>
      <w:r w:rsidRPr="001D06EC">
        <w:rPr>
          <w:rFonts w:ascii="Calibri" w:eastAsia="Calibri" w:hAnsi="Calibri"/>
          <w:u w:val="single"/>
          <w:rtl/>
        </w:rPr>
        <w:t xml:space="preserve">ראיות לעניין העונש </w:t>
      </w:r>
    </w:p>
    <w:p w14:paraId="4DF5DB79" w14:textId="77777777" w:rsidR="00091B20" w:rsidRPr="001D06EC" w:rsidRDefault="00091B20" w:rsidP="00091B20">
      <w:pPr>
        <w:spacing w:after="200" w:line="360" w:lineRule="auto"/>
        <w:jc w:val="both"/>
        <w:rPr>
          <w:rFonts w:ascii="Calibri" w:eastAsia="Calibri" w:hAnsi="Calibri"/>
          <w:b/>
          <w:bCs/>
          <w:rtl/>
        </w:rPr>
      </w:pPr>
      <w:r w:rsidRPr="001D06EC">
        <w:rPr>
          <w:rFonts w:ascii="Calibri" w:eastAsia="Calibri" w:hAnsi="Calibri"/>
          <w:rtl/>
        </w:rPr>
        <w:t xml:space="preserve">ב"כ המאשימה, עו"ד פסקל, ציין כי </w:t>
      </w:r>
      <w:r w:rsidRPr="001D06EC">
        <w:rPr>
          <w:rFonts w:ascii="Calibri" w:eastAsia="Calibri" w:hAnsi="Calibri"/>
          <w:b/>
          <w:bCs/>
          <w:rtl/>
        </w:rPr>
        <w:t>הנאשמים נעדרים עבר פלילי</w:t>
      </w:r>
      <w:r w:rsidRPr="001D06EC">
        <w:rPr>
          <w:rFonts w:ascii="Calibri" w:eastAsia="Calibri" w:hAnsi="Calibri"/>
          <w:rtl/>
        </w:rPr>
        <w:t xml:space="preserve">. </w:t>
      </w:r>
      <w:r w:rsidRPr="001D06EC">
        <w:rPr>
          <w:rFonts w:ascii="Calibri" w:eastAsia="Calibri" w:hAnsi="Calibri"/>
          <w:b/>
          <w:bCs/>
          <w:rtl/>
        </w:rPr>
        <w:t xml:space="preserve">לא הוצגו ראיות נוספות לעניין העונש בעניינם של הנאשמים. </w:t>
      </w:r>
    </w:p>
    <w:p w14:paraId="6BF18480" w14:textId="77777777" w:rsidR="00091B20" w:rsidRPr="001D06EC" w:rsidRDefault="00091B20" w:rsidP="00091B20">
      <w:pPr>
        <w:spacing w:after="200"/>
        <w:jc w:val="both"/>
        <w:rPr>
          <w:rFonts w:ascii="Calibri" w:eastAsia="Calibri" w:hAnsi="Calibri"/>
          <w:u w:val="single"/>
          <w:rtl/>
        </w:rPr>
      </w:pPr>
      <w:r w:rsidRPr="001D06EC">
        <w:rPr>
          <w:rFonts w:ascii="Calibri" w:eastAsia="Calibri" w:hAnsi="Calibri"/>
          <w:u w:val="single"/>
          <w:rtl/>
        </w:rPr>
        <w:t>טיעוני המאשימה לעניין העונש</w:t>
      </w:r>
    </w:p>
    <w:p w14:paraId="2B7510A5"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ב"כ המאשימה עמד על הערכים המוגנים שנפגעו כפועל יוצא ממעשי</w:t>
      </w:r>
      <w:r>
        <w:rPr>
          <w:rFonts w:ascii="Calibri" w:eastAsia="Calibri" w:hAnsi="Calibri"/>
          <w:rtl/>
        </w:rPr>
        <w:t xml:space="preserve">הם של הנאשמים. הודגש הצורך העז </w:t>
      </w:r>
      <w:r w:rsidRPr="001D06EC">
        <w:rPr>
          <w:rFonts w:ascii="Calibri" w:eastAsia="Calibri" w:hAnsi="Calibri"/>
          <w:rtl/>
        </w:rPr>
        <w:t xml:space="preserve">בהעברת מסר הרתעתי מצדם של בתי המשפט נוכח "מכת המדינה" של עבירות בנשק. הפרקליט סקר את מדיניות הענישה הנהוגה ועתר לשרטט מתחם ענישה הולם ביחס לנאשם 2 אשר ינוע בין 20 לבין 40 חודשי מאסר לריצוי בפועל. בעניינו של הנאשם 1 התבקשתי לשרטט מתחם ענישה הנע בין 10 לבין 20 חודשי מאסר לריצוי בפועל. בהתייחס לנסיבות שאינן קשורות בביצוען של העבירות, צוין כי יש לשקלל את עברם הנקי של הנאשמים כמו גם את הודאתם המהירה, ללא ניהול הליך הוכחות. </w:t>
      </w:r>
    </w:p>
    <w:p w14:paraId="450C6461"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עוד הוער, כי נאשם 1 עצור החל מיום 30.5.24 בפיקוח אלקטרוני.</w:t>
      </w:r>
    </w:p>
    <w:p w14:paraId="0773C04C" w14:textId="77777777" w:rsidR="00091B20" w:rsidRPr="001D06EC" w:rsidRDefault="00091B20" w:rsidP="00091B20">
      <w:pPr>
        <w:spacing w:after="200"/>
        <w:jc w:val="both"/>
        <w:rPr>
          <w:rFonts w:ascii="Calibri" w:eastAsia="Calibri" w:hAnsi="Calibri"/>
          <w:u w:val="single"/>
          <w:rtl/>
        </w:rPr>
      </w:pPr>
      <w:r w:rsidRPr="001D06EC">
        <w:rPr>
          <w:rFonts w:ascii="Calibri" w:eastAsia="Calibri" w:hAnsi="Calibri"/>
          <w:u w:val="single"/>
          <w:rtl/>
        </w:rPr>
        <w:lastRenderedPageBreak/>
        <w:t>טיעוני ההגנה לעניין העונש</w:t>
      </w:r>
    </w:p>
    <w:p w14:paraId="7EA4DC07" w14:textId="77777777" w:rsidR="00091B20" w:rsidRPr="001D06EC" w:rsidRDefault="00091B20" w:rsidP="00091B20">
      <w:pPr>
        <w:spacing w:after="200"/>
        <w:jc w:val="both"/>
        <w:rPr>
          <w:rFonts w:ascii="Calibri" w:eastAsia="Calibri" w:hAnsi="Calibri"/>
          <w:u w:val="single"/>
          <w:rtl/>
        </w:rPr>
      </w:pPr>
      <w:r w:rsidRPr="001D06EC">
        <w:rPr>
          <w:rFonts w:ascii="Calibri" w:eastAsia="Calibri" w:hAnsi="Calibri"/>
          <w:u w:val="single"/>
          <w:rtl/>
        </w:rPr>
        <w:t>הנאשם 1</w:t>
      </w:r>
    </w:p>
    <w:p w14:paraId="1599F022"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 xml:space="preserve">סנגורו המלומד של נאשם 1, עו"ד פלומו, התייחס בתחילת טיעוניו אל נסיבות ביצוע עבירת הסיוע להחזקת הנשק. צוין, כי נאשם 1 הבחין בהימצאותו של הנשק רק עם הגיעה של המשטרה לקרבת מקום. משכך, נטען שלא היה תכנון מוקדם במעשי הנאשם 1. עוד הוער, כי לא הייתה תחמושת במחסנית שנתפסה. הסנגור עמד על גילו הצעיר של הנאשם, הנעדר עבר פלילי, ועל לקיחת האחריות המהירה. עוד עמד על פסיקה המתאימה לשיטתו לעניינו של הנאשם 1.  הוער, כי מכל מקום אין להשית קנס על נאשם זה, נוכח הסכמתו להפקיד של 15,000 ₪ לטובת חילוט ושחרור הרכב. </w:t>
      </w:r>
    </w:p>
    <w:p w14:paraId="4D9DF7EE"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b/>
          <w:bCs/>
          <w:rtl/>
        </w:rPr>
        <w:t>הנאשם 1, בדבריו אל בית המשפט</w:t>
      </w:r>
      <w:r w:rsidRPr="001D06EC">
        <w:rPr>
          <w:rFonts w:ascii="Calibri" w:eastAsia="Calibri" w:hAnsi="Calibri"/>
          <w:rtl/>
        </w:rPr>
        <w:t xml:space="preserve">, ציין כי למד את לקחו ממעשיו, והתחייב שלא יחזור על אלו. </w:t>
      </w:r>
    </w:p>
    <w:p w14:paraId="403D4C6A" w14:textId="77777777" w:rsidR="00091B20" w:rsidRPr="001D06EC" w:rsidRDefault="00091B20" w:rsidP="00091B20">
      <w:pPr>
        <w:spacing w:after="200" w:line="360" w:lineRule="auto"/>
        <w:jc w:val="both"/>
        <w:rPr>
          <w:rFonts w:ascii="Calibri" w:eastAsia="Calibri" w:hAnsi="Calibri"/>
          <w:u w:val="single"/>
          <w:rtl/>
        </w:rPr>
      </w:pPr>
      <w:r w:rsidRPr="001D06EC">
        <w:rPr>
          <w:rFonts w:ascii="Calibri" w:eastAsia="Calibri" w:hAnsi="Calibri"/>
          <w:u w:val="single"/>
          <w:rtl/>
        </w:rPr>
        <w:t xml:space="preserve">הנאשם 2 </w:t>
      </w:r>
    </w:p>
    <w:p w14:paraId="0AA94804"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rtl/>
        </w:rPr>
        <w:t>סנגורו המלומד של הנאשם 2, עו"ד רז, הגיש לבית המשפט מסמך טיעונים לעניין העונש בכתב (</w:t>
      </w:r>
      <w:r w:rsidRPr="001D06EC">
        <w:rPr>
          <w:rFonts w:ascii="Calibri" w:eastAsia="Calibri" w:hAnsi="Calibri"/>
          <w:b/>
          <w:bCs/>
          <w:rtl/>
        </w:rPr>
        <w:t>טעה1</w:t>
      </w:r>
      <w:r w:rsidRPr="001D06EC">
        <w:rPr>
          <w:rFonts w:ascii="Calibri" w:eastAsia="Calibri" w:hAnsi="Calibri"/>
          <w:rtl/>
        </w:rPr>
        <w:t xml:space="preserve">). פורט, כי יש למקם את עונשו של הנאשם 2 בצמוד לרף התחתון של מתחם הענישה שהוצע (בין 8 לבין 24 חודשי מאסר לריצוי בפועל). הסנגור הפנה לשם כך לפסיקה המתאימה לשיטתו לעניינו של הנאשם 2, וציין כי הנאשם הוא אדם נורמטיבי ללא הרשעות קודמות. הוסף, כי אביו של הנאשם נפטר כשהנאשם היה ילד כבן 4 שנים. נטען, כי הוא עוזר למשפחתו כלכלית כשכיר בתחום הבניין, בעוד אמו מתקיימת מקצבת ביטוח לאומי ומתמודדת עם מחלה קשה. בשל כך, נתבקשתי שלא להשית על הנאשם קנס. הוזכר, כי הנאשם הודה באופן מהיר במעשיו ויש לזקוף לזכותו נתון זה. </w:t>
      </w:r>
    </w:p>
    <w:p w14:paraId="1B3C7C33" w14:textId="77777777" w:rsidR="00091B20" w:rsidRPr="001D06EC" w:rsidRDefault="00091B20" w:rsidP="00091B20">
      <w:pPr>
        <w:spacing w:after="200" w:line="360" w:lineRule="auto"/>
        <w:jc w:val="both"/>
        <w:rPr>
          <w:rFonts w:ascii="Calibri" w:eastAsia="Calibri" w:hAnsi="Calibri"/>
          <w:rtl/>
        </w:rPr>
      </w:pPr>
      <w:r w:rsidRPr="001D06EC">
        <w:rPr>
          <w:rFonts w:ascii="Calibri" w:eastAsia="Calibri" w:hAnsi="Calibri"/>
          <w:b/>
          <w:bCs/>
          <w:rtl/>
        </w:rPr>
        <w:t>הנאשם 2 פנה בדבריו אל בית המשפט</w:t>
      </w:r>
      <w:r w:rsidRPr="001D06EC">
        <w:rPr>
          <w:rFonts w:ascii="Calibri" w:eastAsia="Calibri" w:hAnsi="Calibri"/>
          <w:rtl/>
        </w:rPr>
        <w:t xml:space="preserve"> ציין כי הוא מצטער על מעשיו. הוא הוסיף שלא יחזור על מעשים דומים עוד.</w:t>
      </w:r>
    </w:p>
    <w:p w14:paraId="7A757396" w14:textId="77777777" w:rsidR="00091B20" w:rsidRPr="001D06EC" w:rsidRDefault="00091B20" w:rsidP="00091B20">
      <w:pPr>
        <w:spacing w:after="200"/>
        <w:jc w:val="both"/>
        <w:rPr>
          <w:rFonts w:ascii="Calibri" w:eastAsia="Calibri" w:hAnsi="Calibri"/>
          <w:b/>
          <w:bCs/>
          <w:u w:val="single"/>
          <w:rtl/>
        </w:rPr>
      </w:pPr>
      <w:r w:rsidRPr="001D06EC">
        <w:rPr>
          <w:rFonts w:ascii="Calibri" w:eastAsia="Calibri" w:hAnsi="Calibri"/>
          <w:b/>
          <w:bCs/>
          <w:u w:val="single"/>
          <w:rtl/>
        </w:rPr>
        <w:t>דיון והכרעה</w:t>
      </w:r>
    </w:p>
    <w:p w14:paraId="06E03124" w14:textId="77777777" w:rsidR="00091B20" w:rsidRPr="001D06EC" w:rsidRDefault="00091B20" w:rsidP="00091B20">
      <w:pPr>
        <w:spacing w:after="200" w:line="360" w:lineRule="auto"/>
        <w:jc w:val="both"/>
        <w:rPr>
          <w:rFonts w:ascii="David" w:eastAsia="Calibri" w:hAnsi="David"/>
          <w:rtl/>
        </w:rPr>
      </w:pPr>
      <w:r w:rsidRPr="001D06EC">
        <w:rPr>
          <w:rFonts w:ascii="David" w:eastAsia="Calibri" w:hAnsi="David"/>
          <w:b/>
          <w:bCs/>
          <w:rtl/>
        </w:rPr>
        <w:t>החזקת נשק</w:t>
      </w:r>
      <w:r w:rsidRPr="001D06EC">
        <w:rPr>
          <w:rFonts w:ascii="David" w:eastAsia="Calibri" w:hAnsi="David"/>
          <w:rtl/>
        </w:rPr>
        <w:t xml:space="preserve">, רכישתו, נשיאתו, הובלתו והשימוש בו הפכו למרבה הצער למכת מדינה (ראו לעניין זה למשל: </w:t>
      </w:r>
      <w:hyperlink r:id="rId25" w:history="1">
        <w:r w:rsidR="006B3C7F" w:rsidRPr="006B3C7F">
          <w:rPr>
            <w:rFonts w:ascii="David" w:eastAsia="Calibri" w:hAnsi="David"/>
            <w:color w:val="0000FF"/>
            <w:u w:val="single"/>
            <w:rtl/>
          </w:rPr>
          <w:t>ע"פ 1695/22</w:t>
        </w:r>
      </w:hyperlink>
      <w:r w:rsidRPr="001D06EC">
        <w:rPr>
          <w:rFonts w:ascii="David" w:eastAsia="Calibri" w:hAnsi="David"/>
          <w:rtl/>
        </w:rPr>
        <w:t xml:space="preserve"> </w:t>
      </w:r>
      <w:r w:rsidRPr="001D06EC">
        <w:rPr>
          <w:rFonts w:ascii="David" w:eastAsia="Calibri" w:hAnsi="David"/>
          <w:b/>
          <w:bCs/>
          <w:rtl/>
        </w:rPr>
        <w:t>מדינת ישראל נ' גנאים</w:t>
      </w:r>
      <w:r w:rsidRPr="001D06EC">
        <w:rPr>
          <w:rFonts w:ascii="David" w:eastAsia="Calibri" w:hAnsi="David"/>
          <w:rtl/>
        </w:rPr>
        <w:t xml:space="preserve">, פסקה 11, ביום 29.3.22). ברי, כי מדינה ריבונית ומתוקנת איננה יכולה לקבל כ"מכת-גורל" תופעה שבמסגרתה מוחזק נשק בלתי-חוקי בקרב אזרחיה ותושביה. תופעה שכזו חותרת תחת שלומם של אזרחיה וביטחונם, ועלולה חלילה, לכרסם ביסודות לחם חוקה. מיותר לציין, כי ניסיון להפריע לאנשי החוק לעשות את מלאכתם נאמנה בהקשרים אלו מכרסמת עוד יותר ביסודות הנוגעים לשלום הציבור ושלטון החוק. </w:t>
      </w:r>
    </w:p>
    <w:p w14:paraId="61C9D811" w14:textId="77777777" w:rsidR="00091B20" w:rsidRPr="001D06EC" w:rsidRDefault="00091B20" w:rsidP="00091B20">
      <w:pPr>
        <w:spacing w:after="200" w:line="360" w:lineRule="auto"/>
        <w:jc w:val="both"/>
        <w:rPr>
          <w:rFonts w:ascii="David" w:eastAsia="Calibri" w:hAnsi="David"/>
          <w:rtl/>
        </w:rPr>
      </w:pPr>
      <w:r w:rsidRPr="001D06EC">
        <w:rPr>
          <w:rFonts w:ascii="David" w:eastAsia="Calibri" w:hAnsi="David"/>
          <w:rtl/>
        </w:rPr>
        <w:t xml:space="preserve">פעם אחר פעם בשנים האחרונות, חזר ועמד בית-המשפט העליון על כך, כי  נשק בלתי-חוקי, המוחזק בידיים בלתי-מוסמכות, עלול בסופו להגיע לכלל שימוש מסוכן. מתאימים לעניין זה הדברים שנכתבו במסגרתו של  </w:t>
      </w:r>
      <w:hyperlink r:id="rId26" w:history="1">
        <w:r w:rsidR="006B3C7F" w:rsidRPr="006B3C7F">
          <w:rPr>
            <w:rFonts w:ascii="David" w:eastAsia="Calibri" w:hAnsi="David"/>
            <w:color w:val="0000FF"/>
            <w:u w:val="single"/>
            <w:rtl/>
          </w:rPr>
          <w:t>ע"פ 4406/19</w:t>
        </w:r>
      </w:hyperlink>
      <w:r w:rsidRPr="001D06EC">
        <w:rPr>
          <w:rFonts w:ascii="David" w:eastAsia="Calibri" w:hAnsi="David"/>
          <w:rtl/>
        </w:rPr>
        <w:t xml:space="preserve"> </w:t>
      </w:r>
      <w:r w:rsidRPr="001D06EC">
        <w:rPr>
          <w:rFonts w:ascii="David" w:eastAsia="Calibri" w:hAnsi="David"/>
          <w:b/>
          <w:bCs/>
          <w:rtl/>
        </w:rPr>
        <w:t>מדינת ישראל נ' סובח</w:t>
      </w:r>
      <w:r w:rsidRPr="001D06EC">
        <w:rPr>
          <w:rFonts w:ascii="David" w:eastAsia="Calibri" w:hAnsi="David"/>
          <w:rtl/>
        </w:rPr>
        <w:t xml:space="preserve">, פסקאות 17-16 (ניתן ביום 5.11.2019) ולפיהם - </w:t>
      </w:r>
    </w:p>
    <w:p w14:paraId="1772E18A" w14:textId="77777777" w:rsidR="00091B20" w:rsidRPr="001D06EC" w:rsidRDefault="00091B20" w:rsidP="00091B20">
      <w:pPr>
        <w:spacing w:after="200" w:line="276" w:lineRule="auto"/>
        <w:ind w:left="793" w:right="851"/>
        <w:jc w:val="both"/>
        <w:rPr>
          <w:rFonts w:ascii="Miriam" w:eastAsia="Calibri" w:hAnsi="Miriam" w:cs="Miriam"/>
          <w:rtl/>
        </w:rPr>
      </w:pPr>
      <w:r w:rsidRPr="001D06EC">
        <w:rPr>
          <w:rFonts w:ascii="Miriam" w:eastAsia="Calibri" w:hAnsi="Miriam" w:cs="Miriam"/>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(2018)).על רקע המציאות אותה אנו חווים למרבה הצער מדי יום, אנו עדים לקריאה ציבורית נרגשת להגברת האכיפה כלפי עבירות נשק – ולהחמרה במדיניות הענישה הנוהגת.</w:t>
      </w:r>
    </w:p>
    <w:p w14:paraId="2D432B0C" w14:textId="77777777" w:rsidR="00091B20" w:rsidRPr="001D06EC" w:rsidRDefault="00091B20" w:rsidP="00091B20">
      <w:pPr>
        <w:spacing w:after="200" w:line="276" w:lineRule="auto"/>
        <w:ind w:left="793" w:right="851"/>
        <w:jc w:val="both"/>
        <w:rPr>
          <w:rFonts w:ascii="Miriam" w:eastAsia="Calibri" w:hAnsi="Miriam" w:cs="Miriam"/>
          <w:rtl/>
        </w:rPr>
      </w:pPr>
      <w:r w:rsidRPr="001D06EC">
        <w:rPr>
          <w:rFonts w:ascii="Miriam" w:eastAsia="Calibri" w:hAnsi="Miriam" w:cs="Miriam"/>
          <w:rtl/>
        </w:rPr>
        <w:t>[...]</w:t>
      </w:r>
    </w:p>
    <w:p w14:paraId="04D742E1" w14:textId="77777777" w:rsidR="00091B20" w:rsidRPr="001D06EC" w:rsidRDefault="00091B20" w:rsidP="00091B20">
      <w:pPr>
        <w:spacing w:after="200" w:line="276" w:lineRule="auto"/>
        <w:ind w:left="793" w:right="851"/>
        <w:jc w:val="both"/>
        <w:rPr>
          <w:rFonts w:ascii="David" w:eastAsia="Calibri" w:hAnsi="David"/>
          <w:rtl/>
        </w:rPr>
      </w:pPr>
      <w:r w:rsidRPr="001D06EC">
        <w:rPr>
          <w:rFonts w:ascii="Miriam" w:eastAsia="Calibri" w:hAnsi="Miriam" w:cs="Miriam"/>
          <w:rtl/>
        </w:rPr>
        <w:t xml:space="preserve">בהתאם לכך ולנוכח ריבוי מקרי הירי, </w:t>
      </w:r>
      <w:r w:rsidRPr="001D06EC">
        <w:rPr>
          <w:rFonts w:ascii="Miriam" w:eastAsia="Calibri" w:hAnsi="Miriam" w:cs="Miriam"/>
          <w:b/>
          <w:bCs/>
          <w:u w:val="single"/>
          <w:rtl/>
        </w:rPr>
        <w:t>יש לנקוט במדיניות ענישה מחמירה כלפי ביצוע עבירות החזקת נשק שלא כדין,</w:t>
      </w:r>
      <w:r w:rsidRPr="001D06EC">
        <w:rPr>
          <w:rFonts w:ascii="Miriam" w:eastAsia="Calibri" w:hAnsi="Miriam" w:cs="Miriam"/>
          <w:rtl/>
        </w:rPr>
        <w:t xml:space="preserve">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sidRPr="001D06EC">
        <w:rPr>
          <w:rFonts w:ascii="David" w:eastAsia="Calibri" w:hAnsi="David"/>
          <w:rtl/>
        </w:rPr>
        <w:t xml:space="preserve"> (ההדגשה אינה במקור).  </w:t>
      </w:r>
    </w:p>
    <w:p w14:paraId="512D6B35" w14:textId="77777777" w:rsidR="00091B20" w:rsidRPr="001D06EC" w:rsidRDefault="00091B20" w:rsidP="00091B20">
      <w:pPr>
        <w:spacing w:line="360" w:lineRule="auto"/>
        <w:jc w:val="both"/>
        <w:rPr>
          <w:rFonts w:ascii="David" w:eastAsia="Calibri" w:hAnsi="David"/>
          <w:b/>
          <w:bCs/>
          <w:u w:val="single"/>
          <w:rtl/>
        </w:rPr>
      </w:pPr>
      <w:r w:rsidRPr="001D06EC">
        <w:rPr>
          <w:rFonts w:ascii="David" w:eastAsia="Calibri" w:hAnsi="David"/>
          <w:rtl/>
        </w:rPr>
        <w:t xml:space="preserve">כידוע, עת נפנים לבצע את מלאכת הענישה, העיקרון המנחה שנקבע במסגרת תורת הבניית שיקול-הדעת השיפוטי, הוא עקרון ההלימה: משמע, </w:t>
      </w:r>
      <w:r w:rsidRPr="001D06EC">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1D06EC">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קשורות בביצוע העבירה. </w:t>
      </w:r>
    </w:p>
    <w:p w14:paraId="5676B64E" w14:textId="77777777" w:rsidR="00091B20" w:rsidRPr="001D06EC" w:rsidRDefault="00091B20" w:rsidP="00091B20">
      <w:pPr>
        <w:spacing w:line="360" w:lineRule="auto"/>
        <w:jc w:val="both"/>
        <w:rPr>
          <w:rFonts w:ascii="David" w:eastAsia="Calibri" w:hAnsi="David"/>
          <w:b/>
          <w:bCs/>
          <w:u w:val="single"/>
          <w:rtl/>
        </w:rPr>
      </w:pPr>
    </w:p>
    <w:p w14:paraId="233CB750" w14:textId="77777777" w:rsidR="00091B20" w:rsidRPr="001D06EC" w:rsidRDefault="00091B20" w:rsidP="00091B20">
      <w:pPr>
        <w:spacing w:after="200" w:line="360" w:lineRule="auto"/>
        <w:jc w:val="both"/>
        <w:rPr>
          <w:rFonts w:ascii="David" w:eastAsia="Calibri" w:hAnsi="David"/>
          <w:rtl/>
        </w:rPr>
      </w:pPr>
      <w:r w:rsidRPr="001D06EC">
        <w:rPr>
          <w:rFonts w:ascii="David" w:eastAsia="Calibri" w:hAnsi="David"/>
          <w:rtl/>
        </w:rPr>
        <w:t>ראשית אציין, כי העבירות שאותן ביצעו הנאשמים מהוות "</w:t>
      </w:r>
      <w:r w:rsidRPr="001D06EC">
        <w:rPr>
          <w:rFonts w:ascii="David" w:eastAsia="Calibri" w:hAnsi="David"/>
          <w:b/>
          <w:bCs/>
          <w:rtl/>
        </w:rPr>
        <w:t>אירוע אחד"</w:t>
      </w:r>
      <w:r w:rsidRPr="001D06EC">
        <w:rPr>
          <w:rFonts w:ascii="David" w:eastAsia="Calibri" w:hAnsi="David"/>
          <w:rtl/>
        </w:rPr>
        <w:t>,</w:t>
      </w:r>
      <w:r w:rsidRPr="001D06EC">
        <w:rPr>
          <w:rFonts w:ascii="David" w:eastAsia="Calibri" w:hAnsi="David"/>
          <w:b/>
          <w:bCs/>
          <w:rtl/>
        </w:rPr>
        <w:t xml:space="preserve"> </w:t>
      </w:r>
      <w:r w:rsidRPr="001D06EC">
        <w:rPr>
          <w:rFonts w:ascii="David" w:eastAsia="Calibri" w:hAnsi="David"/>
          <w:rtl/>
        </w:rPr>
        <w:t xml:space="preserve">שכן בהחלט קיים בין אלה קשר הדוק - </w:t>
      </w:r>
      <w:r w:rsidRPr="001D06EC">
        <w:rPr>
          <w:rFonts w:ascii="David" w:eastAsia="Calibri" w:hAnsi="David"/>
          <w:u w:val="single"/>
          <w:rtl/>
        </w:rPr>
        <w:t>העבירות כולן התרחשו כחלק בלתי נפרד מהרצון</w:t>
      </w:r>
      <w:r w:rsidRPr="001D06EC">
        <w:rPr>
          <w:rFonts w:ascii="Calibri" w:eastAsia="Calibri" w:hAnsi="Calibri"/>
          <w:u w:val="single"/>
          <w:rtl/>
        </w:rPr>
        <w:t xml:space="preserve"> למנוע מן השוטרים לתפוס את הנשק ברכב ולהימלט בנסיעה מן המקום</w:t>
      </w:r>
      <w:r w:rsidRPr="001D06EC">
        <w:rPr>
          <w:rFonts w:ascii="Calibri" w:eastAsia="Calibri" w:hAnsi="Calibri"/>
          <w:rtl/>
        </w:rPr>
        <w:t xml:space="preserve"> </w:t>
      </w:r>
      <w:r w:rsidRPr="001D06EC">
        <w:rPr>
          <w:rFonts w:ascii="David" w:eastAsia="Calibri" w:hAnsi="David"/>
          <w:rtl/>
        </w:rPr>
        <w:t xml:space="preserve">(ראו לעניין זה: </w:t>
      </w:r>
      <w:hyperlink r:id="rId27" w:history="1">
        <w:r w:rsidR="006B3C7F" w:rsidRPr="006B3C7F">
          <w:rPr>
            <w:rFonts w:ascii="David" w:eastAsia="Calibri" w:hAnsi="David"/>
            <w:color w:val="0000FF"/>
            <w:u w:val="single"/>
            <w:rtl/>
          </w:rPr>
          <w:t>ע"פ 4910/13</w:t>
        </w:r>
      </w:hyperlink>
      <w:r w:rsidRPr="001D06EC">
        <w:rPr>
          <w:rFonts w:ascii="David" w:eastAsia="Calibri" w:hAnsi="David"/>
          <w:rtl/>
        </w:rPr>
        <w:t xml:space="preserve"> </w:t>
      </w:r>
      <w:r w:rsidRPr="001D06EC">
        <w:rPr>
          <w:rFonts w:ascii="David" w:eastAsia="Calibri" w:hAnsi="David"/>
          <w:b/>
          <w:bCs/>
          <w:rtl/>
        </w:rPr>
        <w:t>ג'אבר נ' מדינת ישראל</w:t>
      </w:r>
      <w:r w:rsidRPr="001D06EC">
        <w:rPr>
          <w:rFonts w:ascii="David" w:eastAsia="Calibri" w:hAnsi="David"/>
          <w:rtl/>
        </w:rPr>
        <w:t>,</w:t>
      </w:r>
      <w:r w:rsidRPr="001D06EC">
        <w:rPr>
          <w:rFonts w:ascii="David" w:eastAsia="Calibri" w:hAnsi="David"/>
          <w:b/>
          <w:bCs/>
          <w:rtl/>
        </w:rPr>
        <w:t xml:space="preserve"> </w:t>
      </w:r>
      <w:r w:rsidRPr="001D06EC">
        <w:rPr>
          <w:rFonts w:ascii="David" w:eastAsia="Calibri" w:hAnsi="David"/>
          <w:rtl/>
        </w:rPr>
        <w:t xml:space="preserve">מפי כב' השופטת ברק-ארז, ניתן ביום 29.10.14; </w:t>
      </w:r>
      <w:hyperlink r:id="rId28" w:history="1">
        <w:r w:rsidR="006B3C7F" w:rsidRPr="006B3C7F">
          <w:rPr>
            <w:rFonts w:ascii="David" w:eastAsia="Calibri" w:hAnsi="David"/>
            <w:color w:val="0000FF"/>
            <w:u w:val="single"/>
            <w:rtl/>
          </w:rPr>
          <w:t>ע"פ 9308/12</w:t>
        </w:r>
      </w:hyperlink>
      <w:r w:rsidRPr="001D06EC">
        <w:rPr>
          <w:rFonts w:ascii="David" w:eastAsia="Calibri" w:hAnsi="David"/>
          <w:rtl/>
        </w:rPr>
        <w:t xml:space="preserve"> </w:t>
      </w:r>
      <w:r w:rsidRPr="001D06EC">
        <w:rPr>
          <w:rFonts w:ascii="David" w:eastAsia="Calibri" w:hAnsi="David"/>
          <w:b/>
          <w:bCs/>
          <w:rtl/>
        </w:rPr>
        <w:t>עיסא נ' מדינת ישראל,</w:t>
      </w:r>
      <w:r w:rsidRPr="001D06EC">
        <w:rPr>
          <w:rFonts w:ascii="David" w:eastAsia="Calibri" w:hAnsi="David"/>
          <w:rtl/>
        </w:rPr>
        <w:t xml:space="preserve"> ניתן ביום 30.7.15). משכך, ייקבע מתחם עונש אחד הולם לכלל המעשים</w:t>
      </w:r>
      <w:r w:rsidRPr="001D06EC">
        <w:rPr>
          <w:rFonts w:ascii="Calibri" w:eastAsia="Calibri" w:hAnsi="Calibri"/>
          <w:rtl/>
        </w:rPr>
        <w:t xml:space="preserve"> (</w:t>
      </w:r>
      <w:hyperlink r:id="rId29" w:history="1">
        <w:r w:rsidR="000E45AE" w:rsidRPr="000E45AE">
          <w:rPr>
            <w:rStyle w:val="Hyperlink"/>
            <w:rFonts w:ascii="Calibri" w:eastAsia="Calibri" w:hAnsi="Calibri"/>
            <w:color w:val="0000FF"/>
            <w:rtl/>
          </w:rPr>
          <w:t>סעיף 40יג(א)</w:t>
        </w:r>
      </w:hyperlink>
      <w:r w:rsidRPr="001D06EC">
        <w:rPr>
          <w:rFonts w:ascii="Calibri" w:eastAsia="Calibri" w:hAnsi="Calibri"/>
          <w:rtl/>
        </w:rPr>
        <w:t xml:space="preserve"> לחוק).</w:t>
      </w:r>
      <w:r w:rsidRPr="001D06EC">
        <w:rPr>
          <w:rFonts w:ascii="David" w:eastAsia="Calibri" w:hAnsi="David"/>
          <w:rtl/>
        </w:rPr>
        <w:t xml:space="preserve"> ויודגש, על אף קביעה זאת, </w:t>
      </w:r>
      <w:r w:rsidRPr="001D06EC">
        <w:rPr>
          <w:rFonts w:ascii="Calibri" w:eastAsia="Calibri" w:hAnsi="Calibri"/>
          <w:rtl/>
        </w:rPr>
        <w:t xml:space="preserve">יישמר בגזירת העונש יחס הולם בין חומרת </w:t>
      </w:r>
      <w:r w:rsidRPr="001D06EC">
        <w:rPr>
          <w:rFonts w:ascii="Calibri" w:eastAsia="Calibri" w:hAnsi="Calibri"/>
          <w:u w:val="single"/>
          <w:rtl/>
        </w:rPr>
        <w:t>מכלול המעשים</w:t>
      </w:r>
      <w:r w:rsidRPr="001D06EC">
        <w:rPr>
          <w:rFonts w:ascii="Calibri" w:eastAsia="Calibri" w:hAnsi="Calibri"/>
          <w:rtl/>
        </w:rPr>
        <w:t xml:space="preserve"> ומידת אשמם של הנאשמים לבין תקופת המאסר שיהא עליהם לרצות (סעיף </w:t>
      </w:r>
      <w:hyperlink r:id="rId30" w:history="1">
        <w:r w:rsidR="000E45AE" w:rsidRPr="000E45AE">
          <w:rPr>
            <w:rStyle w:val="Hyperlink"/>
            <w:rFonts w:ascii="Calibri" w:eastAsia="Calibri" w:hAnsi="Calibri"/>
            <w:color w:val="0000FF"/>
            <w:rtl/>
          </w:rPr>
          <w:t>40יג(ג)</w:t>
        </w:r>
      </w:hyperlink>
      <w:r w:rsidRPr="001D06EC">
        <w:rPr>
          <w:rFonts w:ascii="Calibri" w:eastAsia="Calibri" w:hAnsi="Calibri"/>
          <w:rtl/>
        </w:rPr>
        <w:t xml:space="preserve"> לחוק). </w:t>
      </w:r>
    </w:p>
    <w:p w14:paraId="6B513DE5" w14:textId="77777777" w:rsidR="00091B20" w:rsidRPr="001D06EC" w:rsidRDefault="00091B20" w:rsidP="00091B20">
      <w:pPr>
        <w:spacing w:line="360" w:lineRule="auto"/>
        <w:jc w:val="both"/>
        <w:rPr>
          <w:rFonts w:ascii="David" w:eastAsia="Calibri" w:hAnsi="David"/>
          <w:b/>
          <w:bCs/>
          <w:u w:val="single"/>
          <w:rtl/>
        </w:rPr>
      </w:pPr>
    </w:p>
    <w:p w14:paraId="26C05F1F" w14:textId="77777777" w:rsidR="00091B20" w:rsidRPr="001D06EC" w:rsidRDefault="00091B20" w:rsidP="00091B20">
      <w:pPr>
        <w:spacing w:line="360" w:lineRule="auto"/>
        <w:jc w:val="both"/>
        <w:rPr>
          <w:rFonts w:ascii="David" w:eastAsia="Calibri" w:hAnsi="David"/>
          <w:rtl/>
        </w:rPr>
      </w:pPr>
      <w:r w:rsidRPr="001D06EC">
        <w:rPr>
          <w:rFonts w:ascii="David" w:eastAsia="Calibri" w:hAnsi="David"/>
          <w:rtl/>
        </w:rPr>
        <w:t xml:space="preserve">ראשית, אפנה לדון </w:t>
      </w:r>
      <w:r w:rsidRPr="001D06EC">
        <w:rPr>
          <w:rFonts w:ascii="David" w:eastAsia="Calibri" w:hAnsi="David"/>
          <w:b/>
          <w:bCs/>
          <w:rtl/>
        </w:rPr>
        <w:t>בעניינו של הנאשם</w:t>
      </w:r>
      <w:r w:rsidRPr="001D06EC">
        <w:rPr>
          <w:rFonts w:ascii="David" w:eastAsia="Calibri" w:hAnsi="David"/>
          <w:rtl/>
        </w:rPr>
        <w:t xml:space="preserve"> </w:t>
      </w:r>
      <w:r w:rsidRPr="001D06EC">
        <w:rPr>
          <w:rFonts w:ascii="David" w:eastAsia="Calibri" w:hAnsi="David"/>
          <w:b/>
          <w:bCs/>
          <w:rtl/>
        </w:rPr>
        <w:t>2</w:t>
      </w:r>
      <w:r w:rsidRPr="001D06EC">
        <w:rPr>
          <w:rFonts w:ascii="David" w:eastAsia="Calibri" w:hAnsi="David"/>
          <w:rtl/>
        </w:rPr>
        <w:t xml:space="preserve">. </w:t>
      </w:r>
    </w:p>
    <w:p w14:paraId="3D0DF583" w14:textId="77777777" w:rsidR="00091B20" w:rsidRPr="001D06EC" w:rsidRDefault="00091B20" w:rsidP="00091B20">
      <w:pPr>
        <w:spacing w:line="360" w:lineRule="auto"/>
        <w:jc w:val="both"/>
        <w:rPr>
          <w:rFonts w:ascii="David" w:eastAsia="Calibri" w:hAnsi="David"/>
          <w:rtl/>
        </w:rPr>
      </w:pPr>
    </w:p>
    <w:p w14:paraId="5B9086D8" w14:textId="77777777" w:rsidR="00091B20" w:rsidRPr="001D06EC" w:rsidRDefault="00091B20" w:rsidP="00091B20">
      <w:pPr>
        <w:spacing w:after="200" w:line="360" w:lineRule="auto"/>
        <w:ind w:right="-284"/>
        <w:jc w:val="both"/>
        <w:rPr>
          <w:rFonts w:ascii="David" w:eastAsia="Calibri" w:hAnsi="David"/>
          <w:rtl/>
        </w:rPr>
      </w:pPr>
      <w:r w:rsidRPr="001D06EC">
        <w:rPr>
          <w:rFonts w:ascii="David" w:eastAsia="Calibri" w:hAnsi="David"/>
          <w:rtl/>
        </w:rPr>
        <w:t xml:space="preserve">בכל הנוגע לערכים החברתיים המוגנים שנפגעו כפועל יוצא ממעשיו של נאשם זה, הרי שהדברים מובנים מאליהם: המחזיק נשק בלא רשות על פי דין והמפריע לשוטרים במילוי תפקידם פוגע בראש ובראשונה </w:t>
      </w:r>
      <w:r w:rsidRPr="001D06EC">
        <w:rPr>
          <w:rFonts w:ascii="David" w:eastAsia="Calibri" w:hAnsi="David"/>
          <w:b/>
          <w:bCs/>
          <w:rtl/>
        </w:rPr>
        <w:t>בביטחון המדינה ובמנגנוני שלטונה</w:t>
      </w:r>
      <w:r w:rsidRPr="001D06EC">
        <w:rPr>
          <w:rFonts w:ascii="David" w:eastAsia="Calibri" w:hAnsi="David"/>
          <w:rtl/>
        </w:rPr>
        <w:t>;</w:t>
      </w:r>
      <w:r w:rsidRPr="001D06EC">
        <w:rPr>
          <w:rFonts w:ascii="David" w:eastAsia="Calibri" w:hAnsi="David"/>
        </w:rPr>
        <w:t xml:space="preserve"> </w:t>
      </w:r>
      <w:r w:rsidRPr="001D06EC">
        <w:rPr>
          <w:rFonts w:ascii="David" w:eastAsia="Calibri" w:hAnsi="David"/>
          <w:b/>
          <w:bCs/>
          <w:rtl/>
        </w:rPr>
        <w:t>בשלום הציבור ובסדר הציבורי</w:t>
      </w:r>
      <w:r w:rsidRPr="001D06EC">
        <w:rPr>
          <w:rFonts w:ascii="David" w:eastAsia="Calibri" w:hAnsi="David"/>
          <w:rtl/>
        </w:rPr>
        <w:t xml:space="preserve">. הוא פוגע בביטחון הציבור </w:t>
      </w:r>
      <w:r w:rsidRPr="001D06EC">
        <w:rPr>
          <w:rFonts w:ascii="David" w:eastAsia="Calibri" w:hAnsi="David"/>
          <w:b/>
          <w:bCs/>
          <w:rtl/>
        </w:rPr>
        <w:t>וחושף אותו לאירועי טרור עוין כמו גם פלילי המבוצעים באמצעות נשק</w:t>
      </w:r>
      <w:r w:rsidRPr="001D06EC">
        <w:rPr>
          <w:rFonts w:ascii="David" w:eastAsia="Calibri" w:hAnsi="David"/>
          <w:rtl/>
        </w:rPr>
        <w:t xml:space="preserve"> </w:t>
      </w:r>
      <w:r w:rsidRPr="001D06EC">
        <w:rPr>
          <w:rFonts w:ascii="David" w:eastAsia="Calibri" w:hAnsi="David"/>
          <w:b/>
          <w:bCs/>
          <w:rtl/>
        </w:rPr>
        <w:t>המוחזק והמושג שלא כחוק.</w:t>
      </w:r>
      <w:r w:rsidRPr="001D06EC">
        <w:rPr>
          <w:rFonts w:ascii="David" w:eastAsia="Calibri" w:hAnsi="David"/>
          <w:rtl/>
        </w:rPr>
        <w:t xml:space="preserve"> הפגיעה בערכים אלו ממשית. </w:t>
      </w:r>
    </w:p>
    <w:p w14:paraId="5291E7A8" w14:textId="77777777" w:rsidR="00091B20" w:rsidRPr="001D06EC" w:rsidRDefault="00091B20" w:rsidP="00091B20">
      <w:pPr>
        <w:spacing w:after="200" w:line="360" w:lineRule="auto"/>
        <w:ind w:right="-284"/>
        <w:jc w:val="both"/>
        <w:rPr>
          <w:rFonts w:ascii="David" w:eastAsia="Calibri" w:hAnsi="David"/>
          <w:rtl/>
        </w:rPr>
      </w:pPr>
      <w:r w:rsidRPr="001D06EC">
        <w:rPr>
          <w:rFonts w:ascii="David" w:eastAsia="Calibri" w:hAnsi="David"/>
          <w:rtl/>
        </w:rPr>
        <w:t xml:space="preserve">תופעה זו יש לבער. הדברים בוטאו כך מפי כב' השופט מזוז במסגרתו של </w:t>
      </w:r>
      <w:hyperlink r:id="rId31" w:history="1">
        <w:r w:rsidR="006B3C7F" w:rsidRPr="006B3C7F">
          <w:rPr>
            <w:rFonts w:ascii="David" w:eastAsia="Calibri" w:hAnsi="David"/>
            <w:color w:val="0000FF"/>
            <w:u w:val="single"/>
            <w:rtl/>
          </w:rPr>
          <w:t>ע"פ 4406/19</w:t>
        </w:r>
      </w:hyperlink>
      <w:r w:rsidRPr="001D06EC">
        <w:rPr>
          <w:rFonts w:ascii="David" w:eastAsia="Calibri" w:hAnsi="David"/>
          <w:rtl/>
        </w:rPr>
        <w:t xml:space="preserve"> </w:t>
      </w:r>
      <w:r w:rsidRPr="001D06EC">
        <w:rPr>
          <w:rFonts w:ascii="David" w:eastAsia="Calibri" w:hAnsi="David"/>
          <w:b/>
          <w:bCs/>
          <w:rtl/>
        </w:rPr>
        <w:t>מדינת ישראל נ' סובח</w:t>
      </w:r>
      <w:r w:rsidRPr="001D06EC">
        <w:rPr>
          <w:rFonts w:ascii="David" w:eastAsia="Calibri" w:hAnsi="David"/>
          <w:rtl/>
        </w:rPr>
        <w:t xml:space="preserve"> (ניתן ביום 15.11.19) בציינו כדלהלן: </w:t>
      </w:r>
    </w:p>
    <w:p w14:paraId="4270F40B" w14:textId="77777777" w:rsidR="00091B20" w:rsidRPr="001D06EC" w:rsidRDefault="00091B20" w:rsidP="00091B20">
      <w:pPr>
        <w:spacing w:after="200" w:line="276" w:lineRule="auto"/>
        <w:ind w:left="1371" w:right="851"/>
        <w:jc w:val="both"/>
        <w:rPr>
          <w:rFonts w:ascii="Miriam" w:eastAsia="Calibri" w:hAnsi="Miriam" w:cs="Miriam"/>
          <w:rtl/>
        </w:rPr>
      </w:pPr>
      <w:r w:rsidRPr="001D06EC">
        <w:rPr>
          <w:rFonts w:ascii="Miriam" w:eastAsia="Calibri" w:hAnsi="Miriam" w:cs="Miriam"/>
          <w:b/>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w:t>
      </w:r>
      <w:r w:rsidRPr="001D06EC">
        <w:rPr>
          <w:rFonts w:ascii="Miriam" w:eastAsia="Calibri" w:hAnsi="Miriam" w:cs="Miriam"/>
          <w:bCs/>
          <w:rtl/>
        </w:rPr>
        <w:t>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1D06EC">
        <w:rPr>
          <w:rFonts w:ascii="Miriam" w:eastAsia="Calibri" w:hAnsi="Miriam" w:cs="Miriam"/>
          <w:rtl/>
        </w:rPr>
        <w:t>(</w:t>
      </w:r>
      <w:r w:rsidRPr="001D06EC">
        <w:rPr>
          <w:rFonts w:ascii="David" w:eastAsia="Calibri" w:hAnsi="David"/>
          <w:rtl/>
        </w:rPr>
        <w:t>ההדגשה אינה במקור</w:t>
      </w:r>
      <w:r w:rsidRPr="001D06EC">
        <w:rPr>
          <w:rFonts w:ascii="Miriam" w:eastAsia="Calibri" w:hAnsi="Miriam" w:cs="Miriam"/>
          <w:rtl/>
        </w:rPr>
        <w:t xml:space="preserve">).  </w:t>
      </w:r>
    </w:p>
    <w:p w14:paraId="024F25F0" w14:textId="77777777" w:rsidR="00091B20" w:rsidRPr="001D06EC" w:rsidRDefault="00091B20" w:rsidP="00091B20">
      <w:pPr>
        <w:spacing w:after="200" w:line="360" w:lineRule="auto"/>
        <w:ind w:right="-426"/>
        <w:jc w:val="both"/>
        <w:rPr>
          <w:rFonts w:ascii="Calibri" w:eastAsia="Calibri" w:hAnsi="Calibri"/>
          <w:rtl/>
        </w:rPr>
      </w:pPr>
      <w:r w:rsidRPr="001D06EC">
        <w:rPr>
          <w:rFonts w:ascii="Calibri" w:eastAsia="Calibri" w:hAnsi="Calibri"/>
          <w:rtl/>
        </w:rPr>
        <w:t xml:space="preserve">על מנת לשרטט כדבעי את מתחם העונש ההולם בעניינו של הנאשם 2, עיינתי בפסיקה רחבה העוסקת בעבירת החזקת נשק והפרעה לשוטרים במילוי תפקידם. </w:t>
      </w:r>
      <w:r w:rsidRPr="001D06EC">
        <w:rPr>
          <w:rFonts w:ascii="David" w:eastAsia="Calibri" w:hAnsi="David"/>
          <w:rtl/>
        </w:rPr>
        <w:t xml:space="preserve">נמצאתי למד, כי בשנים האחרונות חלה אט אט מגמת החמרה בענישה, הבאה לידי ביטוי בפסיקת הערכאות השונות הנוגעת לעבירה זו. עם זאת, ברי, כי </w:t>
      </w:r>
      <w:r w:rsidRPr="001D06EC">
        <w:rPr>
          <w:rFonts w:ascii="Calibri" w:eastAsia="Calibri" w:hAnsi="Calibri"/>
          <w:rtl/>
        </w:rPr>
        <w:t xml:space="preserve">משקל ניכר בקביעת העונש בעבירות של החזקת נשק יש לתלות </w:t>
      </w:r>
      <w:r w:rsidRPr="001D06EC">
        <w:rPr>
          <w:rFonts w:ascii="Calibri" w:eastAsia="Calibri" w:hAnsi="Calibri"/>
          <w:b/>
          <w:bCs/>
          <w:rtl/>
        </w:rPr>
        <w:t>באופי הנשק</w:t>
      </w:r>
      <w:r w:rsidRPr="001D06EC">
        <w:rPr>
          <w:rFonts w:ascii="Calibri" w:eastAsia="Calibri" w:hAnsi="Calibri"/>
          <w:rtl/>
        </w:rPr>
        <w:t>, במידת קטלניותו, בכמות הנשקים המוחזקים, בתחמושת שנתפסה לצדו וכיוצ"ב. למעשה, "</w:t>
      </w:r>
      <w:r w:rsidRPr="001D06EC">
        <w:rPr>
          <w:rFonts w:ascii="Calibri Light" w:eastAsia="Calibri" w:hAnsi="Calibri Light" w:cs="Times New Roman"/>
          <w:rtl/>
        </w:rPr>
        <w:t>כבכל עבירה</w:t>
      </w:r>
      <w:r w:rsidRPr="001D06EC">
        <w:rPr>
          <w:rFonts w:ascii="Calibri Light" w:eastAsia="Calibri" w:hAnsi="Calibri Light" w:cs="Calibri Light"/>
          <w:rtl/>
        </w:rPr>
        <w:t xml:space="preserve">, </w:t>
      </w:r>
      <w:r w:rsidRPr="001D06EC">
        <w:rPr>
          <w:rFonts w:ascii="Calibri Light" w:eastAsia="Calibri" w:hAnsi="Calibri Light" w:cs="Times New Roman"/>
          <w:rtl/>
        </w:rPr>
        <w:t>גם בעבירות נשק קיים מדרג של חומרה</w:t>
      </w:r>
      <w:r w:rsidRPr="001D06EC">
        <w:rPr>
          <w:rFonts w:ascii="Calibri Light" w:eastAsia="Calibri" w:hAnsi="Calibri Light" w:cs="Calibri Light"/>
          <w:rtl/>
        </w:rPr>
        <w:t xml:space="preserve">, </w:t>
      </w:r>
      <w:r w:rsidRPr="001D06EC">
        <w:rPr>
          <w:rFonts w:ascii="Calibri Light" w:eastAsia="Calibri" w:hAnsi="Calibri Light" w:cs="Times New Roman"/>
          <w:rtl/>
        </w:rPr>
        <w:t>ושומה על בית המשפט להביאו בחשבון בבואו לקבוע את מתחם העונש ההולם</w:t>
      </w:r>
      <w:r w:rsidRPr="001D06EC">
        <w:rPr>
          <w:rFonts w:ascii="Calibri" w:eastAsia="Calibri" w:hAnsi="Calibri" w:cs="Miriam"/>
          <w:rtl/>
        </w:rPr>
        <w:t>"</w:t>
      </w:r>
      <w:r w:rsidRPr="001D06EC">
        <w:rPr>
          <w:rFonts w:ascii="David" w:eastAsia="Calibri" w:hAnsi="David"/>
          <w:rtl/>
        </w:rPr>
        <w:t>(</w:t>
      </w:r>
      <w:hyperlink r:id="rId32" w:history="1">
        <w:r w:rsidR="006B3C7F" w:rsidRPr="006B3C7F">
          <w:rPr>
            <w:rFonts w:ascii="Calibri" w:eastAsia="Calibri" w:hAnsi="Calibri" w:hint="cs"/>
            <w:color w:val="0000FF"/>
            <w:u w:val="single"/>
            <w:rtl/>
          </w:rPr>
          <w:t>ע</w:t>
        </w:r>
        <w:r w:rsidR="006B3C7F" w:rsidRPr="006B3C7F">
          <w:rPr>
            <w:rFonts w:ascii="Calibri" w:eastAsia="Calibri" w:hAnsi="Calibri"/>
            <w:color w:val="0000FF"/>
            <w:u w:val="single"/>
            <w:rtl/>
          </w:rPr>
          <w:t>"</w:t>
        </w:r>
        <w:r w:rsidR="006B3C7F" w:rsidRPr="006B3C7F">
          <w:rPr>
            <w:rFonts w:ascii="Calibri" w:eastAsia="Calibri" w:hAnsi="Calibri" w:hint="cs"/>
            <w:color w:val="0000FF"/>
            <w:u w:val="single"/>
            <w:rtl/>
          </w:rPr>
          <w:t>פ</w:t>
        </w:r>
        <w:r w:rsidR="006B3C7F" w:rsidRPr="006B3C7F">
          <w:rPr>
            <w:rFonts w:ascii="Calibri" w:eastAsia="Calibri" w:hAnsi="Calibri"/>
            <w:color w:val="0000FF"/>
            <w:u w:val="single"/>
            <w:rtl/>
          </w:rPr>
          <w:t xml:space="preserve"> 9702/16</w:t>
        </w:r>
      </w:hyperlink>
      <w:r w:rsidRPr="001D06EC">
        <w:rPr>
          <w:rFonts w:ascii="Calibri" w:eastAsia="Calibri" w:hAnsi="Calibri"/>
          <w:rtl/>
        </w:rPr>
        <w:t xml:space="preserve"> </w:t>
      </w:r>
      <w:r w:rsidRPr="001D06EC">
        <w:rPr>
          <w:rFonts w:ascii="Calibri" w:eastAsia="Calibri" w:hAnsi="Calibri"/>
          <w:b/>
          <w:bCs/>
          <w:rtl/>
        </w:rPr>
        <w:t>אלוליאיה נ' מדינת ישראל</w:t>
      </w:r>
      <w:r w:rsidRPr="001D06EC">
        <w:rPr>
          <w:rFonts w:ascii="Calibri" w:eastAsia="Calibri" w:hAnsi="Calibri"/>
          <w:rtl/>
        </w:rPr>
        <w:t xml:space="preserve">, פסקה 8, ניתן ביום 13.9.17) (ראו בנוסף לעניין זה: </w:t>
      </w:r>
      <w:hyperlink r:id="rId33" w:history="1">
        <w:r w:rsidR="006B3C7F" w:rsidRPr="006B3C7F">
          <w:rPr>
            <w:rFonts w:ascii="Calibri" w:eastAsia="Calibri" w:hAnsi="Calibri" w:hint="cs"/>
            <w:color w:val="0000FF"/>
            <w:u w:val="single"/>
            <w:rtl/>
          </w:rPr>
          <w:t>ע</w:t>
        </w:r>
        <w:r w:rsidR="006B3C7F" w:rsidRPr="006B3C7F">
          <w:rPr>
            <w:rFonts w:ascii="Calibri" w:eastAsia="Calibri" w:hAnsi="Calibri"/>
            <w:color w:val="0000FF"/>
            <w:u w:val="single"/>
            <w:rtl/>
          </w:rPr>
          <w:t>"</w:t>
        </w:r>
        <w:r w:rsidR="006B3C7F" w:rsidRPr="006B3C7F">
          <w:rPr>
            <w:rFonts w:ascii="Calibri" w:eastAsia="Calibri" w:hAnsi="Calibri" w:hint="cs"/>
            <w:color w:val="0000FF"/>
            <w:u w:val="single"/>
            <w:rtl/>
          </w:rPr>
          <w:t>פ</w:t>
        </w:r>
        <w:r w:rsidR="006B3C7F" w:rsidRPr="006B3C7F">
          <w:rPr>
            <w:rFonts w:ascii="Calibri" w:eastAsia="Calibri" w:hAnsi="Calibri"/>
            <w:color w:val="0000FF"/>
            <w:u w:val="single"/>
            <w:rtl/>
          </w:rPr>
          <w:t xml:space="preserve">  4059/17</w:t>
        </w:r>
      </w:hyperlink>
      <w:r w:rsidRPr="001D06EC">
        <w:rPr>
          <w:rFonts w:ascii="Calibri" w:eastAsia="Calibri" w:hAnsi="Calibri"/>
          <w:rtl/>
        </w:rPr>
        <w:t xml:space="preserve"> </w:t>
      </w:r>
      <w:r w:rsidRPr="001D06EC">
        <w:rPr>
          <w:rFonts w:ascii="Calibri" w:eastAsia="Calibri" w:hAnsi="Calibri"/>
          <w:b/>
          <w:bCs/>
          <w:rtl/>
        </w:rPr>
        <w:t>סלמה נ' מדינת ישראל</w:t>
      </w:r>
      <w:r w:rsidRPr="001D06EC">
        <w:rPr>
          <w:rFonts w:ascii="Calibri" w:eastAsia="Calibri" w:hAnsi="Calibri"/>
          <w:rtl/>
        </w:rPr>
        <w:t>, פסקה 5,  ניתן ביום 24.4.18)</w:t>
      </w:r>
      <w:r w:rsidRPr="001D06EC">
        <w:rPr>
          <w:rFonts w:ascii="Calibri" w:eastAsia="Calibri" w:hAnsi="Calibri" w:cs="Miriam"/>
          <w:rtl/>
        </w:rPr>
        <w:t xml:space="preserve">.  </w:t>
      </w:r>
      <w:r w:rsidRPr="001D06EC">
        <w:rPr>
          <w:rFonts w:ascii="Calibri" w:eastAsia="Calibri" w:hAnsi="Calibri"/>
          <w:rtl/>
        </w:rPr>
        <w:t xml:space="preserve">  </w:t>
      </w:r>
    </w:p>
    <w:p w14:paraId="316F16CB" w14:textId="77777777" w:rsidR="00091B20" w:rsidRPr="001D06EC" w:rsidRDefault="00091B20" w:rsidP="00091B20">
      <w:pPr>
        <w:spacing w:after="200" w:line="360" w:lineRule="auto"/>
        <w:ind w:right="-426"/>
        <w:jc w:val="both"/>
        <w:rPr>
          <w:rFonts w:ascii="David" w:eastAsia="Calibri" w:hAnsi="David"/>
          <w:rtl/>
        </w:rPr>
      </w:pPr>
      <w:r w:rsidRPr="001D06EC">
        <w:rPr>
          <w:rFonts w:ascii="David" w:eastAsia="Calibri" w:hAnsi="David"/>
          <w:rtl/>
        </w:rPr>
        <w:t xml:space="preserve">כך למשל: במסגרתו של </w:t>
      </w:r>
      <w:hyperlink r:id="rId34" w:history="1">
        <w:r w:rsidR="006B3C7F" w:rsidRPr="006B3C7F">
          <w:rPr>
            <w:rFonts w:ascii="David" w:eastAsia="Calibri" w:hAnsi="David"/>
            <w:color w:val="0000FF"/>
            <w:u w:val="single"/>
            <w:rtl/>
          </w:rPr>
          <w:t>ע"פ 1806/22</w:t>
        </w:r>
      </w:hyperlink>
      <w:r w:rsidRPr="001D06EC">
        <w:rPr>
          <w:rFonts w:ascii="David" w:eastAsia="Calibri" w:hAnsi="David"/>
          <w:rtl/>
        </w:rPr>
        <w:t xml:space="preserve"> </w:t>
      </w:r>
      <w:r w:rsidRPr="001D06EC">
        <w:rPr>
          <w:rFonts w:ascii="David" w:eastAsia="Calibri" w:hAnsi="David"/>
          <w:b/>
          <w:bCs/>
          <w:rtl/>
        </w:rPr>
        <w:t>נבארי נ' מדינת ישראל</w:t>
      </w:r>
      <w:r w:rsidRPr="001D06EC">
        <w:rPr>
          <w:rFonts w:ascii="David" w:eastAsia="Calibri" w:hAnsi="David"/>
          <w:rtl/>
        </w:rPr>
        <w:t xml:space="preserve"> (ניתן ביום 15.6.22 </w:t>
      </w:r>
      <w:r w:rsidRPr="001D06EC">
        <w:rPr>
          <w:rFonts w:ascii="David" w:eastAsia="Calibri" w:hAnsi="David"/>
        </w:rPr>
        <w:t xml:space="preserve"> (</w:t>
      </w:r>
      <w:r w:rsidRPr="001D06EC">
        <w:rPr>
          <w:rFonts w:ascii="David" w:eastAsia="Calibri" w:hAnsi="David"/>
          <w:rtl/>
        </w:rPr>
        <w:t xml:space="preserve">הושתו </w:t>
      </w:r>
      <w:r w:rsidRPr="001D06EC">
        <w:rPr>
          <w:rFonts w:ascii="David" w:eastAsia="Calibri" w:hAnsi="David"/>
          <w:b/>
          <w:bCs/>
          <w:rtl/>
        </w:rPr>
        <w:t>16 חודשי מאסר לריצוי בפועל</w:t>
      </w:r>
      <w:r w:rsidRPr="001D06EC">
        <w:rPr>
          <w:rFonts w:ascii="David" w:eastAsia="Calibri" w:hAnsi="David"/>
          <w:rtl/>
        </w:rPr>
        <w:t xml:space="preserve"> בגין החזקת אקדח חצי אוטומט טעון במחסנית וכדורים; במסגרתו של </w:t>
      </w:r>
      <w:hyperlink r:id="rId35" w:history="1">
        <w:r w:rsidR="006B3C7F" w:rsidRPr="006B3C7F">
          <w:rPr>
            <w:rFonts w:ascii="David" w:eastAsia="Calibri" w:hAnsi="David"/>
            <w:color w:val="0000FF"/>
            <w:u w:val="single"/>
            <w:rtl/>
          </w:rPr>
          <w:t>ת"פ (מחוזי ב"ש) 54607-07-19</w:t>
        </w:r>
      </w:hyperlink>
      <w:r w:rsidRPr="001D06EC">
        <w:rPr>
          <w:rFonts w:ascii="David" w:eastAsia="Calibri" w:hAnsi="David"/>
          <w:rtl/>
        </w:rPr>
        <w:t xml:space="preserve"> </w:t>
      </w:r>
      <w:r w:rsidRPr="001D06EC">
        <w:rPr>
          <w:rFonts w:ascii="David" w:eastAsia="Calibri" w:hAnsi="David"/>
          <w:b/>
          <w:bCs/>
          <w:rtl/>
        </w:rPr>
        <w:t xml:space="preserve">מדינת ישראל נ' גבור </w:t>
      </w:r>
      <w:r w:rsidRPr="001D06EC">
        <w:rPr>
          <w:rFonts w:ascii="David" w:eastAsia="Calibri" w:hAnsi="David"/>
          <w:rtl/>
        </w:rPr>
        <w:t xml:space="preserve">(ניתן ביום 12.01.2020) - </w:t>
      </w:r>
      <w:r w:rsidRPr="001D06EC">
        <w:rPr>
          <w:rFonts w:ascii="David" w:eastAsia="Calibri" w:hAnsi="David"/>
          <w:b/>
          <w:bCs/>
          <w:rtl/>
        </w:rPr>
        <w:t>הושתו 22 חודשי מאסר לריצוי בפועל</w:t>
      </w:r>
      <w:r w:rsidRPr="001D06EC">
        <w:rPr>
          <w:rFonts w:ascii="David" w:eastAsia="Calibri" w:hAnsi="David"/>
          <w:rtl/>
        </w:rPr>
        <w:t xml:space="preserve">, בגין החזקת רוס"ר </w:t>
      </w:r>
      <w:r w:rsidRPr="001D06EC">
        <w:rPr>
          <w:rFonts w:ascii="David" w:eastAsia="Calibri" w:hAnsi="David"/>
        </w:rPr>
        <w:t>M-16</w:t>
      </w:r>
      <w:r w:rsidRPr="001D06EC">
        <w:rPr>
          <w:rFonts w:ascii="David" w:eastAsia="Calibri" w:hAnsi="David"/>
          <w:rtl/>
        </w:rPr>
        <w:t xml:space="preserve"> ומחסנית ריקה;</w:t>
      </w:r>
      <w:r w:rsidRPr="001D06EC">
        <w:rPr>
          <w:rFonts w:ascii="David" w:eastAsia="Calibri" w:hAnsi="David"/>
        </w:rPr>
        <w:t xml:space="preserve"> </w:t>
      </w:r>
      <w:hyperlink r:id="rId36" w:history="1">
        <w:r w:rsidR="006B3C7F" w:rsidRPr="006B3C7F">
          <w:rPr>
            <w:rFonts w:ascii="David" w:eastAsia="Calibri" w:hAnsi="David"/>
            <w:color w:val="0000FF"/>
            <w:u w:val="single"/>
            <w:rtl/>
          </w:rPr>
          <w:t>ע"פ 5646/15</w:t>
        </w:r>
      </w:hyperlink>
      <w:r w:rsidRPr="001D06EC">
        <w:rPr>
          <w:rFonts w:ascii="David" w:eastAsia="Calibri" w:hAnsi="David"/>
          <w:rtl/>
        </w:rPr>
        <w:t xml:space="preserve"> </w:t>
      </w:r>
      <w:r w:rsidRPr="001D06EC">
        <w:rPr>
          <w:rFonts w:ascii="David" w:eastAsia="Calibri" w:hAnsi="David"/>
          <w:b/>
          <w:bCs/>
          <w:rtl/>
        </w:rPr>
        <w:t>תיהאווי נ' מדינת ישראל</w:t>
      </w:r>
      <w:r w:rsidRPr="001D06EC">
        <w:rPr>
          <w:rFonts w:ascii="David" w:eastAsia="Calibri" w:hAnsi="David"/>
          <w:rtl/>
        </w:rPr>
        <w:t xml:space="preserve">, ניתן ביום 14.2.16- במסגרתו הושתו </w:t>
      </w:r>
      <w:r w:rsidRPr="001D06EC">
        <w:rPr>
          <w:rFonts w:ascii="David" w:eastAsia="Calibri" w:hAnsi="David"/>
          <w:b/>
          <w:bCs/>
          <w:rtl/>
        </w:rPr>
        <w:t xml:space="preserve">15 חודשי מאסר לריצוי בפועל </w:t>
      </w:r>
      <w:r w:rsidRPr="001D06EC">
        <w:rPr>
          <w:rFonts w:ascii="David" w:eastAsia="Calibri" w:hAnsi="David"/>
          <w:rtl/>
        </w:rPr>
        <w:t>בגין החזקת אקדח טעון במחסנית ובה כדורים;</w:t>
      </w:r>
      <w:r w:rsidRPr="001D06EC">
        <w:rPr>
          <w:rFonts w:ascii="David" w:eastAsia="Calibri" w:hAnsi="David"/>
        </w:rPr>
        <w:t xml:space="preserve"> </w:t>
      </w:r>
      <w:r w:rsidRPr="001D06EC">
        <w:rPr>
          <w:rFonts w:ascii="David" w:eastAsia="Calibri" w:hAnsi="David"/>
          <w:rtl/>
        </w:rPr>
        <w:t xml:space="preserve">במסגרתו של </w:t>
      </w:r>
      <w:hyperlink r:id="rId37" w:history="1">
        <w:r w:rsidR="006B3C7F" w:rsidRPr="006B3C7F">
          <w:rPr>
            <w:rFonts w:ascii="David" w:eastAsia="Calibri" w:hAnsi="David"/>
            <w:color w:val="0000FF"/>
            <w:u w:val="single"/>
            <w:rtl/>
          </w:rPr>
          <w:t>ע"פ 2141/21</w:t>
        </w:r>
      </w:hyperlink>
      <w:r w:rsidRPr="001D06EC">
        <w:rPr>
          <w:rFonts w:ascii="David" w:eastAsia="Calibri" w:hAnsi="David"/>
          <w:rtl/>
        </w:rPr>
        <w:t xml:space="preserve"> </w:t>
      </w:r>
      <w:r w:rsidRPr="001D06EC">
        <w:rPr>
          <w:rFonts w:ascii="David" w:eastAsia="Calibri" w:hAnsi="David"/>
          <w:b/>
          <w:bCs/>
          <w:rtl/>
        </w:rPr>
        <w:t>חניני נ' מדינת ישראל</w:t>
      </w:r>
      <w:r w:rsidRPr="001D06EC">
        <w:rPr>
          <w:rFonts w:ascii="David" w:eastAsia="Calibri" w:hAnsi="David"/>
          <w:rtl/>
        </w:rPr>
        <w:t xml:space="preserve"> (ניתן ביום 27.5.21) – </w:t>
      </w:r>
      <w:r w:rsidRPr="001D06EC">
        <w:rPr>
          <w:rFonts w:ascii="David" w:eastAsia="Calibri" w:hAnsi="David"/>
          <w:b/>
          <w:bCs/>
          <w:rtl/>
        </w:rPr>
        <w:t>הושתו 20 חודשי מאסר לריצוי בפועל</w:t>
      </w:r>
      <w:r w:rsidRPr="001D06EC">
        <w:rPr>
          <w:rFonts w:ascii="David" w:eastAsia="Calibri" w:hAnsi="David"/>
          <w:rtl/>
        </w:rPr>
        <w:t xml:space="preserve"> בגין החזקת אקדח אוויר שבוצעו בו שינויים וכדורים תואמים {עוד ראו לעניין הפרעה לשוטר במילוי תפקידו, למשל : </w:t>
      </w:r>
      <w:hyperlink r:id="rId38" w:history="1">
        <w:r w:rsidR="006B3C7F" w:rsidRPr="006B3C7F">
          <w:rPr>
            <w:rFonts w:ascii="David" w:eastAsia="Calibri" w:hAnsi="David"/>
            <w:color w:val="0000FF"/>
            <w:u w:val="single"/>
            <w:rtl/>
          </w:rPr>
          <w:t>רע"פ  9045/23</w:t>
        </w:r>
      </w:hyperlink>
      <w:r w:rsidRPr="001D06EC">
        <w:rPr>
          <w:rFonts w:ascii="David" w:eastAsia="Calibri" w:hAnsi="David"/>
          <w:rtl/>
        </w:rPr>
        <w:t xml:space="preserve">  </w:t>
      </w:r>
      <w:r w:rsidRPr="001D06EC">
        <w:rPr>
          <w:rFonts w:ascii="David" w:eastAsia="Calibri" w:hAnsi="David"/>
          <w:b/>
          <w:bCs/>
          <w:rtl/>
        </w:rPr>
        <w:t>אספור נ' מדינת ישראל</w:t>
      </w:r>
      <w:r w:rsidRPr="001D06EC">
        <w:rPr>
          <w:rFonts w:ascii="David" w:eastAsia="Calibri" w:hAnsi="David"/>
          <w:rtl/>
        </w:rPr>
        <w:t>, ניתן ביום 21.3.24}.</w:t>
      </w:r>
    </w:p>
    <w:p w14:paraId="0DCA42D7" w14:textId="77777777" w:rsidR="00091B20" w:rsidRPr="001D06EC" w:rsidRDefault="00091B20" w:rsidP="00091B20">
      <w:pPr>
        <w:overflowPunct w:val="0"/>
        <w:autoSpaceDE w:val="0"/>
        <w:autoSpaceDN w:val="0"/>
        <w:spacing w:line="360" w:lineRule="auto"/>
        <w:ind w:right="-426"/>
        <w:jc w:val="both"/>
        <w:rPr>
          <w:rFonts w:ascii="David" w:hAnsi="David"/>
          <w:rtl/>
        </w:rPr>
      </w:pPr>
      <w:r w:rsidRPr="001D06EC">
        <w:rPr>
          <w:rtl/>
        </w:rPr>
        <w:t xml:space="preserve">בנוסף יש להזכיר את  </w:t>
      </w:r>
      <w:r w:rsidRPr="001D06EC">
        <w:rPr>
          <w:rFonts w:ascii="David" w:hAnsi="David"/>
          <w:u w:val="single"/>
          <w:rtl/>
        </w:rPr>
        <w:t>מדיניות הענישה הנוהגת לעבירות שעניינן נשיאה והובלה של נשק שלא כדין</w:t>
      </w:r>
      <w:r w:rsidRPr="001D06EC">
        <w:rPr>
          <w:rFonts w:ascii="David" w:hAnsi="David"/>
          <w:rtl/>
        </w:rPr>
        <w:t xml:space="preserve"> - </w:t>
      </w:r>
      <w:hyperlink r:id="rId39" w:history="1">
        <w:r w:rsidR="006B3C7F" w:rsidRPr="006B3C7F">
          <w:rPr>
            <w:rFonts w:ascii="David" w:hAnsi="David"/>
            <w:color w:val="0000FF"/>
            <w:u w:val="single"/>
            <w:rtl/>
          </w:rPr>
          <w:t>ע"פ 5602/22</w:t>
        </w:r>
      </w:hyperlink>
      <w:r w:rsidRPr="001D06EC">
        <w:rPr>
          <w:rFonts w:ascii="David" w:hAnsi="David"/>
          <w:rtl/>
        </w:rPr>
        <w:t xml:space="preserve"> </w:t>
      </w:r>
      <w:r w:rsidRPr="001D06EC">
        <w:rPr>
          <w:rFonts w:ascii="David" w:hAnsi="David"/>
          <w:b/>
          <w:bCs/>
          <w:rtl/>
        </w:rPr>
        <w:t>מדינת ישראל נ' פלוני</w:t>
      </w:r>
      <w:r w:rsidRPr="001D06EC">
        <w:rPr>
          <w:rFonts w:ascii="David" w:hAnsi="David"/>
          <w:rtl/>
        </w:rPr>
        <w:t xml:space="preserve">, ניתן ביום  </w:t>
      </w:r>
      <w:r w:rsidRPr="001D06EC">
        <w:rPr>
          <w:rtl/>
        </w:rPr>
        <w:t xml:space="preserve">14.9.22, שם נקבע, כי </w:t>
      </w:r>
      <w:r w:rsidRPr="001D06EC">
        <w:rPr>
          <w:rFonts w:ascii="David" w:hAnsi="David"/>
          <w:rtl/>
        </w:rPr>
        <w:t xml:space="preserve">מתחם הענישה הרגיל שראוי לקבוע לנאשם בגיר בגין נשיאה בלתי חוקית של נשק חם במרחב הציבורי </w:t>
      </w:r>
      <w:r w:rsidRPr="001D06EC">
        <w:rPr>
          <w:rFonts w:ascii="David" w:hAnsi="David"/>
          <w:b/>
          <w:bCs/>
          <w:rtl/>
        </w:rPr>
        <w:t>נע בין 30 ל-42 חודשי מאסר בין סורג ובריח</w:t>
      </w:r>
      <w:r w:rsidRPr="001D06EC">
        <w:rPr>
          <w:rFonts w:ascii="David" w:hAnsi="David"/>
          <w:rtl/>
        </w:rPr>
        <w:t xml:space="preserve">. אמנם עבירות אלו חמורות יותר מאלו הנדונות כאן, אך כפי שהעיר ב"כ המאשימה, אכן יש בהתוויה עונשית זו אמת מידה יחסית בכל הנוגע </w:t>
      </w:r>
      <w:r w:rsidRPr="001D06EC">
        <w:rPr>
          <w:rFonts w:ascii="David" w:hAnsi="David"/>
          <w:u w:val="single"/>
          <w:rtl/>
        </w:rPr>
        <w:t>לעבירות החזקת נשק</w:t>
      </w:r>
      <w:r w:rsidRPr="001D06EC">
        <w:rPr>
          <w:rFonts w:ascii="David" w:hAnsi="David"/>
          <w:rtl/>
        </w:rPr>
        <w:t xml:space="preserve">.  </w:t>
      </w:r>
    </w:p>
    <w:p w14:paraId="2372FB76" w14:textId="77777777" w:rsidR="00091B20" w:rsidRPr="001D06EC" w:rsidRDefault="00091B20" w:rsidP="00091B20">
      <w:pPr>
        <w:spacing w:after="200" w:line="360" w:lineRule="auto"/>
        <w:ind w:right="-426"/>
        <w:jc w:val="both"/>
        <w:rPr>
          <w:rFonts w:ascii="David" w:eastAsia="Calibri" w:hAnsi="David"/>
          <w:rtl/>
        </w:rPr>
      </w:pPr>
    </w:p>
    <w:p w14:paraId="0D25B10B" w14:textId="77777777" w:rsidR="00091B20" w:rsidRPr="001D06EC" w:rsidRDefault="00091B20" w:rsidP="00091B20">
      <w:pPr>
        <w:spacing w:after="200" w:line="360" w:lineRule="auto"/>
        <w:ind w:right="-426"/>
        <w:jc w:val="both"/>
        <w:rPr>
          <w:rFonts w:ascii="David" w:eastAsia="Calibri" w:hAnsi="David"/>
          <w:rtl/>
        </w:rPr>
      </w:pPr>
      <w:r w:rsidRPr="001D06EC">
        <w:rPr>
          <w:rFonts w:ascii="David" w:eastAsia="Calibri" w:hAnsi="David"/>
          <w:rtl/>
        </w:rPr>
        <w:t xml:space="preserve">כאן המקום לציין, כי בהקשרה של עבירת הנשק המיוחסת לנאשם, הוחל לא מזמן (הוראה זו נכנסה לתוקפה ביום 8.12.21) תיקון מס' 140 לחוק, שבמסגרתו עוגנו </w:t>
      </w:r>
      <w:r w:rsidRPr="001D06EC">
        <w:rPr>
          <w:rFonts w:ascii="David" w:eastAsia="Calibri" w:hAnsi="David"/>
          <w:b/>
          <w:bCs/>
          <w:rtl/>
        </w:rPr>
        <w:t xml:space="preserve">עונשים מזעריים </w:t>
      </w:r>
      <w:r w:rsidRPr="001D06EC">
        <w:rPr>
          <w:rFonts w:ascii="David" w:eastAsia="Calibri" w:hAnsi="David"/>
          <w:rtl/>
        </w:rPr>
        <w:t>בכל הנוגע לעבירות שעניינן החזקה, הובלה או סחר בנשק שלא כדין (</w:t>
      </w:r>
      <w:hyperlink r:id="rId40" w:history="1">
        <w:r w:rsidR="000E45AE" w:rsidRPr="000E45AE">
          <w:rPr>
            <w:rStyle w:val="Hyperlink"/>
            <w:rFonts w:ascii="David" w:eastAsia="Calibri" w:hAnsi="David"/>
            <w:color w:val="0000FF"/>
            <w:rtl/>
          </w:rPr>
          <w:t>סעיף 144(ז)</w:t>
        </w:r>
      </w:hyperlink>
      <w:r w:rsidRPr="001D06EC">
        <w:rPr>
          <w:rFonts w:ascii="David" w:eastAsia="Calibri" w:hAnsi="David"/>
          <w:rtl/>
        </w:rPr>
        <w:t xml:space="preserve"> לחוק). בתיקון זה נקבע, כי העונש שיוטל על העבריין במקרים אלו "...</w:t>
      </w:r>
      <w:r w:rsidRPr="001D06EC">
        <w:rPr>
          <w:rFonts w:ascii="David" w:eastAsia="Calibri" w:hAnsi="David"/>
          <w:b/>
          <w:bCs/>
          <w:rtl/>
        </w:rPr>
        <w:t>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1D06EC">
        <w:rPr>
          <w:rFonts w:ascii="David" w:eastAsia="Calibri" w:hAnsi="David"/>
          <w:rtl/>
        </w:rPr>
        <w:t xml:space="preserve">". בהקשר זה יש להזכיר, כי העונש המרבי הקבוע לצדה של עבירת ההחזקה לפי </w:t>
      </w:r>
      <w:hyperlink r:id="rId41" w:history="1">
        <w:r w:rsidR="000E45AE" w:rsidRPr="000E45AE">
          <w:rPr>
            <w:rStyle w:val="Hyperlink"/>
            <w:rFonts w:ascii="David" w:eastAsia="Calibri" w:hAnsi="David"/>
            <w:color w:val="0000FF"/>
            <w:rtl/>
          </w:rPr>
          <w:t>סעיף 144(א)</w:t>
        </w:r>
      </w:hyperlink>
      <w:r w:rsidRPr="001D06EC">
        <w:rPr>
          <w:rFonts w:ascii="David" w:eastAsia="Calibri" w:hAnsi="David"/>
          <w:rtl/>
        </w:rPr>
        <w:t xml:space="preserve"> לחוק עומד על שבע שנות מאסר.   </w:t>
      </w:r>
    </w:p>
    <w:p w14:paraId="7A0597EF" w14:textId="77777777" w:rsidR="00091B20" w:rsidRPr="001D06EC" w:rsidRDefault="00091B20" w:rsidP="00091B20">
      <w:pPr>
        <w:spacing w:after="200" w:line="360" w:lineRule="auto"/>
        <w:ind w:right="-426"/>
        <w:jc w:val="both"/>
        <w:rPr>
          <w:rFonts w:ascii="David" w:eastAsia="Calibri" w:hAnsi="David"/>
          <w:rtl/>
        </w:rPr>
      </w:pPr>
      <w:r w:rsidRPr="001D06EC">
        <w:rPr>
          <w:rFonts w:ascii="David" w:eastAsia="Calibri" w:hAnsi="David"/>
          <w:rtl/>
        </w:rPr>
        <w:t xml:space="preserve">בשלב זה, יש להתייחס אל </w:t>
      </w:r>
      <w:r w:rsidRPr="001D06EC">
        <w:rPr>
          <w:rFonts w:ascii="David" w:eastAsia="Calibri" w:hAnsi="David"/>
          <w:b/>
          <w:bCs/>
          <w:rtl/>
        </w:rPr>
        <w:t xml:space="preserve">הנסיבות הקשורות לביצוע העבירה </w:t>
      </w:r>
      <w:r w:rsidRPr="001D06EC">
        <w:rPr>
          <w:rFonts w:ascii="David" w:eastAsia="Calibri" w:hAnsi="David"/>
          <w:rtl/>
        </w:rPr>
        <w:t xml:space="preserve">(אלו המצוינות </w:t>
      </w:r>
      <w:hyperlink r:id="rId42" w:history="1">
        <w:r w:rsidR="000E45AE" w:rsidRPr="000E45AE">
          <w:rPr>
            <w:rStyle w:val="Hyperlink"/>
            <w:rFonts w:ascii="David" w:eastAsia="Calibri" w:hAnsi="David"/>
            <w:color w:val="0000FF"/>
            <w:rtl/>
          </w:rPr>
          <w:t>בסעיף 40ט</w:t>
        </w:r>
      </w:hyperlink>
      <w:r w:rsidRPr="001D06EC">
        <w:rPr>
          <w:rFonts w:ascii="David" w:eastAsia="Calibri" w:hAnsi="David"/>
          <w:rtl/>
        </w:rPr>
        <w:t xml:space="preserve"> לחוק). </w:t>
      </w:r>
    </w:p>
    <w:p w14:paraId="43A29AB8" w14:textId="77777777" w:rsidR="00091B20" w:rsidRPr="001D06EC" w:rsidRDefault="00091B20" w:rsidP="00091B20">
      <w:pPr>
        <w:spacing w:after="200" w:line="360" w:lineRule="auto"/>
        <w:ind w:right="-426"/>
        <w:jc w:val="both"/>
        <w:rPr>
          <w:rFonts w:ascii="David" w:eastAsia="Calibri" w:hAnsi="David"/>
          <w:color w:val="FF0000"/>
          <w:rtl/>
        </w:rPr>
      </w:pPr>
      <w:r w:rsidRPr="001D06EC">
        <w:rPr>
          <w:rFonts w:ascii="David" w:eastAsia="Calibri" w:hAnsi="David"/>
          <w:rtl/>
        </w:rPr>
        <w:t>עובדות כתב האישום המתוקן מלמדות</w:t>
      </w:r>
      <w:r w:rsidRPr="001D06EC">
        <w:rPr>
          <w:rFonts w:ascii="David" w:eastAsia="Calibri" w:hAnsi="David"/>
          <w:b/>
          <w:bCs/>
          <w:rtl/>
        </w:rPr>
        <w:t>,</w:t>
      </w:r>
      <w:r w:rsidRPr="001D06EC">
        <w:rPr>
          <w:rFonts w:ascii="David" w:eastAsia="Calibri" w:hAnsi="David"/>
          <w:rtl/>
        </w:rPr>
        <w:t xml:space="preserve"> כי עסקינן</w:t>
      </w:r>
      <w:r w:rsidRPr="001D06EC">
        <w:rPr>
          <w:rFonts w:ascii="Calibri" w:eastAsia="Calibri" w:hAnsi="Calibri"/>
          <w:rtl/>
        </w:rPr>
        <w:t xml:space="preserve"> בהחזקת אקדח מסוג </w:t>
      </w:r>
      <w:r w:rsidRPr="001D06EC">
        <w:rPr>
          <w:rFonts w:ascii="Calibri" w:eastAsia="Calibri" w:hAnsi="Calibri"/>
        </w:rPr>
        <w:t>Baretta</w:t>
      </w:r>
      <w:r w:rsidRPr="001D06EC">
        <w:rPr>
          <w:rFonts w:ascii="Calibri" w:eastAsia="Calibri" w:hAnsi="Calibri"/>
          <w:rtl/>
        </w:rPr>
        <w:t xml:space="preserve"> ובתוכו מחסנית, בנוסף להפרעה לשוטרים במילוי תפקידם. </w:t>
      </w:r>
      <w:r w:rsidRPr="001D06EC">
        <w:rPr>
          <w:rFonts w:ascii="David" w:eastAsia="Calibri" w:hAnsi="David"/>
          <w:b/>
          <w:bCs/>
          <w:rtl/>
        </w:rPr>
        <w:t>חלקו של הנאשם 2 בהחזקת הנשק הנ"ל הוא משמעותי ועיקרי. הנאשם יכול והיה צריך לשלוט על מעשיו</w:t>
      </w:r>
      <w:r w:rsidRPr="001D06EC">
        <w:rPr>
          <w:rFonts w:ascii="David" w:eastAsia="Calibri" w:hAnsi="David"/>
          <w:rtl/>
        </w:rPr>
        <w:t xml:space="preserve">. </w:t>
      </w:r>
      <w:r w:rsidRPr="001D06EC">
        <w:rPr>
          <w:rFonts w:ascii="David" w:eastAsia="Calibri" w:hAnsi="David"/>
          <w:b/>
          <w:bCs/>
          <w:rtl/>
        </w:rPr>
        <w:t>אין בנמצא כל סייג לאחריות פלילית בהקשר זה הנזקף להגנתו</w:t>
      </w:r>
      <w:r w:rsidRPr="001D06EC">
        <w:rPr>
          <w:rFonts w:ascii="David" w:eastAsia="Calibri" w:hAnsi="David"/>
          <w:rtl/>
        </w:rPr>
        <w:t>. ברי, כי עלול היה להיגרם נזק נוסף כפועל יוצא משימוש שלא כדין בנשק לצרכים פליליים או אחרים.</w:t>
      </w:r>
      <w:r w:rsidRPr="001D06EC">
        <w:rPr>
          <w:rFonts w:ascii="David" w:eastAsia="Calibri" w:hAnsi="David"/>
          <w:color w:val="FF0000"/>
          <w:rtl/>
        </w:rPr>
        <w:t xml:space="preserve"> </w:t>
      </w:r>
      <w:r w:rsidRPr="001D06EC">
        <w:rPr>
          <w:rFonts w:ascii="David" w:eastAsia="Calibri" w:hAnsi="David"/>
          <w:b/>
          <w:bCs/>
          <w:rtl/>
        </w:rPr>
        <w:t>למרבה המזל תפיסתו של הנשק מנעה זאת.</w:t>
      </w:r>
      <w:r w:rsidRPr="001D06EC">
        <w:rPr>
          <w:rFonts w:ascii="David" w:eastAsia="Calibri" w:hAnsi="David"/>
          <w:rtl/>
        </w:rPr>
        <w:t xml:space="preserve"> הסיבות שהביאו את הנאשם 2 לביצוע עבירות אלו נותרו עלומות ולא הובהרו דיין. </w:t>
      </w:r>
    </w:p>
    <w:p w14:paraId="50165817" w14:textId="77777777" w:rsidR="00091B20" w:rsidRPr="001D06EC" w:rsidRDefault="00091B20" w:rsidP="00091B20">
      <w:pPr>
        <w:spacing w:after="200" w:line="360" w:lineRule="auto"/>
        <w:ind w:right="-426"/>
        <w:jc w:val="both"/>
        <w:rPr>
          <w:rFonts w:ascii="David" w:eastAsia="Calibri" w:hAnsi="David"/>
          <w:rtl/>
        </w:rPr>
      </w:pPr>
      <w:r w:rsidRPr="001D06EC">
        <w:rPr>
          <w:rFonts w:ascii="David" w:eastAsia="Calibri" w:hAnsi="David"/>
          <w:rtl/>
        </w:rPr>
        <w:t>לאור כל המקובץ, מצאתי לנכון לקבוע</w:t>
      </w:r>
      <w:r w:rsidRPr="001D06EC">
        <w:rPr>
          <w:rFonts w:ascii="David" w:eastAsia="Calibri" w:hAnsi="David"/>
          <w:b/>
          <w:bCs/>
          <w:rtl/>
        </w:rPr>
        <w:t xml:space="preserve"> מתחם ענישה בעניינו של הנאשם 2 אשר נע בין 18 לבין 30 חודשי מאסר לריצוי בפועל, </w:t>
      </w:r>
      <w:r w:rsidRPr="001D06EC">
        <w:rPr>
          <w:rFonts w:ascii="David" w:eastAsia="Calibri" w:hAnsi="David"/>
          <w:rtl/>
        </w:rPr>
        <w:t xml:space="preserve">לצד עונשים נלווים.  </w:t>
      </w:r>
    </w:p>
    <w:p w14:paraId="043E3CA1" w14:textId="77777777" w:rsidR="00091B20" w:rsidRPr="001D06EC" w:rsidRDefault="00091B20" w:rsidP="00091B20">
      <w:pPr>
        <w:overflowPunct w:val="0"/>
        <w:autoSpaceDE w:val="0"/>
        <w:autoSpaceDN w:val="0"/>
        <w:spacing w:line="360" w:lineRule="auto"/>
        <w:ind w:right="-426"/>
        <w:jc w:val="both"/>
        <w:rPr>
          <w:rFonts w:ascii="David" w:hAnsi="David"/>
          <w:rtl/>
        </w:rPr>
      </w:pPr>
      <w:r w:rsidRPr="001D06EC">
        <w:rPr>
          <w:rFonts w:ascii="David" w:hAnsi="David"/>
          <w:rtl/>
        </w:rPr>
        <w:t xml:space="preserve">מכאן, ראוי לבחון מהו העונש המתאים לנאשם בשים לב </w:t>
      </w:r>
      <w:r w:rsidRPr="001D06EC">
        <w:rPr>
          <w:rFonts w:ascii="David" w:hAnsi="David"/>
          <w:b/>
          <w:bCs/>
          <w:rtl/>
        </w:rPr>
        <w:t xml:space="preserve">לנסיבות שאינן קשורות בביצוע העבירה. </w:t>
      </w:r>
    </w:p>
    <w:p w14:paraId="62A8B0E5" w14:textId="77777777" w:rsidR="00091B20" w:rsidRPr="001D06EC" w:rsidRDefault="00091B20" w:rsidP="00091B20">
      <w:pPr>
        <w:overflowPunct w:val="0"/>
        <w:autoSpaceDE w:val="0"/>
        <w:autoSpaceDN w:val="0"/>
        <w:spacing w:line="360" w:lineRule="auto"/>
        <w:ind w:right="-426"/>
        <w:jc w:val="both"/>
        <w:rPr>
          <w:rFonts w:ascii="David" w:hAnsi="David"/>
          <w:highlight w:val="yellow"/>
          <w:rtl/>
        </w:rPr>
      </w:pPr>
    </w:p>
    <w:p w14:paraId="7C973B2C" w14:textId="77777777" w:rsidR="00091B20" w:rsidRPr="001D06EC" w:rsidRDefault="00091B20" w:rsidP="00091B20">
      <w:pPr>
        <w:spacing w:line="360" w:lineRule="auto"/>
        <w:jc w:val="both"/>
        <w:rPr>
          <w:rFonts w:ascii="David" w:eastAsia="Calibri" w:hAnsi="David"/>
          <w:b/>
          <w:bCs/>
          <w:rtl/>
        </w:rPr>
      </w:pPr>
      <w:r w:rsidRPr="001D06EC">
        <w:rPr>
          <w:rFonts w:ascii="David" w:eastAsia="Calibri" w:hAnsi="David"/>
          <w:rtl/>
        </w:rPr>
        <w:t xml:space="preserve">יש לזקוף לזכותו של הנאשם 2 את </w:t>
      </w:r>
      <w:r w:rsidRPr="001D06EC">
        <w:rPr>
          <w:rFonts w:ascii="David" w:eastAsia="Calibri" w:hAnsi="David"/>
          <w:b/>
          <w:bCs/>
          <w:rtl/>
        </w:rPr>
        <w:t>החיסכון המשמעותי בזמן שיפוטי יקר, הנגזר מהודאתו ומנטילת האחריות שביצע</w:t>
      </w:r>
      <w:r w:rsidRPr="001D06EC">
        <w:rPr>
          <w:rFonts w:ascii="David" w:eastAsia="Calibri" w:hAnsi="David"/>
          <w:rtl/>
        </w:rPr>
        <w:t>.</w:t>
      </w:r>
      <w:r w:rsidRPr="001D06EC">
        <w:rPr>
          <w:rFonts w:ascii="David" w:eastAsia="Calibri" w:hAnsi="David"/>
          <w:b/>
          <w:bCs/>
          <w:rtl/>
        </w:rPr>
        <w:t xml:space="preserve"> </w:t>
      </w:r>
      <w:r w:rsidRPr="001D06EC">
        <w:rPr>
          <w:rFonts w:ascii="David" w:eastAsia="Calibri" w:hAnsi="David"/>
          <w:rtl/>
        </w:rPr>
        <w:t xml:space="preserve">ברי, כי </w:t>
      </w:r>
      <w:r w:rsidRPr="001D06EC">
        <w:rPr>
          <w:rFonts w:ascii="David" w:eastAsia="Calibri" w:hAnsi="David"/>
          <w:b/>
          <w:bCs/>
          <w:rtl/>
        </w:rPr>
        <w:t xml:space="preserve">עונש מאסר ממושך יפגע בנאשם ובאמו החולה.  </w:t>
      </w:r>
      <w:r w:rsidRPr="001D06EC">
        <w:rPr>
          <w:rFonts w:ascii="David" w:eastAsia="Calibri" w:hAnsi="David"/>
          <w:rtl/>
        </w:rPr>
        <w:t>אזכיר, כי לא הופק תסקיר לעניין העונש.</w:t>
      </w:r>
      <w:r w:rsidRPr="001D06EC">
        <w:rPr>
          <w:rFonts w:ascii="David" w:eastAsia="Calibri" w:hAnsi="David"/>
          <w:b/>
          <w:bCs/>
          <w:rtl/>
        </w:rPr>
        <w:t xml:space="preserve"> במובן זה, לא קיימת בנמצא המלצה שיקומית בעניינו. הנאשם נעדר עבר פלילי. </w:t>
      </w:r>
    </w:p>
    <w:p w14:paraId="50C5FC19" w14:textId="77777777" w:rsidR="00091B20" w:rsidRPr="001D06EC" w:rsidRDefault="00091B20" w:rsidP="00091B20">
      <w:pPr>
        <w:spacing w:line="360" w:lineRule="auto"/>
        <w:jc w:val="both"/>
        <w:rPr>
          <w:rFonts w:ascii="David" w:eastAsia="Calibri" w:hAnsi="David"/>
          <w:b/>
          <w:bCs/>
          <w:rtl/>
        </w:rPr>
      </w:pPr>
    </w:p>
    <w:p w14:paraId="56652153" w14:textId="77777777" w:rsidR="00091B20" w:rsidRPr="001D06EC" w:rsidRDefault="00091B20" w:rsidP="00091B20">
      <w:pPr>
        <w:overflowPunct w:val="0"/>
        <w:autoSpaceDE w:val="0"/>
        <w:autoSpaceDN w:val="0"/>
        <w:spacing w:line="360" w:lineRule="auto"/>
        <w:ind w:right="-426"/>
        <w:jc w:val="both"/>
        <w:rPr>
          <w:rFonts w:ascii="David" w:hAnsi="David"/>
          <w:rtl/>
        </w:rPr>
      </w:pPr>
      <w:r w:rsidRPr="001D06EC">
        <w:rPr>
          <w:rFonts w:ascii="David" w:eastAsia="Calibri" w:hAnsi="David"/>
          <w:rtl/>
        </w:rPr>
        <w:t xml:space="preserve">בנוסף לאמור לעיל, נוכח התנהגותו של הנאשם, סברתי כי בהחלט יש מקום להכליל בגדרי מתחם הענישה את השיקול שעניינו </w:t>
      </w:r>
      <w:r w:rsidRPr="001D06EC">
        <w:rPr>
          <w:rFonts w:ascii="David" w:eastAsia="Calibri" w:hAnsi="David"/>
          <w:b/>
          <w:bCs/>
          <w:rtl/>
        </w:rPr>
        <w:t>בהרתעת הרבים</w:t>
      </w:r>
      <w:r w:rsidRPr="001D06EC">
        <w:rPr>
          <w:rFonts w:ascii="David" w:eastAsia="Calibri" w:hAnsi="David"/>
          <w:rtl/>
        </w:rPr>
        <w:t xml:space="preserve"> (בהתאם </w:t>
      </w:r>
      <w:hyperlink r:id="rId43" w:history="1">
        <w:r w:rsidR="000E45AE" w:rsidRPr="000E45AE">
          <w:rPr>
            <w:rStyle w:val="Hyperlink"/>
            <w:rFonts w:ascii="David" w:eastAsia="Calibri" w:hAnsi="David"/>
            <w:color w:val="0000FF"/>
            <w:rtl/>
          </w:rPr>
          <w:t>לסעיף 40ז</w:t>
        </w:r>
      </w:hyperlink>
      <w:r w:rsidRPr="001D06EC">
        <w:rPr>
          <w:rFonts w:ascii="David" w:eastAsia="Calibri" w:hAnsi="David"/>
          <w:rtl/>
        </w:rPr>
        <w:t xml:space="preserve"> לחוק);</w:t>
      </w:r>
      <w:r w:rsidRPr="001D06EC">
        <w:rPr>
          <w:rFonts w:ascii="David" w:eastAsia="Calibri" w:hAnsi="David"/>
        </w:rPr>
        <w:t xml:space="preserve"> </w:t>
      </w:r>
      <w:r w:rsidRPr="001D06EC">
        <w:rPr>
          <w:rFonts w:ascii="David" w:eastAsia="Calibri" w:hAnsi="David"/>
          <w:rtl/>
        </w:rPr>
        <w:t xml:space="preserve">תוך העברת מסר לציבור הרחב שהתנהגות דומה שכזו אינה מקובלת במחוזותינו.  </w:t>
      </w:r>
    </w:p>
    <w:p w14:paraId="00BC499E" w14:textId="77777777" w:rsidR="00091B20" w:rsidRDefault="00091B20" w:rsidP="00091B20">
      <w:pPr>
        <w:spacing w:line="360" w:lineRule="auto"/>
        <w:jc w:val="both"/>
        <w:rPr>
          <w:rFonts w:ascii="David" w:eastAsia="Calibri" w:hAnsi="David"/>
          <w:rtl/>
        </w:rPr>
      </w:pPr>
    </w:p>
    <w:p w14:paraId="5260EB6B" w14:textId="77777777" w:rsidR="00091B20" w:rsidRDefault="00091B20" w:rsidP="00091B20">
      <w:pPr>
        <w:spacing w:line="360" w:lineRule="auto"/>
        <w:jc w:val="both"/>
        <w:rPr>
          <w:rFonts w:ascii="David" w:eastAsia="Calibri" w:hAnsi="David"/>
          <w:rtl/>
        </w:rPr>
      </w:pPr>
    </w:p>
    <w:p w14:paraId="6B344A7A" w14:textId="77777777" w:rsidR="00091B20" w:rsidRDefault="00091B20" w:rsidP="00091B20">
      <w:pPr>
        <w:spacing w:line="360" w:lineRule="auto"/>
        <w:jc w:val="both"/>
        <w:rPr>
          <w:rFonts w:ascii="David" w:eastAsia="Calibri" w:hAnsi="David"/>
          <w:rtl/>
        </w:rPr>
      </w:pPr>
    </w:p>
    <w:p w14:paraId="501A111F" w14:textId="77777777" w:rsidR="00091B20" w:rsidRDefault="00091B20" w:rsidP="00091B20">
      <w:pPr>
        <w:spacing w:line="360" w:lineRule="auto"/>
        <w:jc w:val="both"/>
        <w:rPr>
          <w:rFonts w:ascii="David" w:eastAsia="Calibri" w:hAnsi="David"/>
          <w:rtl/>
        </w:rPr>
      </w:pPr>
    </w:p>
    <w:p w14:paraId="130FB432" w14:textId="77777777" w:rsidR="00091B20" w:rsidRDefault="00091B20" w:rsidP="00091B20">
      <w:pPr>
        <w:spacing w:line="360" w:lineRule="auto"/>
        <w:jc w:val="both"/>
        <w:rPr>
          <w:rFonts w:ascii="David" w:eastAsia="Calibri" w:hAnsi="David"/>
          <w:rtl/>
        </w:rPr>
      </w:pPr>
    </w:p>
    <w:p w14:paraId="5C80A526" w14:textId="77777777" w:rsidR="00091B20" w:rsidRDefault="00091B20" w:rsidP="00091B20">
      <w:pPr>
        <w:spacing w:line="360" w:lineRule="auto"/>
        <w:jc w:val="both"/>
        <w:rPr>
          <w:rFonts w:ascii="David" w:eastAsia="Calibri" w:hAnsi="David"/>
          <w:rtl/>
        </w:rPr>
      </w:pPr>
    </w:p>
    <w:p w14:paraId="4E4C8B7B" w14:textId="77777777" w:rsidR="00091B20" w:rsidRPr="001D06EC" w:rsidRDefault="00091B20" w:rsidP="00091B20">
      <w:pPr>
        <w:spacing w:line="360" w:lineRule="auto"/>
        <w:jc w:val="both"/>
        <w:rPr>
          <w:rFonts w:ascii="David" w:eastAsia="Calibri" w:hAnsi="David"/>
          <w:rtl/>
        </w:rPr>
      </w:pPr>
    </w:p>
    <w:p w14:paraId="698FBE01" w14:textId="77777777" w:rsidR="00091B20" w:rsidRPr="001D06EC" w:rsidRDefault="00091B20" w:rsidP="00091B20">
      <w:pPr>
        <w:spacing w:line="360" w:lineRule="auto"/>
        <w:jc w:val="both"/>
        <w:rPr>
          <w:rFonts w:ascii="David" w:eastAsia="Calibri" w:hAnsi="David"/>
          <w:rtl/>
        </w:rPr>
      </w:pPr>
      <w:r w:rsidRPr="001D06EC">
        <w:rPr>
          <w:rFonts w:ascii="David" w:eastAsia="Calibri" w:hAnsi="David"/>
          <w:rtl/>
        </w:rPr>
        <w:t>לאחר ששקלתי את כל השיקולים הדרושים לכך, מצאתי לנכון להטיל על הנאשם 2 את העונשים הבאים:</w:t>
      </w:r>
    </w:p>
    <w:p w14:paraId="4A7921C7" w14:textId="77777777" w:rsidR="00091B20" w:rsidRPr="001D06EC" w:rsidRDefault="00091B20" w:rsidP="00091B20">
      <w:pPr>
        <w:spacing w:line="360" w:lineRule="auto"/>
        <w:jc w:val="both"/>
        <w:rPr>
          <w:rFonts w:ascii="David" w:eastAsia="Calibri" w:hAnsi="David"/>
          <w:rtl/>
        </w:rPr>
      </w:pPr>
    </w:p>
    <w:p w14:paraId="24119AF9" w14:textId="77777777" w:rsidR="00091B20" w:rsidRPr="001D06EC" w:rsidRDefault="00091B20" w:rsidP="00091B20">
      <w:pPr>
        <w:numPr>
          <w:ilvl w:val="0"/>
          <w:numId w:val="1"/>
        </w:numPr>
        <w:overflowPunct w:val="0"/>
        <w:autoSpaceDE w:val="0"/>
        <w:autoSpaceDN w:val="0"/>
        <w:spacing w:after="200" w:line="360" w:lineRule="auto"/>
        <w:jc w:val="both"/>
        <w:rPr>
          <w:rFonts w:ascii="David" w:hAnsi="David"/>
          <w:b/>
          <w:bCs/>
          <w:rtl/>
        </w:rPr>
      </w:pPr>
      <w:r w:rsidRPr="001D06EC">
        <w:rPr>
          <w:rFonts w:ascii="David" w:hAnsi="David"/>
          <w:b/>
          <w:bCs/>
          <w:rtl/>
        </w:rPr>
        <w:t>20 חודשי מאסר לריצוי בפועל מיום מעצרו.</w:t>
      </w:r>
    </w:p>
    <w:p w14:paraId="52730777" w14:textId="77777777" w:rsidR="00091B20" w:rsidRPr="001D06EC" w:rsidRDefault="00091B20" w:rsidP="00091B20">
      <w:pPr>
        <w:numPr>
          <w:ilvl w:val="0"/>
          <w:numId w:val="1"/>
        </w:numPr>
        <w:overflowPunct w:val="0"/>
        <w:autoSpaceDE w:val="0"/>
        <w:autoSpaceDN w:val="0"/>
        <w:spacing w:after="200" w:line="360" w:lineRule="auto"/>
        <w:jc w:val="both"/>
        <w:rPr>
          <w:rFonts w:ascii="David" w:hAnsi="David"/>
        </w:rPr>
      </w:pPr>
      <w:r w:rsidRPr="001D06EC">
        <w:rPr>
          <w:rFonts w:ascii="David" w:hAnsi="David"/>
          <w:rtl/>
        </w:rPr>
        <w:t>10 חודשי מאסר על תנאי שלא יעבור במשך 3 שנים עבירות בנשק</w:t>
      </w:r>
      <w:r w:rsidRPr="001D06EC">
        <w:rPr>
          <w:rtl/>
        </w:rPr>
        <w:t xml:space="preserve"> מסוג פשע לפי </w:t>
      </w:r>
      <w:hyperlink r:id="rId44" w:history="1">
        <w:r w:rsidR="000E45AE" w:rsidRPr="000E45AE">
          <w:rPr>
            <w:rStyle w:val="Hyperlink"/>
            <w:color w:val="0000FF"/>
            <w:rtl/>
          </w:rPr>
          <w:t>סעיף 144</w:t>
        </w:r>
      </w:hyperlink>
      <w:r w:rsidRPr="001D06EC">
        <w:rPr>
          <w:rtl/>
        </w:rPr>
        <w:t xml:space="preserve"> ל</w:t>
      </w:r>
      <w:hyperlink r:id="rId45" w:history="1">
        <w:r w:rsidR="006B3C7F" w:rsidRPr="006B3C7F">
          <w:rPr>
            <w:color w:val="0000FF"/>
            <w:u w:val="single"/>
            <w:rtl/>
          </w:rPr>
          <w:t>חוק העונשין</w:t>
        </w:r>
      </w:hyperlink>
      <w:r w:rsidRPr="001D06EC">
        <w:rPr>
          <w:rtl/>
        </w:rPr>
        <w:t>.</w:t>
      </w:r>
    </w:p>
    <w:p w14:paraId="21F2453C" w14:textId="77777777" w:rsidR="00091B20" w:rsidRPr="003356C0" w:rsidRDefault="00091B20" w:rsidP="00091B20">
      <w:pPr>
        <w:numPr>
          <w:ilvl w:val="0"/>
          <w:numId w:val="1"/>
        </w:numPr>
        <w:overflowPunct w:val="0"/>
        <w:autoSpaceDE w:val="0"/>
        <w:autoSpaceDN w:val="0"/>
        <w:spacing w:after="200" w:line="360" w:lineRule="auto"/>
        <w:jc w:val="both"/>
        <w:rPr>
          <w:rFonts w:ascii="David" w:hAnsi="David"/>
        </w:rPr>
      </w:pPr>
      <w:r w:rsidRPr="001D06EC">
        <w:rPr>
          <w:rFonts w:ascii="David" w:hAnsi="David"/>
          <w:rtl/>
        </w:rPr>
        <w:t>6 חודשי מאסר על תנאי שלא יעבור במשך 3 שנים עבירות בנשק</w:t>
      </w:r>
      <w:r w:rsidRPr="001D06EC">
        <w:rPr>
          <w:rtl/>
        </w:rPr>
        <w:t xml:space="preserve"> מסוג עוון לפי </w:t>
      </w:r>
      <w:hyperlink r:id="rId46" w:history="1">
        <w:r w:rsidR="007E2E67" w:rsidRPr="007E2E67">
          <w:rPr>
            <w:rStyle w:val="Hyperlink"/>
            <w:color w:val="0000FF"/>
            <w:rtl/>
          </w:rPr>
          <w:t>סעיף 144</w:t>
        </w:r>
      </w:hyperlink>
      <w:r w:rsidRPr="001D06EC">
        <w:rPr>
          <w:rtl/>
        </w:rPr>
        <w:t xml:space="preserve"> או עבירה של הפרעה לשוטר במילוי תפקידו לפי </w:t>
      </w:r>
      <w:hyperlink r:id="rId47" w:history="1">
        <w:r w:rsidR="007E2E67" w:rsidRPr="007E2E67">
          <w:rPr>
            <w:rStyle w:val="Hyperlink"/>
            <w:color w:val="0000FF"/>
            <w:rtl/>
          </w:rPr>
          <w:t>סעיף 275</w:t>
        </w:r>
      </w:hyperlink>
      <w:r w:rsidRPr="001D06EC">
        <w:rPr>
          <w:rtl/>
        </w:rPr>
        <w:t xml:space="preserve"> לחוק.  </w:t>
      </w:r>
    </w:p>
    <w:p w14:paraId="6656E2F0" w14:textId="77777777" w:rsidR="00091B20" w:rsidRPr="001D06EC" w:rsidRDefault="00091B20" w:rsidP="00091B20">
      <w:pPr>
        <w:overflowPunct w:val="0"/>
        <w:autoSpaceDE w:val="0"/>
        <w:autoSpaceDN w:val="0"/>
        <w:spacing w:after="200" w:line="360" w:lineRule="auto"/>
        <w:ind w:left="1183"/>
        <w:jc w:val="both"/>
        <w:rPr>
          <w:rFonts w:ascii="David" w:hAnsi="David"/>
        </w:rPr>
      </w:pPr>
      <w:r w:rsidRPr="00D752DD">
        <w:rPr>
          <w:rFonts w:ascii="David" w:hAnsi="David"/>
          <w:rtl/>
        </w:rPr>
        <w:t xml:space="preserve">לא מצאתי נוכח </w:t>
      </w:r>
      <w:r w:rsidRPr="00D752DD">
        <w:rPr>
          <w:rFonts w:ascii="David" w:hAnsi="David" w:hint="cs"/>
          <w:rtl/>
        </w:rPr>
        <w:t>נסיבותיו האישיות</w:t>
      </w:r>
      <w:r w:rsidRPr="00D752DD">
        <w:rPr>
          <w:rFonts w:ascii="David" w:hAnsi="David"/>
          <w:rtl/>
        </w:rPr>
        <w:t xml:space="preserve"> להשית על נאשם זה קנס כספי</w:t>
      </w:r>
      <w:r w:rsidRPr="00D752DD">
        <w:rPr>
          <w:rFonts w:ascii="David" w:hAnsi="David" w:hint="cs"/>
          <w:rtl/>
        </w:rPr>
        <w:t>.</w:t>
      </w:r>
      <w:r>
        <w:rPr>
          <w:rFonts w:ascii="David" w:hAnsi="David" w:hint="cs"/>
          <w:rtl/>
        </w:rPr>
        <w:t xml:space="preserve"> </w:t>
      </w:r>
    </w:p>
    <w:p w14:paraId="2E4D10B8" w14:textId="77777777" w:rsidR="00091B20" w:rsidRPr="001D06EC" w:rsidRDefault="00091B20" w:rsidP="00091B20">
      <w:pPr>
        <w:overflowPunct w:val="0"/>
        <w:autoSpaceDE w:val="0"/>
        <w:autoSpaceDN w:val="0"/>
        <w:spacing w:line="360" w:lineRule="auto"/>
        <w:jc w:val="both"/>
        <w:rPr>
          <w:rFonts w:ascii="David" w:hAnsi="David"/>
          <w:rtl/>
        </w:rPr>
      </w:pPr>
    </w:p>
    <w:p w14:paraId="5D871C2A" w14:textId="77777777" w:rsidR="00091B20" w:rsidRPr="001D06EC" w:rsidRDefault="00091B20" w:rsidP="00091B20">
      <w:pPr>
        <w:overflowPunct w:val="0"/>
        <w:autoSpaceDE w:val="0"/>
        <w:autoSpaceDN w:val="0"/>
        <w:spacing w:line="360" w:lineRule="auto"/>
        <w:jc w:val="both"/>
        <w:rPr>
          <w:rFonts w:ascii="David" w:hAnsi="David"/>
          <w:rtl/>
        </w:rPr>
      </w:pPr>
      <w:r w:rsidRPr="001D06EC">
        <w:rPr>
          <w:rFonts w:ascii="David" w:hAnsi="David"/>
          <w:rtl/>
        </w:rPr>
        <w:t xml:space="preserve">אפנה כעת לדון </w:t>
      </w:r>
      <w:r w:rsidRPr="001D06EC">
        <w:rPr>
          <w:rFonts w:ascii="David" w:hAnsi="David"/>
          <w:b/>
          <w:bCs/>
          <w:rtl/>
        </w:rPr>
        <w:t>בעניינו של הנאשם</w:t>
      </w:r>
      <w:r w:rsidRPr="001D06EC">
        <w:rPr>
          <w:rFonts w:ascii="David" w:hAnsi="David"/>
          <w:rtl/>
        </w:rPr>
        <w:t xml:space="preserve"> </w:t>
      </w:r>
      <w:r w:rsidRPr="001D06EC">
        <w:rPr>
          <w:rFonts w:ascii="David" w:hAnsi="David"/>
          <w:b/>
          <w:bCs/>
          <w:rtl/>
        </w:rPr>
        <w:t>1</w:t>
      </w:r>
      <w:r w:rsidRPr="001D06EC">
        <w:rPr>
          <w:rFonts w:ascii="David" w:hAnsi="David"/>
          <w:rtl/>
        </w:rPr>
        <w:t xml:space="preserve">. </w:t>
      </w:r>
    </w:p>
    <w:p w14:paraId="23504F60" w14:textId="77777777" w:rsidR="00091B20" w:rsidRPr="001D06EC" w:rsidRDefault="00091B20" w:rsidP="00091B20">
      <w:pPr>
        <w:overflowPunct w:val="0"/>
        <w:autoSpaceDE w:val="0"/>
        <w:autoSpaceDN w:val="0"/>
        <w:spacing w:line="360" w:lineRule="auto"/>
        <w:jc w:val="both"/>
        <w:rPr>
          <w:rFonts w:ascii="David" w:hAnsi="David"/>
          <w:rtl/>
        </w:rPr>
      </w:pPr>
    </w:p>
    <w:p w14:paraId="5B01E0BA" w14:textId="77777777" w:rsidR="00091B20" w:rsidRPr="001D06EC" w:rsidRDefault="00091B20" w:rsidP="00091B20">
      <w:pPr>
        <w:spacing w:after="200" w:line="360" w:lineRule="auto"/>
        <w:ind w:right="-284"/>
        <w:rPr>
          <w:rFonts w:ascii="David" w:eastAsia="Calibri" w:hAnsi="David"/>
          <w:rtl/>
        </w:rPr>
      </w:pPr>
      <w:r w:rsidRPr="001D06EC">
        <w:rPr>
          <w:rFonts w:ascii="David" w:eastAsia="Calibri" w:hAnsi="David"/>
          <w:rtl/>
        </w:rPr>
        <w:t xml:space="preserve">אזכיר לקורא, כי נאשם זה (בניגוד לנאשם 2) הורשע </w:t>
      </w:r>
      <w:r w:rsidRPr="001D06EC">
        <w:rPr>
          <w:rFonts w:ascii="Calibri" w:eastAsia="Calibri" w:hAnsi="Calibri"/>
          <w:rtl/>
        </w:rPr>
        <w:t xml:space="preserve">בעבירה שעניינה </w:t>
      </w:r>
      <w:r w:rsidRPr="001D06EC">
        <w:rPr>
          <w:rFonts w:ascii="Calibri" w:eastAsia="Calibri" w:hAnsi="Calibri"/>
          <w:b/>
          <w:bCs/>
          <w:u w:val="single"/>
          <w:rtl/>
        </w:rPr>
        <w:t>סיוע</w:t>
      </w:r>
      <w:r w:rsidRPr="001D06EC">
        <w:rPr>
          <w:rFonts w:ascii="Calibri" w:eastAsia="Calibri" w:hAnsi="Calibri"/>
          <w:b/>
          <w:bCs/>
          <w:rtl/>
        </w:rPr>
        <w:t xml:space="preserve"> להחזקת נשק </w:t>
      </w:r>
      <w:r w:rsidRPr="001D06EC">
        <w:rPr>
          <w:rFonts w:ascii="Calibri" w:eastAsia="Calibri" w:hAnsi="Calibri"/>
          <w:rtl/>
        </w:rPr>
        <w:t xml:space="preserve">לפי </w:t>
      </w:r>
      <w:hyperlink r:id="rId48" w:history="1">
        <w:r w:rsidR="007E2E67" w:rsidRPr="007E2E67">
          <w:rPr>
            <w:rStyle w:val="Hyperlink"/>
            <w:rFonts w:ascii="Calibri" w:eastAsia="Calibri" w:hAnsi="Calibri"/>
            <w:color w:val="0000FF"/>
            <w:rtl/>
          </w:rPr>
          <w:t>סעיפים 144(א)</w:t>
        </w:r>
      </w:hyperlink>
      <w:r w:rsidRPr="001D06EC">
        <w:rPr>
          <w:rFonts w:ascii="Calibri" w:eastAsia="Calibri" w:hAnsi="Calibri"/>
          <w:rtl/>
        </w:rPr>
        <w:t xml:space="preserve"> ו - </w:t>
      </w:r>
      <w:hyperlink r:id="rId49" w:history="1">
        <w:r w:rsidR="007E2E67" w:rsidRPr="007E2E67">
          <w:rPr>
            <w:rStyle w:val="Hyperlink"/>
            <w:rFonts w:ascii="Calibri" w:eastAsia="Calibri" w:hAnsi="Calibri"/>
            <w:color w:val="0000FF"/>
            <w:rtl/>
          </w:rPr>
          <w:t>31</w:t>
        </w:r>
      </w:hyperlink>
      <w:r w:rsidRPr="001D06EC">
        <w:rPr>
          <w:rFonts w:ascii="Calibri" w:eastAsia="Calibri" w:hAnsi="Calibri"/>
          <w:rtl/>
        </w:rPr>
        <w:t xml:space="preserve"> ל</w:t>
      </w:r>
      <w:hyperlink r:id="rId50" w:history="1">
        <w:r w:rsidR="006B3C7F" w:rsidRPr="006B3C7F">
          <w:rPr>
            <w:rFonts w:ascii="Calibri" w:eastAsia="Calibri" w:hAnsi="Calibri" w:hint="cs"/>
            <w:color w:val="0000FF"/>
            <w:u w:val="single"/>
            <w:rtl/>
          </w:rPr>
          <w:t>חוק</w:t>
        </w:r>
        <w:r w:rsidR="006B3C7F" w:rsidRPr="006B3C7F">
          <w:rPr>
            <w:rFonts w:ascii="Calibri" w:eastAsia="Calibri" w:hAnsi="Calibri"/>
            <w:color w:val="0000FF"/>
            <w:u w:val="single"/>
            <w:rtl/>
          </w:rPr>
          <w:t xml:space="preserve"> </w:t>
        </w:r>
        <w:r w:rsidR="006B3C7F" w:rsidRPr="006B3C7F">
          <w:rPr>
            <w:rFonts w:ascii="Calibri" w:eastAsia="Calibri" w:hAnsi="Calibri" w:hint="cs"/>
            <w:color w:val="0000FF"/>
            <w:u w:val="single"/>
            <w:rtl/>
          </w:rPr>
          <w:t>העונשין</w:t>
        </w:r>
      </w:hyperlink>
      <w:r w:rsidRPr="001D06EC">
        <w:rPr>
          <w:rFonts w:ascii="Calibri" w:eastAsia="Calibri" w:hAnsi="Calibri"/>
          <w:rtl/>
        </w:rPr>
        <w:t xml:space="preserve"> בנוסף לעבירה שעניינה </w:t>
      </w:r>
      <w:r w:rsidRPr="001D06EC">
        <w:rPr>
          <w:rFonts w:ascii="David" w:eastAsia="Calibri" w:hAnsi="David"/>
          <w:b/>
          <w:bCs/>
          <w:rtl/>
        </w:rPr>
        <w:t>הפרעה לשוטר במילוי תפקיד</w:t>
      </w:r>
      <w:r w:rsidRPr="001D06EC">
        <w:rPr>
          <w:rFonts w:ascii="David" w:eastAsia="Calibri" w:hAnsi="David"/>
          <w:rtl/>
        </w:rPr>
        <w:t xml:space="preserve"> לפי </w:t>
      </w:r>
      <w:hyperlink r:id="rId51" w:history="1">
        <w:r w:rsidR="007E2E67" w:rsidRPr="007E2E67">
          <w:rPr>
            <w:rStyle w:val="Hyperlink"/>
            <w:rFonts w:ascii="David" w:eastAsia="Calibri" w:hAnsi="David"/>
            <w:color w:val="0000FF"/>
            <w:rtl/>
          </w:rPr>
          <w:t>סעיף 275</w:t>
        </w:r>
      </w:hyperlink>
      <w:r w:rsidRPr="001D06EC">
        <w:rPr>
          <w:rFonts w:ascii="David" w:eastAsia="Calibri" w:hAnsi="David"/>
          <w:rtl/>
        </w:rPr>
        <w:t xml:space="preserve"> לחוק. </w:t>
      </w:r>
      <w:r w:rsidRPr="001D06EC">
        <w:rPr>
          <w:rFonts w:ascii="Calibri" w:eastAsia="Calibri" w:hAnsi="Calibri"/>
          <w:rtl/>
        </w:rPr>
        <w:t>ככלל, בהתאם ל</w:t>
      </w:r>
      <w:hyperlink r:id="rId52" w:history="1">
        <w:r w:rsidR="006B3C7F" w:rsidRPr="006B3C7F">
          <w:rPr>
            <w:rFonts w:ascii="Calibri" w:eastAsia="Calibri" w:hAnsi="Calibri" w:hint="cs"/>
            <w:color w:val="0000FF"/>
            <w:u w:val="single"/>
            <w:rtl/>
          </w:rPr>
          <w:t>חוק</w:t>
        </w:r>
        <w:r w:rsidR="006B3C7F" w:rsidRPr="006B3C7F">
          <w:rPr>
            <w:rFonts w:ascii="Calibri" w:eastAsia="Calibri" w:hAnsi="Calibri"/>
            <w:color w:val="0000FF"/>
            <w:u w:val="single"/>
            <w:rtl/>
          </w:rPr>
          <w:t xml:space="preserve"> </w:t>
        </w:r>
        <w:r w:rsidR="006B3C7F" w:rsidRPr="006B3C7F">
          <w:rPr>
            <w:rFonts w:ascii="Calibri" w:eastAsia="Calibri" w:hAnsi="Calibri" w:hint="cs"/>
            <w:color w:val="0000FF"/>
            <w:u w:val="single"/>
            <w:rtl/>
          </w:rPr>
          <w:t>העונשין</w:t>
        </w:r>
      </w:hyperlink>
      <w:r w:rsidRPr="001D06EC">
        <w:rPr>
          <w:rFonts w:ascii="Calibri" w:eastAsia="Calibri" w:hAnsi="Calibri"/>
          <w:rtl/>
        </w:rPr>
        <w:t xml:space="preserve"> העונש על סיוע עומד על מחצית הענישה הנוגעת לעבירה העיקרית, בעוד כאשר עסקינן בעונש מזערי - העונש לא יפחת ממחציתו (ראו </w:t>
      </w:r>
      <w:hyperlink r:id="rId53" w:history="1">
        <w:r w:rsidR="007E2E67" w:rsidRPr="007E2E67">
          <w:rPr>
            <w:rStyle w:val="Hyperlink"/>
            <w:rFonts w:ascii="Calibri" w:eastAsia="Calibri" w:hAnsi="Calibri"/>
            <w:color w:val="0000FF"/>
            <w:rtl/>
          </w:rPr>
          <w:t>סעיף 32(3)</w:t>
        </w:r>
      </w:hyperlink>
      <w:r w:rsidRPr="001D06EC">
        <w:rPr>
          <w:rFonts w:ascii="Calibri" w:eastAsia="Calibri" w:hAnsi="Calibri"/>
          <w:rtl/>
        </w:rPr>
        <w:t xml:space="preserve"> לחוק העונשין). </w:t>
      </w:r>
    </w:p>
    <w:p w14:paraId="72172B04" w14:textId="77777777" w:rsidR="00091B20" w:rsidRPr="001D06EC" w:rsidRDefault="00091B20" w:rsidP="00091B20">
      <w:pPr>
        <w:spacing w:after="200" w:line="360" w:lineRule="auto"/>
        <w:ind w:right="-284"/>
        <w:jc w:val="both"/>
        <w:rPr>
          <w:rFonts w:ascii="David" w:eastAsia="Calibri" w:hAnsi="David"/>
          <w:rtl/>
        </w:rPr>
      </w:pPr>
      <w:r w:rsidRPr="001D06EC">
        <w:rPr>
          <w:rFonts w:ascii="David" w:eastAsia="Calibri" w:hAnsi="David"/>
          <w:rtl/>
        </w:rPr>
        <w:t xml:space="preserve">בכל הנוגע לערכים החברתיים המוגנים שנפגעו כפועל יוצא ממעשיו של נאשם 1, הרי שגם בעניינו הדברים מובנים מאליהם. המסייע להחזיק נשק בלא רשות על פי דין והמפריע לשוטר במילוי תפקידו, פוגע בראש ובראשונה </w:t>
      </w:r>
      <w:r w:rsidRPr="001D06EC">
        <w:rPr>
          <w:rFonts w:ascii="David" w:eastAsia="Calibri" w:hAnsi="David"/>
          <w:b/>
          <w:bCs/>
          <w:rtl/>
        </w:rPr>
        <w:t>בביטחון המדינה ובמנגנוני שלטונה</w:t>
      </w:r>
      <w:r w:rsidRPr="001D06EC">
        <w:rPr>
          <w:rFonts w:ascii="David" w:eastAsia="Calibri" w:hAnsi="David"/>
          <w:rtl/>
        </w:rPr>
        <w:t>;</w:t>
      </w:r>
      <w:r w:rsidRPr="001D06EC">
        <w:rPr>
          <w:rFonts w:ascii="David" w:eastAsia="Calibri" w:hAnsi="David"/>
        </w:rPr>
        <w:t xml:space="preserve"> </w:t>
      </w:r>
      <w:r w:rsidRPr="001D06EC">
        <w:rPr>
          <w:rFonts w:ascii="David" w:eastAsia="Calibri" w:hAnsi="David"/>
          <w:b/>
          <w:bCs/>
          <w:rtl/>
        </w:rPr>
        <w:t>בשלום הציבור ובסדר הציבורי</w:t>
      </w:r>
      <w:r w:rsidRPr="001D06EC">
        <w:rPr>
          <w:rFonts w:ascii="David" w:eastAsia="Calibri" w:hAnsi="David"/>
          <w:rtl/>
        </w:rPr>
        <w:t xml:space="preserve">. הוא פוגע בביטחון הציבור </w:t>
      </w:r>
      <w:r w:rsidRPr="001D06EC">
        <w:rPr>
          <w:rFonts w:ascii="David" w:eastAsia="Calibri" w:hAnsi="David"/>
          <w:b/>
          <w:bCs/>
          <w:rtl/>
        </w:rPr>
        <w:t>וחושף אותו לאירועי טרור עוין כמו גם פלילי המבוצעים באמצעות נשק</w:t>
      </w:r>
      <w:r w:rsidRPr="001D06EC">
        <w:rPr>
          <w:rFonts w:ascii="David" w:eastAsia="Calibri" w:hAnsi="David"/>
          <w:rtl/>
        </w:rPr>
        <w:t xml:space="preserve"> </w:t>
      </w:r>
      <w:r w:rsidRPr="001D06EC">
        <w:rPr>
          <w:rFonts w:ascii="David" w:eastAsia="Calibri" w:hAnsi="David"/>
          <w:b/>
          <w:bCs/>
          <w:rtl/>
        </w:rPr>
        <w:t>המוחזק והמושג שלא כחוק.</w:t>
      </w:r>
      <w:r w:rsidRPr="001D06EC">
        <w:rPr>
          <w:rFonts w:ascii="David" w:eastAsia="Calibri" w:hAnsi="David"/>
          <w:rtl/>
        </w:rPr>
        <w:t xml:space="preserve"> הפגיעה בערכים אלו במקרה זה היא ממשית, אך ברי כי זו פחותה ורחוקה יותר מעניינו של הנאשם 2 - מבצעה העיקרי. </w:t>
      </w:r>
    </w:p>
    <w:p w14:paraId="7DDA246C" w14:textId="77777777" w:rsidR="00091B20" w:rsidRPr="001D06EC" w:rsidRDefault="00091B20" w:rsidP="00091B20">
      <w:pPr>
        <w:spacing w:after="200" w:line="360" w:lineRule="auto"/>
        <w:ind w:right="-284"/>
        <w:jc w:val="both"/>
        <w:rPr>
          <w:rFonts w:ascii="David" w:eastAsia="Calibri" w:hAnsi="David"/>
          <w:rtl/>
        </w:rPr>
      </w:pPr>
      <w:r w:rsidRPr="001D06EC">
        <w:rPr>
          <w:rFonts w:ascii="David" w:eastAsia="Calibri" w:hAnsi="David"/>
          <w:rtl/>
        </w:rPr>
        <w:t xml:space="preserve">את מדיניות הענישה הנוגעת לביצועה של העבירה העיקרית סקרתי בעניינו של הנאשם 2, ולא מצאתי כי קיים צורך לסוקרה פעם נוספת כאן. ברי, כי ממדינות הענישה לעיל ניתן לגזור מהו העונש הנוהג גם בעניינו של מי שמסייע למבצע העיקרי. יש לעשות כן גם מתוך התחשבות בעקרון "אחידות הענישה", </w:t>
      </w:r>
      <w:r w:rsidRPr="001D06EC">
        <w:rPr>
          <w:rFonts w:ascii="David" w:eastAsia="Calibri" w:hAnsi="David"/>
          <w:u w:val="single"/>
          <w:rtl/>
        </w:rPr>
        <w:t>אך תוך עשיית ההבחנות הנדרשות</w:t>
      </w:r>
      <w:r w:rsidRPr="001D06EC">
        <w:rPr>
          <w:rFonts w:ascii="David" w:eastAsia="Calibri" w:hAnsi="David"/>
          <w:rtl/>
        </w:rPr>
        <w:t xml:space="preserve">. </w:t>
      </w:r>
    </w:p>
    <w:p w14:paraId="34B439B2" w14:textId="77777777" w:rsidR="00091B20" w:rsidRPr="001D06EC" w:rsidRDefault="00091B20" w:rsidP="00091B20">
      <w:pPr>
        <w:spacing w:after="200" w:line="360" w:lineRule="auto"/>
        <w:ind w:right="-426"/>
        <w:jc w:val="both"/>
        <w:rPr>
          <w:rFonts w:ascii="David" w:eastAsia="Calibri" w:hAnsi="David"/>
          <w:rtl/>
        </w:rPr>
      </w:pPr>
      <w:r w:rsidRPr="001D06EC">
        <w:rPr>
          <w:rFonts w:ascii="David" w:eastAsia="Calibri" w:hAnsi="David"/>
          <w:rtl/>
        </w:rPr>
        <w:t xml:space="preserve">משכך, יש להתייחס בהקשר זה אל </w:t>
      </w:r>
      <w:r w:rsidRPr="001D06EC">
        <w:rPr>
          <w:rFonts w:ascii="David" w:eastAsia="Calibri" w:hAnsi="David"/>
          <w:b/>
          <w:bCs/>
          <w:rtl/>
        </w:rPr>
        <w:t xml:space="preserve">הנסיבות הקשורות לביצוע העבירה </w:t>
      </w:r>
      <w:r w:rsidRPr="001D06EC">
        <w:rPr>
          <w:rFonts w:ascii="David" w:eastAsia="Calibri" w:hAnsi="David"/>
          <w:rtl/>
        </w:rPr>
        <w:t xml:space="preserve">(אלו המצוינות </w:t>
      </w:r>
      <w:hyperlink r:id="rId54" w:history="1">
        <w:r w:rsidR="007E2E67" w:rsidRPr="007E2E67">
          <w:rPr>
            <w:rStyle w:val="Hyperlink"/>
            <w:rFonts w:ascii="David" w:eastAsia="Calibri" w:hAnsi="David"/>
            <w:color w:val="0000FF"/>
            <w:rtl/>
          </w:rPr>
          <w:t>בסעיף 40ט</w:t>
        </w:r>
      </w:hyperlink>
      <w:r w:rsidRPr="001D06EC">
        <w:rPr>
          <w:rFonts w:ascii="David" w:eastAsia="Calibri" w:hAnsi="David"/>
          <w:rtl/>
        </w:rPr>
        <w:t xml:space="preserve"> לחוק).</w:t>
      </w:r>
    </w:p>
    <w:p w14:paraId="01164240" w14:textId="77777777" w:rsidR="00091B20" w:rsidRPr="001D06EC" w:rsidRDefault="00091B20" w:rsidP="00091B20">
      <w:pPr>
        <w:spacing w:after="200" w:line="360" w:lineRule="auto"/>
        <w:ind w:right="-426"/>
        <w:jc w:val="both"/>
        <w:rPr>
          <w:rFonts w:ascii="Calibri" w:eastAsia="Calibri" w:hAnsi="Calibri"/>
          <w:rtl/>
        </w:rPr>
      </w:pPr>
      <w:r w:rsidRPr="001D06EC">
        <w:rPr>
          <w:rFonts w:ascii="David" w:eastAsia="Calibri" w:hAnsi="David"/>
          <w:rtl/>
        </w:rPr>
        <w:t xml:space="preserve">כאמור, עסקינן </w:t>
      </w:r>
      <w:r w:rsidRPr="001D06EC">
        <w:rPr>
          <w:rFonts w:ascii="Calibri" w:eastAsia="Calibri" w:hAnsi="Calibri"/>
          <w:rtl/>
        </w:rPr>
        <w:t xml:space="preserve">בהחזקת אקדח מסוג </w:t>
      </w:r>
      <w:r w:rsidRPr="001D06EC">
        <w:rPr>
          <w:rFonts w:ascii="Calibri" w:eastAsia="Calibri" w:hAnsi="Calibri"/>
        </w:rPr>
        <w:t>Baretta</w:t>
      </w:r>
      <w:r w:rsidRPr="001D06EC">
        <w:rPr>
          <w:rFonts w:ascii="Calibri" w:eastAsia="Calibri" w:hAnsi="Calibri"/>
          <w:rtl/>
        </w:rPr>
        <w:t xml:space="preserve"> ובתוכו מחסנית.</w:t>
      </w:r>
      <w:r w:rsidRPr="001D06EC">
        <w:rPr>
          <w:rFonts w:ascii="David" w:eastAsia="Calibri" w:hAnsi="David"/>
          <w:b/>
          <w:bCs/>
          <w:rtl/>
        </w:rPr>
        <w:t xml:space="preserve"> חלקו של הנאשם 1 בביצוע עבירת ההחזקה אינו העיקרי, שכן עסקינן בסיוע </w:t>
      </w:r>
      <w:r w:rsidRPr="001D06EC">
        <w:rPr>
          <w:rFonts w:ascii="David" w:eastAsia="Calibri" w:hAnsi="David"/>
          <w:b/>
          <w:bCs/>
          <w:u w:val="single"/>
          <w:rtl/>
        </w:rPr>
        <w:t>להחזקת הנשק</w:t>
      </w:r>
      <w:r w:rsidRPr="001D06EC">
        <w:rPr>
          <w:rFonts w:ascii="David" w:eastAsia="Calibri" w:hAnsi="David"/>
          <w:b/>
          <w:bCs/>
          <w:rtl/>
        </w:rPr>
        <w:t xml:space="preserve"> הנ"ל, כזה המצוי מחוץ למעגל העיקרי של ביצועה עבירת ההחזקה.</w:t>
      </w:r>
      <w:r w:rsidRPr="001D06EC">
        <w:rPr>
          <w:rFonts w:ascii="Calibri" w:eastAsia="Calibri" w:hAnsi="Calibri"/>
          <w:rtl/>
        </w:rPr>
        <w:t xml:space="preserve"> בהתאם לעובדות כתב האישום המתוקן, הרי שנאשם 1 עשה מעשים כדי לאפשר את החזקת הנשק ולהקל עליה. כמו כן, גם נאשם זה הפריע לשוטרים במילוי תפקידם עת החל בנסיעה ברכב. </w:t>
      </w:r>
      <w:r w:rsidRPr="001D06EC">
        <w:rPr>
          <w:rFonts w:ascii="David" w:eastAsia="Calibri" w:hAnsi="David"/>
          <w:rtl/>
        </w:rPr>
        <w:t>מכל מקום,</w:t>
      </w:r>
      <w:r w:rsidRPr="001D06EC">
        <w:rPr>
          <w:rFonts w:ascii="David" w:eastAsia="Calibri" w:hAnsi="David"/>
          <w:b/>
          <w:bCs/>
          <w:rtl/>
        </w:rPr>
        <w:t xml:space="preserve"> הנאשם 1 היה צריך לשלוט על מעשיו</w:t>
      </w:r>
      <w:r w:rsidRPr="001D06EC">
        <w:rPr>
          <w:rFonts w:ascii="David" w:eastAsia="Calibri" w:hAnsi="David"/>
          <w:rtl/>
        </w:rPr>
        <w:t>.</w:t>
      </w:r>
      <w:r w:rsidRPr="001D06EC">
        <w:rPr>
          <w:rFonts w:ascii="David" w:eastAsia="Calibri" w:hAnsi="David"/>
          <w:b/>
          <w:bCs/>
          <w:rtl/>
        </w:rPr>
        <w:t xml:space="preserve"> אין בנמצא כל סייג לאחריות פלילית בהקשר זה הנזקף לזכותו</w:t>
      </w:r>
      <w:r w:rsidRPr="001D06EC">
        <w:rPr>
          <w:rFonts w:ascii="David" w:eastAsia="Calibri" w:hAnsi="David"/>
          <w:rtl/>
        </w:rPr>
        <w:t>. ברי, כי עלול היה להיגרם נזק נוסף מן הסיוע לעבירה העיקרית, היה וחלילה הנשק היה משמש לצרכים פליליים או אחרים.</w:t>
      </w:r>
      <w:r w:rsidRPr="001D06EC">
        <w:rPr>
          <w:rFonts w:ascii="David" w:eastAsia="Calibri" w:hAnsi="David"/>
          <w:color w:val="FF0000"/>
          <w:rtl/>
        </w:rPr>
        <w:t xml:space="preserve"> </w:t>
      </w:r>
      <w:r w:rsidRPr="001D06EC">
        <w:rPr>
          <w:rFonts w:ascii="David" w:eastAsia="Calibri" w:hAnsi="David"/>
          <w:b/>
          <w:bCs/>
          <w:rtl/>
        </w:rPr>
        <w:t>למרבה המזל תפיסתו של הנשק מנעה זאת.</w:t>
      </w:r>
      <w:r w:rsidRPr="001D06EC">
        <w:rPr>
          <w:rFonts w:ascii="David" w:eastAsia="Calibri" w:hAnsi="David"/>
          <w:rtl/>
        </w:rPr>
        <w:t xml:space="preserve"> הסיבות שהביאו את הנאשם 1 לביצוע הסיוע נותרו עלומות ולא הובהרו דיין.</w:t>
      </w:r>
      <w:r w:rsidRPr="001D06EC">
        <w:rPr>
          <w:rFonts w:ascii="David" w:eastAsia="Calibri" w:hAnsi="David"/>
          <w:u w:val="single"/>
          <w:rtl/>
        </w:rPr>
        <w:t xml:space="preserve"> </w:t>
      </w:r>
    </w:p>
    <w:p w14:paraId="4DF849E5" w14:textId="77777777" w:rsidR="00091B20" w:rsidRPr="001D06EC" w:rsidRDefault="00091B20" w:rsidP="00091B20">
      <w:pPr>
        <w:spacing w:after="200" w:line="360" w:lineRule="auto"/>
        <w:ind w:right="-426"/>
        <w:jc w:val="both"/>
        <w:rPr>
          <w:rFonts w:ascii="David" w:eastAsia="Calibri" w:hAnsi="David"/>
          <w:rtl/>
        </w:rPr>
      </w:pPr>
      <w:r w:rsidRPr="001D06EC">
        <w:rPr>
          <w:rFonts w:ascii="David" w:eastAsia="Calibri" w:hAnsi="David"/>
          <w:rtl/>
        </w:rPr>
        <w:t>לאור המקובץ, מצאתי לנכון לקבוע</w:t>
      </w:r>
      <w:r w:rsidRPr="001D06EC">
        <w:rPr>
          <w:rFonts w:ascii="David" w:eastAsia="Calibri" w:hAnsi="David"/>
          <w:b/>
          <w:bCs/>
          <w:rtl/>
        </w:rPr>
        <w:t xml:space="preserve"> מתחם ענישה בעניינו של הנאשם 1 אשר נע בין 9 לבין 18 חודשי מאסר לריצוי בפועל, </w:t>
      </w:r>
      <w:r w:rsidRPr="001D06EC">
        <w:rPr>
          <w:rFonts w:ascii="David" w:eastAsia="Calibri" w:hAnsi="David"/>
          <w:rtl/>
        </w:rPr>
        <w:t xml:space="preserve">לצד עונשים נלווים.  </w:t>
      </w:r>
    </w:p>
    <w:p w14:paraId="4937BC52" w14:textId="77777777" w:rsidR="00091B20" w:rsidRPr="001D06EC" w:rsidRDefault="00091B20" w:rsidP="00091B20">
      <w:pPr>
        <w:spacing w:line="360" w:lineRule="auto"/>
        <w:ind w:right="-426"/>
        <w:jc w:val="both"/>
        <w:rPr>
          <w:rFonts w:ascii="David" w:eastAsia="Calibri" w:hAnsi="David"/>
          <w:b/>
          <w:bCs/>
          <w:rtl/>
        </w:rPr>
      </w:pPr>
      <w:r w:rsidRPr="001D06EC">
        <w:rPr>
          <w:rFonts w:ascii="David" w:eastAsia="Calibri" w:hAnsi="David"/>
          <w:rtl/>
        </w:rPr>
        <w:t xml:space="preserve">יש לזקוף לזכותו של הנאשם 1 את </w:t>
      </w:r>
      <w:r w:rsidRPr="001D06EC">
        <w:rPr>
          <w:rFonts w:ascii="David" w:eastAsia="Calibri" w:hAnsi="David"/>
          <w:b/>
          <w:bCs/>
          <w:rtl/>
        </w:rPr>
        <w:t>החיסכון המשמעותי בזמן שיפוטי יקר, הנגזר מהודאתו ומנטילת האחריות שביצע</w:t>
      </w:r>
      <w:r w:rsidRPr="001D06EC">
        <w:rPr>
          <w:rFonts w:ascii="David" w:eastAsia="Calibri" w:hAnsi="David"/>
          <w:rtl/>
        </w:rPr>
        <w:t>.</w:t>
      </w:r>
      <w:r w:rsidRPr="001D06EC">
        <w:rPr>
          <w:rFonts w:ascii="David" w:eastAsia="Calibri" w:hAnsi="David"/>
          <w:b/>
          <w:bCs/>
          <w:rtl/>
        </w:rPr>
        <w:t xml:space="preserve"> </w:t>
      </w:r>
      <w:r w:rsidRPr="001D06EC">
        <w:rPr>
          <w:rFonts w:ascii="David" w:eastAsia="Calibri" w:hAnsi="David"/>
          <w:rtl/>
        </w:rPr>
        <w:t xml:space="preserve">ברי, כי </w:t>
      </w:r>
      <w:r w:rsidRPr="001D06EC">
        <w:rPr>
          <w:rFonts w:ascii="David" w:eastAsia="Calibri" w:hAnsi="David"/>
          <w:b/>
          <w:bCs/>
          <w:rtl/>
        </w:rPr>
        <w:t xml:space="preserve">עונש מאסר ממושך יפגע בנאשם, נוכח גילו היחסית צעיר.  בעניינו של הנאשם לא הופק תסקיר לעניין העונש. במובן זה, לא קיימת המלצה שיקומית בעניינו. הנאשם נעדר עבר פלילי. </w:t>
      </w:r>
    </w:p>
    <w:p w14:paraId="7A406AD4" w14:textId="77777777" w:rsidR="00091B20" w:rsidRPr="001D06EC" w:rsidRDefault="00091B20" w:rsidP="00091B20">
      <w:pPr>
        <w:spacing w:line="360" w:lineRule="auto"/>
        <w:jc w:val="both"/>
        <w:rPr>
          <w:rFonts w:ascii="David" w:eastAsia="Calibri" w:hAnsi="David"/>
          <w:b/>
          <w:bCs/>
          <w:rtl/>
        </w:rPr>
      </w:pPr>
    </w:p>
    <w:p w14:paraId="144F4D71" w14:textId="77777777" w:rsidR="00091B20" w:rsidRPr="001D06EC" w:rsidRDefault="00091B20" w:rsidP="00091B20">
      <w:pPr>
        <w:overflowPunct w:val="0"/>
        <w:autoSpaceDE w:val="0"/>
        <w:autoSpaceDN w:val="0"/>
        <w:spacing w:line="360" w:lineRule="auto"/>
        <w:ind w:right="-426"/>
        <w:jc w:val="both"/>
        <w:rPr>
          <w:rFonts w:ascii="David" w:hAnsi="David"/>
          <w:rtl/>
        </w:rPr>
      </w:pPr>
      <w:r w:rsidRPr="001D06EC">
        <w:rPr>
          <w:rFonts w:ascii="David" w:eastAsia="Calibri" w:hAnsi="David"/>
          <w:rtl/>
        </w:rPr>
        <w:t xml:space="preserve">בנוסף לאמור לעיל, נוכח התנהגותו של הנאשם, סברתי כי בהחלט יש מקום לשכלל בגדרי מתחם הענישה את השיקול שעניינו </w:t>
      </w:r>
      <w:r w:rsidRPr="001D06EC">
        <w:rPr>
          <w:rFonts w:ascii="David" w:eastAsia="Calibri" w:hAnsi="David"/>
          <w:b/>
          <w:bCs/>
          <w:rtl/>
        </w:rPr>
        <w:t>בהרתעת הרבים</w:t>
      </w:r>
      <w:r w:rsidRPr="001D06EC">
        <w:rPr>
          <w:rFonts w:ascii="David" w:eastAsia="Calibri" w:hAnsi="David"/>
          <w:rtl/>
        </w:rPr>
        <w:t xml:space="preserve"> (בהתאם </w:t>
      </w:r>
      <w:hyperlink r:id="rId55" w:history="1">
        <w:r w:rsidR="007E2E67" w:rsidRPr="007E2E67">
          <w:rPr>
            <w:rStyle w:val="Hyperlink"/>
            <w:rFonts w:ascii="David" w:eastAsia="Calibri" w:hAnsi="David"/>
            <w:color w:val="0000FF"/>
            <w:rtl/>
          </w:rPr>
          <w:t>לסעיף 40ז</w:t>
        </w:r>
      </w:hyperlink>
      <w:r w:rsidRPr="001D06EC">
        <w:rPr>
          <w:rFonts w:ascii="David" w:eastAsia="Calibri" w:hAnsi="David"/>
          <w:rtl/>
        </w:rPr>
        <w:t xml:space="preserve"> לחוק);</w:t>
      </w:r>
      <w:r w:rsidRPr="001D06EC">
        <w:rPr>
          <w:rFonts w:ascii="David" w:eastAsia="Calibri" w:hAnsi="David"/>
        </w:rPr>
        <w:t xml:space="preserve"> </w:t>
      </w:r>
      <w:r w:rsidRPr="001D06EC">
        <w:rPr>
          <w:rFonts w:ascii="David" w:eastAsia="Calibri" w:hAnsi="David"/>
          <w:rtl/>
        </w:rPr>
        <w:t xml:space="preserve">תוך העברת מסר לציבור הרחב שגם סיוע להתנהגות דומה ומסוכנת שכזו אינה מקובלת במחוזותינו.  </w:t>
      </w:r>
    </w:p>
    <w:p w14:paraId="415A966F" w14:textId="77777777" w:rsidR="00091B20" w:rsidRDefault="00091B20" w:rsidP="00091B20">
      <w:pPr>
        <w:spacing w:line="360" w:lineRule="auto"/>
        <w:jc w:val="both"/>
        <w:rPr>
          <w:rFonts w:ascii="David" w:eastAsia="Calibri" w:hAnsi="David"/>
          <w:rtl/>
        </w:rPr>
      </w:pPr>
    </w:p>
    <w:p w14:paraId="4B49E482" w14:textId="77777777" w:rsidR="00091B20" w:rsidRDefault="00091B20" w:rsidP="00091B20">
      <w:pPr>
        <w:spacing w:line="360" w:lineRule="auto"/>
        <w:jc w:val="both"/>
        <w:rPr>
          <w:rFonts w:ascii="David" w:eastAsia="Calibri" w:hAnsi="David"/>
          <w:rtl/>
        </w:rPr>
      </w:pPr>
    </w:p>
    <w:p w14:paraId="6CD0344D" w14:textId="77777777" w:rsidR="00091B20" w:rsidRDefault="00091B20" w:rsidP="00091B20">
      <w:pPr>
        <w:spacing w:line="360" w:lineRule="auto"/>
        <w:jc w:val="both"/>
        <w:rPr>
          <w:rFonts w:ascii="David" w:eastAsia="Calibri" w:hAnsi="David"/>
          <w:rtl/>
        </w:rPr>
      </w:pPr>
    </w:p>
    <w:p w14:paraId="0A736F74" w14:textId="77777777" w:rsidR="00091B20" w:rsidRDefault="00091B20" w:rsidP="00091B20">
      <w:pPr>
        <w:spacing w:line="360" w:lineRule="auto"/>
        <w:jc w:val="both"/>
        <w:rPr>
          <w:rFonts w:ascii="David" w:eastAsia="Calibri" w:hAnsi="David"/>
          <w:rtl/>
        </w:rPr>
      </w:pPr>
    </w:p>
    <w:p w14:paraId="098763D3" w14:textId="77777777" w:rsidR="00091B20" w:rsidRDefault="00091B20" w:rsidP="00091B20">
      <w:pPr>
        <w:spacing w:line="360" w:lineRule="auto"/>
        <w:jc w:val="both"/>
        <w:rPr>
          <w:rFonts w:ascii="David" w:eastAsia="Calibri" w:hAnsi="David"/>
          <w:rtl/>
        </w:rPr>
      </w:pPr>
    </w:p>
    <w:p w14:paraId="2A0D4F59" w14:textId="77777777" w:rsidR="00091B20" w:rsidRDefault="00091B20" w:rsidP="00091B20">
      <w:pPr>
        <w:spacing w:line="360" w:lineRule="auto"/>
        <w:jc w:val="both"/>
        <w:rPr>
          <w:rFonts w:ascii="David" w:eastAsia="Calibri" w:hAnsi="David"/>
          <w:rtl/>
        </w:rPr>
      </w:pPr>
    </w:p>
    <w:p w14:paraId="5BA9DDED" w14:textId="77777777" w:rsidR="00091B20" w:rsidRDefault="00091B20" w:rsidP="00091B20">
      <w:pPr>
        <w:spacing w:line="360" w:lineRule="auto"/>
        <w:jc w:val="both"/>
        <w:rPr>
          <w:rFonts w:ascii="David" w:eastAsia="Calibri" w:hAnsi="David"/>
          <w:rtl/>
        </w:rPr>
      </w:pPr>
    </w:p>
    <w:p w14:paraId="1EB3A9B6" w14:textId="77777777" w:rsidR="00091B20" w:rsidRDefault="00091B20" w:rsidP="00091B20">
      <w:pPr>
        <w:spacing w:line="360" w:lineRule="auto"/>
        <w:jc w:val="both"/>
        <w:rPr>
          <w:rFonts w:ascii="David" w:eastAsia="Calibri" w:hAnsi="David"/>
          <w:rtl/>
        </w:rPr>
      </w:pPr>
    </w:p>
    <w:p w14:paraId="6D827212" w14:textId="77777777" w:rsidR="00091B20" w:rsidRDefault="00091B20" w:rsidP="00091B20">
      <w:pPr>
        <w:spacing w:line="360" w:lineRule="auto"/>
        <w:jc w:val="both"/>
        <w:rPr>
          <w:rFonts w:ascii="David" w:eastAsia="Calibri" w:hAnsi="David"/>
          <w:rtl/>
        </w:rPr>
      </w:pPr>
    </w:p>
    <w:p w14:paraId="405F1D44" w14:textId="77777777" w:rsidR="00091B20" w:rsidRDefault="00091B20" w:rsidP="00091B20">
      <w:pPr>
        <w:spacing w:line="360" w:lineRule="auto"/>
        <w:jc w:val="both"/>
        <w:rPr>
          <w:rFonts w:ascii="David" w:eastAsia="Calibri" w:hAnsi="David"/>
          <w:rtl/>
        </w:rPr>
      </w:pPr>
    </w:p>
    <w:p w14:paraId="1BF295F1" w14:textId="77777777" w:rsidR="00091B20" w:rsidRDefault="00091B20" w:rsidP="00091B20">
      <w:pPr>
        <w:spacing w:line="360" w:lineRule="auto"/>
        <w:jc w:val="both"/>
        <w:rPr>
          <w:rFonts w:ascii="David" w:eastAsia="Calibri" w:hAnsi="David"/>
          <w:rtl/>
        </w:rPr>
      </w:pPr>
    </w:p>
    <w:p w14:paraId="446F0908" w14:textId="77777777" w:rsidR="00091B20" w:rsidRDefault="00091B20" w:rsidP="00091B20">
      <w:pPr>
        <w:spacing w:line="360" w:lineRule="auto"/>
        <w:jc w:val="both"/>
        <w:rPr>
          <w:rFonts w:ascii="David" w:eastAsia="Calibri" w:hAnsi="David"/>
          <w:rtl/>
        </w:rPr>
      </w:pPr>
    </w:p>
    <w:p w14:paraId="72BA4082" w14:textId="77777777" w:rsidR="00091B20" w:rsidRDefault="00091B20" w:rsidP="00091B20">
      <w:pPr>
        <w:spacing w:line="360" w:lineRule="auto"/>
        <w:jc w:val="both"/>
        <w:rPr>
          <w:rFonts w:ascii="David" w:eastAsia="Calibri" w:hAnsi="David"/>
          <w:rtl/>
        </w:rPr>
      </w:pPr>
    </w:p>
    <w:p w14:paraId="6E49BBCD" w14:textId="77777777" w:rsidR="00091B20" w:rsidRDefault="00091B20" w:rsidP="00091B20">
      <w:pPr>
        <w:spacing w:line="360" w:lineRule="auto"/>
        <w:jc w:val="both"/>
        <w:rPr>
          <w:rFonts w:ascii="David" w:eastAsia="Calibri" w:hAnsi="David"/>
          <w:rtl/>
        </w:rPr>
      </w:pPr>
    </w:p>
    <w:p w14:paraId="1DB69BFD" w14:textId="77777777" w:rsidR="00091B20" w:rsidRDefault="00091B20" w:rsidP="00091B20">
      <w:pPr>
        <w:spacing w:line="360" w:lineRule="auto"/>
        <w:jc w:val="both"/>
        <w:rPr>
          <w:rFonts w:ascii="David" w:eastAsia="Calibri" w:hAnsi="David"/>
          <w:rtl/>
        </w:rPr>
      </w:pPr>
    </w:p>
    <w:p w14:paraId="018AFDC6" w14:textId="77777777" w:rsidR="00091B20" w:rsidRDefault="00091B20" w:rsidP="00091B20">
      <w:pPr>
        <w:spacing w:line="360" w:lineRule="auto"/>
        <w:jc w:val="both"/>
        <w:rPr>
          <w:rFonts w:ascii="David" w:eastAsia="Calibri" w:hAnsi="David"/>
          <w:rtl/>
        </w:rPr>
      </w:pPr>
    </w:p>
    <w:p w14:paraId="4C3645A2" w14:textId="77777777" w:rsidR="00091B20" w:rsidRDefault="00091B20" w:rsidP="00091B20">
      <w:pPr>
        <w:spacing w:line="360" w:lineRule="auto"/>
        <w:jc w:val="both"/>
        <w:rPr>
          <w:rFonts w:ascii="David" w:eastAsia="Calibri" w:hAnsi="David"/>
          <w:rtl/>
        </w:rPr>
      </w:pPr>
    </w:p>
    <w:p w14:paraId="591A343D" w14:textId="77777777" w:rsidR="00091B20" w:rsidRDefault="00091B20" w:rsidP="00091B20">
      <w:pPr>
        <w:spacing w:line="360" w:lineRule="auto"/>
        <w:jc w:val="both"/>
        <w:rPr>
          <w:rFonts w:ascii="David" w:eastAsia="Calibri" w:hAnsi="David"/>
          <w:rtl/>
        </w:rPr>
      </w:pPr>
    </w:p>
    <w:p w14:paraId="5D52EC0A" w14:textId="77777777" w:rsidR="00091B20" w:rsidRPr="001D06EC" w:rsidRDefault="00091B20" w:rsidP="00091B20">
      <w:pPr>
        <w:spacing w:line="360" w:lineRule="auto"/>
        <w:jc w:val="both"/>
        <w:rPr>
          <w:rFonts w:ascii="David" w:eastAsia="Calibri" w:hAnsi="David"/>
          <w:rtl/>
        </w:rPr>
      </w:pPr>
    </w:p>
    <w:p w14:paraId="51361A57" w14:textId="77777777" w:rsidR="00091B20" w:rsidRPr="001D06EC" w:rsidRDefault="00091B20" w:rsidP="00091B20">
      <w:pPr>
        <w:spacing w:line="360" w:lineRule="auto"/>
        <w:jc w:val="both"/>
        <w:rPr>
          <w:rFonts w:ascii="David" w:eastAsia="Calibri" w:hAnsi="David"/>
          <w:rtl/>
        </w:rPr>
      </w:pPr>
      <w:r w:rsidRPr="001D06EC">
        <w:rPr>
          <w:rFonts w:ascii="David" w:eastAsia="Calibri" w:hAnsi="David"/>
          <w:rtl/>
        </w:rPr>
        <w:t>לאחר ששקלתי את כל השיקולים הדרושים לכך, הכוללים את הימצאותו של הנאשם 1 תחת איזוק אלקטרוני, מצאתי לנכון להשית עליו את העונשים הבאים:</w:t>
      </w:r>
    </w:p>
    <w:p w14:paraId="239D6C3A" w14:textId="77777777" w:rsidR="00091B20" w:rsidRPr="001D06EC" w:rsidRDefault="00091B20" w:rsidP="00091B20">
      <w:pPr>
        <w:spacing w:line="360" w:lineRule="auto"/>
        <w:jc w:val="both"/>
        <w:rPr>
          <w:rFonts w:ascii="David" w:eastAsia="Calibri" w:hAnsi="David"/>
          <w:rtl/>
        </w:rPr>
      </w:pPr>
    </w:p>
    <w:p w14:paraId="694DA0C5" w14:textId="77777777" w:rsidR="00091B20" w:rsidRPr="001D06EC" w:rsidRDefault="00091B20" w:rsidP="00091B20">
      <w:pPr>
        <w:numPr>
          <w:ilvl w:val="0"/>
          <w:numId w:val="2"/>
        </w:numPr>
        <w:overflowPunct w:val="0"/>
        <w:autoSpaceDE w:val="0"/>
        <w:autoSpaceDN w:val="0"/>
        <w:spacing w:after="200" w:line="360" w:lineRule="auto"/>
        <w:jc w:val="both"/>
        <w:rPr>
          <w:rFonts w:ascii="David" w:hAnsi="David"/>
          <w:rtl/>
        </w:rPr>
      </w:pPr>
      <w:r w:rsidRPr="001D06EC">
        <w:rPr>
          <w:rFonts w:ascii="David" w:hAnsi="David"/>
          <w:b/>
          <w:bCs/>
          <w:rtl/>
        </w:rPr>
        <w:t xml:space="preserve">10 חודשי מאסר לריצוי בפועל בניכוי ימי מעצרו הממשיים.  </w:t>
      </w:r>
    </w:p>
    <w:p w14:paraId="621D8C24" w14:textId="77777777" w:rsidR="00091B20" w:rsidRPr="001D06EC" w:rsidRDefault="00091B20" w:rsidP="00091B20">
      <w:pPr>
        <w:numPr>
          <w:ilvl w:val="0"/>
          <w:numId w:val="2"/>
        </w:numPr>
        <w:overflowPunct w:val="0"/>
        <w:autoSpaceDE w:val="0"/>
        <w:autoSpaceDN w:val="0"/>
        <w:spacing w:after="200" w:line="360" w:lineRule="auto"/>
        <w:jc w:val="both"/>
        <w:rPr>
          <w:rFonts w:ascii="David" w:hAnsi="David"/>
        </w:rPr>
      </w:pPr>
      <w:r w:rsidRPr="001D06EC">
        <w:rPr>
          <w:rFonts w:ascii="David" w:hAnsi="David"/>
          <w:rtl/>
        </w:rPr>
        <w:t>6 חודשי מאסר על תנאי שלא יעבור במשך 3 שנים עבירות בנשק</w:t>
      </w:r>
      <w:r w:rsidRPr="001D06EC">
        <w:rPr>
          <w:rtl/>
        </w:rPr>
        <w:t xml:space="preserve"> (הכוללות סיוע להן) לפי </w:t>
      </w:r>
      <w:hyperlink r:id="rId56" w:history="1">
        <w:r w:rsidR="007E2E67" w:rsidRPr="007E2E67">
          <w:rPr>
            <w:rStyle w:val="Hyperlink"/>
            <w:color w:val="0000FF"/>
            <w:rtl/>
          </w:rPr>
          <w:t>סעיף 144</w:t>
        </w:r>
      </w:hyperlink>
      <w:r w:rsidRPr="001D06EC">
        <w:rPr>
          <w:rtl/>
        </w:rPr>
        <w:t xml:space="preserve"> ל</w:t>
      </w:r>
      <w:hyperlink r:id="rId57" w:history="1">
        <w:r w:rsidR="006B3C7F" w:rsidRPr="006B3C7F">
          <w:rPr>
            <w:color w:val="0000FF"/>
            <w:u w:val="single"/>
            <w:rtl/>
          </w:rPr>
          <w:t>חוק העונשין</w:t>
        </w:r>
      </w:hyperlink>
      <w:r w:rsidRPr="001D06EC">
        <w:rPr>
          <w:rtl/>
        </w:rPr>
        <w:t xml:space="preserve"> או עבירה של הפרעה לשוטר במילוי תפקידו לפי </w:t>
      </w:r>
      <w:hyperlink r:id="rId58" w:history="1">
        <w:r w:rsidR="007E2E67" w:rsidRPr="007E2E67">
          <w:rPr>
            <w:rStyle w:val="Hyperlink"/>
            <w:color w:val="0000FF"/>
            <w:rtl/>
          </w:rPr>
          <w:t>סעיף 275</w:t>
        </w:r>
      </w:hyperlink>
      <w:r w:rsidRPr="001D06EC">
        <w:rPr>
          <w:rtl/>
        </w:rPr>
        <w:t xml:space="preserve"> לחוק. </w:t>
      </w:r>
    </w:p>
    <w:p w14:paraId="22963478" w14:textId="77777777" w:rsidR="00091B20" w:rsidRPr="001D06EC" w:rsidRDefault="00091B20" w:rsidP="00091B20">
      <w:pPr>
        <w:numPr>
          <w:ilvl w:val="0"/>
          <w:numId w:val="2"/>
        </w:numPr>
        <w:overflowPunct w:val="0"/>
        <w:autoSpaceDE w:val="0"/>
        <w:autoSpaceDN w:val="0"/>
        <w:spacing w:after="200" w:line="360" w:lineRule="auto"/>
        <w:jc w:val="both"/>
        <w:rPr>
          <w:rFonts w:ascii="David" w:hAnsi="David"/>
        </w:rPr>
      </w:pPr>
      <w:r w:rsidRPr="001D06EC">
        <w:rPr>
          <w:rFonts w:ascii="David" w:hAnsi="David"/>
          <w:rtl/>
        </w:rPr>
        <w:t>כפי שהוסכם, לצורך שחרור רכב הט</w:t>
      </w:r>
      <w:r>
        <w:rPr>
          <w:rFonts w:ascii="David" w:hAnsi="David" w:hint="cs"/>
          <w:rtl/>
        </w:rPr>
        <w:t>ו</w:t>
      </w:r>
      <w:r w:rsidRPr="001D06EC">
        <w:rPr>
          <w:rFonts w:ascii="David" w:hAnsi="David"/>
          <w:rtl/>
        </w:rPr>
        <w:t xml:space="preserve">יוטה שנתפס, יפקיד נאשם 1 סכום של 15,000 ₪ לשם חילוטם, בהתאם להנחיות המאשימה, כתנאי לשחרור הרכב. לא מצאתי נוכח עניין זה להשית על נאשם זה קנס כספי נוסף. </w:t>
      </w:r>
    </w:p>
    <w:p w14:paraId="7767AEF1" w14:textId="77777777" w:rsidR="00091B20" w:rsidRDefault="00091B20" w:rsidP="00091B20">
      <w:pPr>
        <w:spacing w:line="360" w:lineRule="auto"/>
        <w:contextualSpacing/>
        <w:jc w:val="both"/>
        <w:rPr>
          <w:rFonts w:ascii="David" w:eastAsia="Calibri" w:hAnsi="David"/>
          <w:b/>
          <w:bCs/>
          <w:rtl/>
        </w:rPr>
      </w:pPr>
      <w:r>
        <w:rPr>
          <w:rFonts w:ascii="David" w:eastAsia="Calibri" w:hAnsi="David"/>
          <w:b/>
          <w:bCs/>
          <w:rtl/>
        </w:rPr>
        <w:t xml:space="preserve">הנשק </w:t>
      </w:r>
      <w:r w:rsidRPr="001D06EC">
        <w:rPr>
          <w:rFonts w:ascii="David" w:eastAsia="Calibri" w:hAnsi="David"/>
          <w:b/>
          <w:bCs/>
          <w:rtl/>
        </w:rPr>
        <w:t xml:space="preserve">והאביזרים יושמדו . </w:t>
      </w:r>
    </w:p>
    <w:p w14:paraId="5FAF3B1A" w14:textId="77777777" w:rsidR="00091B20" w:rsidRDefault="00091B20" w:rsidP="00091B20">
      <w:pPr>
        <w:spacing w:line="360" w:lineRule="auto"/>
        <w:contextualSpacing/>
        <w:jc w:val="both"/>
        <w:rPr>
          <w:rFonts w:ascii="David" w:eastAsia="Calibri" w:hAnsi="David"/>
          <w:b/>
          <w:bCs/>
          <w:rtl/>
        </w:rPr>
      </w:pPr>
    </w:p>
    <w:p w14:paraId="607B2F7B" w14:textId="77777777" w:rsidR="00091B20" w:rsidRPr="001D06EC" w:rsidRDefault="00091B20" w:rsidP="00091B20">
      <w:pPr>
        <w:spacing w:line="360" w:lineRule="auto"/>
        <w:contextualSpacing/>
        <w:jc w:val="both"/>
        <w:rPr>
          <w:rFonts w:ascii="David" w:eastAsia="Calibri" w:hAnsi="David"/>
          <w:b/>
          <w:bCs/>
          <w:rtl/>
        </w:rPr>
      </w:pPr>
      <w:r>
        <w:rPr>
          <w:rFonts w:ascii="David" w:eastAsia="Calibri" w:hAnsi="David"/>
          <w:b/>
          <w:bCs/>
          <w:rtl/>
        </w:rPr>
        <w:t>זכות ערעור כחוק</w:t>
      </w:r>
      <w:r>
        <w:rPr>
          <w:rFonts w:ascii="David" w:eastAsia="Calibri" w:hAnsi="David" w:hint="cs"/>
          <w:b/>
          <w:bCs/>
          <w:rtl/>
        </w:rPr>
        <w:t>.</w:t>
      </w:r>
    </w:p>
    <w:p w14:paraId="70D9761F" w14:textId="77777777" w:rsidR="00091B20" w:rsidRDefault="00091B20" w:rsidP="00091B20"/>
    <w:p w14:paraId="61956770" w14:textId="77777777" w:rsidR="00091B20" w:rsidRPr="000F2247" w:rsidRDefault="006B3C7F" w:rsidP="00091B20">
      <w:pPr>
        <w:rPr>
          <w:rFonts w:ascii="Arial" w:hAnsi="Arial"/>
          <w:b/>
          <w:bCs/>
          <w:sz w:val="26"/>
          <w:szCs w:val="26"/>
          <w:rtl/>
        </w:rPr>
      </w:pPr>
      <w:bookmarkStart w:id="7" w:name="Nitan"/>
      <w:r>
        <w:rPr>
          <w:rFonts w:ascii="Arial" w:hAnsi="Arial"/>
          <w:b/>
          <w:bCs/>
          <w:sz w:val="26"/>
          <w:szCs w:val="26"/>
          <w:rtl/>
        </w:rPr>
        <w:t xml:space="preserve">ניתן היום,  ט' אלול תשפ"ד, 12 ספטמבר 2024, במעמד הצדדים. </w:t>
      </w:r>
      <w:bookmarkEnd w:id="7"/>
    </w:p>
    <w:p w14:paraId="3BAE2E58" w14:textId="77777777" w:rsidR="00091B20" w:rsidRPr="006B3C7F" w:rsidRDefault="006B3C7F" w:rsidP="00091B20">
      <w:pPr>
        <w:rPr>
          <w:rFonts w:ascii="Arial" w:hAnsi="Arial"/>
          <w:b/>
          <w:bCs/>
          <w:color w:val="FFFFFF"/>
          <w:sz w:val="2"/>
          <w:szCs w:val="2"/>
          <w:rtl/>
        </w:rPr>
      </w:pPr>
      <w:r w:rsidRPr="006B3C7F">
        <w:rPr>
          <w:rFonts w:ascii="Arial" w:hAnsi="Arial"/>
          <w:b/>
          <w:bCs/>
          <w:color w:val="FFFFFF"/>
          <w:sz w:val="2"/>
          <w:szCs w:val="2"/>
          <w:rtl/>
        </w:rPr>
        <w:t>5129371</w:t>
      </w:r>
    </w:p>
    <w:tbl>
      <w:tblPr>
        <w:tblpPr w:leftFromText="180" w:rightFromText="180" w:vertAnchor="text" w:horzAnchor="margin" w:tblpY="35"/>
        <w:bidiVisual/>
        <w:tblW w:w="0" w:type="auto"/>
        <w:tblLook w:val="01E0" w:firstRow="1" w:lastRow="1" w:firstColumn="1" w:lastColumn="1" w:noHBand="0" w:noVBand="0"/>
      </w:tblPr>
      <w:tblGrid>
        <w:gridCol w:w="2693"/>
      </w:tblGrid>
      <w:tr w:rsidR="00091B20" w14:paraId="18AC02FC" w14:textId="77777777" w:rsidTr="00091B20">
        <w:tc>
          <w:tcPr>
            <w:tcW w:w="2693" w:type="dxa"/>
            <w:tcBorders>
              <w:top w:val="nil"/>
              <w:left w:val="nil"/>
              <w:bottom w:val="single" w:sz="4" w:space="0" w:color="auto"/>
              <w:right w:val="nil"/>
            </w:tcBorders>
            <w:shd w:val="clear" w:color="auto" w:fill="auto"/>
            <w:vAlign w:val="bottom"/>
          </w:tcPr>
          <w:p w14:paraId="2434CD12" w14:textId="77777777" w:rsidR="00091B20" w:rsidRPr="006B3C7F" w:rsidRDefault="006B3C7F" w:rsidP="00091B20">
            <w:pPr>
              <w:jc w:val="center"/>
              <w:rPr>
                <w:rFonts w:ascii="Courier New" w:hAnsi="Courier New"/>
                <w:b/>
                <w:bCs/>
                <w:color w:val="FFFFFF"/>
                <w:sz w:val="2"/>
                <w:szCs w:val="2"/>
                <w:lang w:eastAsia="he-IL"/>
              </w:rPr>
            </w:pPr>
            <w:r w:rsidRPr="006B3C7F">
              <w:rPr>
                <w:rFonts w:ascii="Courier New" w:hAnsi="Courier New"/>
                <w:b/>
                <w:bCs/>
                <w:color w:val="FFFFFF"/>
                <w:sz w:val="2"/>
                <w:szCs w:val="2"/>
                <w:rtl/>
                <w:lang w:eastAsia="he-IL"/>
              </w:rPr>
              <w:t>54678313</w:t>
            </w:r>
          </w:p>
        </w:tc>
      </w:tr>
      <w:tr w:rsidR="00091B20" w14:paraId="546F2688" w14:textId="77777777" w:rsidTr="00091B20">
        <w:tc>
          <w:tcPr>
            <w:tcW w:w="2693" w:type="dxa"/>
            <w:tcBorders>
              <w:top w:val="single" w:sz="4" w:space="0" w:color="auto"/>
              <w:left w:val="nil"/>
              <w:bottom w:val="nil"/>
              <w:right w:val="nil"/>
            </w:tcBorders>
            <w:shd w:val="clear" w:color="auto" w:fill="auto"/>
          </w:tcPr>
          <w:p w14:paraId="19FB300D" w14:textId="77777777" w:rsidR="00091B20" w:rsidRPr="00091B20" w:rsidRDefault="00091B20" w:rsidP="00091B20">
            <w:pPr>
              <w:jc w:val="center"/>
              <w:rPr>
                <w:b/>
                <w:bCs/>
                <w:noProof/>
                <w:lang w:eastAsia="he-IL"/>
              </w:rPr>
            </w:pPr>
            <w:r w:rsidRPr="00091B20">
              <w:rPr>
                <w:rFonts w:hint="cs"/>
                <w:b/>
                <w:bCs/>
                <w:rtl/>
              </w:rPr>
              <w:t>א. לוי, ס. נשיא</w:t>
            </w:r>
          </w:p>
        </w:tc>
      </w:tr>
    </w:tbl>
    <w:p w14:paraId="47261802" w14:textId="77777777" w:rsidR="00091B20" w:rsidRPr="000F2247" w:rsidRDefault="00091B20" w:rsidP="00091B20">
      <w:pPr>
        <w:rPr>
          <w:rFonts w:ascii="Arial" w:hAnsi="Arial"/>
          <w:b/>
          <w:bCs/>
          <w:sz w:val="26"/>
          <w:szCs w:val="26"/>
          <w:rtl/>
        </w:rPr>
      </w:pPr>
    </w:p>
    <w:p w14:paraId="1B73CE15" w14:textId="77777777" w:rsidR="00091B20" w:rsidRPr="000F2247" w:rsidRDefault="00091B20" w:rsidP="00091B20">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4B5CECD" w14:textId="77777777" w:rsidR="00FB574E" w:rsidRPr="006B3C7F" w:rsidRDefault="00FB574E" w:rsidP="006B3C7F">
      <w:pPr>
        <w:keepNext/>
        <w:rPr>
          <w:rFonts w:ascii="David" w:hAnsi="David"/>
          <w:color w:val="000000"/>
          <w:sz w:val="22"/>
          <w:szCs w:val="22"/>
          <w:rtl/>
        </w:rPr>
      </w:pPr>
    </w:p>
    <w:p w14:paraId="0DCB59C7" w14:textId="77777777" w:rsidR="006B3C7F" w:rsidRPr="006B3C7F" w:rsidRDefault="006B3C7F" w:rsidP="006B3C7F">
      <w:pPr>
        <w:keepNext/>
        <w:rPr>
          <w:rFonts w:ascii="David" w:hAnsi="David"/>
          <w:color w:val="000000"/>
          <w:sz w:val="22"/>
          <w:szCs w:val="22"/>
          <w:rtl/>
        </w:rPr>
      </w:pPr>
      <w:r w:rsidRPr="006B3C7F">
        <w:rPr>
          <w:rFonts w:ascii="David" w:hAnsi="David"/>
          <w:color w:val="000000"/>
          <w:sz w:val="22"/>
          <w:szCs w:val="22"/>
          <w:rtl/>
        </w:rPr>
        <w:t>אבי לוי 54678313</w:t>
      </w:r>
    </w:p>
    <w:p w14:paraId="4D3FEFD3" w14:textId="77777777" w:rsidR="006B3C7F" w:rsidRDefault="006B3C7F" w:rsidP="006B3C7F">
      <w:r w:rsidRPr="006B3C7F">
        <w:rPr>
          <w:color w:val="000000"/>
          <w:rtl/>
        </w:rPr>
        <w:t>נוסח מסמך זה כפוף לשינויי ניסוח ועריכה</w:t>
      </w:r>
    </w:p>
    <w:p w14:paraId="28E044E6" w14:textId="77777777" w:rsidR="006B3C7F" w:rsidRDefault="006B3C7F" w:rsidP="006B3C7F">
      <w:pPr>
        <w:rPr>
          <w:rtl/>
        </w:rPr>
      </w:pPr>
    </w:p>
    <w:p w14:paraId="3EBFFDD4" w14:textId="77777777" w:rsidR="006B3C7F" w:rsidRDefault="006B3C7F" w:rsidP="006B3C7F">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6679726C" w14:textId="77777777" w:rsidR="006B3C7F" w:rsidRPr="006B3C7F" w:rsidRDefault="006B3C7F" w:rsidP="006B3C7F">
      <w:pPr>
        <w:jc w:val="center"/>
        <w:rPr>
          <w:color w:val="0000FF"/>
          <w:u w:val="single"/>
        </w:rPr>
      </w:pPr>
    </w:p>
    <w:sectPr w:rsidR="006B3C7F" w:rsidRPr="006B3C7F" w:rsidSect="006B3C7F">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8643D" w14:textId="77777777" w:rsidR="00ED4889" w:rsidRDefault="00ED4889" w:rsidP="00081718">
      <w:r>
        <w:separator/>
      </w:r>
    </w:p>
  </w:endnote>
  <w:endnote w:type="continuationSeparator" w:id="0">
    <w:p w14:paraId="00B5F1B8" w14:textId="77777777" w:rsidR="00ED4889" w:rsidRDefault="00ED4889" w:rsidP="0008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01C6B" w14:textId="77777777" w:rsidR="006B3C7F" w:rsidRDefault="006B3C7F" w:rsidP="006B3C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3EEC77" w14:textId="77777777" w:rsidR="006851C8" w:rsidRPr="006B3C7F" w:rsidRDefault="006B3C7F" w:rsidP="006B3C7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A6FBE" w14:textId="77777777" w:rsidR="006B3C7F" w:rsidRDefault="006B3C7F" w:rsidP="006B3C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3AE0">
      <w:rPr>
        <w:rFonts w:ascii="FrankRuehl" w:hAnsi="FrankRuehl" w:cs="FrankRuehl"/>
        <w:noProof/>
        <w:rtl/>
      </w:rPr>
      <w:t>1</w:t>
    </w:r>
    <w:r>
      <w:rPr>
        <w:rFonts w:ascii="FrankRuehl" w:hAnsi="FrankRuehl" w:cs="FrankRuehl"/>
        <w:rtl/>
      </w:rPr>
      <w:fldChar w:fldCharType="end"/>
    </w:r>
  </w:p>
  <w:p w14:paraId="26AD887E" w14:textId="77777777" w:rsidR="006851C8" w:rsidRPr="006B3C7F" w:rsidRDefault="006B3C7F" w:rsidP="006B3C7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725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79A17" w14:textId="77777777" w:rsidR="00ED4889" w:rsidRDefault="00ED4889" w:rsidP="00081718">
      <w:r>
        <w:separator/>
      </w:r>
    </w:p>
  </w:footnote>
  <w:footnote w:type="continuationSeparator" w:id="0">
    <w:p w14:paraId="3864BA1C" w14:textId="77777777" w:rsidR="00ED4889" w:rsidRDefault="00ED4889" w:rsidP="00081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7D516" w14:textId="77777777" w:rsidR="006B3C7F" w:rsidRPr="006B3C7F" w:rsidRDefault="006B3C7F" w:rsidP="006B3C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4459-03-24</w:t>
    </w:r>
    <w:r>
      <w:rPr>
        <w:rFonts w:ascii="David" w:hAnsi="David"/>
        <w:color w:val="000000"/>
        <w:sz w:val="22"/>
        <w:szCs w:val="22"/>
        <w:rtl/>
      </w:rPr>
      <w:tab/>
      <w:t xml:space="preserve"> מדינת ישראל נ' עלי מחאג'נה (עצור/אסיר בפיקוח)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81B38" w14:textId="77777777" w:rsidR="006B3C7F" w:rsidRPr="006B3C7F" w:rsidRDefault="006B3C7F" w:rsidP="006B3C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4459-03-24</w:t>
    </w:r>
    <w:r>
      <w:rPr>
        <w:rFonts w:ascii="David" w:hAnsi="David"/>
        <w:color w:val="000000"/>
        <w:sz w:val="22"/>
        <w:szCs w:val="22"/>
        <w:rtl/>
      </w:rPr>
      <w:tab/>
      <w:t xml:space="preserve"> מדינת ישראל נ' עלי מחאג'נה (עצור/אסיר בפיקוח)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75F0"/>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abstractNum w:abstractNumId="1" w15:restartNumberingAfterBreak="0">
    <w:nsid w:val="75551F1B"/>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2020231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9375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1B20"/>
    <w:rsid w:val="00081718"/>
    <w:rsid w:val="00091B20"/>
    <w:rsid w:val="000E45AE"/>
    <w:rsid w:val="00103AE0"/>
    <w:rsid w:val="00322869"/>
    <w:rsid w:val="006851C8"/>
    <w:rsid w:val="006B3C7F"/>
    <w:rsid w:val="007E2E67"/>
    <w:rsid w:val="00CD43EE"/>
    <w:rsid w:val="00D56333"/>
    <w:rsid w:val="00ED4889"/>
    <w:rsid w:val="00FB574E"/>
    <w:rsid w:val="00FE4C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8C5B47"/>
  <w15:chartTrackingRefBased/>
  <w15:docId w15:val="{A8336A6B-6FAF-4D31-BD3E-577FB487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B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1B20"/>
    <w:pPr>
      <w:tabs>
        <w:tab w:val="center" w:pos="4153"/>
        <w:tab w:val="right" w:pos="8306"/>
      </w:tabs>
    </w:pPr>
  </w:style>
  <w:style w:type="character" w:customStyle="1" w:styleId="a4">
    <w:name w:val="כותרת עליונה תו"/>
    <w:link w:val="a3"/>
    <w:rsid w:val="00091B20"/>
    <w:rPr>
      <w:rFonts w:ascii="Times New Roman" w:eastAsia="Times New Roman" w:hAnsi="Times New Roman" w:cs="David"/>
      <w:sz w:val="24"/>
      <w:szCs w:val="24"/>
    </w:rPr>
  </w:style>
  <w:style w:type="paragraph" w:styleId="a5">
    <w:name w:val="footer"/>
    <w:basedOn w:val="a"/>
    <w:link w:val="a6"/>
    <w:rsid w:val="00091B20"/>
    <w:pPr>
      <w:tabs>
        <w:tab w:val="center" w:pos="4153"/>
        <w:tab w:val="right" w:pos="8306"/>
      </w:tabs>
    </w:pPr>
  </w:style>
  <w:style w:type="character" w:customStyle="1" w:styleId="a6">
    <w:name w:val="כותרת תחתונה תו"/>
    <w:link w:val="a5"/>
    <w:rsid w:val="00091B20"/>
    <w:rPr>
      <w:rFonts w:ascii="Times New Roman" w:eastAsia="Times New Roman" w:hAnsi="Times New Roman" w:cs="David"/>
      <w:sz w:val="24"/>
      <w:szCs w:val="24"/>
    </w:rPr>
  </w:style>
  <w:style w:type="table" w:styleId="a7">
    <w:name w:val="Table Grid"/>
    <w:basedOn w:val="a1"/>
    <w:rsid w:val="00091B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1B20"/>
  </w:style>
  <w:style w:type="character" w:styleId="Hyperlink">
    <w:name w:val="Hyperlink"/>
    <w:rsid w:val="006B3C7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824863"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28400048" TargetMode="External"/><Relationship Id="rId42" Type="http://schemas.openxmlformats.org/officeDocument/2006/relationships/hyperlink" Target="http://www.nevo.co.il/law/70301/40i" TargetMode="External"/><Relationship Id="rId47" Type="http://schemas.openxmlformats.org/officeDocument/2006/relationships/hyperlink" Target="http://www.nevo.co.il/law/70301/275"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g"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law/70301/40jc.a"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21771409" TargetMode="External"/><Relationship Id="rId37" Type="http://schemas.openxmlformats.org/officeDocument/2006/relationships/hyperlink" Target="http://www.nevo.co.il/case/27502726" TargetMode="External"/><Relationship Id="rId40" Type="http://schemas.openxmlformats.org/officeDocument/2006/relationships/hyperlink" Target="http://www.nevo.co.il/law/70301/144.g"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32.3" TargetMode="External"/><Relationship Id="rId58" Type="http://schemas.openxmlformats.org/officeDocument/2006/relationships/hyperlink" Target="http://www.nevo.co.il/law/70301/275"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31"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law/70301/40jc.c" TargetMode="External"/><Relationship Id="rId35" Type="http://schemas.openxmlformats.org/officeDocument/2006/relationships/hyperlink" Target="http://www.nevo.co.il/case/25890687" TargetMode="External"/><Relationship Id="rId43" Type="http://schemas.openxmlformats.org/officeDocument/2006/relationships/hyperlink" Target="http://www.nevo.co.il/law/70301/40g" TargetMode="External"/><Relationship Id="rId48" Type="http://schemas.openxmlformats.org/officeDocument/2006/relationships/hyperlink" Target="http://www.nevo.co.il/law/70301/144.a" TargetMode="External"/><Relationship Id="rId56" Type="http://schemas.openxmlformats.org/officeDocument/2006/relationships/hyperlink" Target="http://www.nevo.co.il/law/70301/144" TargetMode="External"/><Relationship Id="rId64" Type="http://schemas.openxmlformats.org/officeDocument/2006/relationships/fontTable" Target="fontTable.xml"/><Relationship Id="rId8" Type="http://schemas.openxmlformats.org/officeDocument/2006/relationships/hyperlink" Target="http://www.nevo.co.il/law/70301/31" TargetMode="External"/><Relationship Id="rId51" Type="http://schemas.openxmlformats.org/officeDocument/2006/relationships/hyperlink" Target="http://www.nevo.co.il/law/70301/275"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c" TargetMode="External"/><Relationship Id="rId25" Type="http://schemas.openxmlformats.org/officeDocument/2006/relationships/hyperlink" Target="http://www.nevo.co.il/case/28384637" TargetMode="External"/><Relationship Id="rId33" Type="http://schemas.openxmlformats.org/officeDocument/2006/relationships/hyperlink" Target="http://www.nevo.co.il/case/22690203" TargetMode="External"/><Relationship Id="rId38" Type="http://schemas.openxmlformats.org/officeDocument/2006/relationships/hyperlink" Target="http://www.nevo.co.il/case/30296683" TargetMode="External"/><Relationship Id="rId46" Type="http://schemas.openxmlformats.org/officeDocument/2006/relationships/hyperlink" Target="http://www.nevo.co.il/law/70301/144"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law/70301/40i"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576587" TargetMode="External"/><Relationship Id="rId36" Type="http://schemas.openxmlformats.org/officeDocument/2006/relationships/hyperlink" Target="http://www.nevo.co.il/case/20531134" TargetMode="External"/><Relationship Id="rId49" Type="http://schemas.openxmlformats.org/officeDocument/2006/relationships/hyperlink" Target="http://www.nevo.co.il/law/70301/3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g"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law/70301/144" TargetMode="External"/><Relationship Id="rId52" Type="http://schemas.openxmlformats.org/officeDocument/2006/relationships/hyperlink" Target="http://www.nevo.co.il/law/70301"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2.3"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case/288830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3120</Words>
  <Characters>15601</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18684</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6422631</vt:i4>
      </vt:variant>
      <vt:variant>
        <vt:i4>153</vt:i4>
      </vt:variant>
      <vt:variant>
        <vt:i4>0</vt:i4>
      </vt:variant>
      <vt:variant>
        <vt:i4>5</vt:i4>
      </vt:variant>
      <vt:variant>
        <vt:lpwstr>http://www.nevo.co.il/law/70301/275</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6619233</vt:i4>
      </vt:variant>
      <vt:variant>
        <vt:i4>144</vt:i4>
      </vt:variant>
      <vt:variant>
        <vt:i4>0</vt:i4>
      </vt:variant>
      <vt:variant>
        <vt:i4>5</vt:i4>
      </vt:variant>
      <vt:variant>
        <vt:lpwstr>http://www.nevo.co.il/law/70301/40g</vt:lpwstr>
      </vt:variant>
      <vt:variant>
        <vt:lpwstr/>
      </vt:variant>
      <vt:variant>
        <vt:i4>6619233</vt:i4>
      </vt:variant>
      <vt:variant>
        <vt:i4>141</vt:i4>
      </vt:variant>
      <vt:variant>
        <vt:i4>0</vt:i4>
      </vt:variant>
      <vt:variant>
        <vt:i4>5</vt:i4>
      </vt:variant>
      <vt:variant>
        <vt:lpwstr>http://www.nevo.co.il/law/70301/40i</vt:lpwstr>
      </vt:variant>
      <vt:variant>
        <vt:lpwstr/>
      </vt:variant>
      <vt:variant>
        <vt:i4>5505096</vt:i4>
      </vt:variant>
      <vt:variant>
        <vt:i4>138</vt:i4>
      </vt:variant>
      <vt:variant>
        <vt:i4>0</vt:i4>
      </vt:variant>
      <vt:variant>
        <vt:i4>5</vt:i4>
      </vt:variant>
      <vt:variant>
        <vt:lpwstr>http://www.nevo.co.il/law/70301/32.3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6422631</vt:i4>
      </vt:variant>
      <vt:variant>
        <vt:i4>132</vt:i4>
      </vt:variant>
      <vt:variant>
        <vt:i4>0</vt:i4>
      </vt:variant>
      <vt:variant>
        <vt:i4>5</vt:i4>
      </vt:variant>
      <vt:variant>
        <vt:lpwstr>http://www.nevo.co.il/law/70301/275</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6553702</vt:i4>
      </vt:variant>
      <vt:variant>
        <vt:i4>126</vt:i4>
      </vt:variant>
      <vt:variant>
        <vt:i4>0</vt:i4>
      </vt:variant>
      <vt:variant>
        <vt:i4>5</vt:i4>
      </vt:variant>
      <vt:variant>
        <vt:lpwstr>http://www.nevo.co.il/law/70301/31</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6422631</vt:i4>
      </vt:variant>
      <vt:variant>
        <vt:i4>120</vt:i4>
      </vt:variant>
      <vt:variant>
        <vt:i4>0</vt:i4>
      </vt:variant>
      <vt:variant>
        <vt:i4>5</vt:i4>
      </vt:variant>
      <vt:variant>
        <vt:lpwstr>http://www.nevo.co.il/law/70301/275</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6619233</vt:i4>
      </vt:variant>
      <vt:variant>
        <vt:i4>108</vt:i4>
      </vt:variant>
      <vt:variant>
        <vt:i4>0</vt:i4>
      </vt:variant>
      <vt:variant>
        <vt:i4>5</vt:i4>
      </vt:variant>
      <vt:variant>
        <vt:lpwstr>http://www.nevo.co.il/law/70301/40g</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5177424</vt:i4>
      </vt:variant>
      <vt:variant>
        <vt:i4>99</vt:i4>
      </vt:variant>
      <vt:variant>
        <vt:i4>0</vt:i4>
      </vt:variant>
      <vt:variant>
        <vt:i4>5</vt:i4>
      </vt:variant>
      <vt:variant>
        <vt:lpwstr>http://www.nevo.co.il/law/70301/144.g</vt:lpwstr>
      </vt:variant>
      <vt:variant>
        <vt:lpwstr/>
      </vt:variant>
      <vt:variant>
        <vt:i4>3211380</vt:i4>
      </vt:variant>
      <vt:variant>
        <vt:i4>96</vt:i4>
      </vt:variant>
      <vt:variant>
        <vt:i4>0</vt:i4>
      </vt:variant>
      <vt:variant>
        <vt:i4>5</vt:i4>
      </vt:variant>
      <vt:variant>
        <vt:lpwstr>http://www.nevo.co.il/case/28883087</vt:lpwstr>
      </vt:variant>
      <vt:variant>
        <vt:lpwstr/>
      </vt:variant>
      <vt:variant>
        <vt:i4>4128891</vt:i4>
      </vt:variant>
      <vt:variant>
        <vt:i4>93</vt:i4>
      </vt:variant>
      <vt:variant>
        <vt:i4>0</vt:i4>
      </vt:variant>
      <vt:variant>
        <vt:i4>5</vt:i4>
      </vt:variant>
      <vt:variant>
        <vt:lpwstr>http://www.nevo.co.il/case/30296683</vt:lpwstr>
      </vt:variant>
      <vt:variant>
        <vt:lpwstr/>
      </vt:variant>
      <vt:variant>
        <vt:i4>3604596</vt:i4>
      </vt:variant>
      <vt:variant>
        <vt:i4>90</vt:i4>
      </vt:variant>
      <vt:variant>
        <vt:i4>0</vt:i4>
      </vt:variant>
      <vt:variant>
        <vt:i4>5</vt:i4>
      </vt:variant>
      <vt:variant>
        <vt:lpwstr>http://www.nevo.co.il/case/27502726</vt:lpwstr>
      </vt:variant>
      <vt:variant>
        <vt:lpwstr/>
      </vt:variant>
      <vt:variant>
        <vt:i4>3473526</vt:i4>
      </vt:variant>
      <vt:variant>
        <vt:i4>87</vt:i4>
      </vt:variant>
      <vt:variant>
        <vt:i4>0</vt:i4>
      </vt:variant>
      <vt:variant>
        <vt:i4>5</vt:i4>
      </vt:variant>
      <vt:variant>
        <vt:lpwstr>http://www.nevo.co.il/case/20531134</vt:lpwstr>
      </vt:variant>
      <vt:variant>
        <vt:lpwstr/>
      </vt:variant>
      <vt:variant>
        <vt:i4>3276926</vt:i4>
      </vt:variant>
      <vt:variant>
        <vt:i4>84</vt:i4>
      </vt:variant>
      <vt:variant>
        <vt:i4>0</vt:i4>
      </vt:variant>
      <vt:variant>
        <vt:i4>5</vt:i4>
      </vt:variant>
      <vt:variant>
        <vt:lpwstr>http://www.nevo.co.il/case/25890687</vt:lpwstr>
      </vt:variant>
      <vt:variant>
        <vt:lpwstr/>
      </vt:variant>
      <vt:variant>
        <vt:i4>3276924</vt:i4>
      </vt:variant>
      <vt:variant>
        <vt:i4>81</vt:i4>
      </vt:variant>
      <vt:variant>
        <vt:i4>0</vt:i4>
      </vt:variant>
      <vt:variant>
        <vt:i4>5</vt:i4>
      </vt:variant>
      <vt:variant>
        <vt:lpwstr>http://www.nevo.co.il/case/28400048</vt:lpwstr>
      </vt:variant>
      <vt:variant>
        <vt:lpwstr/>
      </vt:variant>
      <vt:variant>
        <vt:i4>3407997</vt:i4>
      </vt:variant>
      <vt:variant>
        <vt:i4>78</vt:i4>
      </vt:variant>
      <vt:variant>
        <vt:i4>0</vt:i4>
      </vt:variant>
      <vt:variant>
        <vt:i4>5</vt:i4>
      </vt:variant>
      <vt:variant>
        <vt:lpwstr>http://www.nevo.co.il/case/22690203</vt:lpwstr>
      </vt:variant>
      <vt:variant>
        <vt:lpwstr/>
      </vt:variant>
      <vt:variant>
        <vt:i4>3407990</vt:i4>
      </vt:variant>
      <vt:variant>
        <vt:i4>75</vt:i4>
      </vt:variant>
      <vt:variant>
        <vt:i4>0</vt:i4>
      </vt:variant>
      <vt:variant>
        <vt:i4>5</vt:i4>
      </vt:variant>
      <vt:variant>
        <vt:lpwstr>http://www.nevo.co.il/case/21771409</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6619173</vt:i4>
      </vt:variant>
      <vt:variant>
        <vt:i4>69</vt:i4>
      </vt:variant>
      <vt:variant>
        <vt:i4>0</vt:i4>
      </vt:variant>
      <vt:variant>
        <vt:i4>5</vt:i4>
      </vt:variant>
      <vt:variant>
        <vt:lpwstr>http://www.nevo.co.il/law/70301/40jc.c</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3145855</vt:i4>
      </vt:variant>
      <vt:variant>
        <vt:i4>63</vt:i4>
      </vt:variant>
      <vt:variant>
        <vt:i4>0</vt:i4>
      </vt:variant>
      <vt:variant>
        <vt:i4>5</vt:i4>
      </vt:variant>
      <vt:variant>
        <vt:lpwstr>http://www.nevo.co.il/case/5576587</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3670139</vt:i4>
      </vt:variant>
      <vt:variant>
        <vt:i4>57</vt:i4>
      </vt:variant>
      <vt:variant>
        <vt:i4>0</vt:i4>
      </vt:variant>
      <vt:variant>
        <vt:i4>5</vt:i4>
      </vt:variant>
      <vt:variant>
        <vt:lpwstr>http://www.nevo.co.il/case/25824863</vt:lpwstr>
      </vt:variant>
      <vt:variant>
        <vt:lpwstr/>
      </vt:variant>
      <vt:variant>
        <vt:i4>3539058</vt:i4>
      </vt:variant>
      <vt:variant>
        <vt:i4>54</vt:i4>
      </vt:variant>
      <vt:variant>
        <vt:i4>0</vt:i4>
      </vt:variant>
      <vt:variant>
        <vt:i4>5</vt:i4>
      </vt:variant>
      <vt:variant>
        <vt:lpwstr>http://www.nevo.co.il/case/28384637</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6619173</vt:i4>
      </vt:variant>
      <vt:variant>
        <vt:i4>30</vt:i4>
      </vt:variant>
      <vt:variant>
        <vt:i4>0</vt:i4>
      </vt:variant>
      <vt:variant>
        <vt:i4>5</vt:i4>
      </vt:variant>
      <vt:variant>
        <vt:lpwstr>http://www.nevo.co.il/law/70301/40jc.c</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5505096</vt:i4>
      </vt:variant>
      <vt:variant>
        <vt:i4>6</vt:i4>
      </vt:variant>
      <vt:variant>
        <vt:i4>0</vt:i4>
      </vt:variant>
      <vt:variant>
        <vt:i4>5</vt:i4>
      </vt:variant>
      <vt:variant>
        <vt:lpwstr>http://www.nevo.co.il/law/70301/32.3</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4459</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עלי מחאג'נה;מוחמד מחאג'נה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20240912</vt:lpwstr>
  </property>
  <property fmtid="{D5CDD505-2E9C-101B-9397-08002B2CF9AE}" pid="13" name="TYPE_N_DATE">
    <vt:lpwstr>39020240912</vt:lpwstr>
  </property>
  <property fmtid="{D5CDD505-2E9C-101B-9397-08002B2CF9AE}" pid="14" name="CASESLISTTMP1">
    <vt:lpwstr>28384637;25824863:2;13093721;5576587;21771409;22690203;28400048;25890687;20531134;27502726;30296683;28883087</vt:lpwstr>
  </property>
  <property fmtid="{D5CDD505-2E9C-101B-9397-08002B2CF9AE}" pid="15" name="CASENOTES1">
    <vt:lpwstr>ProcID=158&amp;PartA=443&amp;PartB=66&amp;PartC=40</vt:lpwstr>
  </property>
  <property fmtid="{D5CDD505-2E9C-101B-9397-08002B2CF9AE}" pid="16" name="WORDNUMPAGES">
    <vt:lpwstr>9</vt:lpwstr>
  </property>
  <property fmtid="{D5CDD505-2E9C-101B-9397-08002B2CF9AE}" pid="17" name="TYPE_ABS_DATE">
    <vt:lpwstr>390020240912</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70301/144.a:4;031:2;275:5;40jc.a;40jc.c;144.g;040i:2;040g:2;144:3;032.3</vt:lpwstr>
  </property>
</Properties>
</file>