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E4D80" w:rsidRPr="00967493" w14:paraId="0ACEC4AD" w14:textId="77777777" w:rsidTr="00EE1216">
        <w:trPr>
          <w:trHeight w:hRule="exact" w:val="418"/>
          <w:jc w:val="center"/>
        </w:trPr>
        <w:tc>
          <w:tcPr>
            <w:tcW w:w="8861" w:type="dxa"/>
            <w:gridSpan w:val="2"/>
          </w:tcPr>
          <w:p w14:paraId="5B8B51D2" w14:textId="77777777" w:rsidR="001E4D80" w:rsidRPr="00967493" w:rsidRDefault="001E4D80" w:rsidP="00EE1216">
            <w:pPr>
              <w:pStyle w:val="a3"/>
              <w:jc w:val="center"/>
              <w:rPr>
                <w:rFonts w:ascii="Tahoma" w:hAnsi="Tahoma"/>
                <w:color w:val="000080"/>
                <w:sz w:val="32"/>
                <w:szCs w:val="32"/>
                <w:rtl/>
              </w:rPr>
            </w:pPr>
            <w:r w:rsidRPr="00967493">
              <w:rPr>
                <w:rFonts w:ascii="Tahoma" w:hAnsi="Tahoma"/>
                <w:b/>
                <w:bCs/>
                <w:color w:val="000080"/>
                <w:sz w:val="32"/>
                <w:szCs w:val="32"/>
                <w:rtl/>
              </w:rPr>
              <w:t>בית המשפט המחוזי בבאר שבע</w:t>
            </w:r>
          </w:p>
        </w:tc>
      </w:tr>
      <w:tr w:rsidR="001E4D80" w:rsidRPr="00967493" w14:paraId="1922E0F3" w14:textId="77777777" w:rsidTr="00EE1216">
        <w:trPr>
          <w:trHeight w:val="337"/>
          <w:jc w:val="center"/>
        </w:trPr>
        <w:tc>
          <w:tcPr>
            <w:tcW w:w="5131" w:type="dxa"/>
          </w:tcPr>
          <w:p w14:paraId="395BDD17" w14:textId="77777777" w:rsidR="001E4D80" w:rsidRPr="00967493" w:rsidRDefault="001E4D80" w:rsidP="00EE1216">
            <w:pPr>
              <w:rPr>
                <w:sz w:val="26"/>
                <w:szCs w:val="26"/>
                <w:rtl/>
              </w:rPr>
            </w:pPr>
            <w:r w:rsidRPr="00967493">
              <w:rPr>
                <w:sz w:val="26"/>
                <w:szCs w:val="26"/>
                <w:rtl/>
              </w:rPr>
              <w:t>ת"פ</w:t>
            </w:r>
            <w:r w:rsidRPr="00967493">
              <w:rPr>
                <w:rFonts w:hint="cs"/>
                <w:sz w:val="26"/>
                <w:szCs w:val="26"/>
                <w:rtl/>
              </w:rPr>
              <w:t xml:space="preserve"> </w:t>
            </w:r>
            <w:r w:rsidRPr="00967493">
              <w:rPr>
                <w:sz w:val="26"/>
                <w:szCs w:val="26"/>
                <w:rtl/>
              </w:rPr>
              <w:t>40602-04-24</w:t>
            </w:r>
            <w:r w:rsidRPr="00967493">
              <w:rPr>
                <w:rFonts w:hint="cs"/>
                <w:sz w:val="26"/>
                <w:szCs w:val="26"/>
                <w:rtl/>
              </w:rPr>
              <w:t xml:space="preserve"> </w:t>
            </w:r>
            <w:r w:rsidRPr="00967493">
              <w:rPr>
                <w:sz w:val="26"/>
                <w:szCs w:val="26"/>
                <w:rtl/>
              </w:rPr>
              <w:t>מדינת ישראל נ' אבו סויס(עציר)</w:t>
            </w:r>
          </w:p>
          <w:p w14:paraId="143D96B2" w14:textId="77777777" w:rsidR="001E4D80" w:rsidRPr="00967493" w:rsidRDefault="001E4D80" w:rsidP="00EE1216">
            <w:pPr>
              <w:pStyle w:val="a3"/>
              <w:rPr>
                <w:rFonts w:cs="FrankRuehl"/>
                <w:sz w:val="28"/>
                <w:szCs w:val="28"/>
                <w:rtl/>
              </w:rPr>
            </w:pPr>
          </w:p>
        </w:tc>
        <w:tc>
          <w:tcPr>
            <w:tcW w:w="3730" w:type="dxa"/>
          </w:tcPr>
          <w:p w14:paraId="19CAEE41" w14:textId="77777777" w:rsidR="001E4D80" w:rsidRPr="00967493" w:rsidRDefault="001E4D80" w:rsidP="00EE1216">
            <w:pPr>
              <w:pStyle w:val="a3"/>
              <w:jc w:val="right"/>
              <w:rPr>
                <w:rFonts w:cs="FrankRuehl"/>
                <w:sz w:val="28"/>
                <w:szCs w:val="28"/>
                <w:rtl/>
              </w:rPr>
            </w:pPr>
          </w:p>
        </w:tc>
      </w:tr>
    </w:tbl>
    <w:p w14:paraId="6A1C79A1" w14:textId="77777777" w:rsidR="001E4D80" w:rsidRPr="00967493" w:rsidRDefault="001E4D80" w:rsidP="001E4D80">
      <w:pPr>
        <w:pStyle w:val="a3"/>
        <w:rPr>
          <w:rtl/>
        </w:rPr>
      </w:pPr>
      <w:r w:rsidRPr="0096749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57"/>
        <w:gridCol w:w="3368"/>
      </w:tblGrid>
      <w:tr w:rsidR="001E4D80" w:rsidRPr="00967493" w14:paraId="27A83D38" w14:textId="77777777" w:rsidTr="00E51179">
        <w:trPr>
          <w:trHeight w:val="295"/>
          <w:jc w:val="center"/>
        </w:trPr>
        <w:tc>
          <w:tcPr>
            <w:tcW w:w="1195" w:type="dxa"/>
            <w:tcBorders>
              <w:top w:val="nil"/>
              <w:left w:val="nil"/>
              <w:bottom w:val="nil"/>
              <w:right w:val="nil"/>
            </w:tcBorders>
            <w:shd w:val="clear" w:color="auto" w:fill="auto"/>
          </w:tcPr>
          <w:p w14:paraId="61730DE5" w14:textId="77777777" w:rsidR="001E4D80" w:rsidRPr="00967493" w:rsidRDefault="001E4D80" w:rsidP="001E4D80">
            <w:pPr>
              <w:spacing w:line="360" w:lineRule="auto"/>
              <w:jc w:val="both"/>
              <w:rPr>
                <w:rFonts w:ascii="Arial" w:hAnsi="Arial"/>
                <w:b/>
                <w:bCs/>
                <w:sz w:val="26"/>
                <w:szCs w:val="26"/>
              </w:rPr>
            </w:pPr>
            <w:r w:rsidRPr="00967493">
              <w:rPr>
                <w:rFonts w:ascii="Arial" w:hAnsi="Arial" w:hint="cs"/>
                <w:b/>
                <w:bCs/>
                <w:sz w:val="26"/>
                <w:szCs w:val="26"/>
                <w:rtl/>
              </w:rPr>
              <w:t>ל</w:t>
            </w:r>
            <w:r w:rsidRPr="00967493">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15E9066D" w14:textId="77777777" w:rsidR="001E4D80" w:rsidRPr="00967493" w:rsidRDefault="001E4D80" w:rsidP="001E4D80">
            <w:pPr>
              <w:spacing w:line="360" w:lineRule="auto"/>
              <w:jc w:val="both"/>
              <w:rPr>
                <w:rFonts w:ascii="Arial" w:hAnsi="Arial"/>
                <w:sz w:val="26"/>
                <w:szCs w:val="26"/>
              </w:rPr>
            </w:pPr>
            <w:r w:rsidRPr="00967493">
              <w:rPr>
                <w:rFonts w:ascii="Arial" w:hAnsi="Arial"/>
                <w:b/>
                <w:bCs/>
                <w:sz w:val="26"/>
                <w:szCs w:val="26"/>
                <w:rtl/>
              </w:rPr>
              <w:t>כב' ה</w:t>
            </w:r>
            <w:r w:rsidRPr="00967493">
              <w:rPr>
                <w:rFonts w:ascii="Arial" w:hAnsi="Arial" w:hint="cs"/>
                <w:b/>
                <w:bCs/>
                <w:sz w:val="26"/>
                <w:szCs w:val="26"/>
                <w:rtl/>
              </w:rPr>
              <w:t>נשיא, השופט</w:t>
            </w:r>
            <w:r w:rsidRPr="00967493">
              <w:rPr>
                <w:rFonts w:ascii="Arial" w:hAnsi="Arial"/>
                <w:b/>
                <w:bCs/>
                <w:sz w:val="26"/>
                <w:szCs w:val="26"/>
                <w:rtl/>
              </w:rPr>
              <w:t xml:space="preserve"> בני שגיא</w:t>
            </w:r>
          </w:p>
        </w:tc>
      </w:tr>
      <w:tr w:rsidR="001E4D80" w:rsidRPr="00967493" w14:paraId="7D7D9DAE" w14:textId="77777777" w:rsidTr="00E51179">
        <w:trPr>
          <w:trHeight w:val="355"/>
          <w:jc w:val="center"/>
        </w:trPr>
        <w:tc>
          <w:tcPr>
            <w:tcW w:w="1195" w:type="dxa"/>
            <w:tcBorders>
              <w:top w:val="nil"/>
              <w:left w:val="nil"/>
              <w:bottom w:val="nil"/>
              <w:right w:val="nil"/>
            </w:tcBorders>
            <w:shd w:val="clear" w:color="auto" w:fill="auto"/>
          </w:tcPr>
          <w:p w14:paraId="7C415AF7" w14:textId="77777777" w:rsidR="001E4D80" w:rsidRPr="00967493" w:rsidRDefault="001E4D80" w:rsidP="001E4D80">
            <w:pPr>
              <w:spacing w:line="360" w:lineRule="auto"/>
              <w:jc w:val="both"/>
              <w:rPr>
                <w:rFonts w:ascii="Arial" w:hAnsi="Arial"/>
                <w:b/>
                <w:bCs/>
                <w:sz w:val="26"/>
                <w:szCs w:val="26"/>
              </w:rPr>
            </w:pPr>
            <w:bookmarkStart w:id="0" w:name="FirstAppellant"/>
            <w:bookmarkStart w:id="1" w:name="FirstLawyer"/>
            <w:bookmarkStart w:id="2" w:name="LastJudge"/>
            <w:bookmarkEnd w:id="2"/>
            <w:r w:rsidRPr="00967493">
              <w:rPr>
                <w:rFonts w:ascii="Arial" w:hAnsi="Arial" w:hint="cs"/>
                <w:sz w:val="26"/>
                <w:szCs w:val="26"/>
                <w:rtl/>
              </w:rPr>
              <w:t>ה</w:t>
            </w:r>
            <w:r w:rsidRPr="00967493">
              <w:rPr>
                <w:rFonts w:ascii="Arial" w:hAnsi="Arial"/>
                <w:sz w:val="26"/>
                <w:szCs w:val="26"/>
                <w:rtl/>
              </w:rPr>
              <w:t>מאשימה</w:t>
            </w:r>
          </w:p>
        </w:tc>
        <w:tc>
          <w:tcPr>
            <w:tcW w:w="4257" w:type="dxa"/>
            <w:tcBorders>
              <w:top w:val="nil"/>
              <w:left w:val="nil"/>
              <w:bottom w:val="nil"/>
              <w:right w:val="nil"/>
            </w:tcBorders>
            <w:shd w:val="clear" w:color="auto" w:fill="auto"/>
          </w:tcPr>
          <w:p w14:paraId="724BBCD3" w14:textId="77777777" w:rsidR="001E4D80" w:rsidRPr="00967493" w:rsidRDefault="001E4D80" w:rsidP="001E4D80">
            <w:pPr>
              <w:spacing w:line="360" w:lineRule="auto"/>
              <w:rPr>
                <w:b/>
                <w:bCs/>
                <w:sz w:val="26"/>
                <w:szCs w:val="26"/>
                <w:rtl/>
              </w:rPr>
            </w:pPr>
            <w:r w:rsidRPr="00967493">
              <w:rPr>
                <w:rFonts w:ascii="Arial" w:hAnsi="Arial"/>
                <w:b/>
                <w:bCs/>
                <w:sz w:val="26"/>
                <w:szCs w:val="26"/>
                <w:rtl/>
              </w:rPr>
              <w:t>מדינת ישראל</w:t>
            </w:r>
          </w:p>
          <w:p w14:paraId="5E97D7AC" w14:textId="77777777" w:rsidR="001E4D80" w:rsidRPr="00967493" w:rsidRDefault="001E4D80" w:rsidP="001E4D80">
            <w:pPr>
              <w:spacing w:line="360" w:lineRule="auto"/>
              <w:rPr>
                <w:sz w:val="26"/>
                <w:szCs w:val="26"/>
              </w:rPr>
            </w:pPr>
            <w:r w:rsidRPr="00967493">
              <w:rPr>
                <w:rFonts w:hint="cs"/>
                <w:sz w:val="26"/>
                <w:szCs w:val="26"/>
                <w:rtl/>
              </w:rPr>
              <w:t>ע"י ב"כ עו"ד וואסים אבו עאמר</w:t>
            </w:r>
          </w:p>
        </w:tc>
        <w:tc>
          <w:tcPr>
            <w:tcW w:w="3368" w:type="dxa"/>
            <w:tcBorders>
              <w:top w:val="nil"/>
              <w:left w:val="nil"/>
              <w:bottom w:val="nil"/>
              <w:right w:val="nil"/>
            </w:tcBorders>
            <w:shd w:val="clear" w:color="auto" w:fill="auto"/>
          </w:tcPr>
          <w:p w14:paraId="0239C66B" w14:textId="77777777" w:rsidR="001E4D80" w:rsidRPr="00967493" w:rsidRDefault="001E4D80" w:rsidP="001E4D80">
            <w:pPr>
              <w:spacing w:line="360" w:lineRule="auto"/>
              <w:jc w:val="both"/>
              <w:rPr>
                <w:rFonts w:ascii="Arial" w:hAnsi="Arial"/>
                <w:sz w:val="26"/>
                <w:szCs w:val="26"/>
              </w:rPr>
            </w:pPr>
          </w:p>
        </w:tc>
      </w:tr>
      <w:bookmarkEnd w:id="0"/>
      <w:bookmarkEnd w:id="1"/>
      <w:tr w:rsidR="001E4D80" w:rsidRPr="00967493" w14:paraId="5158FF6E" w14:textId="77777777" w:rsidTr="00E51179">
        <w:trPr>
          <w:trHeight w:val="355"/>
          <w:jc w:val="center"/>
        </w:trPr>
        <w:tc>
          <w:tcPr>
            <w:tcW w:w="1195" w:type="dxa"/>
            <w:tcBorders>
              <w:top w:val="nil"/>
              <w:left w:val="nil"/>
              <w:bottom w:val="nil"/>
              <w:right w:val="nil"/>
            </w:tcBorders>
            <w:shd w:val="clear" w:color="auto" w:fill="auto"/>
          </w:tcPr>
          <w:p w14:paraId="57171FDC" w14:textId="77777777" w:rsidR="001E4D80" w:rsidRPr="00967493" w:rsidRDefault="001E4D80" w:rsidP="001E4D80">
            <w:pPr>
              <w:spacing w:line="360" w:lineRule="auto"/>
              <w:jc w:val="both"/>
              <w:rPr>
                <w:rFonts w:ascii="Arial" w:hAnsi="Arial"/>
                <w:sz w:val="26"/>
                <w:szCs w:val="26"/>
                <w:rtl/>
              </w:rPr>
            </w:pPr>
          </w:p>
        </w:tc>
        <w:tc>
          <w:tcPr>
            <w:tcW w:w="4257" w:type="dxa"/>
            <w:tcBorders>
              <w:top w:val="nil"/>
              <w:left w:val="nil"/>
              <w:bottom w:val="nil"/>
              <w:right w:val="nil"/>
            </w:tcBorders>
            <w:shd w:val="clear" w:color="auto" w:fill="auto"/>
          </w:tcPr>
          <w:p w14:paraId="2D2E313C" w14:textId="77777777" w:rsidR="001E4D80" w:rsidRPr="00967493" w:rsidRDefault="001E4D80" w:rsidP="001E4D80">
            <w:pPr>
              <w:spacing w:line="360" w:lineRule="auto"/>
              <w:rPr>
                <w:rFonts w:ascii="Arial" w:hAnsi="Arial"/>
                <w:sz w:val="26"/>
                <w:szCs w:val="26"/>
                <w:rtl/>
              </w:rPr>
            </w:pPr>
          </w:p>
        </w:tc>
        <w:tc>
          <w:tcPr>
            <w:tcW w:w="3368" w:type="dxa"/>
            <w:tcBorders>
              <w:top w:val="nil"/>
              <w:left w:val="nil"/>
              <w:bottom w:val="nil"/>
              <w:right w:val="nil"/>
            </w:tcBorders>
            <w:shd w:val="clear" w:color="auto" w:fill="auto"/>
          </w:tcPr>
          <w:p w14:paraId="60239D5E" w14:textId="77777777" w:rsidR="001E4D80" w:rsidRPr="00967493" w:rsidRDefault="001E4D80" w:rsidP="001E4D80">
            <w:pPr>
              <w:spacing w:line="360" w:lineRule="auto"/>
              <w:jc w:val="right"/>
              <w:rPr>
                <w:rFonts w:ascii="Arial" w:hAnsi="Arial"/>
                <w:sz w:val="26"/>
                <w:szCs w:val="26"/>
                <w:rtl/>
              </w:rPr>
            </w:pPr>
          </w:p>
        </w:tc>
      </w:tr>
      <w:tr w:rsidR="001E4D80" w:rsidRPr="00967493" w14:paraId="1F99B1FB" w14:textId="77777777" w:rsidTr="00E51179">
        <w:trPr>
          <w:trHeight w:val="355"/>
          <w:jc w:val="center"/>
        </w:trPr>
        <w:tc>
          <w:tcPr>
            <w:tcW w:w="1195" w:type="dxa"/>
            <w:tcBorders>
              <w:top w:val="nil"/>
              <w:left w:val="nil"/>
              <w:bottom w:val="nil"/>
              <w:right w:val="nil"/>
            </w:tcBorders>
            <w:shd w:val="clear" w:color="auto" w:fill="auto"/>
          </w:tcPr>
          <w:p w14:paraId="5E4C0875" w14:textId="77777777" w:rsidR="001E4D80" w:rsidRPr="00967493" w:rsidRDefault="001E4D80" w:rsidP="001E4D80">
            <w:pPr>
              <w:spacing w:line="360" w:lineRule="auto"/>
              <w:jc w:val="both"/>
              <w:rPr>
                <w:rFonts w:ascii="Arial" w:hAnsi="Arial"/>
                <w:sz w:val="26"/>
                <w:szCs w:val="26"/>
                <w:rtl/>
              </w:rPr>
            </w:pPr>
          </w:p>
        </w:tc>
        <w:tc>
          <w:tcPr>
            <w:tcW w:w="7625" w:type="dxa"/>
            <w:gridSpan w:val="2"/>
            <w:tcBorders>
              <w:top w:val="nil"/>
              <w:left w:val="nil"/>
              <w:bottom w:val="nil"/>
              <w:right w:val="nil"/>
            </w:tcBorders>
            <w:shd w:val="clear" w:color="auto" w:fill="auto"/>
          </w:tcPr>
          <w:p w14:paraId="25ED671E" w14:textId="77777777" w:rsidR="001E4D80" w:rsidRPr="00967493" w:rsidRDefault="001E4D80" w:rsidP="001E4D80">
            <w:pPr>
              <w:spacing w:line="360" w:lineRule="auto"/>
              <w:jc w:val="center"/>
              <w:rPr>
                <w:rFonts w:ascii="Arial" w:hAnsi="Arial"/>
                <w:b/>
                <w:bCs/>
                <w:sz w:val="26"/>
                <w:szCs w:val="26"/>
              </w:rPr>
            </w:pPr>
            <w:r w:rsidRPr="00967493">
              <w:rPr>
                <w:rFonts w:ascii="Arial" w:hAnsi="Arial"/>
                <w:b/>
                <w:bCs/>
                <w:sz w:val="26"/>
                <w:szCs w:val="26"/>
                <w:rtl/>
              </w:rPr>
              <w:t>נגד</w:t>
            </w:r>
          </w:p>
        </w:tc>
      </w:tr>
      <w:tr w:rsidR="001E4D80" w:rsidRPr="00967493" w14:paraId="0B3F0628" w14:textId="77777777" w:rsidTr="00E51179">
        <w:trPr>
          <w:trHeight w:val="355"/>
          <w:jc w:val="center"/>
        </w:trPr>
        <w:tc>
          <w:tcPr>
            <w:tcW w:w="1195" w:type="dxa"/>
            <w:tcBorders>
              <w:top w:val="nil"/>
              <w:left w:val="nil"/>
              <w:bottom w:val="nil"/>
              <w:right w:val="nil"/>
            </w:tcBorders>
            <w:shd w:val="clear" w:color="auto" w:fill="auto"/>
          </w:tcPr>
          <w:p w14:paraId="664DB9FB" w14:textId="77777777" w:rsidR="001E4D80" w:rsidRPr="00967493" w:rsidRDefault="001E4D80" w:rsidP="001E4D80">
            <w:pPr>
              <w:spacing w:line="360" w:lineRule="auto"/>
              <w:rPr>
                <w:rFonts w:ascii="Arial" w:hAnsi="Arial"/>
                <w:sz w:val="26"/>
                <w:szCs w:val="26"/>
                <w:rtl/>
              </w:rPr>
            </w:pPr>
            <w:r w:rsidRPr="00967493">
              <w:rPr>
                <w:rFonts w:ascii="Arial" w:hAnsi="Arial" w:hint="cs"/>
                <w:sz w:val="26"/>
                <w:szCs w:val="26"/>
                <w:rtl/>
              </w:rPr>
              <w:t>ה</w:t>
            </w:r>
            <w:r w:rsidRPr="00967493">
              <w:rPr>
                <w:rFonts w:ascii="Arial" w:hAnsi="Arial"/>
                <w:sz w:val="26"/>
                <w:szCs w:val="26"/>
                <w:rtl/>
              </w:rPr>
              <w:t>נאש</w:t>
            </w:r>
            <w:r w:rsidRPr="00967493">
              <w:rPr>
                <w:rFonts w:ascii="Arial" w:hAnsi="Arial" w:hint="cs"/>
                <w:sz w:val="26"/>
                <w:szCs w:val="26"/>
                <w:rtl/>
              </w:rPr>
              <w:t>ם</w:t>
            </w:r>
          </w:p>
        </w:tc>
        <w:tc>
          <w:tcPr>
            <w:tcW w:w="4257" w:type="dxa"/>
            <w:tcBorders>
              <w:top w:val="nil"/>
              <w:left w:val="nil"/>
              <w:bottom w:val="nil"/>
              <w:right w:val="nil"/>
            </w:tcBorders>
            <w:shd w:val="clear" w:color="auto" w:fill="auto"/>
          </w:tcPr>
          <w:p w14:paraId="4EE4BD2E" w14:textId="77777777" w:rsidR="001E4D80" w:rsidRPr="00967493" w:rsidRDefault="001E4D80" w:rsidP="001E4D80">
            <w:pPr>
              <w:spacing w:line="360" w:lineRule="auto"/>
              <w:rPr>
                <w:sz w:val="26"/>
                <w:szCs w:val="26"/>
                <w:rtl/>
              </w:rPr>
            </w:pPr>
            <w:r w:rsidRPr="00967493">
              <w:rPr>
                <w:rFonts w:ascii="Arial" w:hAnsi="Arial"/>
                <w:b/>
                <w:bCs/>
                <w:sz w:val="26"/>
                <w:szCs w:val="26"/>
                <w:rtl/>
              </w:rPr>
              <w:t>מאהר אבו סויס (עציר)</w:t>
            </w:r>
          </w:p>
          <w:p w14:paraId="383A763D" w14:textId="77777777" w:rsidR="001E4D80" w:rsidRPr="00967493" w:rsidRDefault="001E4D80" w:rsidP="001E4D80">
            <w:pPr>
              <w:spacing w:line="360" w:lineRule="auto"/>
              <w:rPr>
                <w:sz w:val="26"/>
                <w:szCs w:val="26"/>
                <w:rtl/>
              </w:rPr>
            </w:pPr>
            <w:r w:rsidRPr="00967493">
              <w:rPr>
                <w:rFonts w:hint="cs"/>
                <w:sz w:val="26"/>
                <w:szCs w:val="26"/>
                <w:rtl/>
              </w:rPr>
              <w:t xml:space="preserve">ע"י ב"כ עו"ד נטלי אוטן </w:t>
            </w:r>
          </w:p>
        </w:tc>
        <w:tc>
          <w:tcPr>
            <w:tcW w:w="3368" w:type="dxa"/>
            <w:tcBorders>
              <w:top w:val="nil"/>
              <w:left w:val="nil"/>
              <w:bottom w:val="nil"/>
              <w:right w:val="nil"/>
            </w:tcBorders>
            <w:shd w:val="clear" w:color="auto" w:fill="auto"/>
          </w:tcPr>
          <w:p w14:paraId="35D6C48C" w14:textId="77777777" w:rsidR="001E4D80" w:rsidRPr="00967493" w:rsidRDefault="001E4D80" w:rsidP="001E4D80">
            <w:pPr>
              <w:spacing w:line="360" w:lineRule="auto"/>
              <w:jc w:val="right"/>
              <w:rPr>
                <w:rFonts w:ascii="Arial" w:hAnsi="Arial"/>
                <w:sz w:val="26"/>
                <w:szCs w:val="26"/>
              </w:rPr>
            </w:pPr>
          </w:p>
        </w:tc>
      </w:tr>
    </w:tbl>
    <w:p w14:paraId="0BDBD11A" w14:textId="77777777" w:rsidR="00967493" w:rsidRPr="00967493" w:rsidRDefault="00967493" w:rsidP="00967493">
      <w:pPr>
        <w:spacing w:before="120" w:after="120" w:line="240" w:lineRule="exact"/>
        <w:ind w:left="283" w:hanging="283"/>
        <w:jc w:val="both"/>
        <w:rPr>
          <w:rFonts w:ascii="FrankRuehl" w:hAnsi="FrankRuehl" w:cs="FrankRuehl"/>
          <w:rtl/>
        </w:rPr>
      </w:pPr>
    </w:p>
    <w:p w14:paraId="0AF17823" w14:textId="77777777" w:rsidR="00967493" w:rsidRPr="00967493" w:rsidRDefault="00967493" w:rsidP="00967493">
      <w:pPr>
        <w:spacing w:line="360" w:lineRule="auto"/>
        <w:rPr>
          <w:rtl/>
        </w:rPr>
      </w:pPr>
    </w:p>
    <w:p w14:paraId="6C9A9833" w14:textId="77777777" w:rsidR="00E51179" w:rsidRPr="00E51179" w:rsidRDefault="00E51179" w:rsidP="00E51179">
      <w:pPr>
        <w:spacing w:before="120" w:after="120" w:line="240" w:lineRule="exact"/>
        <w:ind w:left="283" w:hanging="283"/>
        <w:jc w:val="both"/>
        <w:rPr>
          <w:rFonts w:ascii="FrankRuehl" w:hAnsi="FrankRuehl" w:cs="FrankRuehl"/>
          <w:rtl/>
        </w:rPr>
      </w:pPr>
      <w:bookmarkStart w:id="3" w:name="LawTable"/>
      <w:bookmarkEnd w:id="3"/>
    </w:p>
    <w:p w14:paraId="01CDD34B" w14:textId="77777777" w:rsidR="00E51179" w:rsidRPr="00E51179" w:rsidRDefault="00E51179" w:rsidP="00E51179">
      <w:pPr>
        <w:spacing w:before="120" w:after="120" w:line="240" w:lineRule="exact"/>
        <w:ind w:left="283" w:hanging="283"/>
        <w:jc w:val="both"/>
        <w:rPr>
          <w:rFonts w:ascii="FrankRuehl" w:hAnsi="FrankRuehl" w:cs="FrankRuehl"/>
          <w:rtl/>
        </w:rPr>
      </w:pPr>
      <w:r w:rsidRPr="00E51179">
        <w:rPr>
          <w:rFonts w:ascii="FrankRuehl" w:hAnsi="FrankRuehl" w:cs="FrankRuehl"/>
          <w:rtl/>
        </w:rPr>
        <w:t xml:space="preserve">חקיקה שאוזכרה: </w:t>
      </w:r>
    </w:p>
    <w:p w14:paraId="502F93FA" w14:textId="77777777" w:rsidR="00E51179" w:rsidRPr="00E51179" w:rsidRDefault="00E51179" w:rsidP="00E51179">
      <w:pPr>
        <w:spacing w:before="120" w:after="120" w:line="240" w:lineRule="exact"/>
        <w:ind w:left="283" w:hanging="283"/>
        <w:jc w:val="both"/>
        <w:rPr>
          <w:rFonts w:ascii="FrankRuehl" w:hAnsi="FrankRuehl" w:cs="FrankRuehl"/>
          <w:color w:val="0000FF"/>
          <w:rtl/>
        </w:rPr>
      </w:pPr>
      <w:hyperlink r:id="rId6" w:history="1">
        <w:r w:rsidRPr="00E51179">
          <w:rPr>
            <w:rStyle w:val="Hyperlink"/>
            <w:rFonts w:ascii="FrankRuehl" w:hAnsi="FrankRuehl" w:cs="FrankRuehl"/>
            <w:u w:val="none"/>
            <w:rtl/>
          </w:rPr>
          <w:t>חוק העונשין, תשל"ז-1977</w:t>
        </w:r>
      </w:hyperlink>
      <w:r w:rsidRPr="00E51179">
        <w:rPr>
          <w:rFonts w:ascii="FrankRuehl" w:hAnsi="FrankRuehl" w:cs="FrankRuehl"/>
          <w:color w:val="0000FF"/>
          <w:rtl/>
        </w:rPr>
        <w:t xml:space="preserve">: סע'  </w:t>
      </w:r>
      <w:hyperlink r:id="rId7" w:history="1">
        <w:r w:rsidRPr="00E51179">
          <w:rPr>
            <w:rStyle w:val="Hyperlink"/>
            <w:rFonts w:ascii="FrankRuehl" w:hAnsi="FrankRuehl" w:cs="FrankRuehl"/>
            <w:u w:val="none"/>
          </w:rPr>
          <w:t>29</w:t>
        </w:r>
      </w:hyperlink>
      <w:r w:rsidRPr="00E51179">
        <w:rPr>
          <w:rFonts w:ascii="FrankRuehl" w:hAnsi="FrankRuehl" w:cs="FrankRuehl"/>
          <w:color w:val="0000FF"/>
          <w:rtl/>
        </w:rPr>
        <w:t xml:space="preserve">, </w:t>
      </w:r>
      <w:hyperlink r:id="rId8" w:history="1">
        <w:r w:rsidRPr="00E51179">
          <w:rPr>
            <w:rStyle w:val="Hyperlink"/>
            <w:rFonts w:ascii="FrankRuehl" w:hAnsi="FrankRuehl" w:cs="FrankRuehl"/>
            <w:u w:val="none"/>
          </w:rPr>
          <w:t>31</w:t>
        </w:r>
      </w:hyperlink>
      <w:r w:rsidRPr="00E51179">
        <w:rPr>
          <w:rFonts w:ascii="FrankRuehl" w:hAnsi="FrankRuehl" w:cs="FrankRuehl"/>
          <w:color w:val="0000FF"/>
          <w:rtl/>
        </w:rPr>
        <w:t xml:space="preserve">, </w:t>
      </w:r>
      <w:hyperlink r:id="rId9" w:history="1">
        <w:r w:rsidRPr="00E51179">
          <w:rPr>
            <w:rStyle w:val="Hyperlink"/>
            <w:rFonts w:ascii="FrankRuehl" w:hAnsi="FrankRuehl" w:cs="FrankRuehl"/>
            <w:u w:val="none"/>
          </w:rPr>
          <w:t>144</w:t>
        </w:r>
      </w:hyperlink>
      <w:r w:rsidRPr="00E51179">
        <w:rPr>
          <w:rFonts w:ascii="FrankRuehl" w:hAnsi="FrankRuehl" w:cs="FrankRuehl"/>
          <w:color w:val="0000FF"/>
          <w:rtl/>
        </w:rPr>
        <w:t xml:space="preserve">(א), </w:t>
      </w:r>
      <w:hyperlink r:id="rId10" w:history="1">
        <w:r w:rsidRPr="00E51179">
          <w:rPr>
            <w:rStyle w:val="Hyperlink"/>
            <w:rFonts w:ascii="FrankRuehl" w:hAnsi="FrankRuehl" w:cs="FrankRuehl"/>
            <w:u w:val="none"/>
          </w:rPr>
          <w:t>144</w:t>
        </w:r>
      </w:hyperlink>
      <w:r w:rsidRPr="00E51179">
        <w:rPr>
          <w:rFonts w:ascii="FrankRuehl" w:hAnsi="FrankRuehl" w:cs="FrankRuehl"/>
          <w:color w:val="0000FF"/>
          <w:rtl/>
        </w:rPr>
        <w:t xml:space="preserve">(ב), </w:t>
      </w:r>
      <w:hyperlink r:id="rId11" w:history="1">
        <w:r w:rsidRPr="00E51179">
          <w:rPr>
            <w:rStyle w:val="Hyperlink"/>
            <w:rFonts w:ascii="FrankRuehl" w:hAnsi="FrankRuehl" w:cs="FrankRuehl"/>
            <w:u w:val="none"/>
          </w:rPr>
          <w:t>329</w:t>
        </w:r>
      </w:hyperlink>
      <w:r w:rsidRPr="00E51179">
        <w:rPr>
          <w:rFonts w:ascii="FrankRuehl" w:hAnsi="FrankRuehl" w:cs="FrankRuehl"/>
          <w:color w:val="0000FF"/>
          <w:rtl/>
        </w:rPr>
        <w:t xml:space="preserve">, </w:t>
      </w:r>
      <w:hyperlink r:id="rId12" w:history="1">
        <w:r w:rsidRPr="00E51179">
          <w:rPr>
            <w:rStyle w:val="Hyperlink"/>
            <w:rFonts w:ascii="FrankRuehl" w:hAnsi="FrankRuehl" w:cs="FrankRuehl"/>
            <w:u w:val="none"/>
          </w:rPr>
          <w:t>329</w:t>
        </w:r>
      </w:hyperlink>
      <w:r w:rsidRPr="00E51179">
        <w:rPr>
          <w:rFonts w:ascii="FrankRuehl" w:hAnsi="FrankRuehl" w:cs="FrankRuehl"/>
          <w:color w:val="0000FF"/>
          <w:rtl/>
        </w:rPr>
        <w:t xml:space="preserve">(א)(1), </w:t>
      </w:r>
      <w:hyperlink r:id="rId13" w:history="1">
        <w:r w:rsidRPr="00E51179">
          <w:rPr>
            <w:rStyle w:val="Hyperlink"/>
            <w:rFonts w:ascii="FrankRuehl" w:hAnsi="FrankRuehl" w:cs="FrankRuehl"/>
            <w:u w:val="none"/>
          </w:rPr>
          <w:t>329</w:t>
        </w:r>
      </w:hyperlink>
      <w:r w:rsidRPr="00E51179">
        <w:rPr>
          <w:rFonts w:ascii="FrankRuehl" w:hAnsi="FrankRuehl" w:cs="FrankRuehl"/>
          <w:color w:val="0000FF"/>
          <w:rtl/>
        </w:rPr>
        <w:t xml:space="preserve">(א)(2), </w:t>
      </w:r>
      <w:hyperlink r:id="rId14" w:history="1">
        <w:r w:rsidRPr="00E51179">
          <w:rPr>
            <w:rStyle w:val="Hyperlink"/>
            <w:rFonts w:ascii="FrankRuehl" w:hAnsi="FrankRuehl" w:cs="FrankRuehl"/>
            <w:u w:val="none"/>
          </w:rPr>
          <w:t>379</w:t>
        </w:r>
      </w:hyperlink>
      <w:r w:rsidRPr="00E51179">
        <w:rPr>
          <w:rFonts w:ascii="FrankRuehl" w:hAnsi="FrankRuehl" w:cs="FrankRuehl"/>
          <w:color w:val="0000FF"/>
          <w:rtl/>
        </w:rPr>
        <w:t xml:space="preserve">, </w:t>
      </w:r>
      <w:hyperlink r:id="rId15" w:history="1">
        <w:r w:rsidRPr="00E51179">
          <w:rPr>
            <w:rStyle w:val="Hyperlink"/>
            <w:rFonts w:ascii="FrankRuehl" w:hAnsi="FrankRuehl" w:cs="FrankRuehl"/>
            <w:u w:val="none"/>
          </w:rPr>
          <w:t>382</w:t>
        </w:r>
      </w:hyperlink>
      <w:r w:rsidRPr="00E51179">
        <w:rPr>
          <w:rFonts w:ascii="FrankRuehl" w:hAnsi="FrankRuehl" w:cs="FrankRuehl"/>
          <w:color w:val="0000FF"/>
          <w:rtl/>
        </w:rPr>
        <w:t xml:space="preserve">(א), </w:t>
      </w:r>
      <w:hyperlink r:id="rId16" w:history="1">
        <w:r w:rsidRPr="00E51179">
          <w:rPr>
            <w:rStyle w:val="Hyperlink"/>
            <w:rFonts w:ascii="FrankRuehl" w:hAnsi="FrankRuehl" w:cs="FrankRuehl"/>
            <w:u w:val="none"/>
          </w:rPr>
          <w:t>413</w:t>
        </w:r>
      </w:hyperlink>
      <w:r w:rsidRPr="00E51179">
        <w:rPr>
          <w:rFonts w:ascii="FrankRuehl" w:hAnsi="FrankRuehl" w:cs="FrankRuehl"/>
          <w:color w:val="0000FF"/>
          <w:rtl/>
        </w:rPr>
        <w:t>(ה)</w:t>
      </w:r>
    </w:p>
    <w:p w14:paraId="4C4CAC59" w14:textId="77777777" w:rsidR="001E4D80" w:rsidRPr="00E51179" w:rsidRDefault="001E4D80" w:rsidP="00E51179">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4D80" w14:paraId="5BE187B7" w14:textId="77777777" w:rsidTr="001E4D80">
        <w:trPr>
          <w:trHeight w:val="355"/>
          <w:jc w:val="center"/>
        </w:trPr>
        <w:tc>
          <w:tcPr>
            <w:tcW w:w="8820" w:type="dxa"/>
            <w:tcBorders>
              <w:top w:val="nil"/>
              <w:left w:val="nil"/>
              <w:bottom w:val="nil"/>
              <w:right w:val="nil"/>
            </w:tcBorders>
            <w:shd w:val="clear" w:color="auto" w:fill="auto"/>
          </w:tcPr>
          <w:p w14:paraId="347CAA99" w14:textId="77777777" w:rsidR="00967493" w:rsidRPr="00967493" w:rsidRDefault="00967493" w:rsidP="00967493">
            <w:pPr>
              <w:spacing w:line="360" w:lineRule="auto"/>
              <w:jc w:val="center"/>
              <w:rPr>
                <w:rFonts w:ascii="Arial" w:hAnsi="Arial"/>
                <w:b/>
                <w:bCs/>
                <w:sz w:val="28"/>
                <w:szCs w:val="28"/>
                <w:u w:val="single"/>
                <w:rtl/>
              </w:rPr>
            </w:pPr>
            <w:bookmarkStart w:id="5" w:name="PsakDin" w:colFirst="0" w:colLast="0"/>
            <w:r w:rsidRPr="00967493">
              <w:rPr>
                <w:rFonts w:ascii="Arial" w:hAnsi="Arial"/>
                <w:b/>
                <w:bCs/>
                <w:sz w:val="28"/>
                <w:szCs w:val="28"/>
                <w:u w:val="single"/>
                <w:rtl/>
              </w:rPr>
              <w:t>גזר דין</w:t>
            </w:r>
          </w:p>
          <w:p w14:paraId="2DA98860" w14:textId="77777777" w:rsidR="001E4D80" w:rsidRPr="00967493" w:rsidRDefault="001E4D80" w:rsidP="00967493">
            <w:pPr>
              <w:spacing w:line="360" w:lineRule="auto"/>
              <w:jc w:val="center"/>
              <w:rPr>
                <w:rFonts w:ascii="Arial" w:hAnsi="Arial"/>
                <w:bCs/>
                <w:sz w:val="28"/>
                <w:szCs w:val="28"/>
                <w:u w:val="single"/>
                <w:rtl/>
              </w:rPr>
            </w:pPr>
          </w:p>
        </w:tc>
      </w:tr>
      <w:bookmarkEnd w:id="5"/>
    </w:tbl>
    <w:p w14:paraId="76206433" w14:textId="77777777" w:rsidR="001E4D80" w:rsidRPr="00B05847" w:rsidRDefault="001E4D80" w:rsidP="001E4D80">
      <w:pPr>
        <w:spacing w:line="360" w:lineRule="auto"/>
        <w:rPr>
          <w:rFonts w:ascii="Arial" w:hAnsi="Arial"/>
          <w:rtl/>
        </w:rPr>
      </w:pPr>
    </w:p>
    <w:p w14:paraId="53B0E7DF" w14:textId="77777777" w:rsidR="001E4D80" w:rsidRDefault="001E4D80" w:rsidP="001E4D80">
      <w:pPr>
        <w:spacing w:line="360" w:lineRule="auto"/>
        <w:ind w:left="720" w:hanging="720"/>
        <w:jc w:val="both"/>
        <w:rPr>
          <w:rFonts w:ascii="David" w:hAnsi="David"/>
          <w:rtl/>
        </w:rPr>
      </w:pPr>
      <w:r>
        <w:rPr>
          <w:rFonts w:ascii="David" w:hAnsi="David" w:hint="cs"/>
          <w:rtl/>
        </w:rPr>
        <w:t>1</w:t>
      </w:r>
      <w:r>
        <w:rPr>
          <w:rFonts w:ascii="David" w:hAnsi="David"/>
          <w:rtl/>
        </w:rPr>
        <w:t>.</w:t>
      </w:r>
      <w:r>
        <w:rPr>
          <w:rFonts w:ascii="David" w:hAnsi="David"/>
          <w:rtl/>
        </w:rPr>
        <w:tab/>
      </w:r>
      <w:bookmarkStart w:id="6" w:name="ABSTRACT_START"/>
      <w:bookmarkEnd w:id="6"/>
      <w:r>
        <w:rPr>
          <w:rFonts w:ascii="David" w:hAnsi="David"/>
          <w:rtl/>
        </w:rPr>
        <w:t xml:space="preserve">הנאשם הורשע על יסוד הודאתו במסגרת הסדר טיעון בסיוע לחבלה בכוונה מחמירה, עבירה לפי </w:t>
      </w:r>
      <w:hyperlink r:id="rId17" w:history="1">
        <w:r w:rsidR="00E51179" w:rsidRPr="00E51179">
          <w:rPr>
            <w:rStyle w:val="Hyperlink"/>
            <w:rFonts w:ascii="David" w:hAnsi="David"/>
            <w:color w:val="0000FF"/>
            <w:rtl/>
          </w:rPr>
          <w:t>סעיף 329(א)(2)</w:t>
        </w:r>
      </w:hyperlink>
      <w:r>
        <w:rPr>
          <w:rFonts w:ascii="David" w:hAnsi="David"/>
          <w:rtl/>
        </w:rPr>
        <w:t xml:space="preserve"> יחד עם סעיף </w:t>
      </w:r>
      <w:hyperlink r:id="rId18" w:history="1">
        <w:r w:rsidR="00E51179" w:rsidRPr="00E51179">
          <w:rPr>
            <w:rStyle w:val="Hyperlink"/>
            <w:rFonts w:ascii="David" w:hAnsi="David"/>
            <w:color w:val="0000FF"/>
            <w:rtl/>
          </w:rPr>
          <w:t>31</w:t>
        </w:r>
      </w:hyperlink>
      <w:r>
        <w:rPr>
          <w:rFonts w:ascii="David" w:hAnsi="David"/>
          <w:rtl/>
        </w:rPr>
        <w:t xml:space="preserve"> ל</w:t>
      </w:r>
      <w:hyperlink r:id="rId19" w:history="1">
        <w:r w:rsidR="00967493" w:rsidRPr="00967493">
          <w:rPr>
            <w:rFonts w:ascii="David" w:hAnsi="David"/>
            <w:color w:val="0000FF"/>
            <w:u w:val="single"/>
            <w:rtl/>
          </w:rPr>
          <w:t>חוק העונשין</w:t>
        </w:r>
      </w:hyperlink>
      <w:r>
        <w:rPr>
          <w:rFonts w:ascii="David" w:hAnsi="David"/>
          <w:rtl/>
        </w:rPr>
        <w:t xml:space="preserve">, התשל״ז-1977; ובנשיאה והובלה של נשק, עבירה לפי </w:t>
      </w:r>
      <w:hyperlink r:id="rId20" w:history="1">
        <w:r w:rsidR="00E51179" w:rsidRPr="00E51179">
          <w:rPr>
            <w:rStyle w:val="Hyperlink"/>
            <w:rFonts w:ascii="David" w:hAnsi="David"/>
            <w:color w:val="0000FF"/>
            <w:rtl/>
          </w:rPr>
          <w:t>סעיף 144(ב)</w:t>
        </w:r>
      </w:hyperlink>
      <w:r>
        <w:rPr>
          <w:rFonts w:ascii="David" w:hAnsi="David"/>
          <w:rtl/>
        </w:rPr>
        <w:t xml:space="preserve"> יחד עם סעיף </w:t>
      </w:r>
      <w:hyperlink r:id="rId21" w:history="1">
        <w:r w:rsidR="00E51179" w:rsidRPr="00E51179">
          <w:rPr>
            <w:rStyle w:val="Hyperlink"/>
            <w:rFonts w:ascii="David" w:hAnsi="David"/>
            <w:color w:val="0000FF"/>
            <w:rtl/>
          </w:rPr>
          <w:t>29</w:t>
        </w:r>
      </w:hyperlink>
      <w:r>
        <w:rPr>
          <w:rFonts w:ascii="David" w:hAnsi="David"/>
          <w:rtl/>
        </w:rPr>
        <w:t xml:space="preserve"> לחוק העונשין. </w:t>
      </w:r>
    </w:p>
    <w:p w14:paraId="44BC2CDB" w14:textId="77777777" w:rsidR="001E4D80" w:rsidRDefault="001E4D80" w:rsidP="001E4D80">
      <w:pPr>
        <w:spacing w:line="360" w:lineRule="auto"/>
        <w:ind w:left="720" w:hanging="720"/>
        <w:jc w:val="both"/>
        <w:rPr>
          <w:rFonts w:ascii="David" w:hAnsi="David"/>
        </w:rPr>
      </w:pPr>
    </w:p>
    <w:p w14:paraId="0211950B" w14:textId="77777777" w:rsidR="001E4D80" w:rsidRDefault="001E4D80" w:rsidP="001E4D80">
      <w:pPr>
        <w:spacing w:line="360" w:lineRule="auto"/>
        <w:ind w:left="720" w:hanging="720"/>
        <w:jc w:val="both"/>
        <w:rPr>
          <w:rFonts w:ascii="David" w:hAnsi="David"/>
          <w:rtl/>
        </w:rPr>
      </w:pPr>
      <w:bookmarkStart w:id="7" w:name="ABSTRACT_END"/>
      <w:bookmarkEnd w:id="7"/>
      <w:r>
        <w:rPr>
          <w:rFonts w:ascii="David" w:hAnsi="David"/>
          <w:rtl/>
        </w:rPr>
        <w:tab/>
        <w:t xml:space="preserve">הסדר הטיעון כלל את תיקונו של כתב האישום המקורי אך זאת מבלי שגובשה הסכמה לעניין העונש. </w:t>
      </w:r>
    </w:p>
    <w:p w14:paraId="778F8569" w14:textId="77777777" w:rsidR="001E4D80" w:rsidRDefault="001E4D80" w:rsidP="001E4D80">
      <w:pPr>
        <w:spacing w:line="360" w:lineRule="auto"/>
        <w:ind w:left="720" w:hanging="720"/>
        <w:jc w:val="both"/>
        <w:rPr>
          <w:rFonts w:ascii="David" w:hAnsi="David"/>
          <w:rtl/>
        </w:rPr>
      </w:pPr>
    </w:p>
    <w:p w14:paraId="57FDF2C0" w14:textId="77777777" w:rsidR="001E4D80" w:rsidRDefault="001E4D80" w:rsidP="001E4D80">
      <w:pPr>
        <w:spacing w:line="360" w:lineRule="auto"/>
        <w:ind w:left="720" w:hanging="720"/>
        <w:jc w:val="both"/>
        <w:rPr>
          <w:rFonts w:ascii="David" w:hAnsi="David"/>
          <w:u w:val="single"/>
          <w:rtl/>
        </w:rPr>
      </w:pPr>
      <w:r>
        <w:rPr>
          <w:rFonts w:ascii="David" w:hAnsi="David"/>
          <w:rtl/>
        </w:rPr>
        <w:tab/>
      </w:r>
      <w:r>
        <w:rPr>
          <w:rFonts w:ascii="David" w:hAnsi="David"/>
          <w:u w:val="single"/>
          <w:rtl/>
        </w:rPr>
        <w:t>כתב האישום המתוקן</w:t>
      </w:r>
    </w:p>
    <w:p w14:paraId="445685FE" w14:textId="77777777" w:rsidR="001E4D80" w:rsidRDefault="001E4D80" w:rsidP="001E4D80">
      <w:pPr>
        <w:spacing w:line="360" w:lineRule="auto"/>
        <w:ind w:left="720" w:hanging="720"/>
        <w:jc w:val="both"/>
        <w:rPr>
          <w:rFonts w:ascii="David" w:hAnsi="David"/>
          <w:u w:val="single"/>
          <w:rtl/>
        </w:rPr>
      </w:pPr>
    </w:p>
    <w:p w14:paraId="465F3DBC" w14:textId="77777777" w:rsidR="001E4D80" w:rsidRDefault="001E4D80" w:rsidP="001E4D80">
      <w:pPr>
        <w:spacing w:line="360" w:lineRule="auto"/>
        <w:ind w:left="720" w:hanging="720"/>
        <w:jc w:val="both"/>
        <w:rPr>
          <w:rFonts w:ascii="David" w:hAnsi="David"/>
          <w:rtl/>
        </w:rPr>
      </w:pPr>
      <w:r>
        <w:rPr>
          <w:rFonts w:ascii="David" w:hAnsi="David"/>
          <w:rtl/>
        </w:rPr>
        <w:t>2.</w:t>
      </w:r>
      <w:r>
        <w:rPr>
          <w:rFonts w:ascii="David" w:hAnsi="David"/>
          <w:rtl/>
        </w:rPr>
        <w:tab/>
      </w:r>
      <w:r>
        <w:rPr>
          <w:rFonts w:ascii="David" w:hAnsi="David"/>
          <w:b/>
          <w:bCs/>
          <w:rtl/>
        </w:rPr>
        <w:t>על פי החלק הכללי לכתב האישום המתוקן</w:t>
      </w:r>
      <w:r>
        <w:rPr>
          <w:rFonts w:ascii="David" w:hAnsi="David"/>
          <w:rtl/>
        </w:rPr>
        <w:t xml:space="preserve">, בתקופה הרלוונטית לכתב האישום, התגוררו הנאשם ובני משפחתו בבניין מס' 74 ברחוב אלקאדסיה בשכונה 13 ברהט (להלן - </w:t>
      </w:r>
      <w:r>
        <w:rPr>
          <w:rFonts w:ascii="David" w:hAnsi="David"/>
          <w:b/>
          <w:bCs/>
          <w:rtl/>
        </w:rPr>
        <w:t>הבניין</w:t>
      </w:r>
      <w:r>
        <w:rPr>
          <w:rFonts w:ascii="David" w:hAnsi="David"/>
          <w:rtl/>
        </w:rPr>
        <w:t xml:space="preserve">). באותה עת, התגוררו בני משפחת אשווי באותו רחוב מול הבניין, באותה השכונה. במועד שאינו ידוע למאשימה, במהלך חודש פברואר 2024 או בסמוך לכך, התגלע סכסוך בין בני משפחת הנאשם לבין בני משפחת אשווי, אשר טיבו אינו ידוע במדויק למאשימה. ביום 23.2.24 בשעה 14:00 או בסמוך לכך, החלה קטטה בין משפחת הנאשם לבין בני משפחת אשווי, שכללה יידוי אבנים ויריות מנשק חם. </w:t>
      </w:r>
    </w:p>
    <w:p w14:paraId="4ED034AE" w14:textId="77777777" w:rsidR="001E4D80" w:rsidRDefault="001E4D80" w:rsidP="001E4D80">
      <w:pPr>
        <w:spacing w:line="360" w:lineRule="auto"/>
        <w:ind w:left="720" w:hanging="720"/>
        <w:jc w:val="both"/>
        <w:rPr>
          <w:rFonts w:ascii="David" w:hAnsi="David"/>
          <w:rtl/>
        </w:rPr>
      </w:pPr>
    </w:p>
    <w:p w14:paraId="2481D9D2" w14:textId="77777777" w:rsidR="001E4D80" w:rsidRDefault="001E4D80" w:rsidP="001E4D80">
      <w:pPr>
        <w:spacing w:line="360" w:lineRule="auto"/>
        <w:ind w:left="720" w:hanging="720"/>
        <w:jc w:val="both"/>
        <w:rPr>
          <w:rFonts w:ascii="David" w:hAnsi="David"/>
          <w:rtl/>
        </w:rPr>
      </w:pPr>
      <w:r>
        <w:rPr>
          <w:rFonts w:ascii="David" w:hAnsi="David"/>
          <w:rtl/>
        </w:rPr>
        <w:tab/>
        <w:t xml:space="preserve">במהלך המתואר לעיל, הגיע הקטין סוהייב רפי אשווי, יליד 30.10.08 (להלן - </w:t>
      </w:r>
      <w:r>
        <w:rPr>
          <w:rFonts w:ascii="David" w:hAnsi="David"/>
          <w:b/>
          <w:bCs/>
          <w:rtl/>
        </w:rPr>
        <w:t>המנוח</w:t>
      </w:r>
      <w:r>
        <w:rPr>
          <w:rFonts w:ascii="David" w:hAnsi="David"/>
          <w:rtl/>
        </w:rPr>
        <w:t xml:space="preserve">) לבית סבו, ברחוב אלקאדסיה 53 בשכונה 13 ברהט, הממוקם במרחק של כ-200 מטר מול ביתו של הנאשם, ועלה לגג הבית </w:t>
      </w:r>
      <w:r>
        <w:rPr>
          <w:rFonts w:ascii="David" w:hAnsi="David"/>
          <w:rtl/>
        </w:rPr>
        <w:lastRenderedPageBreak/>
        <w:t xml:space="preserve">ביחד עם בן דודו, אשר החזיק באקדח באותה העת, כדי לצלם ולתעד באמצעות הטלפון הנייד שהיה ברשותו את ההתרחשות בשכונה. באותה עת, נורו לעבר בית הסבא ולעבר בתיהם של בני משפחת אשווי, מספר רב של יריות, על ידי אחרים שזהותם אינה ידועה למאשימה. כתוצאה מהירי, פגע אחד הקליעים במנוח בכתף שמאל ויצא מגופו. המנוח פונה על ידי בני משפחתו באמבולנס של מד"א במצב אנוש לבית החולים סורוקה, כשהוא מחוסר הכרה וללא דופק וסובל מדימום פעיל, ובהמשך נקבע מותו. </w:t>
      </w:r>
    </w:p>
    <w:p w14:paraId="248E0244" w14:textId="77777777" w:rsidR="001E4D80" w:rsidRDefault="001E4D80" w:rsidP="001E4D80">
      <w:pPr>
        <w:spacing w:line="360" w:lineRule="auto"/>
        <w:ind w:left="720" w:hanging="720"/>
        <w:jc w:val="both"/>
        <w:rPr>
          <w:rFonts w:ascii="David" w:hAnsi="David"/>
          <w:rtl/>
        </w:rPr>
      </w:pPr>
    </w:p>
    <w:p w14:paraId="76F9AE49" w14:textId="77777777" w:rsidR="001E4D80" w:rsidRDefault="001E4D80" w:rsidP="001E4D80">
      <w:pPr>
        <w:spacing w:line="360" w:lineRule="auto"/>
        <w:ind w:left="720" w:hanging="720"/>
        <w:jc w:val="both"/>
        <w:rPr>
          <w:rFonts w:ascii="David" w:hAnsi="David"/>
          <w:rtl/>
        </w:rPr>
      </w:pPr>
      <w:r>
        <w:rPr>
          <w:rFonts w:ascii="David" w:hAnsi="David"/>
          <w:rtl/>
        </w:rPr>
        <w:tab/>
      </w:r>
      <w:r>
        <w:rPr>
          <w:rFonts w:ascii="David" w:hAnsi="David"/>
          <w:b/>
          <w:bCs/>
          <w:rtl/>
        </w:rPr>
        <w:t>על פי עובדות כתב האישום המתוקן</w:t>
      </w:r>
      <w:r>
        <w:rPr>
          <w:rFonts w:ascii="David" w:hAnsi="David"/>
          <w:rtl/>
        </w:rPr>
        <w:t xml:space="preserve">, במהלך הדברים המתוארים בחלק הכללי, עלה הנאשם ביחד עם אחר שזהותו אינה ידועה למאשימה על גג הבניין, כשהם נושאים בצוותא חדא ברובה אוטומטי (להלן - </w:t>
      </w:r>
      <w:r>
        <w:rPr>
          <w:rFonts w:ascii="David" w:hAnsi="David"/>
          <w:b/>
          <w:bCs/>
          <w:rtl/>
        </w:rPr>
        <w:t>הרובה</w:t>
      </w:r>
      <w:r>
        <w:rPr>
          <w:rFonts w:ascii="David" w:hAnsi="David"/>
          <w:rtl/>
        </w:rPr>
        <w:t xml:space="preserve">), כלי שמסוגל לירות כדור או קלע ובכוחו להמית, כשהאחר רעול פנים, וזאת כדי לפגוע גופנית בבני משפחת אשווי. האחר אחז ברובה והנאשם עמד לצידו, וביחד תפעלו והכינו את הרובה לירי. האחר ירה, בין היתר, לעבר בית הסבא וביתם של בני משפחת אשווי צרור יריות, בכוונה להטיל בהם נכות או מום, וזאת כשהנאשם עמד לידו לאורך כל הירי. הנאשם הבחין בעדת ראיה ממשפחת אשווי שתיעדה את האירוע באמצעות הטלפון הנייד שהיה ברשותה באותה עת, פנה אליה והורה לה להפסיק לצלם. מיד לאחר הירי, נמלט הנאשם ביחד עם האחר, ולא אותר עד למעצרו ביום 2.4.24. </w:t>
      </w:r>
    </w:p>
    <w:p w14:paraId="63A02093" w14:textId="77777777" w:rsidR="001E4D80" w:rsidRDefault="001E4D80" w:rsidP="001E4D80">
      <w:pPr>
        <w:spacing w:line="360" w:lineRule="auto"/>
        <w:ind w:left="720" w:hanging="720"/>
        <w:jc w:val="both"/>
        <w:rPr>
          <w:rFonts w:ascii="David" w:hAnsi="David"/>
          <w:rtl/>
        </w:rPr>
      </w:pPr>
    </w:p>
    <w:p w14:paraId="110EA390" w14:textId="77777777" w:rsidR="001E4D80" w:rsidRDefault="001E4D80" w:rsidP="001E4D80">
      <w:pPr>
        <w:spacing w:line="360" w:lineRule="auto"/>
        <w:ind w:left="720" w:hanging="720"/>
        <w:jc w:val="both"/>
        <w:rPr>
          <w:rFonts w:ascii="David" w:hAnsi="David"/>
          <w:rtl/>
        </w:rPr>
      </w:pPr>
      <w:r>
        <w:rPr>
          <w:rFonts w:ascii="David" w:hAnsi="David"/>
          <w:rtl/>
        </w:rPr>
        <w:tab/>
        <w:t xml:space="preserve">במעשיו כמתואר לעיל, סייע הנאשם לאחר אשר ניסה שלא כדין לפגוע במשפחת אשווי באמצעות נשק מסוכן, בכוונה להטיל בהם נכות או מום, כשהוא נושא ומוביל נשק חם בלא רשות על פי דין לנשיאתו או להובלתו, בצוותא חדא, עם האחר. </w:t>
      </w:r>
    </w:p>
    <w:p w14:paraId="79A57DF6" w14:textId="77777777" w:rsidR="001E4D80" w:rsidRDefault="001E4D80" w:rsidP="001E4D80">
      <w:pPr>
        <w:spacing w:line="360" w:lineRule="auto"/>
        <w:ind w:left="720" w:hanging="720"/>
        <w:jc w:val="both"/>
        <w:rPr>
          <w:rFonts w:ascii="David" w:hAnsi="David"/>
          <w:rtl/>
        </w:rPr>
      </w:pPr>
    </w:p>
    <w:p w14:paraId="5CDE3E7A" w14:textId="77777777" w:rsidR="001E4D80" w:rsidRDefault="001E4D80" w:rsidP="001E4D80">
      <w:pPr>
        <w:spacing w:line="360" w:lineRule="auto"/>
        <w:ind w:left="720" w:hanging="720"/>
        <w:jc w:val="both"/>
        <w:rPr>
          <w:rFonts w:ascii="David" w:hAnsi="David"/>
          <w:u w:val="single"/>
          <w:rtl/>
        </w:rPr>
      </w:pPr>
      <w:r>
        <w:rPr>
          <w:rFonts w:ascii="David" w:hAnsi="David"/>
          <w:rtl/>
        </w:rPr>
        <w:tab/>
      </w:r>
      <w:r>
        <w:rPr>
          <w:rFonts w:ascii="David" w:hAnsi="David"/>
          <w:u w:val="single"/>
          <w:rtl/>
        </w:rPr>
        <w:t>תסקיר שירות המבחן</w:t>
      </w:r>
    </w:p>
    <w:p w14:paraId="550FAEC1" w14:textId="77777777" w:rsidR="001E4D80" w:rsidRDefault="001E4D80" w:rsidP="001E4D80">
      <w:pPr>
        <w:spacing w:line="360" w:lineRule="auto"/>
        <w:ind w:left="720" w:hanging="720"/>
        <w:jc w:val="both"/>
        <w:rPr>
          <w:rFonts w:ascii="David" w:hAnsi="David"/>
          <w:u w:val="single"/>
          <w:rtl/>
        </w:rPr>
      </w:pPr>
    </w:p>
    <w:p w14:paraId="55AFF32F" w14:textId="77777777" w:rsidR="001E4D80" w:rsidRDefault="001E4D80" w:rsidP="001E4D80">
      <w:pPr>
        <w:spacing w:line="360" w:lineRule="auto"/>
        <w:ind w:left="720" w:hanging="720"/>
        <w:jc w:val="both"/>
        <w:rPr>
          <w:rFonts w:ascii="David" w:hAnsi="David"/>
          <w:rtl/>
        </w:rPr>
      </w:pPr>
      <w:r>
        <w:rPr>
          <w:rFonts w:ascii="David" w:hAnsi="David"/>
          <w:rtl/>
        </w:rPr>
        <w:t>3.</w:t>
      </w:r>
      <w:r>
        <w:rPr>
          <w:rFonts w:ascii="David" w:hAnsi="David"/>
          <w:rtl/>
        </w:rPr>
        <w:tab/>
        <w:t>בעניינו של הנאשם נערך תסקיר שירות מבחן, ממנו עלו הפרטים הבאים:</w:t>
      </w:r>
    </w:p>
    <w:p w14:paraId="5A114071" w14:textId="77777777" w:rsidR="001E4D80" w:rsidRDefault="001E4D80" w:rsidP="001E4D80">
      <w:pPr>
        <w:spacing w:line="360" w:lineRule="auto"/>
        <w:ind w:left="720" w:hanging="720"/>
        <w:jc w:val="both"/>
        <w:rPr>
          <w:rFonts w:ascii="David" w:hAnsi="David"/>
          <w:rtl/>
        </w:rPr>
      </w:pPr>
    </w:p>
    <w:p w14:paraId="62E21E3E" w14:textId="77777777" w:rsidR="001E4D80" w:rsidRDefault="001E4D80" w:rsidP="001E4D80">
      <w:pPr>
        <w:spacing w:line="360" w:lineRule="auto"/>
        <w:ind w:left="720" w:hanging="720"/>
        <w:jc w:val="both"/>
        <w:rPr>
          <w:rFonts w:ascii="David" w:hAnsi="David"/>
          <w:rtl/>
        </w:rPr>
      </w:pPr>
      <w:r>
        <w:rPr>
          <w:rFonts w:ascii="David" w:hAnsi="David"/>
          <w:rtl/>
        </w:rPr>
        <w:tab/>
        <w:t xml:space="preserve">הנאשם בן 18, רווק. טרם מעצרו התגורר בבית הוריו ברהט והיה תלמיד בכיתה י"ב. הנאשם תאר עצמו כתלמיד ללא קשיי משמעת או התנהגות, ומסר כי במקביל ללימודים עבד במטבח במסעדה ובהמשך עבד עם דודו בעבודות חשמל. לנאשם חמש אחיות בגילאי 21-14. אימו של הנאשם עקרת בית, ואביו מתמודד עם בעיות רפואיות, ולדברי הנאשם אינו עובד ומתקיים מקצבת נכות. הנאשם מסר כי משפחתו מתמודדת עם קשיים כלכליים ועם תנאי מחיה ירודים. עוד ציין כי הוא הבן הזכר היחיד ועליו מוטלת האחריות לסייע למשפחה מבחינה כספית, וללוות את אביו לטיפולים רפואיים שונים. </w:t>
      </w:r>
    </w:p>
    <w:p w14:paraId="17AF1FA5" w14:textId="77777777" w:rsidR="001E4D80" w:rsidRDefault="001E4D80" w:rsidP="001E4D80">
      <w:pPr>
        <w:spacing w:line="360" w:lineRule="auto"/>
        <w:ind w:left="720" w:hanging="720"/>
        <w:jc w:val="both"/>
        <w:rPr>
          <w:rFonts w:ascii="David" w:hAnsi="David"/>
          <w:rtl/>
        </w:rPr>
      </w:pPr>
    </w:p>
    <w:p w14:paraId="345DBEBB" w14:textId="77777777" w:rsidR="001E4D80" w:rsidRDefault="001E4D80" w:rsidP="001E4D80">
      <w:pPr>
        <w:spacing w:line="360" w:lineRule="auto"/>
        <w:ind w:left="720" w:hanging="720"/>
        <w:jc w:val="both"/>
        <w:rPr>
          <w:rFonts w:ascii="David" w:hAnsi="David"/>
          <w:rtl/>
        </w:rPr>
      </w:pPr>
      <w:r>
        <w:rPr>
          <w:rFonts w:ascii="David" w:hAnsi="David"/>
          <w:rtl/>
        </w:rPr>
        <w:tab/>
        <w:t xml:space="preserve">הנאשם נעדר עבר פלילי. בהתייחסו לאירוע העבירה מסר כי מדובר בסכסוך עם משפחת אשווי, שהחל מקונפליקט בין הנערים במשפחה והסלים לסכסוך בין המבוגרים. לדבריו אין לו כל קשר או מעורבות קודמת בסכסוך. לטענת הנאשם הסיבה בגינה עלה לגג הבניין כפי שמתואר בכתב האישום המתוקן הייתה כדי למנוע מאותו האדם לירות על בית משפחת אשווי, וזאת בעקבות בקשת אימו לעשות כן, מאחר שהוא הבן הזכר היחיד והוטלה עליו האחריות לדאוג למשפחה. הנאשם שלל היכרות קרובה עם המנוח ותאר כי חווה כאב על מותו. </w:t>
      </w:r>
    </w:p>
    <w:p w14:paraId="0B6AD1D8" w14:textId="77777777" w:rsidR="001E4D80" w:rsidRDefault="001E4D80" w:rsidP="001E4D80">
      <w:pPr>
        <w:spacing w:line="360" w:lineRule="auto"/>
        <w:ind w:left="720" w:hanging="720"/>
        <w:jc w:val="both"/>
        <w:rPr>
          <w:rFonts w:ascii="David" w:hAnsi="David"/>
          <w:rtl/>
        </w:rPr>
      </w:pPr>
    </w:p>
    <w:p w14:paraId="1C011101" w14:textId="77777777" w:rsidR="001E4D80" w:rsidRDefault="001E4D80" w:rsidP="001E4D80">
      <w:pPr>
        <w:spacing w:line="360" w:lineRule="auto"/>
        <w:ind w:left="720" w:hanging="720"/>
        <w:jc w:val="both"/>
        <w:rPr>
          <w:rFonts w:ascii="David" w:hAnsi="David"/>
          <w:rtl/>
        </w:rPr>
      </w:pPr>
      <w:r>
        <w:rPr>
          <w:rFonts w:ascii="David" w:hAnsi="David"/>
          <w:rtl/>
        </w:rPr>
        <w:tab/>
        <w:t xml:space="preserve">שרות המבחן התרשם כי הנאשם מטשטש פרטי האירוע, מתייחס למעורבותו באירוע באופן קורבני, מביע התייחסות אדישה להתנהגותו, מתקשה לקיים שיח והתבוננות פנימית אודות דפוסיו ההתנהגותיים אשר </w:t>
      </w:r>
      <w:r>
        <w:rPr>
          <w:rFonts w:ascii="David" w:hAnsi="David"/>
          <w:rtl/>
        </w:rPr>
        <w:lastRenderedPageBreak/>
        <w:t>הובילו אותו לביצוע העבירה, וכי לנאשם קושי להתבונן בתפיסותיו בכל הקשור להתנהגות אלימה ועבריינית. בשים לב לחומרת העבירה אותה ביצע, והסיכון הקיים בסכסוך בין משפחות אשר עלול להוביל להמשך נקמה, הגיע שירות המבחן לכלל מסקנה כי אין באפשרותו לבוא בהמלצה טיפולית בעניינו של הנאשם, ומכאן כי לא ניתן להמליץ בעניינו על חלופות ענישה.</w:t>
      </w:r>
    </w:p>
    <w:p w14:paraId="6FF61C6A" w14:textId="77777777" w:rsidR="001E4D80" w:rsidRDefault="001E4D80" w:rsidP="001E4D80">
      <w:pPr>
        <w:spacing w:line="360" w:lineRule="auto"/>
        <w:ind w:left="720" w:hanging="720"/>
        <w:jc w:val="both"/>
        <w:rPr>
          <w:rFonts w:ascii="David" w:hAnsi="David"/>
          <w:u w:val="single"/>
          <w:rtl/>
        </w:rPr>
      </w:pPr>
      <w:r>
        <w:rPr>
          <w:rFonts w:ascii="David" w:hAnsi="David"/>
          <w:rtl/>
        </w:rPr>
        <w:tab/>
      </w:r>
      <w:r>
        <w:rPr>
          <w:rFonts w:ascii="David" w:hAnsi="David"/>
          <w:u w:val="single"/>
          <w:rtl/>
        </w:rPr>
        <w:t>טיעוני הצדדים לעונש</w:t>
      </w:r>
    </w:p>
    <w:p w14:paraId="4FAD1288" w14:textId="77777777" w:rsidR="001E4D80" w:rsidRDefault="001E4D80" w:rsidP="001E4D80">
      <w:pPr>
        <w:spacing w:line="360" w:lineRule="auto"/>
        <w:ind w:left="720" w:hanging="720"/>
        <w:jc w:val="both"/>
        <w:rPr>
          <w:rFonts w:ascii="David" w:hAnsi="David"/>
          <w:u w:val="single"/>
          <w:rtl/>
        </w:rPr>
      </w:pPr>
    </w:p>
    <w:p w14:paraId="3DACC758" w14:textId="77777777" w:rsidR="001E4D80" w:rsidRDefault="001E4D80" w:rsidP="001E4D80">
      <w:pPr>
        <w:spacing w:line="360" w:lineRule="auto"/>
        <w:ind w:left="720" w:hanging="720"/>
        <w:jc w:val="both"/>
        <w:rPr>
          <w:rFonts w:ascii="David" w:hAnsi="David"/>
          <w:rtl/>
        </w:rPr>
      </w:pPr>
      <w:r>
        <w:rPr>
          <w:rFonts w:ascii="David" w:hAnsi="David"/>
          <w:rtl/>
        </w:rPr>
        <w:t>4.</w:t>
      </w:r>
      <w:r>
        <w:rPr>
          <w:rFonts w:ascii="David" w:hAnsi="David"/>
          <w:rtl/>
        </w:rPr>
        <w:tab/>
        <w:t>ב"כ התביעה, עו"ד וואסים אבו עאמר, עמד בטיעוניו על חומרת העבירה אותה עבר הנאשם, עוצמת הפגיעה בערכים המוגנים, נסיבות ביצוע העבירה ומדיניות הענישה הנוהגת. ב"כ התביעה התייחס בטיעוניו לפוטנציאל הנזק במעשיו של הנאשם, ולנזק שנגרם בפועל במסגרת האירועים שהתרחשו הקשורים בסכסוך, במסגרתם מצא קטין את מותו (הגם שאירוע זה אינו מיוחס לנאשם). עוד נטען כי אין אינדיקציה שהסכסוך הסתיים.</w:t>
      </w:r>
    </w:p>
    <w:p w14:paraId="28684FF0" w14:textId="77777777" w:rsidR="001E4D80" w:rsidRDefault="001E4D80" w:rsidP="001E4D80">
      <w:pPr>
        <w:spacing w:line="360" w:lineRule="auto"/>
        <w:ind w:left="720" w:hanging="720"/>
        <w:jc w:val="both"/>
        <w:rPr>
          <w:rFonts w:ascii="David" w:hAnsi="David"/>
          <w:rtl/>
        </w:rPr>
      </w:pPr>
    </w:p>
    <w:p w14:paraId="44CF8347" w14:textId="77777777" w:rsidR="001E4D80" w:rsidRDefault="001E4D80" w:rsidP="001E4D80">
      <w:pPr>
        <w:spacing w:line="360" w:lineRule="auto"/>
        <w:ind w:left="720" w:hanging="720"/>
        <w:jc w:val="both"/>
        <w:rPr>
          <w:rFonts w:ascii="David" w:hAnsi="David"/>
          <w:rtl/>
        </w:rPr>
      </w:pPr>
      <w:r>
        <w:rPr>
          <w:rFonts w:ascii="David" w:hAnsi="David"/>
          <w:rtl/>
        </w:rPr>
        <w:tab/>
        <w:t xml:space="preserve">לאור מדיניות הענישה, ההחמרה בעבירות הנשק, וריבוי הסכסוכים האלימים אשר נטען כי מצויים במגמת עליה, עתר ב"כ התביעה לקביעת מתחם עונש הולם הנע בין 4 ל-6 שנות מאסר. בשים לב להודאת הנאשם, לאמור בתסקיר שירות המבחן ולשיקולי הרתעת הרבים והרתעת היחיד, סבר ב״כ התביעה כי יש למקם את הנאשם בחלקו התחתון של המתחם אך לא בתחתיתו, לצד הטלת מאסר על תנאי משמעותי וקנס. </w:t>
      </w:r>
    </w:p>
    <w:p w14:paraId="67EC1382" w14:textId="77777777" w:rsidR="001E4D80" w:rsidRDefault="001E4D80" w:rsidP="001E4D80">
      <w:pPr>
        <w:spacing w:line="360" w:lineRule="auto"/>
        <w:ind w:left="720" w:hanging="720"/>
        <w:jc w:val="both"/>
        <w:rPr>
          <w:rFonts w:ascii="David" w:hAnsi="David"/>
          <w:rtl/>
        </w:rPr>
      </w:pPr>
    </w:p>
    <w:p w14:paraId="66B53E76" w14:textId="77777777" w:rsidR="001E4D80" w:rsidRDefault="001E4D80" w:rsidP="001E4D80">
      <w:pPr>
        <w:spacing w:line="360" w:lineRule="auto"/>
        <w:ind w:left="720" w:hanging="720"/>
        <w:jc w:val="both"/>
        <w:rPr>
          <w:rFonts w:ascii="David" w:hAnsi="David"/>
          <w:rtl/>
        </w:rPr>
      </w:pPr>
      <w:r>
        <w:rPr>
          <w:rFonts w:ascii="David" w:hAnsi="David"/>
          <w:rtl/>
        </w:rPr>
        <w:t>5.</w:t>
      </w:r>
      <w:r>
        <w:rPr>
          <w:rFonts w:ascii="David" w:hAnsi="David"/>
          <w:rtl/>
        </w:rPr>
        <w:tab/>
        <w:t>ב"כ הנאשם, עו"ד נטלי אוטן, טענה כי יש לתת את הדעת לכך שאין קשר בין הנאשם לבין מותו של הקטין, וכי לא ניתן להתעלם מכך שהירי בוצע לאחר נפילת הקטין, כך שלא נגרם נזק מביצוע העבירה ע"י הנאשם. עוד נטען כי אין בעובדות כתב האישום המתוקן אינדיקציות המעידות על תכנון מוקדם, בניגוד לפסיקה שהציג ב"כ התביעה. עוד התייחסה הסנגורית לנסיבות הנוגעות לביצוע העבירה, כשלטענתה הנאשם סייע לאחר שהיה הרוח החיה באירוע ומי שאחז בנשק. על כן, אין להחמיר עימו רק כי האחר לא אותר. בנוסף נטען כי על אף שהנאשם הורשע בעבירה של נשיאת נשק בצוותא חדא, על בית המשפט לקבוע את מתחם העונש ההולם בהתאם לחלקו בביצוע העבירה. הסנגורית התייחסה לנסיבות חייו המורכבות של הנאשם</w:t>
      </w:r>
      <w:r>
        <w:rPr>
          <w:rFonts w:ascii="David" w:hAnsi="David" w:hint="cs"/>
          <w:rtl/>
        </w:rPr>
        <w:t xml:space="preserve"> (הוגש דו"ח סוציאלי אודות אביו של הנאשם המתאר את מצב המשפחה כולה)</w:t>
      </w:r>
      <w:r>
        <w:rPr>
          <w:rFonts w:ascii="David" w:hAnsi="David"/>
          <w:rtl/>
        </w:rPr>
        <w:t xml:space="preserve">, וסברה כי </w:t>
      </w:r>
      <w:r>
        <w:rPr>
          <w:rFonts w:ascii="David" w:hAnsi="David" w:hint="cs"/>
          <w:rtl/>
        </w:rPr>
        <w:t>נתוניו האישיים ראויים להתחשבות</w:t>
      </w:r>
      <w:r>
        <w:rPr>
          <w:rFonts w:ascii="David" w:hAnsi="David"/>
          <w:rtl/>
        </w:rPr>
        <w:t xml:space="preserve">. </w:t>
      </w:r>
    </w:p>
    <w:p w14:paraId="522A25B5" w14:textId="77777777" w:rsidR="001E4D80" w:rsidRDefault="001E4D80" w:rsidP="001E4D80">
      <w:pPr>
        <w:spacing w:line="360" w:lineRule="auto"/>
        <w:ind w:left="720" w:hanging="720"/>
        <w:jc w:val="both"/>
        <w:rPr>
          <w:rFonts w:ascii="David" w:hAnsi="David"/>
          <w:rtl/>
        </w:rPr>
      </w:pPr>
    </w:p>
    <w:p w14:paraId="35F57FB9" w14:textId="77777777" w:rsidR="001E4D80" w:rsidRDefault="001E4D80" w:rsidP="001E4D80">
      <w:pPr>
        <w:spacing w:line="360" w:lineRule="auto"/>
        <w:ind w:left="720" w:hanging="720"/>
        <w:jc w:val="both"/>
        <w:rPr>
          <w:rFonts w:ascii="David" w:hAnsi="David"/>
          <w:rtl/>
        </w:rPr>
      </w:pPr>
      <w:r>
        <w:rPr>
          <w:rFonts w:ascii="David" w:hAnsi="David"/>
          <w:rtl/>
        </w:rPr>
        <w:tab/>
        <w:t xml:space="preserve">לאחר שהפנתה למדיניות הענישה הנוהגת, עתרה הסנגורית לקביעת מתחם עונש הולם הנע בין 18 ועד ל- 36 חודשי מאסר, וסברה כי בשל גילו הצעיר של הנאשם, העובדה כי הוא נעדר עבר פלילי ועצור לראשונה בחייו, יש למקמו בתחתית המתחם. </w:t>
      </w:r>
    </w:p>
    <w:p w14:paraId="2631B66C" w14:textId="77777777" w:rsidR="001E4D80" w:rsidRDefault="001E4D80" w:rsidP="001E4D80">
      <w:pPr>
        <w:spacing w:line="360" w:lineRule="auto"/>
        <w:ind w:left="720" w:hanging="720"/>
        <w:jc w:val="both"/>
        <w:rPr>
          <w:rFonts w:ascii="David" w:hAnsi="David"/>
          <w:rtl/>
        </w:rPr>
      </w:pPr>
    </w:p>
    <w:p w14:paraId="5C301B62" w14:textId="77777777" w:rsidR="001E4D80" w:rsidRDefault="001E4D80" w:rsidP="001E4D80">
      <w:pPr>
        <w:spacing w:line="360" w:lineRule="auto"/>
        <w:ind w:left="720" w:hanging="720"/>
        <w:jc w:val="both"/>
        <w:rPr>
          <w:rFonts w:ascii="David" w:hAnsi="David"/>
          <w:rtl/>
        </w:rPr>
      </w:pPr>
      <w:r>
        <w:rPr>
          <w:rFonts w:ascii="David" w:hAnsi="David"/>
          <w:rtl/>
        </w:rPr>
        <w:t>6.</w:t>
      </w:r>
      <w:r>
        <w:rPr>
          <w:rFonts w:ascii="David" w:hAnsi="David"/>
          <w:rtl/>
        </w:rPr>
        <w:tab/>
        <w:t>הנאשם בדברו האחרון אמר: "</w:t>
      </w:r>
      <w:r>
        <w:rPr>
          <w:rFonts w:ascii="David" w:hAnsi="David"/>
          <w:b/>
          <w:bCs/>
          <w:rtl/>
        </w:rPr>
        <w:t>אני מבקש סליחה על מה שעשיתי. אני רוצה להתקדם בבית הסוהר. אני גם הולך לטיפול ואני רוצה להתקדם עד שאשתחרר</w:t>
      </w:r>
      <w:r>
        <w:rPr>
          <w:rFonts w:ascii="David" w:hAnsi="David"/>
          <w:rtl/>
        </w:rPr>
        <w:t xml:space="preserve">" (פרו' עמ' 11, ש' 6). </w:t>
      </w:r>
    </w:p>
    <w:p w14:paraId="3C9769C0" w14:textId="77777777" w:rsidR="001E4D80" w:rsidRDefault="001E4D80" w:rsidP="001E4D80">
      <w:pPr>
        <w:spacing w:line="360" w:lineRule="auto"/>
        <w:ind w:left="720" w:hanging="720"/>
        <w:jc w:val="both"/>
        <w:rPr>
          <w:rFonts w:ascii="David" w:hAnsi="David"/>
          <w:rtl/>
        </w:rPr>
      </w:pPr>
    </w:p>
    <w:p w14:paraId="17C0BADA" w14:textId="77777777" w:rsidR="001E4D80" w:rsidRDefault="001E4D80" w:rsidP="001E4D80">
      <w:pPr>
        <w:spacing w:line="360" w:lineRule="auto"/>
        <w:ind w:left="720" w:hanging="720"/>
        <w:jc w:val="both"/>
        <w:rPr>
          <w:rFonts w:ascii="David" w:hAnsi="David"/>
          <w:u w:val="single"/>
          <w:rtl/>
        </w:rPr>
      </w:pPr>
      <w:r>
        <w:rPr>
          <w:rFonts w:ascii="David" w:hAnsi="David"/>
          <w:rtl/>
        </w:rPr>
        <w:tab/>
      </w:r>
      <w:r>
        <w:rPr>
          <w:rFonts w:ascii="David" w:hAnsi="David"/>
          <w:u w:val="single"/>
          <w:rtl/>
        </w:rPr>
        <w:t>דיון והכרעה</w:t>
      </w:r>
    </w:p>
    <w:p w14:paraId="57CCF757" w14:textId="77777777" w:rsidR="001E4D80" w:rsidRDefault="001E4D80" w:rsidP="001E4D80">
      <w:pPr>
        <w:spacing w:line="360" w:lineRule="auto"/>
        <w:ind w:left="720" w:hanging="720"/>
        <w:jc w:val="both"/>
        <w:rPr>
          <w:rFonts w:ascii="David" w:hAnsi="David"/>
          <w:u w:val="single"/>
          <w:rtl/>
        </w:rPr>
      </w:pPr>
    </w:p>
    <w:p w14:paraId="6D399CA5" w14:textId="77777777" w:rsidR="001E4D80" w:rsidRDefault="001E4D80" w:rsidP="001E4D80">
      <w:pPr>
        <w:spacing w:line="360" w:lineRule="auto"/>
        <w:ind w:left="720" w:hanging="720"/>
        <w:jc w:val="both"/>
        <w:rPr>
          <w:rFonts w:ascii="David" w:hAnsi="David"/>
          <w:rtl/>
        </w:rPr>
      </w:pPr>
      <w:r>
        <w:rPr>
          <w:rFonts w:ascii="David" w:hAnsi="David"/>
          <w:rtl/>
        </w:rPr>
        <w:t>7.</w:t>
      </w:r>
      <w:r>
        <w:rPr>
          <w:rFonts w:ascii="David" w:hAnsi="David"/>
          <w:rtl/>
        </w:rPr>
        <w:tab/>
        <w:t xml:space="preserve">על החומרה הרבה הגלומה בשימוש בנשק כאמצעי ליישוב סכסוכים עמד בית המשפט העליון פעמים רבות. תופעה זו פוגעת פגיעה ממשית בערכים מוגנים רבים ובהם שמירה על חיי אדם ושלמות גופו, ושמירה על בטחון ושלום הציבור. פגיעה זו חמורה במיוחד עת השימוש בנשק נעשה </w:t>
      </w:r>
      <w:r>
        <w:rPr>
          <w:rFonts w:ascii="David" w:hAnsi="David" w:hint="cs"/>
          <w:rtl/>
        </w:rPr>
        <w:t>באזור עירוני</w:t>
      </w:r>
      <w:r>
        <w:rPr>
          <w:rFonts w:ascii="David" w:hAnsi="David"/>
          <w:rtl/>
        </w:rPr>
        <w:t xml:space="preserve">, תוך שמסכן את חייהם של העוברים והשבים ועלול להביא לפגיעה בחפים מפשע [5684/22 </w:t>
      </w:r>
      <w:r>
        <w:rPr>
          <w:rFonts w:ascii="David" w:hAnsi="David"/>
          <w:b/>
          <w:bCs/>
          <w:rtl/>
        </w:rPr>
        <w:t xml:space="preserve">פלוני נ' מדינת ישראל </w:t>
      </w:r>
      <w:r>
        <w:rPr>
          <w:rFonts w:ascii="David" w:hAnsi="David"/>
          <w:rtl/>
        </w:rPr>
        <w:t xml:space="preserve">(20.4.2023)].   </w:t>
      </w:r>
    </w:p>
    <w:p w14:paraId="563B5030" w14:textId="77777777" w:rsidR="001E4D80" w:rsidRDefault="001E4D80" w:rsidP="001E4D80">
      <w:pPr>
        <w:spacing w:line="360" w:lineRule="auto"/>
        <w:ind w:left="720" w:hanging="720"/>
        <w:jc w:val="both"/>
        <w:rPr>
          <w:rFonts w:ascii="David" w:hAnsi="David"/>
          <w:rtl/>
        </w:rPr>
      </w:pPr>
      <w:r>
        <w:rPr>
          <w:rFonts w:ascii="David" w:hAnsi="David"/>
          <w:rtl/>
        </w:rPr>
        <w:tab/>
        <w:t>וכך נקבע ב</w:t>
      </w:r>
      <w:hyperlink r:id="rId22" w:history="1">
        <w:r w:rsidR="00967493" w:rsidRPr="00967493">
          <w:rPr>
            <w:rFonts w:ascii="David" w:hAnsi="David"/>
            <w:color w:val="0000FF"/>
            <w:u w:val="single"/>
            <w:rtl/>
          </w:rPr>
          <w:t>ע"פ 6496/21</w:t>
        </w:r>
      </w:hyperlink>
      <w:r>
        <w:rPr>
          <w:rFonts w:ascii="David" w:hAnsi="David"/>
          <w:rtl/>
        </w:rPr>
        <w:t xml:space="preserve"> </w:t>
      </w:r>
      <w:r>
        <w:rPr>
          <w:rFonts w:ascii="David" w:hAnsi="David"/>
          <w:b/>
          <w:bCs/>
          <w:rtl/>
        </w:rPr>
        <w:t>ריאן נ' מדינת ישראל</w:t>
      </w:r>
      <w:r>
        <w:rPr>
          <w:rFonts w:ascii="David" w:hAnsi="David"/>
          <w:rtl/>
        </w:rPr>
        <w:t xml:space="preserve"> (20.12.2021) - "</w:t>
      </w:r>
      <w:r>
        <w:rPr>
          <w:rFonts w:ascii="David" w:hAnsi="David"/>
          <w:b/>
          <w:bCs/>
          <w:rtl/>
        </w:rPr>
        <w:t>במעשיהם של המערערים טמונה חומרה של ממש. כפי שציינו אך לאחרונה, אירועי ירי דומים הפכו ל"'מגיפה', המפילה חללים מדי יום ביומו" וכי תופעה זו יש לשרש מנוף חייה של חברה מתוקנת (עניין אבו סאלח,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החברה ככלל... לפיכך, כמדיניות שיפוטית, יושתו על המעורבים בעבירות מסוג זה עונשי מאסר משמעותיים, מתוך רצון להוקיע תופעה זו ולשדר מסר מרתיע ככל הניתן (</w:t>
      </w:r>
      <w:hyperlink r:id="rId23" w:history="1">
        <w:r w:rsidR="00967493" w:rsidRPr="00967493">
          <w:rPr>
            <w:rFonts w:ascii="David" w:hAnsi="David"/>
            <w:b/>
            <w:bCs/>
            <w:color w:val="0000FF"/>
            <w:u w:val="single"/>
            <w:rtl/>
          </w:rPr>
          <w:t>ע"פ 5330/20</w:t>
        </w:r>
      </w:hyperlink>
      <w:r>
        <w:rPr>
          <w:rFonts w:ascii="David" w:hAnsi="David"/>
          <w:b/>
          <w:bCs/>
          <w:rtl/>
        </w:rPr>
        <w:t xml:space="preserve"> ענבתאוי נ' מדינת ישראל [פורסם בנבו] (22.11.2020) (להלן: עניין ענבתאוי)). יש לציין כי "מגיפה" זו לא חמקה מעינו של המחוקק, אשר בחר להחמיר עם עונשיהם של אלה הבוחרים לקחת חלק בעבירות נשק..."</w:t>
      </w:r>
    </w:p>
    <w:p w14:paraId="3C803128" w14:textId="77777777" w:rsidR="001E4D80" w:rsidRDefault="001E4D80" w:rsidP="001E4D80">
      <w:pPr>
        <w:spacing w:line="360" w:lineRule="auto"/>
        <w:ind w:left="720" w:hanging="720"/>
        <w:jc w:val="both"/>
        <w:rPr>
          <w:rFonts w:ascii="David" w:hAnsi="David"/>
          <w:rtl/>
        </w:rPr>
      </w:pPr>
    </w:p>
    <w:p w14:paraId="1CEA9EB4" w14:textId="77777777" w:rsidR="001E4D80" w:rsidRDefault="001E4D80" w:rsidP="001E4D80">
      <w:pPr>
        <w:spacing w:line="360" w:lineRule="auto"/>
        <w:ind w:left="720" w:hanging="720"/>
        <w:jc w:val="both"/>
        <w:rPr>
          <w:rFonts w:ascii="David" w:hAnsi="David"/>
          <w:rtl/>
        </w:rPr>
      </w:pPr>
      <w:r>
        <w:rPr>
          <w:rFonts w:ascii="David" w:hAnsi="David"/>
          <w:rtl/>
        </w:rPr>
        <w:tab/>
        <w:t xml:space="preserve">עבירת החבלה בכוונה מחמירה הקבועה </w:t>
      </w:r>
      <w:hyperlink r:id="rId24" w:history="1">
        <w:r w:rsidR="00E51179" w:rsidRPr="00E51179">
          <w:rPr>
            <w:rStyle w:val="Hyperlink"/>
            <w:rFonts w:ascii="David" w:hAnsi="David"/>
            <w:color w:val="0000FF"/>
            <w:rtl/>
          </w:rPr>
          <w:t>בסעיף 329</w:t>
        </w:r>
      </w:hyperlink>
      <w:r>
        <w:rPr>
          <w:rFonts w:ascii="David" w:hAnsi="David"/>
          <w:rtl/>
        </w:rPr>
        <w:t xml:space="preserve"> ל</w:t>
      </w:r>
      <w:hyperlink r:id="rId25" w:history="1">
        <w:r w:rsidR="00967493" w:rsidRPr="00967493">
          <w:rPr>
            <w:rFonts w:ascii="David" w:hAnsi="David"/>
            <w:color w:val="0000FF"/>
            <w:u w:val="single"/>
            <w:rtl/>
          </w:rPr>
          <w:t>חוק העונשין</w:t>
        </w:r>
      </w:hyperlink>
      <w:r>
        <w:rPr>
          <w:rFonts w:ascii="David" w:hAnsi="David"/>
          <w:rtl/>
        </w:rPr>
        <w:t xml:space="preserve"> מכילה בקרבה מגוון רחב של מעשים. אלו נעים בין מעשי תכנון והכנה ראשוניים שאינם כוללים פגיעה ממשית, ועד לכאלו בהם בוצעה פגיעה פיזית בקורבן העבירה, כשכל מקרה נבחן לגופו. בענייננו, הורשע הנאשם </w:t>
      </w:r>
      <w:r w:rsidRPr="00A4214F">
        <w:rPr>
          <w:rFonts w:ascii="David" w:hAnsi="David" w:hint="cs"/>
          <w:rtl/>
        </w:rPr>
        <w:t>בעבירה של</w:t>
      </w:r>
      <w:r>
        <w:rPr>
          <w:rFonts w:ascii="David" w:hAnsi="David" w:hint="cs"/>
          <w:b/>
          <w:bCs/>
          <w:rtl/>
        </w:rPr>
        <w:t xml:space="preserve"> </w:t>
      </w:r>
      <w:r w:rsidRPr="00A4214F">
        <w:rPr>
          <w:rFonts w:ascii="David" w:hAnsi="David"/>
          <w:b/>
          <w:bCs/>
          <w:rtl/>
        </w:rPr>
        <w:t>סיוע</w:t>
      </w:r>
      <w:r>
        <w:rPr>
          <w:rFonts w:ascii="David" w:hAnsi="David"/>
          <w:rtl/>
        </w:rPr>
        <w:t xml:space="preserve"> לחבלה בכוונה מחמירה הקבועה </w:t>
      </w:r>
      <w:hyperlink r:id="rId26" w:history="1">
        <w:r w:rsidR="00E51179" w:rsidRPr="00E51179">
          <w:rPr>
            <w:rStyle w:val="Hyperlink"/>
            <w:rFonts w:ascii="David" w:hAnsi="David"/>
            <w:color w:val="0000FF"/>
            <w:rtl/>
          </w:rPr>
          <w:t>בסעיף 329(א)(2)</w:t>
        </w:r>
      </w:hyperlink>
      <w:r>
        <w:rPr>
          <w:rFonts w:ascii="David" w:hAnsi="David"/>
          <w:rtl/>
        </w:rPr>
        <w:t>, משמע כזו</w:t>
      </w:r>
      <w:r>
        <w:rPr>
          <w:rFonts w:ascii="David" w:hAnsi="David" w:hint="cs"/>
          <w:rtl/>
        </w:rPr>
        <w:t xml:space="preserve"> המצויה </w:t>
      </w:r>
      <w:r w:rsidRPr="00A4214F">
        <w:rPr>
          <w:rFonts w:ascii="David" w:hAnsi="David" w:hint="cs"/>
          <w:b/>
          <w:bCs/>
          <w:u w:val="single"/>
          <w:rtl/>
        </w:rPr>
        <w:t>גם במעגל השני</w:t>
      </w:r>
      <w:r>
        <w:rPr>
          <w:rFonts w:ascii="David" w:hAnsi="David" w:hint="cs"/>
          <w:rtl/>
        </w:rPr>
        <w:t xml:space="preserve"> של המבצעים וגם כזו </w:t>
      </w:r>
      <w:r w:rsidRPr="00A4214F">
        <w:rPr>
          <w:rFonts w:ascii="David" w:hAnsi="David"/>
          <w:b/>
          <w:bCs/>
          <w:u w:val="single"/>
          <w:rtl/>
        </w:rPr>
        <w:t>שלא כוללת</w:t>
      </w:r>
      <w:r>
        <w:rPr>
          <w:rFonts w:ascii="David" w:hAnsi="David"/>
          <w:rtl/>
        </w:rPr>
        <w:t xml:space="preserve"> פגיעה בקורבן העבירה. </w:t>
      </w:r>
    </w:p>
    <w:p w14:paraId="6FD72AB1" w14:textId="77777777" w:rsidR="001E4D80" w:rsidRDefault="001E4D80" w:rsidP="001E4D80">
      <w:pPr>
        <w:spacing w:line="360" w:lineRule="auto"/>
        <w:ind w:left="720" w:hanging="720"/>
        <w:jc w:val="both"/>
        <w:rPr>
          <w:rFonts w:ascii="David" w:hAnsi="David"/>
          <w:rtl/>
        </w:rPr>
      </w:pPr>
    </w:p>
    <w:p w14:paraId="2C8DB732" w14:textId="77777777" w:rsidR="001E4D80" w:rsidRDefault="001E4D80" w:rsidP="001E4D80">
      <w:pPr>
        <w:spacing w:line="360" w:lineRule="auto"/>
        <w:ind w:left="720" w:hanging="720"/>
        <w:jc w:val="both"/>
        <w:rPr>
          <w:rFonts w:ascii="David" w:hAnsi="David"/>
          <w:rtl/>
        </w:rPr>
      </w:pPr>
      <w:r>
        <w:rPr>
          <w:rFonts w:ascii="David" w:hAnsi="David"/>
          <w:rtl/>
        </w:rPr>
        <w:tab/>
        <w:t>באשר לעבירת הנשק בה הורשע הנאשם, יש לציין את קביעת בית המשפט העליון כי המתחם הראוי לעבירת נשיאת נשק "רגילה" צריך לנוע בין 30 ל- 42 חודשי מאסר [</w:t>
      </w:r>
      <w:hyperlink r:id="rId27" w:history="1">
        <w:r w:rsidR="00967493" w:rsidRPr="00967493">
          <w:rPr>
            <w:rFonts w:ascii="David" w:hAnsi="David"/>
            <w:color w:val="0000FF"/>
            <w:u w:val="single"/>
            <w:rtl/>
          </w:rPr>
          <w:t>ע"פ 5602/22</w:t>
        </w:r>
      </w:hyperlink>
      <w:r>
        <w:rPr>
          <w:rFonts w:ascii="David" w:hAnsi="David"/>
          <w:rtl/>
        </w:rPr>
        <w:t xml:space="preserve"> </w:t>
      </w:r>
      <w:r>
        <w:rPr>
          <w:rFonts w:ascii="David" w:hAnsi="David"/>
          <w:b/>
          <w:bCs/>
          <w:rtl/>
        </w:rPr>
        <w:t xml:space="preserve">מדינת ישראל נ' פלוני </w:t>
      </w:r>
      <w:r>
        <w:rPr>
          <w:rFonts w:ascii="David" w:hAnsi="David"/>
          <w:rtl/>
        </w:rPr>
        <w:t>(8.9.2022)]. ההחמרה בענישה בעבירות הנשק באה לידי ביטוי אף בחקיקה, עת המחוקק קבע עונש מינימום בעבירות אלו כך שהעונש שיושת בגינן יתחיל מרבע מהעונש המירבי הקבוע לצד העבירה [</w:t>
      </w:r>
      <w:hyperlink r:id="rId28" w:history="1">
        <w:r w:rsidR="00967493" w:rsidRPr="00967493">
          <w:rPr>
            <w:rFonts w:ascii="David" w:hAnsi="David"/>
            <w:color w:val="0000FF"/>
            <w:u w:val="single"/>
            <w:rtl/>
          </w:rPr>
          <w:t>חוק העונשין</w:t>
        </w:r>
      </w:hyperlink>
      <w:r>
        <w:rPr>
          <w:rFonts w:ascii="David" w:hAnsi="David"/>
          <w:rtl/>
        </w:rPr>
        <w:t xml:space="preserve"> (תיקון 140 - הוראת שעה) (תיקון), התשפ"ה - 2024]. </w:t>
      </w:r>
    </w:p>
    <w:p w14:paraId="53B9CC69" w14:textId="77777777" w:rsidR="001E4D80" w:rsidRDefault="001E4D80" w:rsidP="001E4D80">
      <w:pPr>
        <w:spacing w:line="360" w:lineRule="auto"/>
        <w:ind w:left="720" w:hanging="720"/>
        <w:jc w:val="both"/>
        <w:rPr>
          <w:rFonts w:ascii="David" w:hAnsi="David"/>
          <w:rtl/>
        </w:rPr>
      </w:pPr>
    </w:p>
    <w:p w14:paraId="19E3AA6B" w14:textId="77777777" w:rsidR="001E4D80" w:rsidRDefault="001E4D80" w:rsidP="001E4D80">
      <w:pPr>
        <w:spacing w:line="360" w:lineRule="auto"/>
        <w:ind w:left="720" w:hanging="720"/>
        <w:jc w:val="both"/>
        <w:rPr>
          <w:rFonts w:ascii="David" w:hAnsi="David"/>
          <w:rtl/>
        </w:rPr>
      </w:pPr>
      <w:r>
        <w:rPr>
          <w:rFonts w:ascii="David" w:hAnsi="David"/>
          <w:rtl/>
        </w:rPr>
        <w:t>8.</w:t>
      </w:r>
      <w:r>
        <w:rPr>
          <w:rFonts w:ascii="David" w:hAnsi="David"/>
          <w:rtl/>
        </w:rPr>
        <w:tab/>
        <w:t xml:space="preserve">באשר לנסיבות הקשורות בביצוע העבירה, </w:t>
      </w:r>
      <w:r>
        <w:rPr>
          <w:rFonts w:ascii="David" w:hAnsi="David" w:hint="cs"/>
          <w:rtl/>
        </w:rPr>
        <w:t xml:space="preserve">יש ליתן את הדעת לעובדה כי מדובר באירוע עברייני בעל היבטים ספונטניים, כזה בו נראה כי קיים פער "איכותי" בין אותו "אחר" שנשא את הנשק וירה בו לבין הנאשם שחלקו מצומצם יותר. מכלל הנסיבות עולה כי העבירה יכולה הייתה להתבצע גם ללא אותו "סיוע" בעטיו הורשע הנאשם. </w:t>
      </w:r>
      <w:r w:rsidRPr="002C3EF5">
        <w:rPr>
          <w:rFonts w:ascii="David" w:hAnsi="David" w:hint="cs"/>
          <w:rtl/>
        </w:rPr>
        <w:t>בנוסף, יש לקחת בחשבון את הנזק ש</w:t>
      </w:r>
      <w:r w:rsidRPr="002C3EF5">
        <w:rPr>
          <w:rFonts w:ascii="David" w:hAnsi="David"/>
          <w:rtl/>
        </w:rPr>
        <w:t xml:space="preserve">צפוי היה להיגרם מביצוע העבירות </w:t>
      </w:r>
      <w:r>
        <w:rPr>
          <w:rFonts w:ascii="David" w:hAnsi="David" w:hint="cs"/>
          <w:rtl/>
        </w:rPr>
        <w:t xml:space="preserve">ואציין בהקשר זה כי ככלל, ירי באזור עירוני בו נמצאים אנשים, המתבצע בצהרי היום, הוא בעל פוטנציאל גבוה לגרימת נזק. במקרה דנן, ומכיוון שהפגיעה בקטין לא יוחסה לנאשם, יש לראות בנזק ככזה המצוי במישור הפוטנציאלי בלבד. נתון רלוונטי נוסף קשור בעובדה כי מדובר בנשק ארוך בעל פוטנציאל נזק רב יותר מאקדח. </w:t>
      </w:r>
    </w:p>
    <w:p w14:paraId="4E0D8F48" w14:textId="77777777" w:rsidR="001E4D80" w:rsidRDefault="001E4D80" w:rsidP="001E4D80">
      <w:pPr>
        <w:spacing w:line="360" w:lineRule="auto"/>
        <w:ind w:left="720" w:hanging="720"/>
        <w:jc w:val="both"/>
        <w:rPr>
          <w:rFonts w:ascii="David" w:hAnsi="David"/>
          <w:rtl/>
        </w:rPr>
      </w:pPr>
    </w:p>
    <w:p w14:paraId="793E90C6" w14:textId="77777777" w:rsidR="001E4D80" w:rsidRDefault="001E4D80" w:rsidP="001E4D80">
      <w:pPr>
        <w:spacing w:line="360" w:lineRule="auto"/>
        <w:ind w:left="720" w:hanging="720"/>
        <w:jc w:val="both"/>
        <w:rPr>
          <w:rFonts w:ascii="David" w:hAnsi="David"/>
          <w:rtl/>
        </w:rPr>
      </w:pPr>
      <w:r>
        <w:rPr>
          <w:rFonts w:ascii="David" w:hAnsi="David"/>
          <w:rtl/>
        </w:rPr>
        <w:tab/>
        <w:t xml:space="preserve">בכל האמור לעיל יש כדי להשפיע על קביעת מתחם הענישה. </w:t>
      </w:r>
    </w:p>
    <w:p w14:paraId="7044F10A" w14:textId="77777777" w:rsidR="001E4D80" w:rsidRDefault="001E4D80" w:rsidP="001E4D80">
      <w:pPr>
        <w:spacing w:line="360" w:lineRule="auto"/>
        <w:ind w:left="720" w:hanging="720"/>
        <w:jc w:val="both"/>
        <w:rPr>
          <w:rFonts w:ascii="David" w:hAnsi="David"/>
          <w:rtl/>
        </w:rPr>
      </w:pPr>
    </w:p>
    <w:p w14:paraId="1FE0093E" w14:textId="77777777" w:rsidR="001E4D80" w:rsidRDefault="001E4D80" w:rsidP="001E4D80">
      <w:pPr>
        <w:spacing w:line="360" w:lineRule="auto"/>
        <w:ind w:left="720" w:hanging="720"/>
        <w:jc w:val="both"/>
        <w:rPr>
          <w:rFonts w:ascii="David" w:hAnsi="David"/>
          <w:rtl/>
        </w:rPr>
      </w:pPr>
      <w:r>
        <w:rPr>
          <w:rFonts w:ascii="David" w:hAnsi="David"/>
          <w:rtl/>
        </w:rPr>
        <w:t>9.</w:t>
      </w:r>
      <w:r>
        <w:rPr>
          <w:rFonts w:ascii="David" w:hAnsi="David"/>
          <w:rtl/>
        </w:rPr>
        <w:tab/>
        <w:t xml:space="preserve">בבחינת מדיניות הענישה הנוהגת, אציין כי </w:t>
      </w:r>
      <w:r>
        <w:rPr>
          <w:rFonts w:ascii="David" w:hAnsi="David" w:hint="cs"/>
          <w:rtl/>
        </w:rPr>
        <w:t xml:space="preserve">קיימת פסיקה מצומצמת בלבד ביחס למקרים המשלבים בין ביצוע בצוותא של עבירת נשיאת נשק לבין סיוע לחבלה בכוונה מחמירה בחלופה הקבועה </w:t>
      </w:r>
      <w:hyperlink r:id="rId29" w:history="1">
        <w:r w:rsidR="00E51179" w:rsidRPr="00E51179">
          <w:rPr>
            <w:rStyle w:val="Hyperlink"/>
            <w:rFonts w:ascii="David" w:hAnsi="David" w:hint="eastAsia"/>
            <w:color w:val="0000FF"/>
            <w:rtl/>
          </w:rPr>
          <w:t>בסעיף</w:t>
        </w:r>
        <w:r w:rsidR="00E51179" w:rsidRPr="00E51179">
          <w:rPr>
            <w:rStyle w:val="Hyperlink"/>
            <w:rFonts w:ascii="David" w:hAnsi="David"/>
            <w:color w:val="0000FF"/>
            <w:rtl/>
          </w:rPr>
          <w:t xml:space="preserve"> 329(א)(2)</w:t>
        </w:r>
      </w:hyperlink>
      <w:r>
        <w:rPr>
          <w:rFonts w:ascii="David" w:hAnsi="David" w:hint="cs"/>
          <w:rtl/>
        </w:rPr>
        <w:t xml:space="preserve"> ל</w:t>
      </w:r>
      <w:hyperlink r:id="rId30" w:history="1">
        <w:r w:rsidR="00967493" w:rsidRPr="00967493">
          <w:rPr>
            <w:rFonts w:ascii="David" w:hAnsi="David"/>
            <w:color w:val="0000FF"/>
            <w:u w:val="single"/>
            <w:rtl/>
          </w:rPr>
          <w:t>חוק העונשין</w:t>
        </w:r>
      </w:hyperlink>
      <w:r>
        <w:rPr>
          <w:rFonts w:ascii="David" w:hAnsi="David" w:hint="cs"/>
          <w:rtl/>
        </w:rPr>
        <w:t xml:space="preserve">. משכך הם פני הדברים, אתמקד בסקירת הפסיקה במדיניות הענישה הכללית כפי שהיא משתקפת ממקרים של ביצוע "רגיל" ואעמוד על ההבדלים בין אותם מקרים לענייננו. חשוב לציין כבר כעת כי על אף שחלק מהמקרים שיובאו חמורים מענייננו, הרי אלה משקפים את רמת הענישה כפי שהייתה נהוגה באותה נקודת זמן, בעוד שבנקודת הזמן הנוכחית יש ליתן משקל גם למגמת ההחמרה בעבירות הנשק כפי שזו עולה מפסיקת בית המשפט העליון. </w:t>
      </w:r>
    </w:p>
    <w:p w14:paraId="70CF45B2" w14:textId="77777777" w:rsidR="001E4D80" w:rsidRDefault="001E4D80" w:rsidP="001E4D80">
      <w:pPr>
        <w:spacing w:line="360" w:lineRule="auto"/>
        <w:ind w:left="720" w:hanging="720"/>
        <w:jc w:val="both"/>
        <w:rPr>
          <w:rFonts w:ascii="David" w:hAnsi="David"/>
          <w:rtl/>
        </w:rPr>
      </w:pPr>
    </w:p>
    <w:p w14:paraId="5AB1A404" w14:textId="77777777" w:rsidR="001E4D80" w:rsidRDefault="001E4D80" w:rsidP="001E4D80">
      <w:pPr>
        <w:spacing w:line="360" w:lineRule="auto"/>
        <w:ind w:left="720" w:hanging="720"/>
        <w:jc w:val="both"/>
        <w:rPr>
          <w:rFonts w:ascii="David" w:hAnsi="David"/>
          <w:rtl/>
        </w:rPr>
      </w:pPr>
      <w:r>
        <w:rPr>
          <w:rFonts w:ascii="David" w:hAnsi="David"/>
          <w:rtl/>
        </w:rPr>
        <w:tab/>
      </w:r>
      <w:hyperlink r:id="rId31" w:history="1">
        <w:r w:rsidR="00967493" w:rsidRPr="00967493">
          <w:rPr>
            <w:rFonts w:ascii="David" w:hAnsi="David"/>
            <w:color w:val="0000FF"/>
            <w:u w:val="single"/>
            <w:rtl/>
          </w:rPr>
          <w:t>ע"פ 7850/21</w:t>
        </w:r>
      </w:hyperlink>
      <w:r>
        <w:rPr>
          <w:rFonts w:ascii="David" w:hAnsi="David"/>
          <w:rtl/>
        </w:rPr>
        <w:t xml:space="preserve"> </w:t>
      </w:r>
      <w:r>
        <w:rPr>
          <w:rFonts w:ascii="David" w:hAnsi="David"/>
          <w:b/>
          <w:bCs/>
          <w:rtl/>
        </w:rPr>
        <w:t xml:space="preserve">דסוקי נ' מדינת ישראל </w:t>
      </w:r>
      <w:r>
        <w:rPr>
          <w:rFonts w:ascii="David" w:hAnsi="David"/>
          <w:rtl/>
        </w:rPr>
        <w:t xml:space="preserve">(9.6.2022) - הנאשם הורשע על יסוד הודאתו בעבירות של חבלה בכוונה מחמירה לפי </w:t>
      </w:r>
      <w:hyperlink r:id="rId32" w:history="1">
        <w:r w:rsidR="00E51179" w:rsidRPr="00E51179">
          <w:rPr>
            <w:rStyle w:val="Hyperlink"/>
            <w:rFonts w:ascii="David" w:hAnsi="David"/>
            <w:color w:val="0000FF"/>
            <w:rtl/>
          </w:rPr>
          <w:t>סעיפים 329(א)(1)</w:t>
        </w:r>
      </w:hyperlink>
      <w:r>
        <w:rPr>
          <w:rFonts w:ascii="David" w:hAnsi="David"/>
          <w:rtl/>
        </w:rPr>
        <w:t xml:space="preserve"> ו-</w:t>
      </w:r>
      <w:hyperlink r:id="rId33" w:history="1">
        <w:r w:rsidR="00E51179" w:rsidRPr="00E51179">
          <w:rPr>
            <w:rStyle w:val="Hyperlink"/>
            <w:rFonts w:ascii="David" w:hAnsi="David"/>
            <w:color w:val="0000FF"/>
            <w:rtl/>
          </w:rPr>
          <w:t>329(א)(2)</w:t>
        </w:r>
      </w:hyperlink>
      <w:r>
        <w:rPr>
          <w:rFonts w:ascii="David" w:hAnsi="David"/>
          <w:rtl/>
        </w:rPr>
        <w:t xml:space="preserve"> ונשיאת נשק לפי סעיף </w:t>
      </w:r>
      <w:hyperlink r:id="rId34" w:history="1">
        <w:r w:rsidR="00E51179" w:rsidRPr="00E51179">
          <w:rPr>
            <w:rStyle w:val="Hyperlink"/>
            <w:rFonts w:ascii="David" w:hAnsi="David"/>
            <w:color w:val="0000FF"/>
            <w:rtl/>
          </w:rPr>
          <w:t>144(ב)</w:t>
        </w:r>
      </w:hyperlink>
      <w:r>
        <w:rPr>
          <w:rFonts w:ascii="David" w:hAnsi="David"/>
          <w:rtl/>
        </w:rPr>
        <w:t xml:space="preserve"> ל</w:t>
      </w:r>
      <w:hyperlink r:id="rId35" w:history="1">
        <w:r w:rsidR="00967493" w:rsidRPr="00967493">
          <w:rPr>
            <w:rFonts w:ascii="David" w:hAnsi="David"/>
            <w:color w:val="0000FF"/>
            <w:u w:val="single"/>
            <w:rtl/>
          </w:rPr>
          <w:t>חוק העונשין</w:t>
        </w:r>
      </w:hyperlink>
      <w:r>
        <w:rPr>
          <w:rFonts w:ascii="David" w:hAnsi="David"/>
          <w:rtl/>
        </w:rPr>
        <w:t xml:space="preserve">, בכך שבעקבות סכסוך של אחיו עם המתלונן, עקב הנאשם אחר המתלונן ברכבו כשהוא מצויד באקדח, עצר את רכבו במקביל למכוניתו של המתלונן וירה לעברו דרך חלון רכבו שלוש יריות, כאשר ירייה אחת פגעה בירכו השמאלית של המתלונן. בית המשפט המחוזי קבע </w:t>
      </w:r>
      <w:r>
        <w:rPr>
          <w:rFonts w:ascii="David" w:hAnsi="David"/>
          <w:b/>
          <w:bCs/>
          <w:rtl/>
        </w:rPr>
        <w:t>מתחם ענישה הנע בין 3.5 ל-7 שנות מאסר</w:t>
      </w:r>
      <w:r>
        <w:rPr>
          <w:rFonts w:ascii="David" w:hAnsi="David"/>
          <w:rtl/>
        </w:rPr>
        <w:t xml:space="preserve"> והשית על הנאשם 51 חודשי מאסר בפועל, לצד עונשים נלווים והפעיל עונש מאסר מותנה בן 12 חודשים (6 חודשים במצטבר ו- 6 חודשים בחופף). ערעור שהוגש על חומרת העונש נדחה על ידי בית המשפט העליון, בציינו כי:"...</w:t>
      </w:r>
      <w:r>
        <w:rPr>
          <w:rFonts w:ascii="David" w:hAnsi="David"/>
          <w:b/>
          <w:bCs/>
          <w:rtl/>
        </w:rPr>
        <w:t>מדובר בעונש מוצדק לחלוטין, ואף מתון... לא נמלא את חובתנו כדבעי אם נקל בעונשו של המערער אפילו במקצת"</w:t>
      </w:r>
      <w:r>
        <w:rPr>
          <w:rFonts w:ascii="David" w:hAnsi="David"/>
          <w:rtl/>
        </w:rPr>
        <w:t>.</w:t>
      </w:r>
    </w:p>
    <w:p w14:paraId="6BEE0C16" w14:textId="77777777" w:rsidR="001E4D80" w:rsidRDefault="001E4D80" w:rsidP="001E4D80">
      <w:pPr>
        <w:spacing w:line="360" w:lineRule="auto"/>
        <w:ind w:left="720" w:hanging="720"/>
        <w:jc w:val="both"/>
        <w:rPr>
          <w:rFonts w:ascii="David" w:hAnsi="David"/>
          <w:rtl/>
        </w:rPr>
      </w:pPr>
    </w:p>
    <w:p w14:paraId="265291A5" w14:textId="77777777" w:rsidR="001E4D80" w:rsidRDefault="001E4D80" w:rsidP="001E4D80">
      <w:pPr>
        <w:spacing w:line="360" w:lineRule="auto"/>
        <w:ind w:left="720" w:hanging="720"/>
        <w:jc w:val="both"/>
        <w:rPr>
          <w:rFonts w:ascii="David" w:hAnsi="David"/>
          <w:rtl/>
        </w:rPr>
      </w:pPr>
      <w:r>
        <w:rPr>
          <w:rFonts w:ascii="David" w:hAnsi="David"/>
          <w:rtl/>
        </w:rPr>
        <w:tab/>
        <w:t>מקרה זה חמור מענייננו</w:t>
      </w:r>
      <w:r>
        <w:rPr>
          <w:rFonts w:ascii="David" w:hAnsi="David" w:hint="cs"/>
          <w:rtl/>
        </w:rPr>
        <w:t xml:space="preserve"> במספר היבטים: אותו דסוקי </w:t>
      </w:r>
      <w:r>
        <w:rPr>
          <w:rFonts w:ascii="David" w:hAnsi="David"/>
          <w:rtl/>
        </w:rPr>
        <w:t xml:space="preserve">הורשע </w:t>
      </w:r>
      <w:r>
        <w:rPr>
          <w:rFonts w:ascii="David" w:hAnsi="David" w:hint="cs"/>
          <w:rtl/>
        </w:rPr>
        <w:t xml:space="preserve">גם בחלופה הקבועה </w:t>
      </w:r>
      <w:hyperlink r:id="rId36" w:history="1">
        <w:r w:rsidR="00E51179" w:rsidRPr="00E51179">
          <w:rPr>
            <w:rStyle w:val="Hyperlink"/>
            <w:rFonts w:ascii="David" w:hAnsi="David"/>
            <w:color w:val="0000FF"/>
            <w:rtl/>
          </w:rPr>
          <w:t>בסעיף 329(א)(1)</w:t>
        </w:r>
      </w:hyperlink>
      <w:r>
        <w:rPr>
          <w:rFonts w:ascii="David" w:hAnsi="David"/>
          <w:rtl/>
        </w:rPr>
        <w:t xml:space="preserve">, כלומר </w:t>
      </w:r>
      <w:r>
        <w:rPr>
          <w:rFonts w:ascii="David" w:hAnsi="David" w:hint="cs"/>
          <w:rtl/>
        </w:rPr>
        <w:t xml:space="preserve">בסיטואציה בה </w:t>
      </w:r>
      <w:r>
        <w:rPr>
          <w:rFonts w:ascii="David" w:hAnsi="David"/>
          <w:rtl/>
        </w:rPr>
        <w:t>נפגע קורבן העבירה</w:t>
      </w:r>
      <w:r>
        <w:rPr>
          <w:rFonts w:ascii="David" w:hAnsi="David" w:hint="cs"/>
          <w:rtl/>
        </w:rPr>
        <w:t xml:space="preserve">, ואותו דסוקי היה גם זה שירה בפועל ולא מי שסייע בידיו של היורה. </w:t>
      </w:r>
    </w:p>
    <w:p w14:paraId="48AA1EEA" w14:textId="77777777" w:rsidR="001E4D80" w:rsidRDefault="001E4D80" w:rsidP="001E4D80">
      <w:pPr>
        <w:spacing w:line="360" w:lineRule="auto"/>
        <w:ind w:left="720" w:hanging="720"/>
        <w:jc w:val="both"/>
        <w:rPr>
          <w:rFonts w:ascii="David" w:hAnsi="David"/>
        </w:rPr>
      </w:pPr>
    </w:p>
    <w:p w14:paraId="4170C4C9" w14:textId="77777777" w:rsidR="001E4D80" w:rsidRDefault="001E4D80" w:rsidP="001E4D80">
      <w:pPr>
        <w:spacing w:line="360" w:lineRule="auto"/>
        <w:ind w:left="720" w:hanging="720"/>
        <w:jc w:val="both"/>
        <w:rPr>
          <w:rFonts w:ascii="David" w:hAnsi="David"/>
          <w:rtl/>
        </w:rPr>
      </w:pPr>
      <w:r>
        <w:rPr>
          <w:rFonts w:ascii="David" w:hAnsi="David"/>
          <w:rtl/>
        </w:rPr>
        <w:tab/>
      </w:r>
      <w:hyperlink r:id="rId37" w:history="1">
        <w:r w:rsidR="00967493" w:rsidRPr="00967493">
          <w:rPr>
            <w:rFonts w:ascii="David" w:hAnsi="David"/>
            <w:color w:val="0000FF"/>
            <w:u w:val="single"/>
            <w:rtl/>
          </w:rPr>
          <w:t>ע"פ 6496/21</w:t>
        </w:r>
      </w:hyperlink>
      <w:r>
        <w:rPr>
          <w:rFonts w:ascii="David" w:hAnsi="David"/>
          <w:rtl/>
        </w:rPr>
        <w:t xml:space="preserve"> </w:t>
      </w:r>
      <w:r>
        <w:rPr>
          <w:rFonts w:ascii="David" w:hAnsi="David"/>
          <w:b/>
          <w:bCs/>
          <w:rtl/>
        </w:rPr>
        <w:t xml:space="preserve">ריאן נ' מדינת ישראל </w:t>
      </w:r>
      <w:r>
        <w:rPr>
          <w:rFonts w:ascii="David" w:hAnsi="David"/>
          <w:rtl/>
        </w:rPr>
        <w:t xml:space="preserve">(20.12.2021) - נאשם 1 הורשע על יסוד הודאתו במסגרת הסדר טיעון לצד 4 נאשמים נוספים. נאשם 1 הורשע בעבירות של חבלה בכוונה מחמירה לפי </w:t>
      </w:r>
      <w:hyperlink r:id="rId38" w:history="1">
        <w:r w:rsidR="00E51179" w:rsidRPr="00E51179">
          <w:rPr>
            <w:rStyle w:val="Hyperlink"/>
            <w:rFonts w:ascii="David" w:hAnsi="David"/>
            <w:color w:val="0000FF"/>
            <w:rtl/>
          </w:rPr>
          <w:t>סעיף 329(א)(2)</w:t>
        </w:r>
      </w:hyperlink>
      <w:r>
        <w:rPr>
          <w:rFonts w:ascii="David" w:hAnsi="David"/>
          <w:rtl/>
        </w:rPr>
        <w:t xml:space="preserve"> ונשיאת והובלת נשק לפי </w:t>
      </w:r>
      <w:hyperlink r:id="rId39" w:history="1">
        <w:r w:rsidR="00E51179" w:rsidRPr="00E51179">
          <w:rPr>
            <w:rStyle w:val="Hyperlink"/>
            <w:rFonts w:ascii="David" w:hAnsi="David"/>
            <w:color w:val="0000FF"/>
            <w:rtl/>
          </w:rPr>
          <w:t>סעיף 144(ב)</w:t>
        </w:r>
      </w:hyperlink>
      <w:r>
        <w:rPr>
          <w:rFonts w:ascii="David" w:hAnsi="David"/>
          <w:rtl/>
        </w:rPr>
        <w:t xml:space="preserve"> ל</w:t>
      </w:r>
      <w:hyperlink r:id="rId40" w:history="1">
        <w:r w:rsidR="00967493" w:rsidRPr="00967493">
          <w:rPr>
            <w:rFonts w:ascii="David" w:hAnsi="David"/>
            <w:color w:val="0000FF"/>
            <w:u w:val="single"/>
            <w:rtl/>
          </w:rPr>
          <w:t>חוק העונשין</w:t>
        </w:r>
      </w:hyperlink>
      <w:r>
        <w:rPr>
          <w:rFonts w:ascii="David" w:hAnsi="David"/>
          <w:rtl/>
        </w:rPr>
        <w:t xml:space="preserve">, לצד עבירות נוספות (ירי מנשק חם, איומים, נהיגה בזמן פסילה או בניגוד לתנאים ונהיגה ברכב ללא ביטוח). על רקע סכסוך בין משפחת ריאן למשפחת עכריה, שידל נאשם 3 את נאשם 1 ושאר הנאשמים להרוס, לשרוף ולבצע ירי בעסקיהם של משפחת עכריה. הנאשמים תצפתו ועקבו אחר משפחת עכריה לצורך ביצוע ירי לעברם, כשנאשם 1 יחד עם שני נאשמים נוספים הצטיידו בשני אקדחים לפחות ובתחמושת. נאשם 1 יחד עם שני נאשמים נוספים הגיעו לפארק בכפר והבחינו בבני זוג ממשפחה עכריה. אז ירה אחד מהשלושה, בצוותא חדא, ירייה בודדת במטרה להפחידם. לאחר הירי נמלטו הנאשמים. בהמשך לכך, הבחינו נאשם 1 ושני נאשמים נוספים בחאלד עכריה עת נסע ברכבו והחלו לנסוע אחריו. בעוד נאשם 1 נוהג ברכב, החלו הנאשמים האחרים לירות לעבר רכבו של חאלד. הקליעים בפגעו ברכבו של חאלד וברכבם של בני זוג המתגוררים בסמוך למקום ביצוע הירי. לאחר הירי הנאשמים נמלטו. בית המשפט המחוזי קבע כי ביחס לכלל הנאשמים, </w:t>
      </w:r>
      <w:r>
        <w:rPr>
          <w:rFonts w:ascii="David" w:hAnsi="David"/>
          <w:b/>
          <w:bCs/>
          <w:rtl/>
        </w:rPr>
        <w:t>מתחם העונש ההולם נע בין 3 ל-6 שנות מאסר</w:t>
      </w:r>
      <w:r>
        <w:rPr>
          <w:rFonts w:ascii="David" w:hAnsi="David"/>
          <w:rtl/>
        </w:rPr>
        <w:t>, וגזר על נאשם 1 עונש של 4 שנות מאסר לצד ענישה נלווית. ערעור שהוגש לבית המשפט העליון נדחה.</w:t>
      </w:r>
    </w:p>
    <w:p w14:paraId="1E3A1B54" w14:textId="77777777" w:rsidR="001E4D80" w:rsidRDefault="001E4D80" w:rsidP="001E4D80">
      <w:pPr>
        <w:spacing w:line="360" w:lineRule="auto"/>
        <w:ind w:left="720" w:hanging="720"/>
        <w:jc w:val="both"/>
        <w:rPr>
          <w:rFonts w:ascii="David" w:hAnsi="David"/>
          <w:rtl/>
        </w:rPr>
      </w:pPr>
    </w:p>
    <w:p w14:paraId="363723DB" w14:textId="77777777" w:rsidR="001E4D80" w:rsidRDefault="001E4D80" w:rsidP="001E4D80">
      <w:pPr>
        <w:spacing w:line="360" w:lineRule="auto"/>
        <w:ind w:left="720" w:hanging="720"/>
        <w:jc w:val="both"/>
        <w:rPr>
          <w:rFonts w:ascii="David" w:hAnsi="David"/>
          <w:rtl/>
        </w:rPr>
      </w:pPr>
      <w:r>
        <w:rPr>
          <w:rFonts w:ascii="David" w:hAnsi="David"/>
          <w:rtl/>
        </w:rPr>
        <w:tab/>
        <w:t>מקרה זה חמור מענייננו, שכן הנאשם הורשע בחבלה בכוונה מחמירה ולא בסיוע לה, לצד עבירות נוספות.</w:t>
      </w:r>
    </w:p>
    <w:p w14:paraId="7C676731" w14:textId="77777777" w:rsidR="001E4D80" w:rsidRDefault="001E4D80" w:rsidP="001E4D80">
      <w:pPr>
        <w:spacing w:line="360" w:lineRule="auto"/>
        <w:ind w:left="720" w:hanging="720"/>
        <w:jc w:val="both"/>
        <w:rPr>
          <w:rFonts w:ascii="David" w:hAnsi="David"/>
          <w:rtl/>
        </w:rPr>
      </w:pPr>
    </w:p>
    <w:p w14:paraId="25EEAC74" w14:textId="77777777" w:rsidR="001E4D80" w:rsidRDefault="001E4D80" w:rsidP="001E4D80">
      <w:pPr>
        <w:spacing w:line="360" w:lineRule="auto"/>
        <w:ind w:left="720" w:hanging="720"/>
        <w:jc w:val="both"/>
        <w:rPr>
          <w:rFonts w:ascii="David" w:hAnsi="David"/>
          <w:rtl/>
        </w:rPr>
      </w:pPr>
      <w:r>
        <w:rPr>
          <w:rFonts w:ascii="David" w:hAnsi="David"/>
          <w:rtl/>
        </w:rPr>
        <w:tab/>
      </w:r>
      <w:hyperlink r:id="rId41" w:history="1">
        <w:r w:rsidR="00967493" w:rsidRPr="00967493">
          <w:rPr>
            <w:rFonts w:ascii="David" w:hAnsi="David"/>
            <w:color w:val="0000FF"/>
            <w:u w:val="single"/>
            <w:rtl/>
          </w:rPr>
          <w:t>ע"פ 780/16</w:t>
        </w:r>
      </w:hyperlink>
      <w:r>
        <w:rPr>
          <w:rFonts w:ascii="David" w:hAnsi="David"/>
          <w:rtl/>
        </w:rPr>
        <w:t xml:space="preserve"> </w:t>
      </w:r>
      <w:r>
        <w:rPr>
          <w:rFonts w:ascii="David" w:hAnsi="David"/>
          <w:b/>
          <w:bCs/>
          <w:rtl/>
        </w:rPr>
        <w:t xml:space="preserve">שושה נ' מדינת ישראל </w:t>
      </w:r>
      <w:r>
        <w:rPr>
          <w:rFonts w:ascii="David" w:hAnsi="David"/>
          <w:rtl/>
        </w:rPr>
        <w:t xml:space="preserve">(20.2.2017) - הנאשם הורשע לאחר שמיעת ראיות בעבירה של חבלה בכוונה מחמירה לפי </w:t>
      </w:r>
      <w:hyperlink r:id="rId42" w:history="1">
        <w:r w:rsidR="00E51179" w:rsidRPr="00E51179">
          <w:rPr>
            <w:rStyle w:val="Hyperlink"/>
            <w:rFonts w:ascii="David" w:hAnsi="David"/>
            <w:color w:val="0000FF"/>
            <w:rtl/>
          </w:rPr>
          <w:t>סעיף 329(א)(2)</w:t>
        </w:r>
      </w:hyperlink>
      <w:r>
        <w:rPr>
          <w:rFonts w:ascii="David" w:hAnsi="David"/>
          <w:rtl/>
        </w:rPr>
        <w:t xml:space="preserve">, עבירות בנשק לפי </w:t>
      </w:r>
      <w:hyperlink r:id="rId43" w:history="1">
        <w:r w:rsidR="00E51179" w:rsidRPr="00E51179">
          <w:rPr>
            <w:rStyle w:val="Hyperlink"/>
            <w:rFonts w:ascii="David" w:hAnsi="David"/>
            <w:color w:val="0000FF"/>
            <w:rtl/>
          </w:rPr>
          <w:t>סעיפים 144(א)</w:t>
        </w:r>
      </w:hyperlink>
      <w:r>
        <w:rPr>
          <w:rFonts w:ascii="David" w:hAnsi="David"/>
          <w:rtl/>
        </w:rPr>
        <w:t xml:space="preserve"> ו</w:t>
      </w:r>
      <w:hyperlink r:id="rId44" w:history="1">
        <w:r w:rsidR="00E51179" w:rsidRPr="00E51179">
          <w:rPr>
            <w:rStyle w:val="Hyperlink"/>
            <w:rFonts w:ascii="David" w:hAnsi="David"/>
            <w:b/>
            <w:bCs/>
            <w:color w:val="0000FF"/>
            <w:rtl/>
          </w:rPr>
          <w:t>144(ב),</w:t>
        </w:r>
      </w:hyperlink>
      <w:r>
        <w:rPr>
          <w:rFonts w:ascii="David" w:hAnsi="David"/>
          <w:rtl/>
        </w:rPr>
        <w:t xml:space="preserve"> ועבירה של חבלה במזיד לפי </w:t>
      </w:r>
      <w:hyperlink r:id="rId45" w:history="1">
        <w:r w:rsidR="00E51179" w:rsidRPr="00E51179">
          <w:rPr>
            <w:rStyle w:val="Hyperlink"/>
            <w:rFonts w:ascii="David" w:hAnsi="David"/>
            <w:color w:val="0000FF"/>
            <w:rtl/>
          </w:rPr>
          <w:t>סעיף 413(ה)</w:t>
        </w:r>
      </w:hyperlink>
      <w:r>
        <w:rPr>
          <w:rFonts w:ascii="David" w:hAnsi="David"/>
          <w:rtl/>
        </w:rPr>
        <w:t xml:space="preserve"> ל</w:t>
      </w:r>
      <w:hyperlink r:id="rId46" w:history="1">
        <w:r w:rsidR="00967493" w:rsidRPr="00967493">
          <w:rPr>
            <w:rFonts w:ascii="David" w:hAnsi="David"/>
            <w:color w:val="0000FF"/>
            <w:u w:val="single"/>
            <w:rtl/>
          </w:rPr>
          <w:t>חוק העונשין</w:t>
        </w:r>
      </w:hyperlink>
      <w:r>
        <w:rPr>
          <w:rFonts w:ascii="David" w:hAnsi="David"/>
          <w:rtl/>
        </w:rPr>
        <w:t xml:space="preserve">. המתלונן החנה את רכבו בחניית ביתו, והוא ובני משפחתו (אשתו וילדיו בני ה-10, 4.5 ו-2.5) יצאו מהרכב. בזמן שאלו שהו בסמוך לרכב, הגיע הנאשם למקום כשהוא מצויד באקדח, ובעודו עומד במרחק קצר מהמתלונן ובני משפחתו ירה לעבר המתלונן 7 כדורים לפחות. חלק מהקליעים פגעו ברכבו של המתלונן, והנאשם נמלט מהמקום כשהוא נושא עימו את האקדח. בית המשפט המחוזי קבע </w:t>
      </w:r>
      <w:r>
        <w:rPr>
          <w:rFonts w:ascii="David" w:hAnsi="David"/>
          <w:b/>
          <w:bCs/>
          <w:rtl/>
        </w:rPr>
        <w:t>מתחם עונש הולם הנע בין 4 ל-7 שנות מאסר</w:t>
      </w:r>
      <w:r>
        <w:rPr>
          <w:rFonts w:ascii="David" w:hAnsi="David"/>
          <w:rtl/>
        </w:rPr>
        <w:t>, וגזר על הנאשם, צעיר לא עבר פלילי, 5 שנות מאסר בפועל לצד ענישה נלווית. ערעור שהוגש לבית המשפט העליון נדחה.</w:t>
      </w:r>
    </w:p>
    <w:p w14:paraId="505A961D" w14:textId="77777777" w:rsidR="001E4D80" w:rsidRDefault="001E4D80" w:rsidP="001E4D80">
      <w:pPr>
        <w:spacing w:line="360" w:lineRule="auto"/>
        <w:ind w:left="720" w:hanging="720"/>
        <w:jc w:val="both"/>
        <w:rPr>
          <w:rFonts w:ascii="David" w:hAnsi="David"/>
          <w:rtl/>
        </w:rPr>
      </w:pPr>
    </w:p>
    <w:p w14:paraId="3E3DA450" w14:textId="77777777" w:rsidR="001E4D80" w:rsidRDefault="001E4D80" w:rsidP="001E4D80">
      <w:pPr>
        <w:spacing w:line="360" w:lineRule="auto"/>
        <w:ind w:left="720" w:hanging="720"/>
        <w:jc w:val="both"/>
        <w:rPr>
          <w:rFonts w:ascii="David" w:hAnsi="David"/>
          <w:rtl/>
        </w:rPr>
      </w:pPr>
      <w:r>
        <w:rPr>
          <w:rFonts w:ascii="David" w:hAnsi="David"/>
          <w:rtl/>
        </w:rPr>
        <w:tab/>
        <w:t xml:space="preserve">מקרה זה חמור מעניינו, שכן בענייננו הנאשם הורשע בסיוע לחבלה בכוונה מחמירה, בעבירת נשק לפי </w:t>
      </w:r>
      <w:hyperlink r:id="rId47" w:history="1">
        <w:r w:rsidR="00E51179" w:rsidRPr="00E51179">
          <w:rPr>
            <w:rStyle w:val="Hyperlink"/>
            <w:rFonts w:ascii="David" w:hAnsi="David"/>
            <w:color w:val="0000FF"/>
            <w:rtl/>
          </w:rPr>
          <w:t>סעיף 144(ב)</w:t>
        </w:r>
      </w:hyperlink>
      <w:r>
        <w:rPr>
          <w:rFonts w:ascii="David" w:hAnsi="David"/>
          <w:rtl/>
        </w:rPr>
        <w:t xml:space="preserve"> וללא עבירה של חבלה במזיד.</w:t>
      </w:r>
    </w:p>
    <w:p w14:paraId="5DD5595E" w14:textId="77777777" w:rsidR="001E4D80" w:rsidRDefault="001E4D80" w:rsidP="001E4D80">
      <w:pPr>
        <w:spacing w:line="360" w:lineRule="auto"/>
        <w:ind w:left="720" w:hanging="720"/>
        <w:jc w:val="both"/>
        <w:rPr>
          <w:rFonts w:ascii="David" w:hAnsi="David"/>
          <w:rtl/>
        </w:rPr>
      </w:pPr>
    </w:p>
    <w:p w14:paraId="5CD24FDA" w14:textId="77777777" w:rsidR="001E4D80" w:rsidRDefault="001E4D80" w:rsidP="001E4D80">
      <w:pPr>
        <w:spacing w:line="360" w:lineRule="auto"/>
        <w:ind w:left="720" w:hanging="720"/>
        <w:jc w:val="both"/>
        <w:rPr>
          <w:rFonts w:ascii="David" w:hAnsi="David"/>
          <w:rtl/>
        </w:rPr>
      </w:pPr>
      <w:r>
        <w:rPr>
          <w:rFonts w:ascii="David" w:hAnsi="David"/>
          <w:rtl/>
        </w:rPr>
        <w:tab/>
      </w:r>
      <w:hyperlink r:id="rId48" w:history="1">
        <w:r w:rsidR="00967493" w:rsidRPr="00967493">
          <w:rPr>
            <w:rFonts w:ascii="David" w:hAnsi="David"/>
            <w:color w:val="0000FF"/>
            <w:u w:val="single"/>
            <w:rtl/>
          </w:rPr>
          <w:t>ת"פ 61181-07-23</w:t>
        </w:r>
      </w:hyperlink>
      <w:r>
        <w:rPr>
          <w:rFonts w:ascii="David" w:hAnsi="David"/>
          <w:rtl/>
        </w:rPr>
        <w:t xml:space="preserve"> </w:t>
      </w:r>
      <w:r>
        <w:rPr>
          <w:rFonts w:ascii="David" w:hAnsi="David"/>
          <w:b/>
          <w:bCs/>
          <w:rtl/>
        </w:rPr>
        <w:t>מדינת ישראל נ' עיסא</w:t>
      </w:r>
      <w:r>
        <w:rPr>
          <w:rFonts w:ascii="David" w:hAnsi="David"/>
          <w:rtl/>
        </w:rPr>
        <w:t xml:space="preserve"> (8.4.2024) - הנאשם הורשע על יסוד הודאתו במסגרת הסדר טיעון בעבירות של החזקת נשק לפי </w:t>
      </w:r>
      <w:hyperlink r:id="rId49" w:history="1">
        <w:r w:rsidR="00E51179" w:rsidRPr="00E51179">
          <w:rPr>
            <w:rStyle w:val="Hyperlink"/>
            <w:rFonts w:ascii="David" w:hAnsi="David"/>
            <w:color w:val="0000FF"/>
            <w:rtl/>
          </w:rPr>
          <w:t>סעיף 144(א)</w:t>
        </w:r>
      </w:hyperlink>
      <w:r>
        <w:rPr>
          <w:rFonts w:ascii="David" w:hAnsi="David"/>
          <w:rtl/>
        </w:rPr>
        <w:t xml:space="preserve">, חבלה בכוונה מחמירה לפי </w:t>
      </w:r>
      <w:hyperlink r:id="rId50" w:history="1">
        <w:r w:rsidR="00E51179" w:rsidRPr="00E51179">
          <w:rPr>
            <w:rStyle w:val="Hyperlink"/>
            <w:rFonts w:ascii="David" w:hAnsi="David"/>
            <w:color w:val="0000FF"/>
            <w:rtl/>
          </w:rPr>
          <w:t>סעיף 329(א)(2)</w:t>
        </w:r>
      </w:hyperlink>
      <w:r>
        <w:rPr>
          <w:rFonts w:ascii="David" w:hAnsi="David"/>
          <w:rtl/>
        </w:rPr>
        <w:t xml:space="preserve">, ותקיפה סתם לפי </w:t>
      </w:r>
      <w:hyperlink r:id="rId51" w:history="1">
        <w:r w:rsidR="00E51179" w:rsidRPr="00E51179">
          <w:rPr>
            <w:rStyle w:val="Hyperlink"/>
            <w:rFonts w:ascii="David" w:hAnsi="David"/>
            <w:color w:val="0000FF"/>
            <w:rtl/>
          </w:rPr>
          <w:t>סעיף 379</w:t>
        </w:r>
      </w:hyperlink>
      <w:r>
        <w:rPr>
          <w:rFonts w:ascii="David" w:hAnsi="David"/>
          <w:rtl/>
        </w:rPr>
        <w:t xml:space="preserve"> בנסיבות </w:t>
      </w:r>
      <w:hyperlink r:id="rId52" w:history="1">
        <w:r w:rsidR="00E51179" w:rsidRPr="00E51179">
          <w:rPr>
            <w:rStyle w:val="Hyperlink"/>
            <w:rFonts w:ascii="David" w:hAnsi="David"/>
            <w:color w:val="0000FF"/>
            <w:rtl/>
          </w:rPr>
          <w:t>סעיף 382(א)</w:t>
        </w:r>
      </w:hyperlink>
      <w:r>
        <w:rPr>
          <w:rFonts w:ascii="David" w:hAnsi="David"/>
          <w:rtl/>
        </w:rPr>
        <w:t xml:space="preserve"> ל</w:t>
      </w:r>
      <w:hyperlink r:id="rId53" w:history="1">
        <w:r w:rsidR="00967493" w:rsidRPr="00967493">
          <w:rPr>
            <w:rFonts w:ascii="David" w:hAnsi="David"/>
            <w:color w:val="0000FF"/>
            <w:u w:val="single"/>
            <w:rtl/>
          </w:rPr>
          <w:t>חוק העונשין</w:t>
        </w:r>
      </w:hyperlink>
      <w:r>
        <w:rPr>
          <w:rFonts w:ascii="David" w:hAnsi="David"/>
          <w:rtl/>
        </w:rPr>
        <w:t xml:space="preserve">. בעקבות סכסוך בין הנאשם ובני משפחתו לבין משפחת אמו, ולאחר עימות מילולי בין המשפחות, הנאשם, אבין וארבעת אחיו עלו לגג ביתם. באותה עת חלק מבני המשפחה היריבה התקבצו במורדות הבניין ומחוצה לו. הנאשם שהחזיק ונשא אקדח באותה העת ללא רישיון, ירה מספר קליעים לעבר אחד מבני המשפחה היריבה (להלן - </w:t>
      </w:r>
      <w:r>
        <w:rPr>
          <w:rFonts w:ascii="David" w:hAnsi="David"/>
          <w:b/>
          <w:bCs/>
          <w:rtl/>
        </w:rPr>
        <w:t>מחמד</w:t>
      </w:r>
      <w:r>
        <w:rPr>
          <w:rFonts w:ascii="David" w:hAnsi="David"/>
          <w:rtl/>
        </w:rPr>
        <w:t xml:space="preserve">) שנסע ברכב בסמוך למקום. שלושה קליעים פגעו ברכב. לאחר שמחמד עצר את רכבו, הנאשם ירה לעברו מספר קליעים נוספים וצעק לעברו "אם אתה לא עוזב את המקום אני אוריד אותך", והקליעים פגעו ברצפה. במקביל לירי ולאחריו, הנאשם, אביו וארבעת אחיו יידו לעבר בני המשפחה היריבה ששהו מתחת לבניין בלוקים, אבנים וכסאות מפלסטיק, כשבני המשפחה היריבה השיבו ביידוי אבנים. כתוצאה מיידוי האבנים נפגע בראשו אחד מבני המשפחה. בית המשפט קבע </w:t>
      </w:r>
      <w:r>
        <w:rPr>
          <w:rFonts w:ascii="David" w:hAnsi="David"/>
          <w:b/>
          <w:bCs/>
          <w:rtl/>
        </w:rPr>
        <w:t>מתחם עונש הולם הנע בין 3 ל-6 שנות מאסר</w:t>
      </w:r>
      <w:r>
        <w:rPr>
          <w:rFonts w:ascii="David" w:hAnsi="David"/>
          <w:rtl/>
        </w:rPr>
        <w:t>, וגזר על הנאשם, צעיר ללא עבר פלילי, 40 חודשי מאסר לצד ענישה נלווית.</w:t>
      </w:r>
    </w:p>
    <w:p w14:paraId="0B4E3CD5" w14:textId="77777777" w:rsidR="001E4D80" w:rsidRDefault="001E4D80" w:rsidP="001E4D80">
      <w:pPr>
        <w:spacing w:line="360" w:lineRule="auto"/>
        <w:ind w:left="720" w:hanging="720"/>
        <w:jc w:val="both"/>
        <w:rPr>
          <w:rFonts w:ascii="David" w:hAnsi="David"/>
          <w:rtl/>
        </w:rPr>
      </w:pPr>
    </w:p>
    <w:p w14:paraId="53807AAA" w14:textId="77777777" w:rsidR="001E4D80" w:rsidRDefault="001E4D80" w:rsidP="001E4D80">
      <w:pPr>
        <w:spacing w:line="360" w:lineRule="auto"/>
        <w:ind w:left="720" w:hanging="720"/>
        <w:jc w:val="both"/>
        <w:rPr>
          <w:rFonts w:ascii="David" w:hAnsi="David"/>
          <w:rtl/>
        </w:rPr>
      </w:pPr>
      <w:r>
        <w:rPr>
          <w:rFonts w:ascii="David" w:hAnsi="David"/>
          <w:rtl/>
        </w:rPr>
        <w:tab/>
        <w:t xml:space="preserve">מקרה זה חמור מענייננו, שכן על אף </w:t>
      </w:r>
      <w:r>
        <w:rPr>
          <w:rFonts w:ascii="David" w:hAnsi="David" w:hint="cs"/>
          <w:rtl/>
        </w:rPr>
        <w:t>שהורשע הנאשם</w:t>
      </w:r>
      <w:r>
        <w:rPr>
          <w:rFonts w:ascii="David" w:hAnsi="David"/>
          <w:rtl/>
        </w:rPr>
        <w:t xml:space="preserve"> בעבירת נשק "קלה" יותר, הורשע גם בחבלה בכוונה מחמירה ולא בסיוע לה, ובתקיפה.</w:t>
      </w:r>
    </w:p>
    <w:p w14:paraId="02EEA9F2" w14:textId="77777777" w:rsidR="001E4D80" w:rsidRDefault="001E4D80" w:rsidP="001E4D80">
      <w:pPr>
        <w:spacing w:line="360" w:lineRule="auto"/>
        <w:ind w:left="720" w:hanging="720"/>
        <w:jc w:val="both"/>
        <w:rPr>
          <w:rFonts w:ascii="David" w:hAnsi="David"/>
          <w:rtl/>
        </w:rPr>
      </w:pPr>
    </w:p>
    <w:p w14:paraId="18FA68C1" w14:textId="77777777" w:rsidR="001E4D80" w:rsidRDefault="001E4D80" w:rsidP="001E4D80">
      <w:pPr>
        <w:spacing w:line="360" w:lineRule="auto"/>
        <w:ind w:left="720" w:hanging="720"/>
        <w:jc w:val="both"/>
        <w:rPr>
          <w:rFonts w:ascii="David" w:hAnsi="David"/>
          <w:rtl/>
        </w:rPr>
      </w:pPr>
      <w:r>
        <w:rPr>
          <w:rFonts w:ascii="David" w:hAnsi="David"/>
          <w:rtl/>
        </w:rPr>
        <w:tab/>
      </w:r>
      <w:hyperlink r:id="rId54" w:history="1">
        <w:r w:rsidR="00967493" w:rsidRPr="00967493">
          <w:rPr>
            <w:rFonts w:ascii="David" w:hAnsi="David"/>
            <w:color w:val="0000FF"/>
            <w:u w:val="single"/>
            <w:rtl/>
          </w:rPr>
          <w:t>ת"פ (מרכז) 6961-02-22</w:t>
        </w:r>
      </w:hyperlink>
      <w:r>
        <w:rPr>
          <w:rFonts w:ascii="David" w:hAnsi="David"/>
          <w:rtl/>
        </w:rPr>
        <w:t xml:space="preserve"> </w:t>
      </w:r>
      <w:r>
        <w:rPr>
          <w:rFonts w:ascii="David" w:hAnsi="David"/>
          <w:b/>
          <w:bCs/>
          <w:rtl/>
        </w:rPr>
        <w:t>מדינת ישראל נ' אבו רקייק</w:t>
      </w:r>
      <w:r>
        <w:rPr>
          <w:rFonts w:ascii="David" w:hAnsi="David"/>
          <w:rtl/>
        </w:rPr>
        <w:t xml:space="preserve"> (12.12.2022) - נאשם 3 הורשע על יסוד הודאתו יחד עם נאשמים נוספים. נאשם 3 הורשע בעבירות של קשירת קשר לפשע, סיוע לחבלה בכוונה מחמירה לפי </w:t>
      </w:r>
      <w:hyperlink r:id="rId55" w:history="1">
        <w:r w:rsidR="00E51179" w:rsidRPr="00E51179">
          <w:rPr>
            <w:rStyle w:val="Hyperlink"/>
            <w:rFonts w:ascii="David" w:hAnsi="David"/>
            <w:color w:val="0000FF"/>
            <w:rtl/>
          </w:rPr>
          <w:t>סעיף 329(א)(2)</w:t>
        </w:r>
      </w:hyperlink>
      <w:r>
        <w:rPr>
          <w:rFonts w:ascii="David" w:hAnsi="David"/>
          <w:rtl/>
        </w:rPr>
        <w:t xml:space="preserve"> יחד עם </w:t>
      </w:r>
      <w:hyperlink r:id="rId56" w:history="1">
        <w:r w:rsidR="00E51179" w:rsidRPr="00E51179">
          <w:rPr>
            <w:rStyle w:val="Hyperlink"/>
            <w:rFonts w:ascii="David" w:hAnsi="David"/>
            <w:color w:val="0000FF"/>
            <w:rtl/>
          </w:rPr>
          <w:t>סעיף 31</w:t>
        </w:r>
      </w:hyperlink>
      <w:r>
        <w:rPr>
          <w:rFonts w:ascii="David" w:hAnsi="David"/>
          <w:rtl/>
        </w:rPr>
        <w:t xml:space="preserve"> ל</w:t>
      </w:r>
      <w:hyperlink r:id="rId57" w:history="1">
        <w:r w:rsidR="00967493" w:rsidRPr="00967493">
          <w:rPr>
            <w:rFonts w:ascii="David" w:hAnsi="David"/>
            <w:color w:val="0000FF"/>
            <w:u w:val="single"/>
            <w:rtl/>
          </w:rPr>
          <w:t>חוק העונשין</w:t>
        </w:r>
      </w:hyperlink>
      <w:r>
        <w:rPr>
          <w:rFonts w:ascii="David" w:hAnsi="David"/>
          <w:rtl/>
        </w:rPr>
        <w:t xml:space="preserve">, וסיוע לנשיאת נשק לפי </w:t>
      </w:r>
      <w:hyperlink r:id="rId58" w:history="1">
        <w:r w:rsidR="00E51179" w:rsidRPr="00E51179">
          <w:rPr>
            <w:rStyle w:val="Hyperlink"/>
            <w:rFonts w:ascii="David" w:hAnsi="David"/>
            <w:color w:val="0000FF"/>
            <w:rtl/>
          </w:rPr>
          <w:t>סעיף 144(ב)</w:t>
        </w:r>
      </w:hyperlink>
      <w:r>
        <w:rPr>
          <w:rFonts w:ascii="David" w:hAnsi="David"/>
          <w:rtl/>
        </w:rPr>
        <w:t xml:space="preserve"> רישא יחד עם </w:t>
      </w:r>
      <w:hyperlink r:id="rId59" w:history="1">
        <w:r w:rsidR="00E51179" w:rsidRPr="00E51179">
          <w:rPr>
            <w:rStyle w:val="Hyperlink"/>
            <w:rFonts w:ascii="David" w:hAnsi="David"/>
            <w:color w:val="0000FF"/>
            <w:rtl/>
          </w:rPr>
          <w:t>סעיף 31</w:t>
        </w:r>
      </w:hyperlink>
      <w:r>
        <w:rPr>
          <w:rFonts w:ascii="David" w:hAnsi="David"/>
          <w:rtl/>
        </w:rPr>
        <w:t xml:space="preserve"> לחוק העונשין. ברקע למעשים סכסוך בשל רצונו של נאשם 2 להינשא לאחות המתלונן וסירוב משפחתה לכך. הנאשמים נסעו ברכב ועקבו אחר המתלונן שנסע יחד עם אחותו, כשנאשם 2 נושא אקדח, נאשם 1 יושב לצד הנהג ונאשם 3 נוהג ברכב. בעודם נוסעים במהירות בכביש, נצמד נאשם 3 לדופן שמאל של רכב המתלונן, ונאשם 2 ירה באמצעות האקדח חמישה כדורים שחוררו את דופן הרכב. יושבי הרכב לא נפגעו. בעקבות הפגיעה ברכב, סטה המתלונן עם רכבו בחדות ימינה ועצר בשול ימין. לאחר הירי הנאשמים נמלטו מהמקום. בית המשפט קבע כי חלקו של נאשם 3 בסיוע ברף הגבוה, ועל כן קבע </w:t>
      </w:r>
      <w:r>
        <w:rPr>
          <w:rFonts w:ascii="David" w:hAnsi="David"/>
          <w:b/>
          <w:bCs/>
          <w:rtl/>
        </w:rPr>
        <w:t>מתחם ענישה הנע בין 2 ועד ל-5 שנות מאסר</w:t>
      </w:r>
      <w:r>
        <w:rPr>
          <w:rFonts w:ascii="David" w:hAnsi="David"/>
          <w:rtl/>
        </w:rPr>
        <w:t xml:space="preserve">, וגזר על נאשם 3 שהוא צעיר בן 20 ללא עבר פלילי 28 חודשי מאסר. </w:t>
      </w:r>
    </w:p>
    <w:p w14:paraId="599184AA" w14:textId="77777777" w:rsidR="001E4D80" w:rsidRDefault="001E4D80" w:rsidP="001E4D80">
      <w:pPr>
        <w:spacing w:line="360" w:lineRule="auto"/>
        <w:ind w:left="720" w:hanging="720"/>
        <w:jc w:val="both"/>
        <w:rPr>
          <w:rFonts w:ascii="David" w:hAnsi="David"/>
          <w:rtl/>
        </w:rPr>
      </w:pPr>
    </w:p>
    <w:p w14:paraId="3E9B425A" w14:textId="77777777" w:rsidR="001E4D80" w:rsidRDefault="001E4D80" w:rsidP="001E4D80">
      <w:pPr>
        <w:spacing w:line="360" w:lineRule="auto"/>
        <w:ind w:left="720" w:hanging="720"/>
        <w:jc w:val="both"/>
        <w:rPr>
          <w:rFonts w:ascii="David" w:hAnsi="David"/>
          <w:rtl/>
        </w:rPr>
      </w:pPr>
      <w:r>
        <w:rPr>
          <w:rFonts w:ascii="David" w:hAnsi="David"/>
          <w:rtl/>
        </w:rPr>
        <w:tab/>
        <w:t>מקרה זה קל מענייננו, שכן בענייננו הנאשם הורשע בנשיאת נשק ולא בסיוע לה.</w:t>
      </w:r>
    </w:p>
    <w:p w14:paraId="654D534E" w14:textId="77777777" w:rsidR="001E4D80" w:rsidRDefault="001E4D80" w:rsidP="001E4D80">
      <w:pPr>
        <w:spacing w:line="360" w:lineRule="auto"/>
        <w:ind w:left="720" w:hanging="720"/>
        <w:jc w:val="both"/>
        <w:rPr>
          <w:rFonts w:ascii="David" w:hAnsi="David"/>
          <w:rtl/>
        </w:rPr>
      </w:pPr>
    </w:p>
    <w:p w14:paraId="6281C4A8" w14:textId="77777777" w:rsidR="001E4D80" w:rsidRDefault="001E4D80" w:rsidP="001E4D80">
      <w:pPr>
        <w:spacing w:line="360" w:lineRule="auto"/>
        <w:ind w:left="720" w:hanging="720"/>
        <w:jc w:val="both"/>
        <w:rPr>
          <w:rFonts w:ascii="David" w:hAnsi="David"/>
          <w:rtl/>
        </w:rPr>
      </w:pPr>
      <w:r>
        <w:rPr>
          <w:rFonts w:ascii="David" w:hAnsi="David"/>
          <w:rtl/>
        </w:rPr>
        <w:tab/>
        <w:t xml:space="preserve">על יסוד כלל האמור לעיל, ראיתי לקבוע בעניינו של הנאשם </w:t>
      </w:r>
      <w:r>
        <w:rPr>
          <w:rFonts w:ascii="David" w:hAnsi="David"/>
          <w:b/>
          <w:bCs/>
          <w:rtl/>
        </w:rPr>
        <w:t xml:space="preserve">מתחם עונש הנע בין </w:t>
      </w:r>
      <w:r>
        <w:rPr>
          <w:rFonts w:ascii="David" w:hAnsi="David" w:hint="cs"/>
          <w:b/>
          <w:bCs/>
          <w:rtl/>
        </w:rPr>
        <w:t>40 חודשי מאסר</w:t>
      </w:r>
      <w:r>
        <w:rPr>
          <w:rFonts w:ascii="David" w:hAnsi="David"/>
          <w:b/>
          <w:bCs/>
          <w:rtl/>
        </w:rPr>
        <w:t xml:space="preserve"> ל-</w:t>
      </w:r>
      <w:r>
        <w:rPr>
          <w:rFonts w:ascii="David" w:hAnsi="David" w:hint="cs"/>
          <w:b/>
          <w:bCs/>
          <w:rtl/>
        </w:rPr>
        <w:t xml:space="preserve">64 חודשי </w:t>
      </w:r>
      <w:r>
        <w:rPr>
          <w:rFonts w:ascii="David" w:hAnsi="David"/>
          <w:b/>
          <w:bCs/>
          <w:rtl/>
        </w:rPr>
        <w:t>מאסר</w:t>
      </w:r>
      <w:r>
        <w:rPr>
          <w:rFonts w:ascii="David" w:hAnsi="David"/>
          <w:rtl/>
        </w:rPr>
        <w:t>.</w:t>
      </w:r>
    </w:p>
    <w:p w14:paraId="27623B66" w14:textId="77777777" w:rsidR="001E4D80" w:rsidRDefault="001E4D80" w:rsidP="001E4D80">
      <w:pPr>
        <w:spacing w:line="360" w:lineRule="auto"/>
        <w:ind w:left="720" w:hanging="720"/>
        <w:jc w:val="both"/>
        <w:rPr>
          <w:rFonts w:ascii="David" w:hAnsi="David"/>
          <w:rtl/>
        </w:rPr>
      </w:pPr>
    </w:p>
    <w:p w14:paraId="7E8D6DC6" w14:textId="77777777" w:rsidR="001E4D80" w:rsidRDefault="001E4D80" w:rsidP="001E4D80">
      <w:pPr>
        <w:spacing w:line="360" w:lineRule="auto"/>
        <w:ind w:left="720" w:hanging="720"/>
        <w:jc w:val="both"/>
        <w:rPr>
          <w:rFonts w:ascii="David" w:hAnsi="David"/>
          <w:rtl/>
        </w:rPr>
      </w:pPr>
      <w:r>
        <w:rPr>
          <w:rFonts w:ascii="David" w:hAnsi="David"/>
          <w:rtl/>
        </w:rPr>
        <w:t>10.</w:t>
      </w:r>
      <w:r>
        <w:rPr>
          <w:rFonts w:ascii="David" w:hAnsi="David"/>
          <w:rtl/>
        </w:rPr>
        <w:tab/>
        <w:t xml:space="preserve">בבואי לקבוע את מיקומו של הנאשם בתוך מתחם הענישה שנקבע, לקחתי בחשבון את הודאת הנאשם וקבלת האחריות על ידו; גילו הצעיר; </w:t>
      </w:r>
      <w:r>
        <w:rPr>
          <w:rFonts w:ascii="David" w:hAnsi="David" w:hint="cs"/>
          <w:rtl/>
        </w:rPr>
        <w:t>היעדר הרשעות קודמות</w:t>
      </w:r>
      <w:r>
        <w:rPr>
          <w:rFonts w:ascii="David" w:hAnsi="David"/>
          <w:rtl/>
        </w:rPr>
        <w:t xml:space="preserve">; ואת האמור בתסקיר שירות המבחן </w:t>
      </w:r>
      <w:r>
        <w:rPr>
          <w:rFonts w:ascii="David" w:hAnsi="David" w:hint="cs"/>
          <w:rtl/>
        </w:rPr>
        <w:t xml:space="preserve">ובדוח הסוציאלי אודות משפחת הנאשם. </w:t>
      </w:r>
    </w:p>
    <w:p w14:paraId="12B94E34" w14:textId="77777777" w:rsidR="001E4D80" w:rsidRDefault="001E4D80" w:rsidP="001E4D80">
      <w:pPr>
        <w:spacing w:line="360" w:lineRule="auto"/>
        <w:ind w:left="720" w:hanging="720"/>
        <w:jc w:val="both"/>
        <w:rPr>
          <w:rFonts w:ascii="David" w:hAnsi="David"/>
          <w:rtl/>
        </w:rPr>
      </w:pPr>
    </w:p>
    <w:p w14:paraId="69F9CB5F" w14:textId="77777777" w:rsidR="001E4D80" w:rsidRDefault="001E4D80" w:rsidP="001E4D80">
      <w:pPr>
        <w:spacing w:line="360" w:lineRule="auto"/>
        <w:ind w:left="720" w:hanging="720"/>
        <w:jc w:val="both"/>
        <w:rPr>
          <w:rFonts w:ascii="David" w:hAnsi="David"/>
          <w:rtl/>
        </w:rPr>
      </w:pPr>
      <w:r>
        <w:rPr>
          <w:rFonts w:ascii="David" w:hAnsi="David"/>
          <w:rtl/>
        </w:rPr>
        <w:t>11.</w:t>
      </w:r>
      <w:r>
        <w:rPr>
          <w:rFonts w:ascii="David" w:hAnsi="David"/>
          <w:rtl/>
        </w:rPr>
        <w:tab/>
        <w:t xml:space="preserve">על בסיס האמור לעיל, ראיתי לגזור על הנאשם את העונשים הבאים: </w:t>
      </w:r>
    </w:p>
    <w:p w14:paraId="2EFBFB57" w14:textId="77777777" w:rsidR="001E4D80" w:rsidRDefault="001E4D80" w:rsidP="001E4D80">
      <w:pPr>
        <w:spacing w:line="360" w:lineRule="auto"/>
        <w:ind w:left="720" w:hanging="720"/>
        <w:jc w:val="both"/>
        <w:rPr>
          <w:rFonts w:ascii="David" w:hAnsi="David"/>
          <w:rtl/>
        </w:rPr>
      </w:pPr>
    </w:p>
    <w:p w14:paraId="13E60DCD" w14:textId="77777777" w:rsidR="001E4D80" w:rsidRDefault="001E4D80" w:rsidP="001E4D80">
      <w:pPr>
        <w:spacing w:line="360" w:lineRule="auto"/>
        <w:ind w:left="720" w:hanging="720"/>
        <w:jc w:val="both"/>
        <w:rPr>
          <w:rFonts w:ascii="David" w:hAnsi="David"/>
          <w:rtl/>
        </w:rPr>
      </w:pPr>
      <w:r>
        <w:rPr>
          <w:rFonts w:ascii="David" w:hAnsi="David"/>
          <w:rtl/>
        </w:rPr>
        <w:t>א.</w:t>
      </w:r>
      <w:r>
        <w:rPr>
          <w:rFonts w:ascii="David" w:hAnsi="David"/>
          <w:rtl/>
        </w:rPr>
        <w:tab/>
      </w:r>
      <w:r>
        <w:rPr>
          <w:rFonts w:ascii="David" w:hAnsi="David" w:hint="cs"/>
          <w:b/>
          <w:bCs/>
          <w:rtl/>
        </w:rPr>
        <w:t>40 חודשי מאסר</w:t>
      </w:r>
      <w:r>
        <w:rPr>
          <w:rFonts w:ascii="David" w:hAnsi="David"/>
          <w:b/>
          <w:bCs/>
          <w:rtl/>
        </w:rPr>
        <w:t xml:space="preserve"> לריצוי בפועל</w:t>
      </w:r>
      <w:r>
        <w:rPr>
          <w:rFonts w:ascii="David" w:hAnsi="David"/>
          <w:rtl/>
        </w:rPr>
        <w:t>, החל מיום מאסרו - 2.4.24.</w:t>
      </w:r>
    </w:p>
    <w:p w14:paraId="7BAC391A" w14:textId="77777777" w:rsidR="001E4D80" w:rsidRDefault="001E4D80" w:rsidP="001E4D80">
      <w:pPr>
        <w:spacing w:line="360" w:lineRule="auto"/>
        <w:ind w:left="720" w:hanging="720"/>
        <w:jc w:val="both"/>
        <w:rPr>
          <w:rFonts w:ascii="David" w:hAnsi="David"/>
          <w:rtl/>
        </w:rPr>
      </w:pPr>
    </w:p>
    <w:p w14:paraId="19178D2A" w14:textId="77777777" w:rsidR="001E4D80" w:rsidRDefault="001E4D80" w:rsidP="001E4D80">
      <w:pPr>
        <w:spacing w:line="360" w:lineRule="auto"/>
        <w:ind w:left="720" w:hanging="720"/>
        <w:jc w:val="both"/>
        <w:rPr>
          <w:rFonts w:ascii="David" w:hAnsi="David"/>
          <w:rtl/>
        </w:rPr>
      </w:pPr>
      <w:r>
        <w:rPr>
          <w:rFonts w:ascii="David" w:hAnsi="David"/>
          <w:rtl/>
        </w:rPr>
        <w:t>ב.</w:t>
      </w:r>
      <w:r>
        <w:rPr>
          <w:rFonts w:ascii="David" w:hAnsi="David"/>
          <w:rtl/>
        </w:rPr>
        <w:tab/>
        <w:t xml:space="preserve">9 חודשי מאסר אולם הנאשם לא יישא עונש זה אלא אם יעבור תוך 3 שנים מיום שחרורו עבירת נשק, או עבירת אלימות נגד הגוף מסוג פשע. </w:t>
      </w:r>
    </w:p>
    <w:p w14:paraId="378F3B55" w14:textId="77777777" w:rsidR="001E4D80" w:rsidRDefault="001E4D80" w:rsidP="001E4D80">
      <w:pPr>
        <w:spacing w:line="360" w:lineRule="auto"/>
        <w:ind w:left="720" w:hanging="720"/>
        <w:jc w:val="both"/>
        <w:rPr>
          <w:rFonts w:ascii="David" w:hAnsi="David"/>
          <w:rtl/>
        </w:rPr>
      </w:pPr>
    </w:p>
    <w:p w14:paraId="0CE3F2C4" w14:textId="77777777" w:rsidR="001E4D80" w:rsidRDefault="001E4D80" w:rsidP="001E4D80">
      <w:pPr>
        <w:spacing w:line="360" w:lineRule="auto"/>
        <w:ind w:left="720" w:hanging="720"/>
        <w:jc w:val="both"/>
        <w:rPr>
          <w:rFonts w:ascii="David" w:hAnsi="David"/>
          <w:rtl/>
        </w:rPr>
      </w:pPr>
      <w:r>
        <w:rPr>
          <w:rFonts w:ascii="David" w:hAnsi="David"/>
          <w:rtl/>
        </w:rPr>
        <w:t>ג.</w:t>
      </w:r>
      <w:r>
        <w:rPr>
          <w:rFonts w:ascii="David" w:hAnsi="David"/>
          <w:rtl/>
        </w:rPr>
        <w:tab/>
        <w:t xml:space="preserve">5 חודשי מאסר אולם הנאשם לא יישא עונש זה אלא אם יעבור תוך 3 שנים מיום שחרורו עבירת אלימות נגד הגוף מסוג עוון. </w:t>
      </w:r>
    </w:p>
    <w:p w14:paraId="1FE4F63D" w14:textId="77777777" w:rsidR="001E4D80" w:rsidRDefault="001E4D80" w:rsidP="001E4D80">
      <w:pPr>
        <w:spacing w:line="360" w:lineRule="auto"/>
        <w:ind w:left="720" w:hanging="720"/>
        <w:jc w:val="both"/>
        <w:rPr>
          <w:rFonts w:ascii="David" w:hAnsi="David"/>
          <w:rtl/>
        </w:rPr>
      </w:pPr>
    </w:p>
    <w:p w14:paraId="2DC73C02" w14:textId="77777777" w:rsidR="001E4D80" w:rsidRDefault="001E4D80" w:rsidP="001E4D80">
      <w:pPr>
        <w:spacing w:line="360" w:lineRule="auto"/>
        <w:ind w:left="720" w:hanging="720"/>
        <w:jc w:val="both"/>
        <w:rPr>
          <w:rFonts w:ascii="David" w:hAnsi="David"/>
          <w:rtl/>
        </w:rPr>
      </w:pPr>
      <w:r>
        <w:rPr>
          <w:rFonts w:ascii="David" w:hAnsi="David" w:hint="cs"/>
          <w:rtl/>
        </w:rPr>
        <w:t>ד.</w:t>
      </w:r>
      <w:r>
        <w:rPr>
          <w:rFonts w:ascii="David" w:hAnsi="David"/>
          <w:rtl/>
        </w:rPr>
        <w:tab/>
      </w:r>
      <w:r>
        <w:rPr>
          <w:rFonts w:ascii="David" w:hAnsi="David" w:hint="cs"/>
          <w:rtl/>
        </w:rPr>
        <w:t xml:space="preserve">קנס בסך 5,000 ₪ או 10 ימי מאסר תמורתו. הקנס ישולם עד ולא יאוחר מיום 1.6.25. </w:t>
      </w:r>
    </w:p>
    <w:p w14:paraId="4F55D4E5" w14:textId="77777777" w:rsidR="001E4D80" w:rsidRDefault="001E4D80" w:rsidP="001E4D80">
      <w:pPr>
        <w:spacing w:line="360" w:lineRule="auto"/>
        <w:ind w:left="720" w:hanging="720"/>
        <w:jc w:val="both"/>
        <w:rPr>
          <w:rFonts w:ascii="David" w:hAnsi="David"/>
          <w:rtl/>
        </w:rPr>
      </w:pPr>
    </w:p>
    <w:p w14:paraId="2AD52990" w14:textId="77777777" w:rsidR="001E4D80" w:rsidRDefault="001E4D80" w:rsidP="001E4D80">
      <w:pPr>
        <w:spacing w:line="360" w:lineRule="auto"/>
        <w:ind w:left="720" w:hanging="720"/>
        <w:jc w:val="both"/>
        <w:rPr>
          <w:rFonts w:ascii="David" w:hAnsi="David"/>
          <w:rtl/>
        </w:rPr>
      </w:pPr>
      <w:r>
        <w:rPr>
          <w:rFonts w:ascii="David" w:hAnsi="David"/>
          <w:rtl/>
        </w:rPr>
        <w:t xml:space="preserve">ניתן צו כללי למוצגים לשיקול קצין משטרה ו/או התביעה. </w:t>
      </w:r>
    </w:p>
    <w:p w14:paraId="4EA84105" w14:textId="77777777" w:rsidR="001E4D80" w:rsidRDefault="001E4D80" w:rsidP="001E4D80">
      <w:pPr>
        <w:spacing w:line="360" w:lineRule="auto"/>
        <w:ind w:left="720" w:hanging="720"/>
        <w:jc w:val="both"/>
        <w:rPr>
          <w:rFonts w:ascii="David" w:hAnsi="David"/>
          <w:rtl/>
        </w:rPr>
      </w:pPr>
    </w:p>
    <w:p w14:paraId="27D33023" w14:textId="77777777" w:rsidR="001E4D80" w:rsidRPr="00526ED2" w:rsidRDefault="001E4D80" w:rsidP="001E4D80">
      <w:pPr>
        <w:spacing w:line="360" w:lineRule="auto"/>
        <w:ind w:left="720" w:hanging="720"/>
        <w:jc w:val="both"/>
        <w:rPr>
          <w:rFonts w:ascii="David" w:hAnsi="David"/>
          <w:rtl/>
        </w:rPr>
      </w:pPr>
      <w:r>
        <w:rPr>
          <w:rFonts w:ascii="David" w:hAnsi="David"/>
          <w:rtl/>
        </w:rPr>
        <w:t>זכות ערעור כחוק.</w:t>
      </w:r>
    </w:p>
    <w:p w14:paraId="6BEA87F4" w14:textId="77777777" w:rsidR="001E4D80" w:rsidRPr="00B05847" w:rsidRDefault="001E4D80" w:rsidP="001E4D80">
      <w:pPr>
        <w:spacing w:line="360" w:lineRule="auto"/>
        <w:rPr>
          <w:rtl/>
        </w:rPr>
      </w:pPr>
    </w:p>
    <w:p w14:paraId="1F6E824B" w14:textId="77777777" w:rsidR="001E4D80" w:rsidRPr="00250B83" w:rsidRDefault="00967493" w:rsidP="001E4D80">
      <w:pPr>
        <w:spacing w:line="360" w:lineRule="auto"/>
        <w:rPr>
          <w:rtl/>
        </w:rPr>
      </w:pPr>
      <w:bookmarkStart w:id="8" w:name="Nitan"/>
      <w:r w:rsidRPr="00967493">
        <w:rPr>
          <w:rFonts w:ascii="Arial" w:hAnsi="Arial"/>
          <w:b/>
          <w:bCs/>
          <w:color w:val="FFFFFF"/>
          <w:sz w:val="2"/>
          <w:szCs w:val="2"/>
          <w:rtl/>
        </w:rPr>
        <w:t>5129371</w:t>
      </w:r>
      <w:r>
        <w:rPr>
          <w:rFonts w:ascii="Arial" w:hAnsi="Arial"/>
          <w:b/>
          <w:bCs/>
          <w:rtl/>
        </w:rPr>
        <w:t xml:space="preserve">ניתן היום,  כ"א טבת תשפ"ה, 21 ינואר 2025, במעמד הצדדים. </w:t>
      </w:r>
      <w:bookmarkEnd w:id="8"/>
    </w:p>
    <w:tbl>
      <w:tblPr>
        <w:tblpPr w:leftFromText="180" w:rightFromText="180" w:vertAnchor="text" w:horzAnchor="page" w:tblpX="1654" w:tblpY="87"/>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E4D80" w14:paraId="471E147E" w14:textId="77777777" w:rsidTr="001E4D80">
        <w:trPr>
          <w:trHeight w:val="316"/>
        </w:trPr>
        <w:tc>
          <w:tcPr>
            <w:tcW w:w="3936" w:type="dxa"/>
            <w:tcBorders>
              <w:top w:val="nil"/>
              <w:left w:val="nil"/>
              <w:bottom w:val="single" w:sz="4" w:space="0" w:color="auto"/>
              <w:right w:val="nil"/>
            </w:tcBorders>
            <w:shd w:val="clear" w:color="auto" w:fill="auto"/>
            <w:vAlign w:val="bottom"/>
          </w:tcPr>
          <w:p w14:paraId="6D894B63" w14:textId="77777777" w:rsidR="001E4D80" w:rsidRPr="00967493" w:rsidRDefault="00967493" w:rsidP="001E4D80">
            <w:pPr>
              <w:spacing w:line="360" w:lineRule="auto"/>
              <w:jc w:val="center"/>
              <w:rPr>
                <w:rFonts w:cs="Times New Roman"/>
                <w:color w:val="FFFFFF"/>
                <w:sz w:val="2"/>
                <w:szCs w:val="2"/>
              </w:rPr>
            </w:pPr>
            <w:r w:rsidRPr="00967493">
              <w:rPr>
                <w:rFonts w:cs="Times New Roman"/>
                <w:color w:val="FFFFFF"/>
                <w:sz w:val="2"/>
                <w:szCs w:val="2"/>
                <w:rtl/>
              </w:rPr>
              <w:t>54678313</w:t>
            </w:r>
          </w:p>
        </w:tc>
      </w:tr>
      <w:tr w:rsidR="001E4D80" w14:paraId="6F9C3F65" w14:textId="77777777" w:rsidTr="001E4D80">
        <w:trPr>
          <w:trHeight w:val="361"/>
        </w:trPr>
        <w:tc>
          <w:tcPr>
            <w:tcW w:w="3936" w:type="dxa"/>
            <w:tcBorders>
              <w:top w:val="single" w:sz="4" w:space="0" w:color="auto"/>
              <w:left w:val="nil"/>
              <w:bottom w:val="nil"/>
              <w:right w:val="nil"/>
            </w:tcBorders>
            <w:shd w:val="clear" w:color="auto" w:fill="auto"/>
          </w:tcPr>
          <w:p w14:paraId="6805059B" w14:textId="77777777" w:rsidR="001E4D80" w:rsidRPr="001E4D80" w:rsidRDefault="001E4D80" w:rsidP="001E4D80">
            <w:pPr>
              <w:spacing w:line="360" w:lineRule="auto"/>
              <w:jc w:val="center"/>
              <w:rPr>
                <w:rFonts w:ascii="David" w:hAnsi="David"/>
                <w:b/>
                <w:bCs/>
                <w:rtl/>
              </w:rPr>
            </w:pPr>
            <w:r w:rsidRPr="001E4D80">
              <w:rPr>
                <w:rFonts w:ascii="David" w:hAnsi="David"/>
                <w:b/>
                <w:bCs/>
                <w:rtl/>
              </w:rPr>
              <w:t>בני שגיא,</w:t>
            </w:r>
            <w:r w:rsidRPr="001E4D80">
              <w:rPr>
                <w:rFonts w:ascii="David" w:hAnsi="David" w:hint="cs"/>
                <w:b/>
                <w:bCs/>
                <w:rtl/>
              </w:rPr>
              <w:t xml:space="preserve"> שופט</w:t>
            </w:r>
          </w:p>
          <w:p w14:paraId="23B4F15D" w14:textId="77777777" w:rsidR="001E4D80" w:rsidRPr="001E4D80" w:rsidRDefault="001E4D80" w:rsidP="001E4D80">
            <w:pPr>
              <w:spacing w:line="360" w:lineRule="auto"/>
              <w:jc w:val="center"/>
              <w:rPr>
                <w:rFonts w:ascii="David" w:hAnsi="David"/>
                <w:b/>
                <w:bCs/>
                <w:rtl/>
              </w:rPr>
            </w:pPr>
            <w:r w:rsidRPr="001E4D80">
              <w:rPr>
                <w:rFonts w:ascii="David" w:hAnsi="David"/>
                <w:b/>
                <w:bCs/>
                <w:rtl/>
              </w:rPr>
              <w:t xml:space="preserve"> נשיא (בפועל)</w:t>
            </w:r>
          </w:p>
        </w:tc>
      </w:tr>
    </w:tbl>
    <w:p w14:paraId="5838F1E3" w14:textId="77777777" w:rsidR="001E4D80" w:rsidRPr="00250B83" w:rsidRDefault="001E4D80" w:rsidP="001E4D80">
      <w:pPr>
        <w:spacing w:line="360" w:lineRule="auto"/>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BA47665" w14:textId="77777777" w:rsidR="001E4D80" w:rsidRPr="00AF1097" w:rsidRDefault="001E4D80" w:rsidP="001E4D80">
      <w:pPr>
        <w:spacing w:line="360" w:lineRule="auto"/>
        <w:jc w:val="center"/>
        <w:rPr>
          <w:rFonts w:ascii="Arial" w:hAnsi="Arial"/>
          <w:rtl/>
        </w:rPr>
      </w:pPr>
    </w:p>
    <w:p w14:paraId="0F5ECDDF" w14:textId="77777777" w:rsidR="001E4D80" w:rsidRPr="00250B83" w:rsidRDefault="001E4D80" w:rsidP="001E4D80">
      <w:pPr>
        <w:spacing w:line="360" w:lineRule="auto"/>
        <w:rPr>
          <w:rtl/>
        </w:rPr>
      </w:pPr>
    </w:p>
    <w:p w14:paraId="430C9AEF" w14:textId="77777777" w:rsidR="001E4D80" w:rsidRPr="00E51179" w:rsidRDefault="00E51179" w:rsidP="001E4D80">
      <w:pPr>
        <w:pStyle w:val="a3"/>
        <w:spacing w:line="360" w:lineRule="auto"/>
        <w:jc w:val="center"/>
        <w:rPr>
          <w:color w:val="FFFFFF"/>
          <w:sz w:val="2"/>
          <w:szCs w:val="2"/>
          <w:rtl/>
        </w:rPr>
      </w:pPr>
      <w:r w:rsidRPr="00E51179">
        <w:rPr>
          <w:color w:val="FFFFFF"/>
          <w:sz w:val="2"/>
          <w:szCs w:val="2"/>
          <w:rtl/>
        </w:rPr>
        <w:t>5129371</w:t>
      </w:r>
    </w:p>
    <w:p w14:paraId="55A0A222" w14:textId="77777777" w:rsidR="00967493" w:rsidRPr="00E51179" w:rsidRDefault="00E51179" w:rsidP="00E51179">
      <w:pPr>
        <w:keepNext/>
        <w:rPr>
          <w:rFonts w:ascii="David" w:hAnsi="David" w:hint="cs"/>
          <w:color w:val="FFFFFF"/>
          <w:sz w:val="2"/>
          <w:szCs w:val="2"/>
        </w:rPr>
      </w:pPr>
      <w:r w:rsidRPr="00E51179">
        <w:rPr>
          <w:rFonts w:ascii="David" w:hAnsi="David"/>
          <w:color w:val="FFFFFF"/>
          <w:sz w:val="2"/>
          <w:szCs w:val="2"/>
          <w:rtl/>
        </w:rPr>
        <w:t>54678313</w:t>
      </w:r>
    </w:p>
    <w:p w14:paraId="0E78CDFE" w14:textId="77777777" w:rsidR="00967493" w:rsidRDefault="00967493" w:rsidP="00967493">
      <w:pPr>
        <w:rPr>
          <w:rtl/>
        </w:rPr>
      </w:pPr>
    </w:p>
    <w:p w14:paraId="4B83425E" w14:textId="77777777" w:rsidR="00967493" w:rsidRDefault="00967493" w:rsidP="00967493">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0595F9BA" w14:textId="77777777" w:rsidR="00E51179" w:rsidRPr="00E51179" w:rsidRDefault="00E51179" w:rsidP="00E51179">
      <w:pPr>
        <w:keepNext/>
        <w:rPr>
          <w:rFonts w:ascii="David" w:hAnsi="David"/>
          <w:color w:val="000000"/>
          <w:sz w:val="22"/>
          <w:szCs w:val="22"/>
          <w:rtl/>
        </w:rPr>
      </w:pPr>
    </w:p>
    <w:p w14:paraId="659A056C" w14:textId="77777777" w:rsidR="00E51179" w:rsidRPr="00E51179" w:rsidRDefault="00E51179" w:rsidP="00E51179">
      <w:pPr>
        <w:keepNext/>
        <w:rPr>
          <w:rFonts w:ascii="David" w:hAnsi="David"/>
          <w:color w:val="000000"/>
          <w:sz w:val="22"/>
          <w:szCs w:val="22"/>
          <w:rtl/>
        </w:rPr>
      </w:pPr>
      <w:r w:rsidRPr="00E51179">
        <w:rPr>
          <w:rFonts w:ascii="David" w:hAnsi="David"/>
          <w:color w:val="000000"/>
          <w:sz w:val="22"/>
          <w:szCs w:val="22"/>
          <w:rtl/>
        </w:rPr>
        <w:t>בני שגיא 54678313</w:t>
      </w:r>
    </w:p>
    <w:p w14:paraId="60CEEA8E" w14:textId="77777777" w:rsidR="00967493" w:rsidRPr="00967493" w:rsidRDefault="00E51179" w:rsidP="00E51179">
      <w:pPr>
        <w:rPr>
          <w:color w:val="0000FF"/>
          <w:u w:val="single"/>
        </w:rPr>
      </w:pPr>
      <w:r w:rsidRPr="00E51179">
        <w:rPr>
          <w:color w:val="000000"/>
          <w:u w:val="single"/>
          <w:rtl/>
        </w:rPr>
        <w:t>נוסח מסמך זה כפוף לשינויי ניסוח ועריכה</w:t>
      </w:r>
    </w:p>
    <w:sectPr w:rsidR="00967493" w:rsidRPr="00967493" w:rsidSect="00E51179">
      <w:headerReference w:type="even" r:id="rId61"/>
      <w:headerReference w:type="default" r:id="rId62"/>
      <w:footerReference w:type="even" r:id="rId63"/>
      <w:footerReference w:type="default" r:id="rId6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63648" w14:textId="77777777" w:rsidR="0094647D" w:rsidRDefault="0094647D" w:rsidP="007A0D1B">
      <w:r>
        <w:separator/>
      </w:r>
    </w:p>
  </w:endnote>
  <w:endnote w:type="continuationSeparator" w:id="0">
    <w:p w14:paraId="2DF8B0CE" w14:textId="77777777" w:rsidR="0094647D" w:rsidRDefault="0094647D" w:rsidP="007A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6F0FE" w14:textId="77777777" w:rsidR="00E51179" w:rsidRDefault="00E51179" w:rsidP="00E511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4182FEA" w14:textId="77777777" w:rsidR="00EE1216" w:rsidRPr="00E51179" w:rsidRDefault="00E51179" w:rsidP="00E51179">
    <w:pPr>
      <w:pStyle w:val="a5"/>
      <w:pBdr>
        <w:top w:val="single" w:sz="4" w:space="1" w:color="auto"/>
        <w:between w:val="single" w:sz="4" w:space="0" w:color="auto"/>
      </w:pBdr>
      <w:spacing w:after="60"/>
      <w:jc w:val="center"/>
      <w:rPr>
        <w:rFonts w:ascii="FrankRuehl" w:hAnsi="FrankRuehl" w:cs="FrankRuehl"/>
        <w:color w:val="000000"/>
      </w:rPr>
    </w:pPr>
    <w:r w:rsidRPr="00E511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B9492" w14:textId="77777777" w:rsidR="00E51179" w:rsidRDefault="00E51179" w:rsidP="00E511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1C71">
      <w:rPr>
        <w:rFonts w:ascii="FrankRuehl" w:hAnsi="FrankRuehl" w:cs="FrankRuehl"/>
        <w:noProof/>
        <w:rtl/>
      </w:rPr>
      <w:t>1</w:t>
    </w:r>
    <w:r>
      <w:rPr>
        <w:rFonts w:ascii="FrankRuehl" w:hAnsi="FrankRuehl" w:cs="FrankRuehl"/>
        <w:rtl/>
      </w:rPr>
      <w:fldChar w:fldCharType="end"/>
    </w:r>
  </w:p>
  <w:p w14:paraId="4D3F64F4" w14:textId="77777777" w:rsidR="00EE1216" w:rsidRPr="00E51179" w:rsidRDefault="00E51179" w:rsidP="00E51179">
    <w:pPr>
      <w:pStyle w:val="a5"/>
      <w:pBdr>
        <w:top w:val="single" w:sz="4" w:space="1" w:color="auto"/>
        <w:between w:val="single" w:sz="4" w:space="0" w:color="auto"/>
      </w:pBdr>
      <w:spacing w:after="60"/>
      <w:jc w:val="center"/>
      <w:rPr>
        <w:rFonts w:ascii="FrankRuehl" w:hAnsi="FrankRuehl" w:cs="FrankRuehl"/>
        <w:color w:val="000000"/>
      </w:rPr>
    </w:pPr>
    <w:r w:rsidRPr="00E51179">
      <w:rPr>
        <w:rFonts w:ascii="FrankRuehl" w:hAnsi="FrankRuehl" w:cs="FrankRuehl"/>
        <w:color w:val="000000"/>
      </w:rPr>
      <w:pict w14:anchorId="1DD91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DCCBC" w14:textId="77777777" w:rsidR="0094647D" w:rsidRDefault="0094647D" w:rsidP="007A0D1B">
      <w:r>
        <w:separator/>
      </w:r>
    </w:p>
  </w:footnote>
  <w:footnote w:type="continuationSeparator" w:id="0">
    <w:p w14:paraId="290DF243" w14:textId="77777777" w:rsidR="0094647D" w:rsidRDefault="0094647D" w:rsidP="007A0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2EFE7" w14:textId="77777777" w:rsidR="00967493" w:rsidRPr="00E51179" w:rsidRDefault="00E51179" w:rsidP="00E511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40602-04-24</w:t>
    </w:r>
    <w:r>
      <w:rPr>
        <w:rFonts w:ascii="David" w:hAnsi="David"/>
        <w:color w:val="000000"/>
        <w:sz w:val="22"/>
        <w:szCs w:val="22"/>
        <w:rtl/>
      </w:rPr>
      <w:tab/>
      <w:t xml:space="preserve"> מדינת ישראל נ' מאהר אבו סויס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6E2B" w14:textId="77777777" w:rsidR="00967493" w:rsidRPr="00E51179" w:rsidRDefault="00E51179" w:rsidP="00E511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40602-04-24</w:t>
    </w:r>
    <w:r>
      <w:rPr>
        <w:rFonts w:ascii="David" w:hAnsi="David"/>
        <w:color w:val="000000"/>
        <w:sz w:val="22"/>
        <w:szCs w:val="22"/>
        <w:rtl/>
      </w:rPr>
      <w:tab/>
      <w:t xml:space="preserve"> מדינת ישראל נ' מאהר אבו סויס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4D80"/>
    <w:rsid w:val="001E4D80"/>
    <w:rsid w:val="00275A88"/>
    <w:rsid w:val="00322869"/>
    <w:rsid w:val="00472093"/>
    <w:rsid w:val="007A0D1B"/>
    <w:rsid w:val="0094647D"/>
    <w:rsid w:val="00967493"/>
    <w:rsid w:val="00AD1C71"/>
    <w:rsid w:val="00E51179"/>
    <w:rsid w:val="00EE1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0939AE"/>
  <w15:chartTrackingRefBased/>
  <w15:docId w15:val="{34FFDA94-4714-480C-97C8-3DA8561C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4D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4D80"/>
    <w:pPr>
      <w:tabs>
        <w:tab w:val="center" w:pos="4153"/>
        <w:tab w:val="right" w:pos="8306"/>
      </w:tabs>
    </w:pPr>
  </w:style>
  <w:style w:type="character" w:customStyle="1" w:styleId="a4">
    <w:name w:val="כותרת עליונה תו"/>
    <w:link w:val="a3"/>
    <w:rsid w:val="001E4D80"/>
    <w:rPr>
      <w:rFonts w:ascii="Times New Roman" w:eastAsia="Times New Roman" w:hAnsi="Times New Roman" w:cs="David"/>
      <w:sz w:val="24"/>
      <w:szCs w:val="24"/>
    </w:rPr>
  </w:style>
  <w:style w:type="paragraph" w:styleId="a5">
    <w:name w:val="footer"/>
    <w:basedOn w:val="a"/>
    <w:link w:val="a6"/>
    <w:rsid w:val="001E4D80"/>
    <w:pPr>
      <w:tabs>
        <w:tab w:val="center" w:pos="4153"/>
        <w:tab w:val="right" w:pos="8306"/>
      </w:tabs>
    </w:pPr>
  </w:style>
  <w:style w:type="character" w:customStyle="1" w:styleId="a6">
    <w:name w:val="כותרת תחתונה תו"/>
    <w:link w:val="a5"/>
    <w:rsid w:val="001E4D80"/>
    <w:rPr>
      <w:rFonts w:ascii="Times New Roman" w:eastAsia="Times New Roman" w:hAnsi="Times New Roman" w:cs="David"/>
      <w:sz w:val="24"/>
      <w:szCs w:val="24"/>
    </w:rPr>
  </w:style>
  <w:style w:type="table" w:styleId="a7">
    <w:name w:val="Table Grid"/>
    <w:basedOn w:val="a1"/>
    <w:rsid w:val="001E4D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4D80"/>
  </w:style>
  <w:style w:type="character" w:styleId="Hyperlink">
    <w:name w:val="Hyperlink"/>
    <w:rsid w:val="009674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29.a.2"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law/70301/329.a.2"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329.a.2" TargetMode="External"/><Relationship Id="rId55" Type="http://schemas.openxmlformats.org/officeDocument/2006/relationships/hyperlink" Target="http://www.nevo.co.il/law/70301/329.a.2" TargetMode="External"/><Relationship Id="rId63" Type="http://schemas.openxmlformats.org/officeDocument/2006/relationships/footer" Target="footer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law/70301/329.a.2" TargetMode="External"/><Relationship Id="rId11" Type="http://schemas.openxmlformats.org/officeDocument/2006/relationships/hyperlink" Target="http://www.nevo.co.il/law/70301/329" TargetMode="External"/><Relationship Id="rId24" Type="http://schemas.openxmlformats.org/officeDocument/2006/relationships/hyperlink" Target="http://www.nevo.co.il/law/70301/329" TargetMode="External"/><Relationship Id="rId32" Type="http://schemas.openxmlformats.org/officeDocument/2006/relationships/hyperlink" Target="http://www.nevo.co.il/law/70301/329.a.1" TargetMode="External"/><Relationship Id="rId37" Type="http://schemas.openxmlformats.org/officeDocument/2006/relationships/hyperlink" Target="http://www.nevo.co.il/case/2793351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13.e"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144.b"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0301/379" TargetMode="External"/><Relationship Id="rId22" Type="http://schemas.openxmlformats.org/officeDocument/2006/relationships/hyperlink" Target="http://www.nevo.co.il/case/27933514" TargetMode="External"/><Relationship Id="rId27" Type="http://schemas.openxmlformats.org/officeDocument/2006/relationships/hyperlink" Target="http://www.nevo.co.il/case/2888308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case/29869542" TargetMode="External"/><Relationship Id="rId56" Type="http://schemas.openxmlformats.org/officeDocument/2006/relationships/hyperlink" Target="http://www.nevo.co.il/law/70301/31" TargetMode="External"/><Relationship Id="rId64"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law/70301/379" TargetMode="External"/><Relationship Id="rId3" Type="http://schemas.openxmlformats.org/officeDocument/2006/relationships/webSettings" Target="web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29.a.2" TargetMode="External"/><Relationship Id="rId38" Type="http://schemas.openxmlformats.org/officeDocument/2006/relationships/hyperlink" Target="http://www.nevo.co.il/law/70301/329.a.2"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1472824" TargetMode="External"/><Relationship Id="rId54" Type="http://schemas.openxmlformats.org/officeDocument/2006/relationships/hyperlink" Target="http://www.nevo.co.il/case/28291244"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82.a"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29.a.1"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8096675"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382.a"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70301/31" TargetMode="External"/><Relationship Id="rId3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3104</Words>
  <Characters>15523</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18590</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6553702</vt:i4>
      </vt:variant>
      <vt:variant>
        <vt:i4>159</vt:i4>
      </vt:variant>
      <vt:variant>
        <vt:i4>0</vt:i4>
      </vt:variant>
      <vt:variant>
        <vt:i4>5</vt:i4>
      </vt:variant>
      <vt:variant>
        <vt:lpwstr>http://www.nevo.co.il/law/70301/31</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6553702</vt:i4>
      </vt:variant>
      <vt:variant>
        <vt:i4>150</vt:i4>
      </vt:variant>
      <vt:variant>
        <vt:i4>0</vt:i4>
      </vt:variant>
      <vt:variant>
        <vt:i4>5</vt:i4>
      </vt:variant>
      <vt:variant>
        <vt:lpwstr>http://www.nevo.co.il/law/70301/31</vt:lpwstr>
      </vt:variant>
      <vt:variant>
        <vt:lpwstr/>
      </vt:variant>
      <vt:variant>
        <vt:i4>6750270</vt:i4>
      </vt:variant>
      <vt:variant>
        <vt:i4>147</vt:i4>
      </vt:variant>
      <vt:variant>
        <vt:i4>0</vt:i4>
      </vt:variant>
      <vt:variant>
        <vt:i4>5</vt:i4>
      </vt:variant>
      <vt:variant>
        <vt:lpwstr>http://www.nevo.co.il/law/70301/329.a.2</vt:lpwstr>
      </vt:variant>
      <vt:variant>
        <vt:lpwstr/>
      </vt:variant>
      <vt:variant>
        <vt:i4>3473527</vt:i4>
      </vt:variant>
      <vt:variant>
        <vt:i4>144</vt:i4>
      </vt:variant>
      <vt:variant>
        <vt:i4>0</vt:i4>
      </vt:variant>
      <vt:variant>
        <vt:i4>5</vt:i4>
      </vt:variant>
      <vt:variant>
        <vt:lpwstr>http://www.nevo.co.il/case/28291244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4390996</vt:i4>
      </vt:variant>
      <vt:variant>
        <vt:i4>138</vt:i4>
      </vt:variant>
      <vt:variant>
        <vt:i4>0</vt:i4>
      </vt:variant>
      <vt:variant>
        <vt:i4>5</vt:i4>
      </vt:variant>
      <vt:variant>
        <vt:lpwstr>http://www.nevo.co.il/law/70301/382.a</vt:lpwstr>
      </vt:variant>
      <vt:variant>
        <vt:lpwstr/>
      </vt:variant>
      <vt:variant>
        <vt:i4>6422630</vt:i4>
      </vt:variant>
      <vt:variant>
        <vt:i4>135</vt:i4>
      </vt:variant>
      <vt:variant>
        <vt:i4>0</vt:i4>
      </vt:variant>
      <vt:variant>
        <vt:i4>5</vt:i4>
      </vt:variant>
      <vt:variant>
        <vt:lpwstr>http://www.nevo.co.il/law/70301/379</vt:lpwstr>
      </vt:variant>
      <vt:variant>
        <vt:lpwstr/>
      </vt:variant>
      <vt:variant>
        <vt:i4>6750270</vt:i4>
      </vt:variant>
      <vt:variant>
        <vt:i4>132</vt:i4>
      </vt:variant>
      <vt:variant>
        <vt:i4>0</vt:i4>
      </vt:variant>
      <vt:variant>
        <vt:i4>5</vt:i4>
      </vt:variant>
      <vt:variant>
        <vt:lpwstr>http://www.nevo.co.il/law/70301/329.a.2</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3604606</vt:i4>
      </vt:variant>
      <vt:variant>
        <vt:i4>126</vt:i4>
      </vt:variant>
      <vt:variant>
        <vt:i4>0</vt:i4>
      </vt:variant>
      <vt:variant>
        <vt:i4>5</vt:i4>
      </vt:variant>
      <vt:variant>
        <vt:lpwstr>http://www.nevo.co.il/case/29869542</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4849746</vt:i4>
      </vt:variant>
      <vt:variant>
        <vt:i4>117</vt:i4>
      </vt:variant>
      <vt:variant>
        <vt:i4>0</vt:i4>
      </vt:variant>
      <vt:variant>
        <vt:i4>5</vt:i4>
      </vt:variant>
      <vt:variant>
        <vt:lpwstr>http://www.nevo.co.il/law/70301/413.e</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6750270</vt:i4>
      </vt:variant>
      <vt:variant>
        <vt:i4>108</vt:i4>
      </vt:variant>
      <vt:variant>
        <vt:i4>0</vt:i4>
      </vt:variant>
      <vt:variant>
        <vt:i4>5</vt:i4>
      </vt:variant>
      <vt:variant>
        <vt:lpwstr>http://www.nevo.co.il/law/70301/329.a.2</vt:lpwstr>
      </vt:variant>
      <vt:variant>
        <vt:lpwstr/>
      </vt:variant>
      <vt:variant>
        <vt:i4>3539066</vt:i4>
      </vt:variant>
      <vt:variant>
        <vt:i4>105</vt:i4>
      </vt:variant>
      <vt:variant>
        <vt:i4>0</vt:i4>
      </vt:variant>
      <vt:variant>
        <vt:i4>5</vt:i4>
      </vt:variant>
      <vt:variant>
        <vt:lpwstr>http://www.nevo.co.il/case/21472824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6750270</vt:i4>
      </vt:variant>
      <vt:variant>
        <vt:i4>96</vt:i4>
      </vt:variant>
      <vt:variant>
        <vt:i4>0</vt:i4>
      </vt:variant>
      <vt:variant>
        <vt:i4>5</vt:i4>
      </vt:variant>
      <vt:variant>
        <vt:lpwstr>http://www.nevo.co.il/law/70301/329.a.2</vt:lpwstr>
      </vt:variant>
      <vt:variant>
        <vt:lpwstr/>
      </vt:variant>
      <vt:variant>
        <vt:i4>3735669</vt:i4>
      </vt:variant>
      <vt:variant>
        <vt:i4>93</vt:i4>
      </vt:variant>
      <vt:variant>
        <vt:i4>0</vt:i4>
      </vt:variant>
      <vt:variant>
        <vt:i4>5</vt:i4>
      </vt:variant>
      <vt:variant>
        <vt:lpwstr>http://www.nevo.co.il/case/27933514</vt:lpwstr>
      </vt:variant>
      <vt:variant>
        <vt:lpwstr/>
      </vt:variant>
      <vt:variant>
        <vt:i4>6750270</vt:i4>
      </vt:variant>
      <vt:variant>
        <vt:i4>90</vt:i4>
      </vt:variant>
      <vt:variant>
        <vt:i4>0</vt:i4>
      </vt:variant>
      <vt:variant>
        <vt:i4>5</vt:i4>
      </vt:variant>
      <vt:variant>
        <vt:lpwstr>http://www.nevo.co.il/law/70301/329.a.1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6750270</vt:i4>
      </vt:variant>
      <vt:variant>
        <vt:i4>81</vt:i4>
      </vt:variant>
      <vt:variant>
        <vt:i4>0</vt:i4>
      </vt:variant>
      <vt:variant>
        <vt:i4>5</vt:i4>
      </vt:variant>
      <vt:variant>
        <vt:lpwstr>http://www.nevo.co.il/law/70301/329.a.2</vt:lpwstr>
      </vt:variant>
      <vt:variant>
        <vt:lpwstr/>
      </vt:variant>
      <vt:variant>
        <vt:i4>6750270</vt:i4>
      </vt:variant>
      <vt:variant>
        <vt:i4>78</vt:i4>
      </vt:variant>
      <vt:variant>
        <vt:i4>0</vt:i4>
      </vt:variant>
      <vt:variant>
        <vt:i4>5</vt:i4>
      </vt:variant>
      <vt:variant>
        <vt:lpwstr>http://www.nevo.co.il/law/70301/329.a.1</vt:lpwstr>
      </vt:variant>
      <vt:variant>
        <vt:lpwstr/>
      </vt:variant>
      <vt:variant>
        <vt:i4>3342451</vt:i4>
      </vt:variant>
      <vt:variant>
        <vt:i4>75</vt:i4>
      </vt:variant>
      <vt:variant>
        <vt:i4>0</vt:i4>
      </vt:variant>
      <vt:variant>
        <vt:i4>5</vt:i4>
      </vt:variant>
      <vt:variant>
        <vt:lpwstr>http://www.nevo.co.il/case/28096675</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6750270</vt:i4>
      </vt:variant>
      <vt:variant>
        <vt:i4>69</vt:i4>
      </vt:variant>
      <vt:variant>
        <vt:i4>0</vt:i4>
      </vt:variant>
      <vt:variant>
        <vt:i4>5</vt:i4>
      </vt:variant>
      <vt:variant>
        <vt:lpwstr>http://www.nevo.co.il/law/70301/329.a.2</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6750310</vt:i4>
      </vt:variant>
      <vt:variant>
        <vt:i4>54</vt:i4>
      </vt:variant>
      <vt:variant>
        <vt:i4>0</vt:i4>
      </vt:variant>
      <vt:variant>
        <vt:i4>5</vt:i4>
      </vt:variant>
      <vt:variant>
        <vt:lpwstr>http://www.nevo.co.il/law/70301/329</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3735669</vt:i4>
      </vt:variant>
      <vt:variant>
        <vt:i4>48</vt:i4>
      </vt:variant>
      <vt:variant>
        <vt:i4>0</vt:i4>
      </vt:variant>
      <vt:variant>
        <vt:i4>5</vt:i4>
      </vt:variant>
      <vt:variant>
        <vt:lpwstr>http://www.nevo.co.il/case/27933514</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4849746</vt:i4>
      </vt:variant>
      <vt:variant>
        <vt:i4>30</vt:i4>
      </vt:variant>
      <vt:variant>
        <vt:i4>0</vt:i4>
      </vt:variant>
      <vt:variant>
        <vt:i4>5</vt:i4>
      </vt:variant>
      <vt:variant>
        <vt:lpwstr>http://www.nevo.co.il/law/70301/413.e</vt:lpwstr>
      </vt:variant>
      <vt:variant>
        <vt:lpwstr/>
      </vt:variant>
      <vt:variant>
        <vt:i4>4390996</vt:i4>
      </vt:variant>
      <vt:variant>
        <vt:i4>27</vt:i4>
      </vt:variant>
      <vt:variant>
        <vt:i4>0</vt:i4>
      </vt:variant>
      <vt:variant>
        <vt:i4>5</vt:i4>
      </vt:variant>
      <vt:variant>
        <vt:lpwstr>http://www.nevo.co.il/law/70301/382.a</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40602</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מאהר אבו סויס</vt:lpwstr>
  </property>
  <property fmtid="{D5CDD505-2E9C-101B-9397-08002B2CF9AE}" pid="10" name="LAWYER">
    <vt:lpwstr>וואסים אבו עאמר;נטלי אוטן</vt:lpwstr>
  </property>
  <property fmtid="{D5CDD505-2E9C-101B-9397-08002B2CF9AE}" pid="11" name="JUDGE">
    <vt:lpwstr>בני שגיא</vt:lpwstr>
  </property>
  <property fmtid="{D5CDD505-2E9C-101B-9397-08002B2CF9AE}" pid="12" name="CITY">
    <vt:lpwstr>ב"ש</vt:lpwstr>
  </property>
  <property fmtid="{D5CDD505-2E9C-101B-9397-08002B2CF9AE}" pid="13" name="DATE">
    <vt:lpwstr>20250121</vt:lpwstr>
  </property>
  <property fmtid="{D5CDD505-2E9C-101B-9397-08002B2CF9AE}" pid="14" name="TYPE_N_DATE">
    <vt:lpwstr>39020250121</vt:lpwstr>
  </property>
  <property fmtid="{D5CDD505-2E9C-101B-9397-08002B2CF9AE}" pid="15" name="CASESLISTTMP1">
    <vt:lpwstr>27933514:2;26888657;28883087;28096675;21472824;29869542;28291244</vt:lpwstr>
  </property>
  <property fmtid="{D5CDD505-2E9C-101B-9397-08002B2CF9AE}" pid="16" name="WORDNUMPAGES">
    <vt:lpwstr>7</vt:lpwstr>
  </property>
  <property fmtid="{D5CDD505-2E9C-101B-9397-08002B2CF9AE}" pid="17" name="TYPE_ABS_DATE">
    <vt:lpwstr>390020250121</vt:lpwstr>
  </property>
  <property fmtid="{D5CDD505-2E9C-101B-9397-08002B2CF9AE}" pid="18" name="LAWLISTTMP1">
    <vt:lpwstr>70301/329.a.2:8;031:3;144.b:6;029;329;329.a.1:2;144.a:2;413.e;379;382.a</vt:lpwstr>
  </property>
  <property fmtid="{D5CDD505-2E9C-101B-9397-08002B2CF9AE}" pid="19" name="ISABSTRACT">
    <vt:lpwstr>Y</vt:lpwstr>
  </property>
</Properties>
</file>