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E966B3" w:rsidRPr="001F3703" w14:paraId="3FA89274" w14:textId="77777777" w:rsidTr="00BE42E5">
        <w:trPr>
          <w:gridAfter w:val="1"/>
          <w:wAfter w:w="99" w:type="dxa"/>
          <w:trHeight w:hRule="exact" w:val="418"/>
          <w:jc w:val="center"/>
        </w:trPr>
        <w:tc>
          <w:tcPr>
            <w:tcW w:w="8721" w:type="dxa"/>
            <w:gridSpan w:val="4"/>
          </w:tcPr>
          <w:p w14:paraId="1F0937A6" w14:textId="77777777" w:rsidR="00E966B3" w:rsidRPr="001F3703" w:rsidRDefault="00E966B3" w:rsidP="000E51F2">
            <w:pPr>
              <w:pStyle w:val="a3"/>
              <w:jc w:val="center"/>
              <w:rPr>
                <w:rFonts w:ascii="Tahoma" w:hAnsi="Tahoma" w:cs="Tahoma"/>
                <w:color w:val="000080"/>
                <w:rtl/>
              </w:rPr>
            </w:pPr>
            <w:bookmarkStart w:id="0" w:name="LastJudge"/>
            <w:r w:rsidRPr="001F3703">
              <w:rPr>
                <w:rFonts w:ascii="Tahoma" w:hAnsi="Tahoma" w:cs="Tahoma"/>
                <w:b/>
                <w:bCs/>
                <w:color w:val="000080"/>
                <w:rtl/>
              </w:rPr>
              <w:t>בית המשפט המחוזי בבאר שבע</w:t>
            </w:r>
          </w:p>
        </w:tc>
      </w:tr>
      <w:tr w:rsidR="00E966B3" w:rsidRPr="001F3703" w14:paraId="2C2C9110" w14:textId="77777777" w:rsidTr="00BE42E5">
        <w:trPr>
          <w:gridAfter w:val="1"/>
          <w:wAfter w:w="99" w:type="dxa"/>
          <w:trHeight w:val="337"/>
          <w:jc w:val="center"/>
        </w:trPr>
        <w:tc>
          <w:tcPr>
            <w:tcW w:w="5057" w:type="dxa"/>
            <w:gridSpan w:val="3"/>
          </w:tcPr>
          <w:p w14:paraId="410739FE" w14:textId="77777777" w:rsidR="00E966B3" w:rsidRPr="001F3703" w:rsidRDefault="00E966B3" w:rsidP="000E51F2">
            <w:pPr>
              <w:rPr>
                <w:rFonts w:cs="FrankRuehl"/>
                <w:sz w:val="28"/>
                <w:szCs w:val="28"/>
                <w:rtl/>
              </w:rPr>
            </w:pPr>
            <w:r w:rsidRPr="001F3703">
              <w:rPr>
                <w:rFonts w:cs="FrankRuehl"/>
                <w:sz w:val="28"/>
                <w:szCs w:val="28"/>
                <w:rtl/>
              </w:rPr>
              <w:t>ת"פ</w:t>
            </w:r>
            <w:r w:rsidRPr="001F3703">
              <w:rPr>
                <w:rFonts w:cs="FrankRuehl" w:hint="cs"/>
                <w:sz w:val="28"/>
                <w:szCs w:val="28"/>
                <w:rtl/>
              </w:rPr>
              <w:t xml:space="preserve"> </w:t>
            </w:r>
            <w:r w:rsidRPr="001F3703">
              <w:rPr>
                <w:rFonts w:cs="FrankRuehl"/>
                <w:sz w:val="28"/>
                <w:szCs w:val="28"/>
                <w:rtl/>
              </w:rPr>
              <w:t>45769-04-24</w:t>
            </w:r>
            <w:r w:rsidRPr="001F3703">
              <w:rPr>
                <w:rFonts w:cs="FrankRuehl" w:hint="cs"/>
                <w:sz w:val="28"/>
                <w:szCs w:val="28"/>
                <w:rtl/>
              </w:rPr>
              <w:t xml:space="preserve"> </w:t>
            </w:r>
            <w:r w:rsidRPr="001F3703">
              <w:rPr>
                <w:rFonts w:cs="FrankRuehl"/>
                <w:sz w:val="28"/>
                <w:szCs w:val="28"/>
                <w:rtl/>
              </w:rPr>
              <w:t>מדינת ישראל נ' אבו גליון(עציר)</w:t>
            </w:r>
          </w:p>
          <w:p w14:paraId="4D48948C" w14:textId="77777777" w:rsidR="00E966B3" w:rsidRPr="001F3703" w:rsidRDefault="00E966B3" w:rsidP="000E51F2">
            <w:pPr>
              <w:pStyle w:val="a3"/>
              <w:rPr>
                <w:rFonts w:cs="FrankRuehl"/>
                <w:sz w:val="28"/>
                <w:szCs w:val="28"/>
                <w:rtl/>
              </w:rPr>
            </w:pPr>
          </w:p>
        </w:tc>
        <w:tc>
          <w:tcPr>
            <w:tcW w:w="3664" w:type="dxa"/>
          </w:tcPr>
          <w:p w14:paraId="74779F70" w14:textId="77777777" w:rsidR="00E966B3" w:rsidRPr="001F3703" w:rsidRDefault="00E966B3" w:rsidP="000E51F2">
            <w:pPr>
              <w:pStyle w:val="a3"/>
              <w:jc w:val="right"/>
              <w:rPr>
                <w:rFonts w:cs="FrankRuehl"/>
                <w:sz w:val="28"/>
                <w:szCs w:val="28"/>
                <w:rtl/>
              </w:rPr>
            </w:pPr>
          </w:p>
        </w:tc>
      </w:tr>
      <w:tr w:rsidR="00E966B3" w:rsidRPr="001F3703" w14:paraId="75DFCF7F" w14:textId="77777777" w:rsidTr="00BE42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4C5D294" w14:textId="77777777" w:rsidR="00E966B3" w:rsidRPr="001F3703" w:rsidRDefault="00E966B3" w:rsidP="00E966B3">
            <w:pPr>
              <w:jc w:val="both"/>
              <w:rPr>
                <w:rFonts w:ascii="David" w:hAnsi="David"/>
                <w:sz w:val="26"/>
                <w:szCs w:val="26"/>
              </w:rPr>
            </w:pPr>
            <w:r w:rsidRPr="001F3703">
              <w:rPr>
                <w:rFonts w:hint="cs"/>
                <w:rtl/>
              </w:rPr>
              <w:t xml:space="preserve"> </w:t>
            </w:r>
            <w:r w:rsidRPr="001F3703">
              <w:rPr>
                <w:rFonts w:ascii="David" w:hAnsi="David" w:hint="cs"/>
                <w:sz w:val="26"/>
                <w:szCs w:val="26"/>
                <w:rtl/>
              </w:rPr>
              <w:t>ל</w:t>
            </w:r>
            <w:r w:rsidRPr="001F370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42C4158" w14:textId="77777777" w:rsidR="00E966B3" w:rsidRPr="001F3703" w:rsidRDefault="00E966B3" w:rsidP="000E51F2">
            <w:pPr>
              <w:rPr>
                <w:rFonts w:ascii="David" w:hAnsi="David"/>
                <w:b/>
                <w:bCs/>
                <w:sz w:val="26"/>
                <w:szCs w:val="26"/>
                <w:rtl/>
              </w:rPr>
            </w:pPr>
            <w:r w:rsidRPr="001F3703">
              <w:rPr>
                <w:rFonts w:ascii="David" w:hAnsi="David"/>
                <w:b/>
                <w:bCs/>
                <w:sz w:val="26"/>
                <w:szCs w:val="26"/>
                <w:rtl/>
              </w:rPr>
              <w:t>כבוד השופט  אלון גביזון</w:t>
            </w:r>
          </w:p>
          <w:p w14:paraId="60D3B50B" w14:textId="77777777" w:rsidR="00E966B3" w:rsidRPr="001F3703" w:rsidRDefault="00E966B3" w:rsidP="000E51F2">
            <w:pPr>
              <w:rPr>
                <w:rFonts w:ascii="David" w:hAnsi="David"/>
                <w:sz w:val="26"/>
                <w:szCs w:val="26"/>
                <w:rtl/>
              </w:rPr>
            </w:pPr>
          </w:p>
          <w:p w14:paraId="34D54C60" w14:textId="77777777" w:rsidR="00E966B3" w:rsidRPr="001F3703" w:rsidRDefault="00E966B3" w:rsidP="00E966B3">
            <w:pPr>
              <w:jc w:val="both"/>
              <w:rPr>
                <w:rFonts w:ascii="David" w:hAnsi="David"/>
                <w:sz w:val="26"/>
                <w:szCs w:val="26"/>
              </w:rPr>
            </w:pPr>
          </w:p>
        </w:tc>
      </w:tr>
      <w:tr w:rsidR="00E966B3" w:rsidRPr="001F3703" w14:paraId="02243B31" w14:textId="77777777" w:rsidTr="00BE42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282610" w14:textId="77777777" w:rsidR="00E966B3" w:rsidRPr="001F3703" w:rsidRDefault="00E966B3" w:rsidP="00E966B3">
            <w:pPr>
              <w:jc w:val="both"/>
              <w:rPr>
                <w:rFonts w:ascii="David" w:hAnsi="David"/>
                <w:sz w:val="26"/>
                <w:szCs w:val="26"/>
              </w:rPr>
            </w:pPr>
            <w:bookmarkStart w:id="1" w:name="FirstAppellant"/>
            <w:bookmarkStart w:id="2" w:name="FirstLawyer"/>
            <w:r w:rsidRPr="001F3703">
              <w:rPr>
                <w:rFonts w:ascii="David" w:hAnsi="David"/>
                <w:sz w:val="26"/>
                <w:szCs w:val="26"/>
                <w:rtl/>
              </w:rPr>
              <w:t>בעניין:</w:t>
            </w:r>
          </w:p>
        </w:tc>
        <w:tc>
          <w:tcPr>
            <w:tcW w:w="3219" w:type="dxa"/>
            <w:tcBorders>
              <w:top w:val="nil"/>
              <w:left w:val="nil"/>
              <w:bottom w:val="nil"/>
              <w:right w:val="nil"/>
            </w:tcBorders>
            <w:shd w:val="clear" w:color="auto" w:fill="auto"/>
          </w:tcPr>
          <w:p w14:paraId="6D48EF14" w14:textId="77777777" w:rsidR="00E966B3" w:rsidRPr="001F3703" w:rsidRDefault="00E966B3" w:rsidP="00E966B3">
            <w:pPr>
              <w:suppressLineNumbers/>
            </w:pPr>
            <w:r w:rsidRPr="001F3703">
              <w:rPr>
                <w:rFonts w:ascii="Arial" w:hAnsi="Arial" w:hint="cs"/>
                <w:b/>
                <w:bCs/>
                <w:sz w:val="26"/>
                <w:szCs w:val="26"/>
                <w:rtl/>
              </w:rPr>
              <w:t>ה</w:t>
            </w:r>
            <w:r w:rsidRPr="001F3703">
              <w:rPr>
                <w:rFonts w:ascii="Arial" w:hAnsi="Arial"/>
                <w:b/>
                <w:bCs/>
                <w:sz w:val="26"/>
                <w:szCs w:val="26"/>
                <w:rtl/>
              </w:rPr>
              <w:t>מאשימה</w:t>
            </w:r>
          </w:p>
          <w:p w14:paraId="2208C61B" w14:textId="77777777" w:rsidR="00E966B3" w:rsidRPr="001F3703" w:rsidRDefault="00E966B3" w:rsidP="000E51F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5A4CCC1" w14:textId="77777777" w:rsidR="00E966B3" w:rsidRPr="001F3703" w:rsidRDefault="00E966B3" w:rsidP="00E966B3">
            <w:pPr>
              <w:suppressLineNumbers/>
              <w:rPr>
                <w:rFonts w:ascii="Arial" w:hAnsi="Arial"/>
                <w:b/>
                <w:bCs/>
                <w:sz w:val="26"/>
                <w:szCs w:val="26"/>
                <w:rtl/>
              </w:rPr>
            </w:pPr>
            <w:r w:rsidRPr="001F3703">
              <w:rPr>
                <w:rFonts w:ascii="Arial" w:hAnsi="Arial"/>
                <w:b/>
                <w:bCs/>
                <w:sz w:val="26"/>
                <w:szCs w:val="26"/>
                <w:rtl/>
              </w:rPr>
              <w:t>מדינת ישראל</w:t>
            </w:r>
            <w:r w:rsidRPr="001F3703">
              <w:rPr>
                <w:rFonts w:ascii="Arial" w:hAnsi="Arial" w:hint="cs"/>
                <w:b/>
                <w:bCs/>
                <w:sz w:val="26"/>
                <w:szCs w:val="26"/>
                <w:rtl/>
              </w:rPr>
              <w:t xml:space="preserve"> </w:t>
            </w:r>
          </w:p>
          <w:p w14:paraId="5E4FE4DF" w14:textId="77777777" w:rsidR="00E966B3" w:rsidRPr="001F3703" w:rsidRDefault="00E966B3" w:rsidP="00E966B3">
            <w:pPr>
              <w:suppressLineNumbers/>
            </w:pPr>
            <w:r w:rsidRPr="001F3703">
              <w:rPr>
                <w:rFonts w:ascii="Arial" w:hAnsi="Arial"/>
                <w:b/>
                <w:bCs/>
                <w:sz w:val="26"/>
                <w:szCs w:val="26"/>
                <w:rtl/>
              </w:rPr>
              <w:t>ע"י ב"כ עו</w:t>
            </w:r>
            <w:r w:rsidRPr="001F3703">
              <w:rPr>
                <w:rFonts w:ascii="Arial" w:hAnsi="Arial" w:hint="cs"/>
                <w:b/>
                <w:bCs/>
                <w:sz w:val="26"/>
                <w:szCs w:val="26"/>
                <w:rtl/>
              </w:rPr>
              <w:t xml:space="preserve">"ד אדר בכר </w:t>
            </w:r>
          </w:p>
          <w:p w14:paraId="3A0C3A45" w14:textId="77777777" w:rsidR="00E966B3" w:rsidRPr="001F3703" w:rsidRDefault="00E966B3" w:rsidP="000E51F2">
            <w:pPr>
              <w:rPr>
                <w:rFonts w:ascii="David" w:hAnsi="David"/>
                <w:sz w:val="26"/>
                <w:szCs w:val="26"/>
              </w:rPr>
            </w:pPr>
          </w:p>
        </w:tc>
      </w:tr>
      <w:bookmarkEnd w:id="1"/>
      <w:bookmarkEnd w:id="2"/>
      <w:tr w:rsidR="00E966B3" w:rsidRPr="001F3703" w14:paraId="790C56DA" w14:textId="77777777" w:rsidTr="00BE42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FF7D46" w14:textId="77777777" w:rsidR="00E966B3" w:rsidRPr="001F3703" w:rsidRDefault="00E966B3" w:rsidP="00E966B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E75C24B" w14:textId="77777777" w:rsidR="00E966B3" w:rsidRPr="001F3703" w:rsidRDefault="00E966B3" w:rsidP="00E966B3">
            <w:pPr>
              <w:jc w:val="center"/>
              <w:rPr>
                <w:rFonts w:ascii="David" w:hAnsi="David"/>
                <w:b/>
                <w:bCs/>
                <w:sz w:val="26"/>
                <w:szCs w:val="26"/>
                <w:rtl/>
              </w:rPr>
            </w:pPr>
          </w:p>
          <w:p w14:paraId="66AB9C3F" w14:textId="77777777" w:rsidR="00E966B3" w:rsidRPr="001F3703" w:rsidRDefault="00E966B3" w:rsidP="00E966B3">
            <w:pPr>
              <w:jc w:val="center"/>
              <w:rPr>
                <w:rFonts w:ascii="David" w:hAnsi="David"/>
                <w:b/>
                <w:bCs/>
                <w:sz w:val="26"/>
                <w:szCs w:val="26"/>
                <w:rtl/>
              </w:rPr>
            </w:pPr>
            <w:r w:rsidRPr="001F3703">
              <w:rPr>
                <w:rFonts w:ascii="David" w:hAnsi="David"/>
                <w:b/>
                <w:bCs/>
                <w:sz w:val="26"/>
                <w:szCs w:val="26"/>
                <w:rtl/>
              </w:rPr>
              <w:t>נגד</w:t>
            </w:r>
          </w:p>
          <w:p w14:paraId="60961765" w14:textId="77777777" w:rsidR="00E966B3" w:rsidRPr="001F3703" w:rsidRDefault="00E966B3" w:rsidP="00E966B3">
            <w:pPr>
              <w:jc w:val="both"/>
              <w:rPr>
                <w:rFonts w:ascii="David" w:hAnsi="David"/>
                <w:sz w:val="26"/>
                <w:szCs w:val="26"/>
              </w:rPr>
            </w:pPr>
          </w:p>
        </w:tc>
      </w:tr>
      <w:tr w:rsidR="00E966B3" w:rsidRPr="001F3703" w14:paraId="11B42A82" w14:textId="77777777" w:rsidTr="00BE42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6CEF3D" w14:textId="77777777" w:rsidR="00E966B3" w:rsidRPr="001F3703" w:rsidRDefault="00E966B3" w:rsidP="000E51F2">
            <w:pPr>
              <w:rPr>
                <w:rFonts w:ascii="David" w:hAnsi="David"/>
                <w:sz w:val="26"/>
                <w:szCs w:val="26"/>
                <w:rtl/>
              </w:rPr>
            </w:pPr>
          </w:p>
        </w:tc>
        <w:tc>
          <w:tcPr>
            <w:tcW w:w="3219" w:type="dxa"/>
            <w:tcBorders>
              <w:top w:val="nil"/>
              <w:left w:val="nil"/>
              <w:bottom w:val="nil"/>
              <w:right w:val="nil"/>
            </w:tcBorders>
            <w:shd w:val="clear" w:color="auto" w:fill="auto"/>
          </w:tcPr>
          <w:p w14:paraId="1322F5B8" w14:textId="77777777" w:rsidR="00E966B3" w:rsidRPr="001F3703" w:rsidRDefault="00E966B3" w:rsidP="000E51F2">
            <w:pPr>
              <w:rPr>
                <w:rFonts w:ascii="Arial" w:hAnsi="Arial"/>
                <w:b/>
                <w:bCs/>
                <w:sz w:val="26"/>
                <w:szCs w:val="26"/>
                <w:rtl/>
              </w:rPr>
            </w:pPr>
            <w:r w:rsidRPr="001F370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F393F4D" w14:textId="77777777" w:rsidR="00E966B3" w:rsidRPr="001F3703" w:rsidRDefault="00E966B3" w:rsidP="00E966B3">
            <w:pPr>
              <w:suppressLineNumbers/>
              <w:rPr>
                <w:rFonts w:ascii="Arial" w:hAnsi="Arial"/>
                <w:b/>
                <w:bCs/>
                <w:sz w:val="26"/>
                <w:szCs w:val="26"/>
                <w:rtl/>
              </w:rPr>
            </w:pPr>
            <w:r w:rsidRPr="001F3703">
              <w:rPr>
                <w:rFonts w:ascii="Arial" w:hAnsi="Arial"/>
                <w:b/>
                <w:bCs/>
                <w:sz w:val="26"/>
                <w:szCs w:val="26"/>
                <w:rtl/>
              </w:rPr>
              <w:t xml:space="preserve">מוחמד אבו גליון – הובא </w:t>
            </w:r>
            <w:r w:rsidRPr="001F3703">
              <w:rPr>
                <w:rFonts w:ascii="Arial" w:hAnsi="Arial" w:hint="cs"/>
                <w:b/>
                <w:bCs/>
                <w:sz w:val="26"/>
                <w:szCs w:val="26"/>
                <w:rtl/>
              </w:rPr>
              <w:t xml:space="preserve">ע"י נחשון </w:t>
            </w:r>
          </w:p>
          <w:p w14:paraId="123E544D" w14:textId="77777777" w:rsidR="00E966B3" w:rsidRPr="001F3703" w:rsidRDefault="00E966B3" w:rsidP="00E966B3">
            <w:pPr>
              <w:suppressLineNumbers/>
            </w:pPr>
            <w:r w:rsidRPr="001F3703">
              <w:rPr>
                <w:rFonts w:ascii="Arial" w:hAnsi="Arial"/>
                <w:b/>
                <w:bCs/>
                <w:sz w:val="26"/>
                <w:szCs w:val="26"/>
                <w:rtl/>
              </w:rPr>
              <w:t>ע"י ב"כ עו"ד</w:t>
            </w:r>
            <w:r w:rsidRPr="001F3703">
              <w:rPr>
                <w:rFonts w:ascii="Arial" w:hAnsi="Arial" w:hint="cs"/>
                <w:b/>
                <w:bCs/>
                <w:sz w:val="26"/>
                <w:szCs w:val="26"/>
                <w:rtl/>
              </w:rPr>
              <w:t xml:space="preserve"> נטלי אוטן</w:t>
            </w:r>
          </w:p>
          <w:p w14:paraId="7C34D3F4" w14:textId="77777777" w:rsidR="00E966B3" w:rsidRPr="001F3703" w:rsidRDefault="00E966B3" w:rsidP="000E51F2">
            <w:pPr>
              <w:rPr>
                <w:rFonts w:ascii="David" w:hAnsi="David"/>
                <w:sz w:val="26"/>
                <w:szCs w:val="26"/>
              </w:rPr>
            </w:pPr>
          </w:p>
        </w:tc>
      </w:tr>
    </w:tbl>
    <w:p w14:paraId="47CF823C" w14:textId="77777777" w:rsidR="001F3703" w:rsidRPr="001F3703" w:rsidRDefault="001F3703" w:rsidP="001F3703">
      <w:pPr>
        <w:spacing w:before="120" w:after="120" w:line="240" w:lineRule="exact"/>
        <w:ind w:left="283" w:hanging="283"/>
        <w:jc w:val="both"/>
        <w:rPr>
          <w:rFonts w:ascii="FrankRuehl" w:hAnsi="FrankRuehl" w:cs="FrankRuehl"/>
          <w:rtl/>
        </w:rPr>
      </w:pPr>
    </w:p>
    <w:p w14:paraId="7EC41CCC" w14:textId="77777777" w:rsidR="001F3703" w:rsidRPr="001F3703" w:rsidRDefault="001F3703" w:rsidP="001F3703">
      <w:pPr>
        <w:rPr>
          <w:sz w:val="26"/>
          <w:szCs w:val="26"/>
          <w:rtl/>
        </w:rPr>
      </w:pPr>
    </w:p>
    <w:p w14:paraId="4491B89E" w14:textId="77777777" w:rsidR="00BE42E5" w:rsidRPr="00BE42E5" w:rsidRDefault="00BE42E5" w:rsidP="00BE42E5">
      <w:pPr>
        <w:spacing w:before="120" w:after="120" w:line="240" w:lineRule="exact"/>
        <w:ind w:left="283" w:hanging="283"/>
        <w:jc w:val="both"/>
        <w:rPr>
          <w:rFonts w:ascii="FrankRuehl" w:hAnsi="FrankRuehl" w:cs="FrankRuehl"/>
          <w:rtl/>
        </w:rPr>
      </w:pPr>
      <w:bookmarkStart w:id="3" w:name="LawTable"/>
      <w:bookmarkEnd w:id="3"/>
    </w:p>
    <w:p w14:paraId="25645EA4" w14:textId="77777777" w:rsidR="00BE42E5" w:rsidRPr="00BE42E5" w:rsidRDefault="00BE42E5" w:rsidP="00BE42E5">
      <w:pPr>
        <w:spacing w:before="120" w:after="120" w:line="240" w:lineRule="exact"/>
        <w:ind w:left="283" w:hanging="283"/>
        <w:jc w:val="both"/>
        <w:rPr>
          <w:rFonts w:ascii="FrankRuehl" w:hAnsi="FrankRuehl" w:cs="FrankRuehl"/>
          <w:rtl/>
        </w:rPr>
      </w:pPr>
      <w:r w:rsidRPr="00BE42E5">
        <w:rPr>
          <w:rFonts w:ascii="FrankRuehl" w:hAnsi="FrankRuehl" w:cs="FrankRuehl"/>
          <w:rtl/>
        </w:rPr>
        <w:t xml:space="preserve">חקיקה שאוזכרה: </w:t>
      </w:r>
    </w:p>
    <w:p w14:paraId="168F79DF" w14:textId="77777777" w:rsidR="00BE42E5" w:rsidRPr="00BE42E5" w:rsidRDefault="00BE42E5" w:rsidP="00BE42E5">
      <w:pPr>
        <w:spacing w:before="120" w:after="120" w:line="240" w:lineRule="exact"/>
        <w:ind w:left="283" w:hanging="283"/>
        <w:jc w:val="both"/>
        <w:rPr>
          <w:rFonts w:ascii="FrankRuehl" w:hAnsi="FrankRuehl" w:cs="FrankRuehl"/>
          <w:color w:val="0000FF"/>
          <w:rtl/>
        </w:rPr>
      </w:pPr>
      <w:hyperlink r:id="rId7" w:history="1">
        <w:r w:rsidRPr="00BE42E5">
          <w:rPr>
            <w:rStyle w:val="Hyperlink"/>
            <w:rFonts w:ascii="FrankRuehl" w:hAnsi="FrankRuehl" w:cs="FrankRuehl"/>
            <w:u w:val="none"/>
            <w:rtl/>
          </w:rPr>
          <w:t>חוק העונשין, תשל"ז-1977</w:t>
        </w:r>
      </w:hyperlink>
      <w:r w:rsidRPr="00BE42E5">
        <w:rPr>
          <w:rFonts w:ascii="FrankRuehl" w:hAnsi="FrankRuehl" w:cs="FrankRuehl"/>
          <w:color w:val="0000FF"/>
          <w:rtl/>
        </w:rPr>
        <w:t xml:space="preserve">: סע'  </w:t>
      </w:r>
      <w:hyperlink r:id="rId8" w:history="1">
        <w:r w:rsidRPr="00BE42E5">
          <w:rPr>
            <w:rStyle w:val="Hyperlink"/>
            <w:rFonts w:ascii="FrankRuehl" w:hAnsi="FrankRuehl" w:cs="FrankRuehl"/>
            <w:u w:val="none"/>
          </w:rPr>
          <w:t>144</w:t>
        </w:r>
      </w:hyperlink>
      <w:r w:rsidRPr="00BE42E5">
        <w:rPr>
          <w:rFonts w:ascii="FrankRuehl" w:hAnsi="FrankRuehl" w:cs="FrankRuehl"/>
          <w:color w:val="0000FF"/>
          <w:rtl/>
        </w:rPr>
        <w:t xml:space="preserve">, </w:t>
      </w:r>
      <w:hyperlink r:id="rId9" w:history="1">
        <w:r w:rsidRPr="00BE42E5">
          <w:rPr>
            <w:rStyle w:val="Hyperlink"/>
            <w:rFonts w:ascii="FrankRuehl" w:hAnsi="FrankRuehl" w:cs="FrankRuehl"/>
            <w:u w:val="none"/>
          </w:rPr>
          <w:t>144</w:t>
        </w:r>
      </w:hyperlink>
      <w:r w:rsidRPr="00BE42E5">
        <w:rPr>
          <w:rFonts w:ascii="FrankRuehl" w:hAnsi="FrankRuehl" w:cs="FrankRuehl"/>
          <w:color w:val="0000FF"/>
          <w:rtl/>
        </w:rPr>
        <w:t xml:space="preserve">(ב), </w:t>
      </w:r>
      <w:hyperlink r:id="rId10" w:history="1">
        <w:r w:rsidRPr="00BE42E5">
          <w:rPr>
            <w:rStyle w:val="Hyperlink"/>
            <w:rFonts w:ascii="FrankRuehl" w:hAnsi="FrankRuehl" w:cs="FrankRuehl"/>
            <w:u w:val="none"/>
          </w:rPr>
          <w:t>340</w:t>
        </w:r>
        <w:r w:rsidRPr="00BE42E5">
          <w:rPr>
            <w:rStyle w:val="Hyperlink"/>
            <w:rFonts w:ascii="FrankRuehl" w:hAnsi="FrankRuehl" w:cs="FrankRuehl"/>
            <w:u w:val="none"/>
            <w:rtl/>
          </w:rPr>
          <w:t>א</w:t>
        </w:r>
      </w:hyperlink>
      <w:r w:rsidRPr="00BE42E5">
        <w:rPr>
          <w:rFonts w:ascii="FrankRuehl" w:hAnsi="FrankRuehl" w:cs="FrankRuehl"/>
          <w:color w:val="0000FF"/>
          <w:rtl/>
        </w:rPr>
        <w:t xml:space="preserve">, </w:t>
      </w:r>
      <w:hyperlink r:id="rId11" w:history="1">
        <w:r w:rsidRPr="00BE42E5">
          <w:rPr>
            <w:rStyle w:val="Hyperlink"/>
            <w:rFonts w:ascii="FrankRuehl" w:hAnsi="FrankRuehl" w:cs="FrankRuehl"/>
            <w:u w:val="none"/>
          </w:rPr>
          <w:t>379</w:t>
        </w:r>
      </w:hyperlink>
    </w:p>
    <w:p w14:paraId="19430DA5" w14:textId="77777777" w:rsidR="00E966B3" w:rsidRPr="00BE42E5" w:rsidRDefault="00E966B3" w:rsidP="00BE42E5">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66B3" w14:paraId="267CD53A" w14:textId="77777777" w:rsidTr="00E966B3">
        <w:trPr>
          <w:trHeight w:val="355"/>
          <w:jc w:val="center"/>
        </w:trPr>
        <w:tc>
          <w:tcPr>
            <w:tcW w:w="8820" w:type="dxa"/>
            <w:tcBorders>
              <w:top w:val="nil"/>
              <w:left w:val="nil"/>
              <w:bottom w:val="nil"/>
              <w:right w:val="nil"/>
            </w:tcBorders>
            <w:shd w:val="clear" w:color="auto" w:fill="auto"/>
          </w:tcPr>
          <w:p w14:paraId="3C6F3E2C" w14:textId="77777777" w:rsidR="001F3703" w:rsidRPr="001F3703" w:rsidRDefault="001F3703" w:rsidP="001F3703">
            <w:pPr>
              <w:jc w:val="center"/>
              <w:rPr>
                <w:rFonts w:ascii="David" w:hAnsi="David"/>
                <w:b/>
                <w:bCs/>
                <w:sz w:val="32"/>
                <w:szCs w:val="32"/>
                <w:u w:val="single"/>
                <w:rtl/>
              </w:rPr>
            </w:pPr>
            <w:bookmarkStart w:id="5" w:name="PsakDin" w:colFirst="0" w:colLast="0"/>
            <w:bookmarkEnd w:id="0"/>
            <w:r w:rsidRPr="001F3703">
              <w:rPr>
                <w:rFonts w:ascii="David" w:hAnsi="David"/>
                <w:b/>
                <w:bCs/>
                <w:sz w:val="32"/>
                <w:szCs w:val="32"/>
                <w:u w:val="single"/>
                <w:rtl/>
              </w:rPr>
              <w:t>גזר דין</w:t>
            </w:r>
          </w:p>
          <w:p w14:paraId="12B0DF8D" w14:textId="77777777" w:rsidR="00E966B3" w:rsidRPr="001F3703" w:rsidRDefault="00E966B3" w:rsidP="001F3703">
            <w:pPr>
              <w:jc w:val="center"/>
              <w:rPr>
                <w:rFonts w:ascii="David" w:hAnsi="David"/>
                <w:bCs/>
                <w:sz w:val="32"/>
                <w:szCs w:val="32"/>
                <w:u w:val="single"/>
                <w:rtl/>
              </w:rPr>
            </w:pPr>
          </w:p>
        </w:tc>
      </w:tr>
      <w:bookmarkEnd w:id="5"/>
    </w:tbl>
    <w:p w14:paraId="1E0CE3F8" w14:textId="77777777" w:rsidR="00E966B3" w:rsidRPr="000F2247" w:rsidRDefault="00E966B3" w:rsidP="00E966B3">
      <w:pPr>
        <w:rPr>
          <w:rFonts w:ascii="Arial" w:hAnsi="Arial"/>
          <w:b/>
          <w:bCs/>
          <w:sz w:val="26"/>
          <w:szCs w:val="26"/>
          <w:rtl/>
        </w:rPr>
      </w:pPr>
    </w:p>
    <w:p w14:paraId="6F926906" w14:textId="77777777" w:rsidR="00E966B3" w:rsidRDefault="00E966B3" w:rsidP="00E966B3">
      <w:pPr>
        <w:rPr>
          <w:rFonts w:ascii="David" w:hAnsi="David"/>
          <w:b/>
          <w:bCs/>
          <w:u w:val="single"/>
          <w:rtl/>
        </w:rPr>
      </w:pPr>
      <w:bookmarkStart w:id="6" w:name="ABSTRACT_START"/>
      <w:bookmarkEnd w:id="6"/>
    </w:p>
    <w:p w14:paraId="5ED3F367" w14:textId="77777777" w:rsidR="00E966B3" w:rsidRDefault="00E966B3" w:rsidP="00E966B3">
      <w:pPr>
        <w:spacing w:line="360" w:lineRule="auto"/>
        <w:ind w:left="720" w:hanging="720"/>
        <w:jc w:val="both"/>
        <w:rPr>
          <w:rFonts w:ascii="David" w:hAnsi="David"/>
          <w:rtl/>
        </w:rPr>
      </w:pPr>
      <w:r>
        <w:rPr>
          <w:rFonts w:ascii="David" w:hAnsi="David"/>
          <w:rtl/>
        </w:rPr>
        <w:t>1.</w:t>
      </w:r>
      <w:r>
        <w:rPr>
          <w:rFonts w:ascii="David" w:hAnsi="David"/>
          <w:rtl/>
        </w:rPr>
        <w:tab/>
        <w:t>הנאשם הורשע, על יסוד הודאתו בעובדות כתב האישום המתוקן ב</w:t>
      </w:r>
      <w:hyperlink r:id="rId12" w:history="1">
        <w:r w:rsidR="001F3703" w:rsidRPr="001F3703">
          <w:rPr>
            <w:rFonts w:ascii="David" w:hAnsi="David"/>
            <w:color w:val="0000FF"/>
            <w:u w:val="single"/>
            <w:rtl/>
          </w:rPr>
          <w:t>ת.פ 45769-04-24</w:t>
        </w:r>
      </w:hyperlink>
      <w:r>
        <w:rPr>
          <w:rFonts w:ascii="David" w:hAnsi="David"/>
          <w:rtl/>
        </w:rPr>
        <w:t xml:space="preserve"> (להלן:</w:t>
      </w:r>
      <w:r>
        <w:rPr>
          <w:rFonts w:ascii="David" w:hAnsi="David"/>
          <w:b/>
          <w:bCs/>
          <w:rtl/>
        </w:rPr>
        <w:t xml:space="preserve"> "כתב האישום הראשון"</w:t>
      </w:r>
      <w:r>
        <w:rPr>
          <w:rFonts w:ascii="David" w:hAnsi="David"/>
          <w:rtl/>
        </w:rPr>
        <w:t xml:space="preserve">), בעבירות בנשק (נשיאה) – עבירה לפי </w:t>
      </w:r>
      <w:hyperlink r:id="rId13" w:history="1">
        <w:r w:rsidR="00BE42E5" w:rsidRPr="00BE42E5">
          <w:rPr>
            <w:rStyle w:val="Hyperlink"/>
            <w:rFonts w:ascii="David" w:hAnsi="David"/>
            <w:color w:val="0000FF"/>
            <w:rtl/>
          </w:rPr>
          <w:t>סעיף 144(ב)</w:t>
        </w:r>
      </w:hyperlink>
      <w:r>
        <w:rPr>
          <w:rFonts w:ascii="David" w:hAnsi="David"/>
          <w:rtl/>
        </w:rPr>
        <w:t xml:space="preserve"> רישא ל</w:t>
      </w:r>
      <w:hyperlink r:id="rId14" w:history="1">
        <w:r w:rsidR="001F3703" w:rsidRPr="001F3703">
          <w:rPr>
            <w:rFonts w:ascii="David" w:hAnsi="David"/>
            <w:color w:val="0000FF"/>
            <w:u w:val="single"/>
            <w:rtl/>
          </w:rPr>
          <w:t>חוק העונשין</w:t>
        </w:r>
      </w:hyperlink>
      <w:r>
        <w:rPr>
          <w:rFonts w:ascii="David" w:hAnsi="David"/>
          <w:rtl/>
        </w:rPr>
        <w:t xml:space="preserve">, התשל"ז- 1977 (להלן: </w:t>
      </w:r>
      <w:r>
        <w:rPr>
          <w:rFonts w:ascii="David" w:hAnsi="David"/>
          <w:b/>
          <w:bCs/>
          <w:rtl/>
        </w:rPr>
        <w:t>"חוק העונשין"</w:t>
      </w:r>
      <w:r>
        <w:rPr>
          <w:rFonts w:ascii="David" w:hAnsi="David"/>
          <w:rtl/>
        </w:rPr>
        <w:t>).</w:t>
      </w:r>
    </w:p>
    <w:p w14:paraId="042DA9BD" w14:textId="77777777" w:rsidR="00E966B3" w:rsidRDefault="00E966B3" w:rsidP="00E966B3">
      <w:pPr>
        <w:spacing w:line="360" w:lineRule="auto"/>
        <w:ind w:left="720" w:hanging="720"/>
        <w:jc w:val="both"/>
        <w:rPr>
          <w:rFonts w:ascii="David" w:hAnsi="David"/>
          <w:rtl/>
        </w:rPr>
      </w:pPr>
    </w:p>
    <w:p w14:paraId="66D559AD" w14:textId="77777777" w:rsidR="00E966B3" w:rsidRDefault="00E966B3" w:rsidP="00E966B3">
      <w:pPr>
        <w:spacing w:line="360" w:lineRule="auto"/>
        <w:ind w:left="720" w:hanging="720"/>
        <w:jc w:val="both"/>
        <w:rPr>
          <w:rFonts w:ascii="David" w:hAnsi="David"/>
          <w:rtl/>
        </w:rPr>
      </w:pPr>
      <w:r>
        <w:rPr>
          <w:rFonts w:ascii="David" w:hAnsi="David"/>
          <w:rtl/>
        </w:rPr>
        <w:t>2.</w:t>
      </w:r>
      <w:r>
        <w:rPr>
          <w:rFonts w:ascii="David" w:hAnsi="David"/>
          <w:rtl/>
        </w:rPr>
        <w:tab/>
        <w:t>כמו כן הורשע הנאשם, על יסוד הודאתו בעובדות כתב האישום שצורף מ</w:t>
      </w:r>
      <w:hyperlink r:id="rId15" w:history="1">
        <w:r w:rsidR="001F3703" w:rsidRPr="001F3703">
          <w:rPr>
            <w:rFonts w:ascii="David" w:hAnsi="David"/>
            <w:color w:val="0000FF"/>
            <w:u w:val="single"/>
            <w:rtl/>
          </w:rPr>
          <w:t>ת.פ (שלום ב"ש) 52762-02-23</w:t>
        </w:r>
      </w:hyperlink>
      <w:r>
        <w:rPr>
          <w:rFonts w:ascii="David" w:hAnsi="David"/>
          <w:rtl/>
        </w:rPr>
        <w:t xml:space="preserve"> (להלן:</w:t>
      </w:r>
      <w:r>
        <w:rPr>
          <w:rFonts w:ascii="David" w:hAnsi="David"/>
          <w:b/>
          <w:bCs/>
          <w:rtl/>
        </w:rPr>
        <w:t xml:space="preserve"> "כתב האישום השני")</w:t>
      </w:r>
      <w:r>
        <w:rPr>
          <w:rFonts w:ascii="David" w:hAnsi="David"/>
          <w:rtl/>
        </w:rPr>
        <w:t xml:space="preserve">, בתקיפה סתם – עבירה לפי </w:t>
      </w:r>
      <w:hyperlink r:id="rId16" w:history="1">
        <w:r w:rsidR="00BE42E5" w:rsidRPr="00BE42E5">
          <w:rPr>
            <w:rStyle w:val="Hyperlink"/>
            <w:rFonts w:ascii="David" w:hAnsi="David"/>
            <w:color w:val="0000FF"/>
            <w:rtl/>
          </w:rPr>
          <w:t>סעיף 379</w:t>
        </w:r>
      </w:hyperlink>
      <w:r>
        <w:rPr>
          <w:rFonts w:ascii="David" w:hAnsi="David"/>
          <w:rtl/>
        </w:rPr>
        <w:t xml:space="preserve"> ל</w:t>
      </w:r>
      <w:hyperlink r:id="rId17" w:history="1">
        <w:r w:rsidR="001F3703" w:rsidRPr="001F3703">
          <w:rPr>
            <w:rFonts w:ascii="David" w:hAnsi="David"/>
            <w:color w:val="0000FF"/>
            <w:u w:val="single"/>
            <w:rtl/>
          </w:rPr>
          <w:t>חוק העונשין</w:t>
        </w:r>
      </w:hyperlink>
      <w:r>
        <w:rPr>
          <w:rFonts w:ascii="David" w:hAnsi="David"/>
          <w:rtl/>
        </w:rPr>
        <w:t>.</w:t>
      </w:r>
    </w:p>
    <w:p w14:paraId="21DE2D86" w14:textId="77777777" w:rsidR="00E966B3" w:rsidRDefault="00E966B3" w:rsidP="00E966B3">
      <w:pPr>
        <w:spacing w:line="360" w:lineRule="auto"/>
        <w:ind w:left="720" w:hanging="720"/>
        <w:jc w:val="both"/>
        <w:rPr>
          <w:rFonts w:ascii="David" w:hAnsi="David"/>
          <w:rtl/>
        </w:rPr>
      </w:pPr>
      <w:bookmarkStart w:id="7" w:name="ABSTRACT_END"/>
      <w:bookmarkEnd w:id="7"/>
    </w:p>
    <w:p w14:paraId="638521D4" w14:textId="77777777" w:rsidR="00E966B3" w:rsidRDefault="00E966B3" w:rsidP="00E966B3">
      <w:pPr>
        <w:spacing w:line="360" w:lineRule="auto"/>
        <w:ind w:left="720" w:hanging="720"/>
        <w:jc w:val="both"/>
        <w:rPr>
          <w:rFonts w:ascii="David" w:hAnsi="David"/>
          <w:b/>
          <w:bCs/>
          <w:rtl/>
        </w:rPr>
      </w:pPr>
      <w:r>
        <w:rPr>
          <w:rFonts w:ascii="David" w:hAnsi="David"/>
          <w:b/>
          <w:bCs/>
          <w:rtl/>
        </w:rPr>
        <w:t>כתבי האישום והסדרי הטיעון:</w:t>
      </w:r>
    </w:p>
    <w:p w14:paraId="056FAC0B" w14:textId="77777777" w:rsidR="00E966B3" w:rsidRDefault="00E966B3" w:rsidP="00E966B3">
      <w:pPr>
        <w:spacing w:line="360" w:lineRule="auto"/>
        <w:ind w:left="720" w:hanging="720"/>
        <w:jc w:val="both"/>
        <w:rPr>
          <w:rFonts w:ascii="David" w:hAnsi="David"/>
          <w:b/>
          <w:bCs/>
          <w:rtl/>
        </w:rPr>
      </w:pPr>
    </w:p>
    <w:p w14:paraId="2827D64C" w14:textId="77777777" w:rsidR="00E966B3" w:rsidRDefault="00E966B3" w:rsidP="00E966B3">
      <w:pPr>
        <w:spacing w:line="360" w:lineRule="auto"/>
        <w:ind w:left="720" w:hanging="720"/>
        <w:jc w:val="both"/>
        <w:rPr>
          <w:rFonts w:ascii="David" w:hAnsi="David"/>
          <w:rtl/>
        </w:rPr>
      </w:pPr>
      <w:r>
        <w:rPr>
          <w:rFonts w:ascii="David" w:hAnsi="David"/>
          <w:rtl/>
        </w:rPr>
        <w:t>3.</w:t>
      </w:r>
      <w:r>
        <w:rPr>
          <w:rFonts w:ascii="David" w:hAnsi="David"/>
          <w:rtl/>
        </w:rPr>
        <w:tab/>
      </w:r>
      <w:r>
        <w:rPr>
          <w:rFonts w:ascii="David" w:hAnsi="David"/>
          <w:b/>
          <w:bCs/>
          <w:rtl/>
        </w:rPr>
        <w:t>על פי האמור בכתב האישום הראשון</w:t>
      </w:r>
      <w:r>
        <w:rPr>
          <w:rFonts w:ascii="David" w:hAnsi="David"/>
          <w:rtl/>
        </w:rPr>
        <w:t xml:space="preserve">, בין משפחות הנאשם ועבד אל קדר אבו עליון (להלן: </w:t>
      </w:r>
      <w:r>
        <w:rPr>
          <w:rFonts w:ascii="David" w:hAnsi="David"/>
          <w:b/>
          <w:bCs/>
          <w:rtl/>
        </w:rPr>
        <w:t>"המתלונן ע'"</w:t>
      </w:r>
      <w:r>
        <w:rPr>
          <w:rFonts w:ascii="David" w:hAnsi="David"/>
          <w:rtl/>
        </w:rPr>
        <w:t>) קיים סכסוך.</w:t>
      </w:r>
    </w:p>
    <w:p w14:paraId="1B54F335" w14:textId="77777777" w:rsidR="00E966B3" w:rsidRDefault="00E966B3" w:rsidP="00E966B3">
      <w:pPr>
        <w:spacing w:line="360" w:lineRule="auto"/>
        <w:ind w:left="720" w:hanging="720"/>
        <w:jc w:val="both"/>
        <w:rPr>
          <w:rFonts w:ascii="David" w:hAnsi="David"/>
          <w:rtl/>
        </w:rPr>
      </w:pPr>
    </w:p>
    <w:p w14:paraId="25030AAD" w14:textId="77777777" w:rsidR="00E966B3" w:rsidRDefault="00E966B3" w:rsidP="00E966B3">
      <w:pPr>
        <w:spacing w:line="360" w:lineRule="auto"/>
        <w:ind w:left="720" w:hanging="720"/>
        <w:jc w:val="both"/>
        <w:rPr>
          <w:rFonts w:ascii="David" w:hAnsi="David"/>
          <w:rtl/>
        </w:rPr>
      </w:pPr>
      <w:r>
        <w:rPr>
          <w:rFonts w:ascii="David" w:hAnsi="David"/>
          <w:rtl/>
        </w:rPr>
        <w:lastRenderedPageBreak/>
        <w:tab/>
        <w:t>בתאריך 22.12.24 סמוך לשעה 16:20, נסע המתלונן ברכב מסוג מיצובישי ל"ז 5465439 (להלן:</w:t>
      </w:r>
      <w:r>
        <w:rPr>
          <w:rFonts w:ascii="David" w:hAnsi="David"/>
          <w:b/>
          <w:bCs/>
          <w:rtl/>
        </w:rPr>
        <w:t xml:space="preserve"> "הרכב"</w:t>
      </w:r>
      <w:r>
        <w:rPr>
          <w:rFonts w:ascii="David" w:hAnsi="David"/>
          <w:rtl/>
        </w:rPr>
        <w:t xml:space="preserve">) בשכונה 5 בעיר תל שבע. </w:t>
      </w:r>
    </w:p>
    <w:p w14:paraId="00BD6133" w14:textId="77777777" w:rsidR="00E966B3" w:rsidRDefault="00E966B3" w:rsidP="00E966B3">
      <w:pPr>
        <w:spacing w:line="360" w:lineRule="auto"/>
        <w:ind w:left="720" w:hanging="720"/>
        <w:jc w:val="both"/>
        <w:rPr>
          <w:rFonts w:ascii="David" w:hAnsi="David"/>
          <w:rtl/>
        </w:rPr>
      </w:pPr>
    </w:p>
    <w:p w14:paraId="7C46868A" w14:textId="77777777" w:rsidR="00E966B3" w:rsidRDefault="00E966B3" w:rsidP="00E966B3">
      <w:pPr>
        <w:spacing w:line="360" w:lineRule="auto"/>
        <w:ind w:left="720" w:hanging="720"/>
        <w:jc w:val="both"/>
        <w:rPr>
          <w:rFonts w:ascii="David" w:hAnsi="David"/>
          <w:rtl/>
        </w:rPr>
      </w:pPr>
      <w:r>
        <w:rPr>
          <w:rFonts w:ascii="David" w:hAnsi="David"/>
          <w:rtl/>
        </w:rPr>
        <w:tab/>
        <w:t xml:space="preserve">הנאשם אשר הבחין ברכב בו נהג המתלונן, התקרב אל הרכב ובעט ברכב באזור הדלת האחורית ימנית, כל זאת כשהוא אוחז בידו אקדח. המתלונן המשיך בנסיעה ועזב את המקום. </w:t>
      </w:r>
    </w:p>
    <w:p w14:paraId="38A451FF" w14:textId="77777777" w:rsidR="00E966B3" w:rsidRDefault="00E966B3" w:rsidP="00E966B3">
      <w:pPr>
        <w:spacing w:line="360" w:lineRule="auto"/>
        <w:ind w:left="720" w:hanging="720"/>
        <w:jc w:val="both"/>
        <w:rPr>
          <w:rFonts w:ascii="David" w:hAnsi="David"/>
          <w:rtl/>
        </w:rPr>
      </w:pPr>
    </w:p>
    <w:p w14:paraId="12EA7E61" w14:textId="77777777" w:rsidR="00E966B3" w:rsidRDefault="00E966B3" w:rsidP="00E966B3">
      <w:pPr>
        <w:spacing w:line="360" w:lineRule="auto"/>
        <w:ind w:left="720" w:hanging="720"/>
        <w:jc w:val="both"/>
        <w:rPr>
          <w:rFonts w:ascii="David" w:hAnsi="David"/>
          <w:rtl/>
        </w:rPr>
      </w:pPr>
      <w:r>
        <w:rPr>
          <w:rFonts w:ascii="David" w:hAnsi="David"/>
          <w:rtl/>
        </w:rPr>
        <w:t>4.</w:t>
      </w:r>
      <w:r>
        <w:rPr>
          <w:rFonts w:ascii="David" w:hAnsi="David"/>
          <w:rtl/>
        </w:rPr>
        <w:tab/>
      </w:r>
      <w:r>
        <w:rPr>
          <w:rFonts w:ascii="David" w:hAnsi="David"/>
          <w:b/>
          <w:bCs/>
          <w:rtl/>
        </w:rPr>
        <w:t>על פי האמור בכתב האישום השני</w:t>
      </w:r>
      <w:r>
        <w:rPr>
          <w:rFonts w:ascii="David" w:hAnsi="David"/>
          <w:rtl/>
        </w:rPr>
        <w:t xml:space="preserve">, בתאריך 10.1.23, בין השעות 14:00-16:00 בשעה מדויקת שאינה ידועה למאשימה, בחדר מעוכבים בתחנת עיירות, תקף הנאשם שלא כדין את מר אדם אבו עליון (להלן: </w:t>
      </w:r>
      <w:r>
        <w:rPr>
          <w:rFonts w:ascii="David" w:hAnsi="David"/>
          <w:b/>
          <w:bCs/>
          <w:rtl/>
        </w:rPr>
        <w:t>"המתלונן א'")</w:t>
      </w:r>
      <w:r>
        <w:rPr>
          <w:rFonts w:ascii="David" w:hAnsi="David"/>
          <w:rtl/>
        </w:rPr>
        <w:t>, בכך שהיכה בפניו במכת אגרוף.</w:t>
      </w:r>
    </w:p>
    <w:p w14:paraId="48FF0171" w14:textId="77777777" w:rsidR="00E966B3" w:rsidRDefault="00E966B3" w:rsidP="00E966B3">
      <w:pPr>
        <w:spacing w:line="360" w:lineRule="auto"/>
        <w:ind w:left="720" w:hanging="720"/>
        <w:jc w:val="both"/>
        <w:rPr>
          <w:rFonts w:ascii="David" w:hAnsi="David"/>
          <w:rtl/>
        </w:rPr>
      </w:pPr>
    </w:p>
    <w:p w14:paraId="79E71A59" w14:textId="77777777" w:rsidR="00E966B3" w:rsidRDefault="00E966B3" w:rsidP="00E966B3">
      <w:pPr>
        <w:spacing w:line="360" w:lineRule="auto"/>
        <w:ind w:left="720" w:hanging="720"/>
        <w:jc w:val="both"/>
        <w:rPr>
          <w:rFonts w:ascii="David" w:hAnsi="David"/>
          <w:rtl/>
        </w:rPr>
      </w:pPr>
      <w:r>
        <w:rPr>
          <w:rFonts w:ascii="David" w:hAnsi="David"/>
          <w:rtl/>
        </w:rPr>
        <w:t>5.</w:t>
      </w:r>
      <w:r>
        <w:rPr>
          <w:rFonts w:ascii="David" w:hAnsi="David"/>
          <w:rtl/>
        </w:rPr>
        <w:tab/>
        <w:t>הנאשם הודה בכתב האישום הראשון במסגרת הסדר טיעון לאחר שמיעת חלק מעדי התביעה, ובאי כוח הצדדים עתרו במשותף להטיל עליו את העונשים הבאים:</w:t>
      </w:r>
    </w:p>
    <w:p w14:paraId="31EAC16B" w14:textId="77777777" w:rsidR="00E966B3" w:rsidRDefault="00E966B3" w:rsidP="00E966B3">
      <w:pPr>
        <w:spacing w:line="360" w:lineRule="auto"/>
        <w:ind w:left="720" w:hanging="720"/>
        <w:jc w:val="both"/>
        <w:rPr>
          <w:rFonts w:ascii="David" w:hAnsi="David"/>
          <w:rtl/>
        </w:rPr>
      </w:pPr>
    </w:p>
    <w:p w14:paraId="160AEDBB" w14:textId="77777777" w:rsidR="00E966B3" w:rsidRDefault="00E966B3" w:rsidP="00E966B3">
      <w:pPr>
        <w:spacing w:line="360" w:lineRule="auto"/>
        <w:ind w:left="720" w:hanging="720"/>
        <w:jc w:val="both"/>
        <w:rPr>
          <w:rFonts w:ascii="David" w:hAnsi="David"/>
          <w:rtl/>
        </w:rPr>
      </w:pPr>
      <w:r>
        <w:rPr>
          <w:rFonts w:ascii="David" w:hAnsi="David"/>
          <w:rtl/>
        </w:rPr>
        <w:tab/>
        <w:t>א.</w:t>
      </w:r>
      <w:r>
        <w:rPr>
          <w:rFonts w:ascii="David" w:hAnsi="David"/>
          <w:rtl/>
        </w:rPr>
        <w:tab/>
        <w:t xml:space="preserve">24 חודשי מאסר בפועל, בניכוי ימי מעצרו. </w:t>
      </w:r>
    </w:p>
    <w:p w14:paraId="3C4ED9D4" w14:textId="77777777" w:rsidR="00E966B3" w:rsidRDefault="00E966B3" w:rsidP="00E966B3">
      <w:pPr>
        <w:spacing w:line="360" w:lineRule="auto"/>
        <w:ind w:left="720" w:hanging="720"/>
        <w:jc w:val="both"/>
        <w:rPr>
          <w:rFonts w:ascii="David" w:hAnsi="David"/>
          <w:rtl/>
        </w:rPr>
      </w:pPr>
    </w:p>
    <w:p w14:paraId="38076B04" w14:textId="77777777" w:rsidR="00E966B3" w:rsidRDefault="00E966B3" w:rsidP="00E966B3">
      <w:pPr>
        <w:spacing w:line="360" w:lineRule="auto"/>
        <w:ind w:left="720"/>
        <w:jc w:val="both"/>
        <w:rPr>
          <w:rFonts w:ascii="David" w:hAnsi="David"/>
          <w:rtl/>
        </w:rPr>
      </w:pPr>
      <w:r>
        <w:rPr>
          <w:rFonts w:ascii="David" w:hAnsi="David"/>
          <w:rtl/>
        </w:rPr>
        <w:t>ב.</w:t>
      </w:r>
      <w:r>
        <w:rPr>
          <w:rFonts w:ascii="David" w:hAnsi="David"/>
          <w:rtl/>
        </w:rPr>
        <w:tab/>
        <w:t xml:space="preserve">מאסר על תנאי שמשכו ויתר תנאיו לשיקול דעת בית המשפט. </w:t>
      </w:r>
    </w:p>
    <w:p w14:paraId="0FA1397F" w14:textId="77777777" w:rsidR="00E966B3" w:rsidRDefault="00E966B3" w:rsidP="00E966B3">
      <w:pPr>
        <w:spacing w:line="360" w:lineRule="auto"/>
        <w:ind w:left="720"/>
        <w:jc w:val="both"/>
        <w:rPr>
          <w:rFonts w:ascii="David" w:hAnsi="David"/>
          <w:rtl/>
        </w:rPr>
      </w:pPr>
    </w:p>
    <w:p w14:paraId="372763BA" w14:textId="77777777" w:rsidR="00E966B3" w:rsidRDefault="00E966B3" w:rsidP="00E966B3">
      <w:pPr>
        <w:spacing w:line="360" w:lineRule="auto"/>
        <w:ind w:left="1440" w:hanging="720"/>
        <w:jc w:val="both"/>
        <w:rPr>
          <w:rFonts w:ascii="David" w:hAnsi="David"/>
          <w:rtl/>
        </w:rPr>
      </w:pPr>
      <w:r>
        <w:rPr>
          <w:rFonts w:ascii="David" w:hAnsi="David"/>
          <w:rtl/>
        </w:rPr>
        <w:t>ג.</w:t>
      </w:r>
      <w:r>
        <w:rPr>
          <w:rFonts w:ascii="David" w:hAnsi="David"/>
          <w:rtl/>
        </w:rPr>
        <w:tab/>
        <w:t xml:space="preserve">פיצוי בסך 20,000 ₪ לטובת ע.ת.1 (המתלונן ע') שישולם ב- 20 תשלומים חודשיים שווים ורצופים. </w:t>
      </w:r>
    </w:p>
    <w:p w14:paraId="7D299EF3" w14:textId="77777777" w:rsidR="00E966B3" w:rsidRDefault="00E966B3" w:rsidP="00E966B3">
      <w:pPr>
        <w:spacing w:line="360" w:lineRule="auto"/>
        <w:jc w:val="both"/>
        <w:rPr>
          <w:rFonts w:ascii="David" w:hAnsi="David"/>
          <w:rtl/>
        </w:rPr>
      </w:pPr>
    </w:p>
    <w:p w14:paraId="40C3BBF3" w14:textId="77777777" w:rsidR="00E966B3" w:rsidRDefault="00E966B3" w:rsidP="00E966B3">
      <w:pPr>
        <w:spacing w:line="360" w:lineRule="auto"/>
        <w:ind w:left="720" w:hanging="720"/>
        <w:jc w:val="both"/>
        <w:rPr>
          <w:rFonts w:ascii="David" w:hAnsi="David"/>
          <w:rtl/>
        </w:rPr>
      </w:pPr>
      <w:r>
        <w:rPr>
          <w:rFonts w:ascii="David" w:hAnsi="David"/>
          <w:rtl/>
        </w:rPr>
        <w:t>6.</w:t>
      </w:r>
      <w:r>
        <w:rPr>
          <w:rFonts w:ascii="David" w:hAnsi="David"/>
          <w:rtl/>
        </w:rPr>
        <w:tab/>
        <w:t>הנאשם הודה בכתב האישום השני במסגרת הסדר טיעון, ובאי כוח הצדדים עתרו במשותף להטיל עליו חודשיים מאסר בפועל, שירוצו חודש במצטבר לעונש שיוטל עליו באישום הראשון וחודש בחופף לו, מאסר על תנאי, קנס והתחייבות כספית.</w:t>
      </w:r>
    </w:p>
    <w:p w14:paraId="300E33DE" w14:textId="77777777" w:rsidR="00E966B3" w:rsidRDefault="00E966B3" w:rsidP="00E966B3">
      <w:pPr>
        <w:spacing w:line="360" w:lineRule="auto"/>
        <w:ind w:left="720" w:hanging="720"/>
        <w:jc w:val="both"/>
        <w:rPr>
          <w:rFonts w:ascii="David" w:hAnsi="David"/>
          <w:rtl/>
        </w:rPr>
      </w:pPr>
    </w:p>
    <w:p w14:paraId="2BE89647" w14:textId="77777777" w:rsidR="00E966B3" w:rsidRDefault="00E966B3" w:rsidP="00E966B3">
      <w:pPr>
        <w:spacing w:line="360" w:lineRule="auto"/>
        <w:ind w:left="720" w:hanging="720"/>
        <w:jc w:val="both"/>
        <w:rPr>
          <w:rFonts w:ascii="David" w:hAnsi="David"/>
          <w:b/>
          <w:bCs/>
          <w:rtl/>
        </w:rPr>
      </w:pPr>
      <w:r>
        <w:rPr>
          <w:rFonts w:ascii="David" w:hAnsi="David"/>
          <w:b/>
          <w:bCs/>
          <w:rtl/>
        </w:rPr>
        <w:t>טיעוני ב"כ הצדדים:</w:t>
      </w:r>
    </w:p>
    <w:p w14:paraId="14D9F857" w14:textId="77777777" w:rsidR="00E966B3" w:rsidRDefault="00E966B3" w:rsidP="00E966B3">
      <w:pPr>
        <w:spacing w:line="360" w:lineRule="auto"/>
        <w:ind w:left="720" w:hanging="720"/>
        <w:jc w:val="both"/>
        <w:rPr>
          <w:rFonts w:ascii="David" w:hAnsi="David"/>
          <w:b/>
          <w:bCs/>
          <w:rtl/>
        </w:rPr>
      </w:pPr>
    </w:p>
    <w:p w14:paraId="0918CD38" w14:textId="77777777" w:rsidR="00E966B3" w:rsidRDefault="00E966B3" w:rsidP="00E966B3">
      <w:pPr>
        <w:spacing w:line="360" w:lineRule="auto"/>
        <w:ind w:left="720" w:hanging="720"/>
        <w:jc w:val="both"/>
        <w:rPr>
          <w:rFonts w:ascii="David" w:hAnsi="David"/>
          <w:rtl/>
        </w:rPr>
      </w:pPr>
      <w:r>
        <w:rPr>
          <w:rFonts w:ascii="David" w:hAnsi="David"/>
          <w:rtl/>
        </w:rPr>
        <w:t>7.</w:t>
      </w:r>
      <w:r>
        <w:rPr>
          <w:rFonts w:ascii="David" w:hAnsi="David"/>
          <w:rtl/>
        </w:rPr>
        <w:tab/>
        <w:t>במסגרת הראיות לעונש העיד מטעם המאשימה ע.ת.1 (המתלונן ע') שב</w:t>
      </w:r>
      <w:hyperlink r:id="rId18" w:history="1">
        <w:r w:rsidR="001F3703" w:rsidRPr="001F3703">
          <w:rPr>
            <w:rFonts w:ascii="David" w:hAnsi="David"/>
            <w:color w:val="0000FF"/>
            <w:u w:val="single"/>
            <w:rtl/>
          </w:rPr>
          <w:t>ת.פ 45769-04-24</w:t>
        </w:r>
      </w:hyperlink>
      <w:r>
        <w:rPr>
          <w:rFonts w:ascii="David" w:hAnsi="David"/>
          <w:rtl/>
        </w:rPr>
        <w:t xml:space="preserve"> ולדבריו הסדר הטיעון שהתגבש אינו מקובל עליו.  העד הוסיף כי נגרם נזק לרכבו.</w:t>
      </w:r>
    </w:p>
    <w:p w14:paraId="178585E2" w14:textId="77777777" w:rsidR="00E966B3" w:rsidRDefault="00E966B3" w:rsidP="00E966B3">
      <w:pPr>
        <w:spacing w:line="360" w:lineRule="auto"/>
        <w:ind w:left="720" w:hanging="720"/>
        <w:jc w:val="both"/>
        <w:rPr>
          <w:rFonts w:ascii="David" w:hAnsi="David"/>
          <w:rtl/>
        </w:rPr>
      </w:pPr>
    </w:p>
    <w:p w14:paraId="786DECD7" w14:textId="77777777" w:rsidR="00E966B3" w:rsidRDefault="00E966B3" w:rsidP="00E966B3">
      <w:pPr>
        <w:spacing w:line="360" w:lineRule="auto"/>
        <w:ind w:left="720"/>
        <w:jc w:val="both"/>
        <w:rPr>
          <w:rFonts w:ascii="David" w:hAnsi="David"/>
          <w:rtl/>
        </w:rPr>
      </w:pPr>
      <w:r>
        <w:rPr>
          <w:rFonts w:ascii="David" w:hAnsi="David"/>
          <w:rtl/>
        </w:rPr>
        <w:t xml:space="preserve">ב"כ הנאשם לא הציגה ראיות לעונש. </w:t>
      </w:r>
    </w:p>
    <w:p w14:paraId="2C23E7B9" w14:textId="77777777" w:rsidR="00E966B3" w:rsidRDefault="00E966B3" w:rsidP="00E966B3">
      <w:pPr>
        <w:spacing w:line="360" w:lineRule="auto"/>
        <w:ind w:left="720"/>
        <w:jc w:val="both"/>
        <w:rPr>
          <w:rFonts w:ascii="David" w:hAnsi="David"/>
          <w:rtl/>
        </w:rPr>
      </w:pPr>
    </w:p>
    <w:p w14:paraId="787D622B" w14:textId="77777777" w:rsidR="00E966B3" w:rsidRDefault="00E966B3" w:rsidP="00E966B3">
      <w:pPr>
        <w:spacing w:line="360" w:lineRule="auto"/>
        <w:ind w:left="720" w:hanging="720"/>
        <w:jc w:val="both"/>
        <w:rPr>
          <w:rFonts w:ascii="David" w:hAnsi="David"/>
          <w:rtl/>
        </w:rPr>
      </w:pPr>
      <w:r>
        <w:rPr>
          <w:rFonts w:ascii="David" w:hAnsi="David"/>
          <w:rtl/>
        </w:rPr>
        <w:t>8.</w:t>
      </w:r>
      <w:r>
        <w:rPr>
          <w:rFonts w:ascii="David" w:hAnsi="David"/>
          <w:rtl/>
        </w:rPr>
        <w:tab/>
      </w:r>
      <w:r>
        <w:rPr>
          <w:rFonts w:ascii="David" w:hAnsi="David"/>
          <w:b/>
          <w:bCs/>
          <w:rtl/>
        </w:rPr>
        <w:t xml:space="preserve">ב"כ המאשימה </w:t>
      </w:r>
      <w:r>
        <w:rPr>
          <w:rFonts w:ascii="David" w:hAnsi="David"/>
          <w:rtl/>
        </w:rPr>
        <w:t xml:space="preserve">עתרה לכבד את הסדרי הטיעון, והוסיפה כי הסדר הטיעון שבאישום הראשון מקורו בקשיים ראייתיים שהוצפו במהלך ניהול ההוכחות ושמיעת הערות בית </w:t>
      </w:r>
      <w:r>
        <w:rPr>
          <w:rFonts w:ascii="David" w:hAnsi="David"/>
          <w:rtl/>
        </w:rPr>
        <w:lastRenderedPageBreak/>
        <w:t xml:space="preserve">המשפט. לדבריה הסדר הטיעון סביר ולוקח בחשבון גם את העובדה כי הנאשם נעדר עבר פלילי. </w:t>
      </w:r>
    </w:p>
    <w:p w14:paraId="7D2C1423" w14:textId="77777777" w:rsidR="00E966B3" w:rsidRDefault="00E966B3" w:rsidP="00E966B3">
      <w:pPr>
        <w:spacing w:line="360" w:lineRule="auto"/>
        <w:ind w:left="720" w:hanging="720"/>
        <w:jc w:val="both"/>
        <w:rPr>
          <w:rFonts w:ascii="David" w:hAnsi="David"/>
          <w:rtl/>
        </w:rPr>
      </w:pPr>
    </w:p>
    <w:p w14:paraId="1F0D811F" w14:textId="77777777" w:rsidR="00E966B3" w:rsidRDefault="00E966B3" w:rsidP="00E966B3">
      <w:pPr>
        <w:spacing w:line="360" w:lineRule="auto"/>
        <w:ind w:left="720" w:hanging="720"/>
        <w:jc w:val="both"/>
        <w:rPr>
          <w:rFonts w:ascii="David" w:hAnsi="David"/>
          <w:rtl/>
        </w:rPr>
      </w:pPr>
      <w:r>
        <w:rPr>
          <w:rFonts w:ascii="David" w:hAnsi="David"/>
          <w:rtl/>
        </w:rPr>
        <w:t>9.</w:t>
      </w:r>
      <w:r>
        <w:rPr>
          <w:rFonts w:ascii="David" w:hAnsi="David"/>
          <w:rtl/>
        </w:rPr>
        <w:tab/>
      </w:r>
      <w:r>
        <w:rPr>
          <w:rFonts w:ascii="David" w:hAnsi="David"/>
          <w:b/>
          <w:bCs/>
          <w:rtl/>
        </w:rPr>
        <w:t>ב"כ הנאשם</w:t>
      </w:r>
      <w:r>
        <w:rPr>
          <w:rFonts w:ascii="David" w:hAnsi="David"/>
          <w:rtl/>
        </w:rPr>
        <w:t xml:space="preserve"> הצטרפה לדברי ב"כ המאשימה, ביקשה לכבד את הסדרי הטיעון והדגישה כי הסדר הטיעון שבאישום הראשון התגבש לאחר שמיעת עדי התביעה המרכזיים, ע.ת.1 ו-ע.ת.2 ומעורבותה של סגנית משנה פרקליט המחוז. </w:t>
      </w:r>
    </w:p>
    <w:p w14:paraId="641F4638" w14:textId="77777777" w:rsidR="00E966B3" w:rsidRDefault="00E966B3" w:rsidP="00E966B3">
      <w:pPr>
        <w:spacing w:line="360" w:lineRule="auto"/>
        <w:ind w:left="720" w:hanging="720"/>
        <w:jc w:val="both"/>
        <w:rPr>
          <w:rFonts w:ascii="David" w:hAnsi="David"/>
          <w:rtl/>
        </w:rPr>
      </w:pPr>
    </w:p>
    <w:p w14:paraId="1ED5C8E2" w14:textId="77777777" w:rsidR="00E966B3" w:rsidRDefault="00E966B3" w:rsidP="00E966B3">
      <w:pPr>
        <w:spacing w:line="360" w:lineRule="auto"/>
        <w:ind w:left="720"/>
        <w:jc w:val="both"/>
        <w:rPr>
          <w:rFonts w:ascii="David" w:hAnsi="David"/>
          <w:rtl/>
        </w:rPr>
      </w:pPr>
      <w:r>
        <w:rPr>
          <w:rFonts w:ascii="David" w:hAnsi="David"/>
          <w:rtl/>
        </w:rPr>
        <w:t>הסניגורית הפנתה לפסיקה בדבר כיבוד הסדרי טיעון וכן הפנתה למספר פסקי דין (נ/1) מהם ניתן ללמוד כי הסדר הטיעון שהתגבש ראוי ואינו מקל עם הנאשם.</w:t>
      </w:r>
    </w:p>
    <w:p w14:paraId="0A884738" w14:textId="77777777" w:rsidR="00E966B3" w:rsidRDefault="00E966B3" w:rsidP="00E966B3">
      <w:pPr>
        <w:spacing w:line="360" w:lineRule="auto"/>
        <w:ind w:left="720"/>
        <w:jc w:val="both"/>
        <w:rPr>
          <w:rFonts w:ascii="David" w:hAnsi="David"/>
          <w:rtl/>
        </w:rPr>
      </w:pPr>
    </w:p>
    <w:p w14:paraId="2920DCE7" w14:textId="77777777" w:rsidR="00E966B3" w:rsidRDefault="00E966B3" w:rsidP="00E966B3">
      <w:pPr>
        <w:spacing w:line="360" w:lineRule="auto"/>
        <w:ind w:left="720"/>
        <w:jc w:val="both"/>
        <w:rPr>
          <w:rFonts w:ascii="David" w:hAnsi="David"/>
          <w:rtl/>
        </w:rPr>
      </w:pPr>
      <w:r>
        <w:rPr>
          <w:rFonts w:ascii="David" w:hAnsi="David"/>
          <w:rtl/>
        </w:rPr>
        <w:t xml:space="preserve">ביחס לאישום הראשון, הסניגורית הפנתה לסתירות הרבות שעלו בגרסותיהם של עדי התביעה שהעידו, הקושי ליתן בהם אמון, והוסיפה כי בית המשפט לא נחשף למלוא הקשיים הראייתיים נוכח הסדר הטיעון. כך לדוגמא, חוות הדעת של מז"פ טרם התקבלה ואין בתיק אישור של פרקליט המחוז לביצוע השלמות חקירה. כמו כן ולדבריה, ההגנה הציגה בפני הפרקליטות חוות דעת של מומחה לנשק התומכת בגרסתה, אליה בית המשפט טרם נחשף. </w:t>
      </w:r>
    </w:p>
    <w:p w14:paraId="6CC74E2D" w14:textId="77777777" w:rsidR="00E966B3" w:rsidRDefault="00E966B3" w:rsidP="00E966B3">
      <w:pPr>
        <w:spacing w:line="360" w:lineRule="auto"/>
        <w:ind w:left="720"/>
        <w:jc w:val="both"/>
        <w:rPr>
          <w:rFonts w:ascii="David" w:hAnsi="David"/>
          <w:rtl/>
        </w:rPr>
      </w:pPr>
    </w:p>
    <w:p w14:paraId="350F0065" w14:textId="77777777" w:rsidR="00E966B3" w:rsidRDefault="00E966B3" w:rsidP="00E966B3">
      <w:pPr>
        <w:spacing w:line="360" w:lineRule="auto"/>
        <w:ind w:left="720"/>
        <w:jc w:val="both"/>
        <w:rPr>
          <w:rFonts w:ascii="David" w:hAnsi="David"/>
          <w:rtl/>
        </w:rPr>
      </w:pPr>
      <w:r>
        <w:rPr>
          <w:rFonts w:ascii="David" w:hAnsi="David"/>
          <w:rtl/>
        </w:rPr>
        <w:t xml:space="preserve">הסניגורית התייחסה לסרטון ת/1, ולקושי ליתן לו משקל כלשהו, וזאת בשים לב לעובדה כי הוגש לתיק החקירה רק כעבור כארבעה חודשים לאחר האירוע. לדבריה, הטלפון של ע.ת.2 לא נתפס כראיה ואף לא נבדק על ידי חוקר סלברייט האם התאריך המופיע הוא תאריך הצילום ושעתו. </w:t>
      </w:r>
    </w:p>
    <w:p w14:paraId="1B8EF9D6" w14:textId="77777777" w:rsidR="00E966B3" w:rsidRDefault="00E966B3" w:rsidP="00E966B3">
      <w:pPr>
        <w:spacing w:line="360" w:lineRule="auto"/>
        <w:ind w:left="720"/>
        <w:jc w:val="both"/>
        <w:rPr>
          <w:rFonts w:ascii="David" w:hAnsi="David"/>
          <w:rtl/>
        </w:rPr>
      </w:pPr>
    </w:p>
    <w:p w14:paraId="571343BC" w14:textId="77777777" w:rsidR="00E966B3" w:rsidRDefault="00E966B3" w:rsidP="00E966B3">
      <w:pPr>
        <w:spacing w:line="360" w:lineRule="auto"/>
        <w:ind w:left="720" w:hanging="720"/>
        <w:jc w:val="both"/>
        <w:rPr>
          <w:rFonts w:ascii="David" w:hAnsi="David"/>
          <w:rtl/>
        </w:rPr>
      </w:pPr>
      <w:r>
        <w:rPr>
          <w:rFonts w:ascii="David" w:hAnsi="David"/>
          <w:rtl/>
        </w:rPr>
        <w:t>10.</w:t>
      </w:r>
      <w:r>
        <w:rPr>
          <w:rFonts w:ascii="David" w:hAnsi="David"/>
          <w:rtl/>
        </w:rPr>
        <w:tab/>
        <w:t xml:space="preserve">הנאשם אמר שהוא מצטער, החל להשתתף בקבוצה טיפולית במסגרת מעצרו וביקש לדחות את מתן גזר הדין לעוד כחודשיים כדי לסיים את ההליך הטיפולי. </w:t>
      </w:r>
    </w:p>
    <w:p w14:paraId="191A5798" w14:textId="77777777" w:rsidR="00E966B3" w:rsidRDefault="00E966B3" w:rsidP="00E966B3">
      <w:pPr>
        <w:spacing w:line="360" w:lineRule="auto"/>
        <w:ind w:left="720" w:hanging="720"/>
        <w:jc w:val="both"/>
        <w:rPr>
          <w:rFonts w:ascii="David" w:hAnsi="David"/>
          <w:rtl/>
        </w:rPr>
      </w:pPr>
    </w:p>
    <w:p w14:paraId="229F22F5" w14:textId="77777777" w:rsidR="00E966B3" w:rsidRDefault="00E966B3" w:rsidP="00E966B3">
      <w:pPr>
        <w:spacing w:line="360" w:lineRule="auto"/>
        <w:ind w:left="720" w:hanging="720"/>
        <w:jc w:val="both"/>
        <w:rPr>
          <w:rFonts w:ascii="David" w:hAnsi="David"/>
          <w:b/>
          <w:bCs/>
          <w:rtl/>
        </w:rPr>
      </w:pPr>
      <w:r>
        <w:rPr>
          <w:rFonts w:ascii="David" w:hAnsi="David"/>
          <w:b/>
          <w:bCs/>
          <w:rtl/>
        </w:rPr>
        <w:t xml:space="preserve">דיון והכרעה: </w:t>
      </w:r>
    </w:p>
    <w:p w14:paraId="4E0CE872" w14:textId="77777777" w:rsidR="00E966B3" w:rsidRDefault="00E966B3" w:rsidP="00E966B3">
      <w:pPr>
        <w:spacing w:line="360" w:lineRule="auto"/>
        <w:ind w:left="720" w:hanging="720"/>
        <w:jc w:val="both"/>
        <w:rPr>
          <w:rFonts w:ascii="David" w:hAnsi="David"/>
          <w:b/>
          <w:bCs/>
          <w:rtl/>
        </w:rPr>
      </w:pPr>
    </w:p>
    <w:p w14:paraId="603E3647" w14:textId="77777777" w:rsidR="00E966B3" w:rsidRDefault="00E966B3" w:rsidP="00E966B3">
      <w:pPr>
        <w:spacing w:line="360" w:lineRule="auto"/>
        <w:ind w:left="720" w:hanging="720"/>
        <w:jc w:val="both"/>
        <w:rPr>
          <w:rFonts w:ascii="David" w:hAnsi="David"/>
          <w:rtl/>
        </w:rPr>
      </w:pPr>
      <w:r>
        <w:rPr>
          <w:rFonts w:ascii="David" w:hAnsi="David"/>
          <w:rtl/>
        </w:rPr>
        <w:t>11.</w:t>
      </w:r>
      <w:r>
        <w:rPr>
          <w:rFonts w:ascii="David" w:hAnsi="David"/>
          <w:rtl/>
        </w:rPr>
        <w:tab/>
        <w:t xml:space="preserve">הנאשם יליד 2001, הורשע בעבירה בנשק (נשיאה) לאחר שנשא בידו אקדח ובתקיפה סתם לאחר שתקף אחר במכת אגרוף.  </w:t>
      </w:r>
    </w:p>
    <w:p w14:paraId="4DB52BF7" w14:textId="77777777" w:rsidR="00E966B3" w:rsidRDefault="00E966B3" w:rsidP="00E966B3">
      <w:pPr>
        <w:spacing w:line="360" w:lineRule="auto"/>
        <w:ind w:left="720" w:hanging="720"/>
        <w:jc w:val="both"/>
        <w:rPr>
          <w:rFonts w:ascii="David" w:hAnsi="David"/>
          <w:rtl/>
        </w:rPr>
      </w:pPr>
    </w:p>
    <w:p w14:paraId="3A648B55" w14:textId="77777777" w:rsidR="00E966B3" w:rsidRDefault="00E966B3" w:rsidP="00E966B3">
      <w:pPr>
        <w:spacing w:line="360" w:lineRule="auto"/>
        <w:ind w:left="720" w:hanging="720"/>
        <w:jc w:val="both"/>
        <w:rPr>
          <w:rFonts w:ascii="David" w:hAnsi="David"/>
          <w:rtl/>
        </w:rPr>
      </w:pPr>
      <w:r>
        <w:rPr>
          <w:rFonts w:ascii="David" w:hAnsi="David"/>
          <w:rtl/>
        </w:rPr>
        <w:t>12.</w:t>
      </w:r>
      <w:r>
        <w:rPr>
          <w:rFonts w:ascii="David" w:hAnsi="David"/>
          <w:rtl/>
        </w:rPr>
        <w:tab/>
        <w:t>בביצוע עבירת הנשק בנסיבותיה (שבכתב האישום הראשון) פגע הנאשם בצורה משמעותית בערכים המוגנים של שמירה על החיים, שלמות הגוף ובטחון הציבור ושלוותו.</w:t>
      </w:r>
    </w:p>
    <w:p w14:paraId="3E42053C" w14:textId="77777777" w:rsidR="00E966B3" w:rsidRDefault="00E966B3" w:rsidP="00E966B3">
      <w:pPr>
        <w:spacing w:line="360" w:lineRule="auto"/>
        <w:ind w:left="720" w:hanging="720"/>
        <w:jc w:val="both"/>
        <w:rPr>
          <w:rFonts w:ascii="David" w:hAnsi="David"/>
          <w:rtl/>
        </w:rPr>
      </w:pPr>
    </w:p>
    <w:p w14:paraId="05CFA1F9" w14:textId="77777777" w:rsidR="00E966B3" w:rsidRDefault="00E966B3" w:rsidP="00E966B3">
      <w:pPr>
        <w:spacing w:line="360" w:lineRule="auto"/>
        <w:ind w:left="720"/>
        <w:jc w:val="both"/>
        <w:rPr>
          <w:rFonts w:ascii="David" w:hAnsi="David"/>
          <w:rtl/>
        </w:rPr>
      </w:pPr>
      <w:r>
        <w:rPr>
          <w:rFonts w:ascii="David" w:hAnsi="David"/>
          <w:rtl/>
        </w:rPr>
        <w:t xml:space="preserve">עבירת נשיאה של נשק מגלמות סיכון פוטנציאלי לשלום הציבור ולביטחונו, ופעמים רבות מהווה הקדמה או חלק מביצוען של עבירות נוספות. </w:t>
      </w:r>
    </w:p>
    <w:p w14:paraId="09857266" w14:textId="77777777" w:rsidR="00E966B3" w:rsidRDefault="00E966B3" w:rsidP="00E966B3">
      <w:pPr>
        <w:spacing w:line="360" w:lineRule="auto"/>
        <w:ind w:left="720" w:hanging="720"/>
        <w:jc w:val="both"/>
        <w:rPr>
          <w:rFonts w:ascii="David" w:hAnsi="David"/>
          <w:rtl/>
        </w:rPr>
      </w:pPr>
    </w:p>
    <w:p w14:paraId="5F827B95" w14:textId="77777777" w:rsidR="00E966B3" w:rsidRDefault="00E966B3" w:rsidP="00E966B3">
      <w:pPr>
        <w:spacing w:line="360" w:lineRule="auto"/>
        <w:ind w:left="720" w:hanging="720"/>
        <w:jc w:val="both"/>
        <w:rPr>
          <w:rFonts w:ascii="David" w:hAnsi="David"/>
          <w:rtl/>
        </w:rPr>
      </w:pPr>
      <w:r>
        <w:rPr>
          <w:rFonts w:ascii="David" w:hAnsi="David"/>
          <w:rtl/>
        </w:rPr>
        <w:tab/>
        <w:t xml:space="preserve">לעניין חומרת העבירות בנשק ראה </w:t>
      </w:r>
      <w:hyperlink r:id="rId19" w:history="1">
        <w:r w:rsidR="001F3703" w:rsidRPr="001F3703">
          <w:rPr>
            <w:rFonts w:ascii="David" w:hAnsi="David"/>
            <w:b/>
            <w:bCs/>
            <w:color w:val="0000FF"/>
            <w:u w:val="single"/>
            <w:rtl/>
          </w:rPr>
          <w:t>ע"פ 2564/19</w:t>
        </w:r>
      </w:hyperlink>
      <w:r>
        <w:rPr>
          <w:rFonts w:ascii="David" w:hAnsi="David"/>
          <w:b/>
          <w:bCs/>
          <w:rtl/>
        </w:rPr>
        <w:t xml:space="preserve"> אזברגה נ' מדינת ישראל</w:t>
      </w:r>
      <w:r>
        <w:rPr>
          <w:rFonts w:ascii="David" w:hAnsi="David"/>
          <w:rtl/>
        </w:rPr>
        <w:t xml:space="preserve"> (18.7.2019)</w:t>
      </w:r>
      <w:r>
        <w:rPr>
          <w:rFonts w:ascii="David" w:hAnsi="David" w:hint="cs"/>
          <w:rtl/>
        </w:rPr>
        <w:t>:</w:t>
      </w:r>
    </w:p>
    <w:p w14:paraId="2BCBFCBD" w14:textId="77777777" w:rsidR="00E966B3" w:rsidRDefault="00E966B3" w:rsidP="00E966B3">
      <w:pPr>
        <w:spacing w:line="360" w:lineRule="auto"/>
        <w:ind w:left="720" w:hanging="720"/>
        <w:jc w:val="both"/>
        <w:rPr>
          <w:rFonts w:ascii="David" w:hAnsi="David"/>
          <w:rtl/>
        </w:rPr>
      </w:pPr>
    </w:p>
    <w:p w14:paraId="4BABB0EE" w14:textId="77777777" w:rsidR="00E966B3" w:rsidRDefault="00E966B3" w:rsidP="00E966B3">
      <w:pPr>
        <w:spacing w:line="360" w:lineRule="auto"/>
        <w:ind w:left="1643" w:right="1843"/>
        <w:jc w:val="both"/>
        <w:rPr>
          <w:rFonts w:ascii="David" w:hAnsi="David"/>
          <w:b/>
          <w:bCs/>
          <w:rtl/>
        </w:rPr>
      </w:pPr>
      <w:r>
        <w:rPr>
          <w:rFonts w:ascii="David" w:hAnsi="David"/>
          <w:b/>
          <w:bCs/>
          <w:rtl/>
        </w:rPr>
        <w:t>"בית משפט זה עמד בשורה ארוכה של פסקי דין על חומרתן הרבה של עבירות הנשק..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ברמתה ענישה של המעורבים בעבירות נשק תוך מתן ביטוי עונשי הולם לסכנה הנשקפת מהם, וזאת במטרה להרתיע את היחיד והרבים גם יחד מפני ביצוען..."</w:t>
      </w:r>
    </w:p>
    <w:p w14:paraId="14AF853D" w14:textId="77777777" w:rsidR="00E966B3" w:rsidRDefault="00E966B3" w:rsidP="00E966B3">
      <w:pPr>
        <w:spacing w:line="360" w:lineRule="auto"/>
        <w:ind w:left="1643" w:right="1843"/>
        <w:jc w:val="both"/>
        <w:rPr>
          <w:rFonts w:ascii="David" w:hAnsi="David"/>
          <w:b/>
          <w:bCs/>
          <w:rtl/>
        </w:rPr>
      </w:pPr>
    </w:p>
    <w:p w14:paraId="2C97226B" w14:textId="77777777" w:rsidR="00E966B3" w:rsidRDefault="00E966B3" w:rsidP="00E966B3">
      <w:pPr>
        <w:spacing w:line="360" w:lineRule="auto"/>
        <w:ind w:left="720"/>
        <w:jc w:val="both"/>
        <w:rPr>
          <w:rFonts w:ascii="David" w:hAnsi="David"/>
          <w:rtl/>
        </w:rPr>
      </w:pPr>
      <w:r>
        <w:rPr>
          <w:rFonts w:ascii="David" w:hAnsi="David"/>
          <w:rtl/>
        </w:rPr>
        <w:t xml:space="preserve">ולעניין מגמת ההחמרה בעבירות אלה ראה </w:t>
      </w:r>
      <w:hyperlink r:id="rId20" w:history="1">
        <w:r w:rsidR="001F3703" w:rsidRPr="001F3703">
          <w:rPr>
            <w:rFonts w:ascii="David" w:hAnsi="David"/>
            <w:b/>
            <w:bCs/>
            <w:color w:val="0000FF"/>
            <w:u w:val="single"/>
            <w:rtl/>
          </w:rPr>
          <w:t>ע"פ 6383/21</w:t>
        </w:r>
      </w:hyperlink>
      <w:r>
        <w:rPr>
          <w:rFonts w:ascii="David" w:hAnsi="David"/>
          <w:b/>
          <w:bCs/>
          <w:rtl/>
        </w:rPr>
        <w:t xml:space="preserve"> קרייף נ' מדינת ישראל</w:t>
      </w:r>
      <w:r>
        <w:rPr>
          <w:rFonts w:ascii="David" w:hAnsi="David"/>
          <w:rtl/>
        </w:rPr>
        <w:t xml:space="preserve"> (13.02.2022):</w:t>
      </w:r>
    </w:p>
    <w:p w14:paraId="3D10319F" w14:textId="77777777" w:rsidR="00E966B3" w:rsidRDefault="00E966B3" w:rsidP="00E966B3">
      <w:pPr>
        <w:spacing w:line="360" w:lineRule="auto"/>
        <w:ind w:left="720"/>
        <w:jc w:val="both"/>
        <w:rPr>
          <w:rFonts w:ascii="David" w:hAnsi="David"/>
          <w:rtl/>
        </w:rPr>
      </w:pPr>
    </w:p>
    <w:p w14:paraId="314C76EE" w14:textId="77777777" w:rsidR="00E966B3" w:rsidRDefault="00E966B3" w:rsidP="00E966B3">
      <w:pPr>
        <w:spacing w:line="360" w:lineRule="auto"/>
        <w:ind w:left="1785" w:right="1985"/>
        <w:jc w:val="both"/>
        <w:rPr>
          <w:rFonts w:ascii="David" w:hAnsi="David"/>
          <w:b/>
          <w:bCs/>
          <w:rtl/>
        </w:rPr>
      </w:pPr>
      <w:r>
        <w:rPr>
          <w:rFonts w:ascii="David" w:hAnsi="David"/>
          <w:b/>
          <w:bCs/>
          <w:rtl/>
        </w:rPr>
        <w:t xml:space="preserve">"בפסיקה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p>
    <w:p w14:paraId="5D7B5DF4" w14:textId="77777777" w:rsidR="00E966B3" w:rsidRDefault="00E966B3" w:rsidP="00E966B3">
      <w:pPr>
        <w:spacing w:line="360" w:lineRule="auto"/>
        <w:ind w:left="1785" w:right="1985"/>
        <w:jc w:val="both"/>
        <w:rPr>
          <w:rFonts w:ascii="David" w:hAnsi="David"/>
          <w:b/>
          <w:bCs/>
          <w:rtl/>
        </w:rPr>
      </w:pPr>
    </w:p>
    <w:p w14:paraId="60D03D25" w14:textId="77777777" w:rsidR="00E966B3" w:rsidRDefault="00E966B3" w:rsidP="00E966B3">
      <w:pPr>
        <w:spacing w:line="360" w:lineRule="auto"/>
        <w:ind w:left="720" w:hanging="720"/>
        <w:jc w:val="both"/>
        <w:rPr>
          <w:rFonts w:ascii="David" w:hAnsi="David"/>
          <w:rtl/>
        </w:rPr>
      </w:pPr>
      <w:r>
        <w:rPr>
          <w:rFonts w:ascii="David" w:hAnsi="David"/>
          <w:rtl/>
        </w:rPr>
        <w:t>13.</w:t>
      </w:r>
      <w:r>
        <w:rPr>
          <w:rFonts w:ascii="David" w:hAnsi="David"/>
          <w:rtl/>
        </w:rPr>
        <w:tab/>
        <w:t xml:space="preserve">בביצוע עבירת האלימות בנסיבותיה (שבכתב האישום השני) פגע הנאשם באופן ממשי בערכים המוגנים של זכות האדם לשלמות גופו ונפשו, לביטחון אישי, לכבוד ולפרטיות. </w:t>
      </w:r>
    </w:p>
    <w:p w14:paraId="2FC696AC" w14:textId="77777777" w:rsidR="00E966B3" w:rsidRDefault="00E966B3" w:rsidP="00E966B3">
      <w:pPr>
        <w:spacing w:line="360" w:lineRule="auto"/>
        <w:ind w:left="720" w:hanging="720"/>
        <w:jc w:val="both"/>
        <w:rPr>
          <w:rFonts w:ascii="David" w:hAnsi="David"/>
          <w:rtl/>
        </w:rPr>
      </w:pPr>
    </w:p>
    <w:p w14:paraId="708F2357" w14:textId="77777777" w:rsidR="00E966B3" w:rsidRDefault="00E966B3" w:rsidP="00E966B3">
      <w:pPr>
        <w:spacing w:line="360" w:lineRule="auto"/>
        <w:ind w:left="720"/>
        <w:jc w:val="both"/>
        <w:rPr>
          <w:rFonts w:ascii="David" w:hAnsi="David"/>
          <w:rtl/>
        </w:rPr>
      </w:pPr>
      <w:r>
        <w:rPr>
          <w:rFonts w:ascii="David" w:hAnsi="David"/>
          <w:rtl/>
        </w:rPr>
        <w:t xml:space="preserve">ביצוע מעשה אלימות כלפי אחר בזמן ששהו בחדר מעוכבים בתחנת משטרה יש חומרה יתרה נוכח העדר המורא והזלזול בגורמים האמונים על אכיפת החוק.  </w:t>
      </w:r>
    </w:p>
    <w:p w14:paraId="3E4BBF29" w14:textId="77777777" w:rsidR="00E966B3" w:rsidRDefault="00E966B3" w:rsidP="00E966B3">
      <w:pPr>
        <w:spacing w:line="360" w:lineRule="auto"/>
        <w:ind w:left="720"/>
        <w:jc w:val="both"/>
        <w:rPr>
          <w:rFonts w:ascii="David" w:hAnsi="David"/>
          <w:rtl/>
        </w:rPr>
      </w:pPr>
    </w:p>
    <w:p w14:paraId="7AF159CA" w14:textId="77777777" w:rsidR="00E966B3" w:rsidRDefault="00E966B3" w:rsidP="00E966B3">
      <w:pPr>
        <w:spacing w:line="360" w:lineRule="auto"/>
        <w:ind w:left="720"/>
        <w:jc w:val="both"/>
        <w:rPr>
          <w:rFonts w:ascii="David" w:hAnsi="David"/>
          <w:rtl/>
        </w:rPr>
      </w:pPr>
      <w:r>
        <w:rPr>
          <w:rFonts w:ascii="David" w:hAnsi="David"/>
          <w:rtl/>
        </w:rPr>
        <w:t>לעניין הצורך בענישה ממשית לצורך הרתעה מפני פתרון סכסוכים באלימות ראה דברי בית המשפט העליון ב</w:t>
      </w:r>
      <w:hyperlink r:id="rId21" w:history="1">
        <w:r w:rsidR="001F3703" w:rsidRPr="001F3703">
          <w:rPr>
            <w:rFonts w:ascii="David" w:hAnsi="David"/>
            <w:b/>
            <w:bCs/>
            <w:color w:val="0000FF"/>
            <w:u w:val="single"/>
            <w:rtl/>
          </w:rPr>
          <w:t>ע"פ 7069/20</w:t>
        </w:r>
      </w:hyperlink>
      <w:r>
        <w:rPr>
          <w:rFonts w:ascii="David" w:hAnsi="David"/>
          <w:b/>
          <w:bCs/>
          <w:rtl/>
        </w:rPr>
        <w:t xml:space="preserve"> יוסף אבו חדיר נ' מדינת ישראל</w:t>
      </w:r>
      <w:r>
        <w:rPr>
          <w:rFonts w:ascii="David" w:hAnsi="David"/>
          <w:rtl/>
        </w:rPr>
        <w:t xml:space="preserve"> (11.02.2021):</w:t>
      </w:r>
    </w:p>
    <w:p w14:paraId="180E88AE" w14:textId="77777777" w:rsidR="00E966B3" w:rsidRDefault="00E966B3" w:rsidP="00E966B3">
      <w:pPr>
        <w:spacing w:line="360" w:lineRule="auto"/>
        <w:ind w:left="720"/>
        <w:jc w:val="both"/>
        <w:rPr>
          <w:rFonts w:ascii="David" w:hAnsi="David"/>
          <w:rtl/>
        </w:rPr>
      </w:pPr>
    </w:p>
    <w:p w14:paraId="009E3D14" w14:textId="77777777" w:rsidR="00E966B3" w:rsidRDefault="00E966B3" w:rsidP="00E966B3">
      <w:pPr>
        <w:spacing w:line="360" w:lineRule="auto"/>
        <w:ind w:left="1643" w:right="1701"/>
        <w:jc w:val="both"/>
        <w:rPr>
          <w:rFonts w:ascii="David" w:hAnsi="David"/>
          <w:b/>
          <w:bCs/>
          <w:rtl/>
        </w:rPr>
      </w:pPr>
      <w:r>
        <w:rPr>
          <w:rFonts w:ascii="David" w:hAnsi="David"/>
          <w:b/>
          <w:bCs/>
          <w:rtl/>
        </w:rPr>
        <w:t>"לא אחת עמד בית משפט זה על החומרה היתרה שבעבירות אלימות ... לאור הפגיעה הקשה בזכותו של אדם לשלמות גופו, בכבודו העצמי, ובתחושת הביטחון האישי שלו ... לא זו בלבד, אלא יש ליתן ביטוי לחומרה שיש לראות בהתנהגות אלימה אשר באה כניסיון לפתירת סכסוכים. בהתאם, ראוי להטיל ענישה ממשית ומוחשית, המרתיעה את הציבור מפני נקיטת אמצעים בדרכים אלימות על פני ההליכה בדרך הנועם והשלום ..."</w:t>
      </w:r>
    </w:p>
    <w:p w14:paraId="5199CEC7" w14:textId="77777777" w:rsidR="00E966B3" w:rsidRDefault="00E966B3" w:rsidP="00E966B3">
      <w:pPr>
        <w:spacing w:line="360" w:lineRule="auto"/>
        <w:ind w:left="1643" w:right="1701"/>
        <w:jc w:val="both"/>
        <w:rPr>
          <w:rFonts w:ascii="David" w:hAnsi="David"/>
          <w:b/>
          <w:bCs/>
          <w:rtl/>
        </w:rPr>
      </w:pPr>
    </w:p>
    <w:p w14:paraId="149E9013" w14:textId="77777777" w:rsidR="00E966B3" w:rsidRDefault="00E966B3" w:rsidP="00E966B3">
      <w:pPr>
        <w:spacing w:line="360" w:lineRule="auto"/>
        <w:ind w:left="720" w:hanging="720"/>
        <w:jc w:val="both"/>
        <w:rPr>
          <w:rFonts w:ascii="David" w:hAnsi="David"/>
          <w:rtl/>
        </w:rPr>
      </w:pPr>
      <w:r>
        <w:rPr>
          <w:rFonts w:ascii="David" w:hAnsi="David"/>
          <w:rtl/>
        </w:rPr>
        <w:t>14.</w:t>
      </w:r>
      <w:r>
        <w:rPr>
          <w:rFonts w:ascii="David" w:hAnsi="David"/>
          <w:rtl/>
        </w:rPr>
        <w:tab/>
        <w:t xml:space="preserve">לצד האמור ולקולת העונש נתתי דעתי להודאתו של הנאשם, לדברי החרטה שהשמיע ולחסכון החלקי בזמנו של בית המשפט. </w:t>
      </w:r>
    </w:p>
    <w:p w14:paraId="2209D76F" w14:textId="77777777" w:rsidR="00E966B3" w:rsidRDefault="00E966B3" w:rsidP="00E966B3">
      <w:pPr>
        <w:spacing w:line="360" w:lineRule="auto"/>
        <w:ind w:left="720" w:hanging="720"/>
        <w:jc w:val="both"/>
        <w:rPr>
          <w:rFonts w:ascii="David" w:hAnsi="David"/>
          <w:rtl/>
        </w:rPr>
      </w:pPr>
    </w:p>
    <w:p w14:paraId="6E9A8F71" w14:textId="77777777" w:rsidR="00E966B3" w:rsidRDefault="00E966B3" w:rsidP="00E966B3">
      <w:pPr>
        <w:spacing w:line="360" w:lineRule="auto"/>
        <w:ind w:left="720"/>
        <w:jc w:val="both"/>
        <w:rPr>
          <w:rFonts w:ascii="David" w:hAnsi="David"/>
          <w:rtl/>
        </w:rPr>
      </w:pPr>
      <w:r>
        <w:rPr>
          <w:rFonts w:ascii="David" w:hAnsi="David"/>
          <w:rtl/>
        </w:rPr>
        <w:t xml:space="preserve">כמו כן נתתי דעתי לעובדה כי הנאשם נעדר עבר פלילי קודם ועצור מאחורי סורג ובריח בגין כתב האישום הראשון מיום 31.03.24. </w:t>
      </w:r>
    </w:p>
    <w:p w14:paraId="3A7DE540" w14:textId="77777777" w:rsidR="00E966B3" w:rsidRDefault="00E966B3" w:rsidP="00E966B3">
      <w:pPr>
        <w:spacing w:line="360" w:lineRule="auto"/>
        <w:ind w:left="720"/>
        <w:jc w:val="both"/>
        <w:rPr>
          <w:rFonts w:ascii="David" w:hAnsi="David"/>
          <w:rtl/>
        </w:rPr>
      </w:pPr>
    </w:p>
    <w:p w14:paraId="0AD0A431" w14:textId="77777777" w:rsidR="00E966B3" w:rsidRDefault="00E966B3" w:rsidP="00E966B3">
      <w:pPr>
        <w:spacing w:line="360" w:lineRule="auto"/>
        <w:ind w:left="720" w:hanging="720"/>
        <w:jc w:val="both"/>
        <w:rPr>
          <w:rFonts w:ascii="David" w:hAnsi="David"/>
          <w:rtl/>
        </w:rPr>
      </w:pPr>
      <w:r>
        <w:rPr>
          <w:rFonts w:ascii="David" w:hAnsi="David"/>
          <w:rtl/>
        </w:rPr>
        <w:t>15.</w:t>
      </w:r>
      <w:r>
        <w:rPr>
          <w:rFonts w:ascii="David" w:hAnsi="David"/>
          <w:rtl/>
        </w:rPr>
        <w:tab/>
        <w:t xml:space="preserve">לאחר ששמעתי טיעוני ב"כ הצדדים ואיזנתי בין השיקולים לקולא ולחומרא מצאתי שלא לחרוג מהסדרי הטיעון בהינתן מדיניות בתי המשפט הנוגעת לכיבוד הסדרי טיעון, הודאת הנאשם, עברו הנקי, הפיצוי המשמעותי ומשהובהר כי הסדר הטיעון שבכתב האישום הראשון מקורו בקשיים ראייתיים. </w:t>
      </w:r>
    </w:p>
    <w:p w14:paraId="01379A69" w14:textId="77777777" w:rsidR="00E966B3" w:rsidRDefault="00E966B3" w:rsidP="00E966B3">
      <w:pPr>
        <w:spacing w:line="360" w:lineRule="auto"/>
        <w:ind w:left="720" w:hanging="720"/>
        <w:jc w:val="both"/>
        <w:rPr>
          <w:rFonts w:ascii="David" w:hAnsi="David"/>
          <w:rtl/>
        </w:rPr>
      </w:pPr>
    </w:p>
    <w:p w14:paraId="4D2B60DF" w14:textId="77777777" w:rsidR="00E966B3" w:rsidRDefault="00E966B3" w:rsidP="00E966B3">
      <w:pPr>
        <w:spacing w:line="360" w:lineRule="auto"/>
        <w:ind w:left="720" w:hanging="720"/>
        <w:jc w:val="both"/>
        <w:rPr>
          <w:rFonts w:ascii="David" w:hAnsi="David"/>
          <w:rtl/>
        </w:rPr>
      </w:pPr>
      <w:r>
        <w:rPr>
          <w:rFonts w:ascii="David" w:hAnsi="David"/>
          <w:rtl/>
        </w:rPr>
        <w:tab/>
        <w:t xml:space="preserve">זאת ועוד, בבחינת הסדר הטיעון שבכתב האישום הראשון על בית המשפט ליתן משקל משמעותי לעקרון ההסתמכות של הנאשם, קל וחומר כשבידי ההגנה ראיות אליהן בית המשפט טרם נחשף. ראה לעניין זה </w:t>
      </w:r>
      <w:hyperlink r:id="rId22" w:history="1">
        <w:r w:rsidR="001F3703" w:rsidRPr="001F3703">
          <w:rPr>
            <w:rFonts w:ascii="David" w:hAnsi="David"/>
            <w:b/>
            <w:bCs/>
            <w:color w:val="0000FF"/>
            <w:u w:val="single"/>
            <w:rtl/>
          </w:rPr>
          <w:t>ע"פ 1958/98</w:t>
        </w:r>
      </w:hyperlink>
      <w:r>
        <w:rPr>
          <w:rFonts w:ascii="David" w:hAnsi="David"/>
          <w:b/>
          <w:bCs/>
          <w:rtl/>
        </w:rPr>
        <w:t xml:space="preserve"> פלוני נ' מדינת ישראל </w:t>
      </w:r>
      <w:r>
        <w:rPr>
          <w:rFonts w:ascii="David" w:hAnsi="David"/>
          <w:rtl/>
        </w:rPr>
        <w:t>(25.12.2002).</w:t>
      </w:r>
    </w:p>
    <w:p w14:paraId="143023BB" w14:textId="77777777" w:rsidR="00E966B3" w:rsidRDefault="00E966B3" w:rsidP="00E966B3">
      <w:pPr>
        <w:spacing w:line="360" w:lineRule="auto"/>
        <w:ind w:left="720" w:hanging="720"/>
        <w:jc w:val="both"/>
        <w:rPr>
          <w:rFonts w:ascii="David" w:hAnsi="David"/>
          <w:rtl/>
        </w:rPr>
      </w:pPr>
    </w:p>
    <w:p w14:paraId="15D77E46" w14:textId="77777777" w:rsidR="00E966B3" w:rsidRDefault="00E966B3" w:rsidP="00E966B3">
      <w:pPr>
        <w:spacing w:line="360" w:lineRule="auto"/>
        <w:ind w:left="720" w:hanging="720"/>
        <w:jc w:val="both"/>
        <w:rPr>
          <w:rFonts w:ascii="David" w:hAnsi="David"/>
          <w:rtl/>
        </w:rPr>
      </w:pPr>
      <w:r>
        <w:rPr>
          <w:rFonts w:ascii="David" w:hAnsi="David"/>
          <w:rtl/>
        </w:rPr>
        <w:t>16.</w:t>
      </w:r>
      <w:r>
        <w:rPr>
          <w:rFonts w:ascii="David" w:hAnsi="David"/>
          <w:rtl/>
        </w:rPr>
        <w:tab/>
        <w:t>אשר לקשיים הראייתיים הנטענים בכתב האישום הראשון ובזיקה לסרטון ת/1, מצאתי להוסיף כי במהלך שמיעת עדותו של ע.ת.2 לא קיבלתי כל הסבר הגיוני מדוע לא מסר הסרטון בסמוך לאחר האירוע הגם שהיה פעמיים בתחנת המשטרה ונגבו ממנו שתי עדויות. זאת ועוד, גם התנהלותו השלווה והנינוחה במהלך צילום הסרטון מעלה קושי ומעוררת תמיהה. יודגש כי משעסקינן בראיה דיגיטלית מצופה היה מהיחידה החוקרת לפעול בדחיפות לתפיסתה.</w:t>
      </w:r>
    </w:p>
    <w:p w14:paraId="071405E5" w14:textId="77777777" w:rsidR="00E966B3" w:rsidRDefault="00E966B3" w:rsidP="00E966B3">
      <w:pPr>
        <w:spacing w:line="360" w:lineRule="auto"/>
        <w:ind w:left="720" w:hanging="720"/>
        <w:jc w:val="both"/>
        <w:rPr>
          <w:rFonts w:ascii="David" w:hAnsi="David"/>
          <w:rtl/>
        </w:rPr>
      </w:pPr>
    </w:p>
    <w:p w14:paraId="2632DA17" w14:textId="77777777" w:rsidR="00E966B3" w:rsidRDefault="00E966B3" w:rsidP="00E966B3">
      <w:pPr>
        <w:spacing w:line="360" w:lineRule="auto"/>
        <w:ind w:left="720" w:hanging="720"/>
        <w:jc w:val="both"/>
        <w:rPr>
          <w:rFonts w:ascii="David" w:hAnsi="David"/>
          <w:rtl/>
        </w:rPr>
      </w:pPr>
      <w:r>
        <w:rPr>
          <w:rFonts w:ascii="David" w:hAnsi="David"/>
          <w:rtl/>
        </w:rPr>
        <w:t>17.</w:t>
      </w:r>
      <w:r>
        <w:rPr>
          <w:rFonts w:ascii="David" w:hAnsi="David"/>
          <w:rtl/>
        </w:rPr>
        <w:tab/>
        <w:t xml:space="preserve">לצד האמור מצאתי להחמיר ברכיב המאסר המותנה וזאת כדי להרתיע הנאשם מביצוע עבירות דומות.  </w:t>
      </w:r>
    </w:p>
    <w:p w14:paraId="07E56B2B" w14:textId="77777777" w:rsidR="00E966B3" w:rsidRDefault="00E966B3" w:rsidP="00E966B3">
      <w:pPr>
        <w:spacing w:line="360" w:lineRule="auto"/>
        <w:ind w:left="720" w:hanging="720"/>
        <w:jc w:val="both"/>
        <w:rPr>
          <w:rFonts w:ascii="David" w:hAnsi="David"/>
          <w:rtl/>
        </w:rPr>
      </w:pPr>
    </w:p>
    <w:p w14:paraId="074CF6B0" w14:textId="77777777" w:rsidR="00E966B3" w:rsidRDefault="00E966B3" w:rsidP="00E966B3">
      <w:pPr>
        <w:spacing w:line="360" w:lineRule="auto"/>
        <w:ind w:left="720" w:hanging="720"/>
        <w:jc w:val="both"/>
        <w:rPr>
          <w:rFonts w:ascii="David" w:hAnsi="David"/>
          <w:rtl/>
        </w:rPr>
      </w:pPr>
    </w:p>
    <w:p w14:paraId="2EA07BE8" w14:textId="77777777" w:rsidR="00E966B3" w:rsidRDefault="00E966B3" w:rsidP="00E966B3">
      <w:pPr>
        <w:spacing w:line="360" w:lineRule="auto"/>
        <w:ind w:left="720" w:hanging="720"/>
        <w:jc w:val="both"/>
        <w:rPr>
          <w:rFonts w:ascii="David" w:hAnsi="David"/>
          <w:rtl/>
        </w:rPr>
      </w:pPr>
    </w:p>
    <w:p w14:paraId="5DBE2F13" w14:textId="77777777" w:rsidR="00E966B3" w:rsidRDefault="00E966B3" w:rsidP="00E966B3">
      <w:pPr>
        <w:spacing w:line="360" w:lineRule="auto"/>
        <w:ind w:left="720" w:hanging="720"/>
        <w:jc w:val="both"/>
        <w:rPr>
          <w:rFonts w:ascii="David" w:hAnsi="David"/>
          <w:rtl/>
        </w:rPr>
      </w:pPr>
    </w:p>
    <w:p w14:paraId="6420C3CB" w14:textId="77777777" w:rsidR="00E966B3" w:rsidRDefault="00E966B3" w:rsidP="00E966B3">
      <w:pPr>
        <w:spacing w:line="360" w:lineRule="auto"/>
        <w:ind w:left="720" w:hanging="720"/>
        <w:jc w:val="both"/>
        <w:rPr>
          <w:rFonts w:ascii="David" w:hAnsi="David"/>
          <w:rtl/>
        </w:rPr>
      </w:pPr>
    </w:p>
    <w:p w14:paraId="58041F0E" w14:textId="77777777" w:rsidR="00E966B3" w:rsidRDefault="00E966B3" w:rsidP="00E966B3">
      <w:pPr>
        <w:spacing w:line="360" w:lineRule="auto"/>
        <w:ind w:left="720" w:hanging="720"/>
        <w:jc w:val="both"/>
        <w:rPr>
          <w:rFonts w:ascii="David" w:hAnsi="David"/>
          <w:rtl/>
        </w:rPr>
      </w:pPr>
    </w:p>
    <w:p w14:paraId="312853E6" w14:textId="77777777" w:rsidR="00E966B3" w:rsidRDefault="00E966B3" w:rsidP="00E966B3">
      <w:pPr>
        <w:spacing w:line="360" w:lineRule="auto"/>
        <w:ind w:left="720" w:hanging="720"/>
        <w:jc w:val="both"/>
        <w:rPr>
          <w:rFonts w:ascii="David" w:hAnsi="David"/>
          <w:rtl/>
        </w:rPr>
      </w:pPr>
    </w:p>
    <w:p w14:paraId="73276309" w14:textId="77777777" w:rsidR="00E966B3" w:rsidRDefault="00E966B3" w:rsidP="00E966B3">
      <w:pPr>
        <w:spacing w:line="360" w:lineRule="auto"/>
        <w:ind w:left="720" w:hanging="720"/>
        <w:jc w:val="both"/>
        <w:rPr>
          <w:rFonts w:ascii="David" w:hAnsi="David"/>
          <w:rtl/>
        </w:rPr>
      </w:pPr>
    </w:p>
    <w:p w14:paraId="490F5139" w14:textId="77777777" w:rsidR="00E966B3" w:rsidRDefault="00E966B3" w:rsidP="00E966B3">
      <w:pPr>
        <w:spacing w:line="360" w:lineRule="auto"/>
        <w:ind w:left="720" w:hanging="720"/>
        <w:jc w:val="both"/>
        <w:rPr>
          <w:rFonts w:ascii="David" w:hAnsi="David"/>
          <w:rtl/>
        </w:rPr>
      </w:pPr>
      <w:r>
        <w:rPr>
          <w:rFonts w:ascii="David" w:hAnsi="David"/>
          <w:rtl/>
        </w:rPr>
        <w:t xml:space="preserve">18. </w:t>
      </w:r>
      <w:r>
        <w:rPr>
          <w:rFonts w:ascii="David" w:hAnsi="David"/>
          <w:rtl/>
        </w:rPr>
        <w:tab/>
        <w:t xml:space="preserve">אשר על כן, אני גוזר על הנאשם את העונשים הבאים: </w:t>
      </w:r>
    </w:p>
    <w:p w14:paraId="6BABC268" w14:textId="77777777" w:rsidR="00E966B3" w:rsidRDefault="00E966B3" w:rsidP="00E966B3">
      <w:pPr>
        <w:spacing w:line="360" w:lineRule="auto"/>
        <w:ind w:left="720" w:hanging="720"/>
        <w:jc w:val="both"/>
        <w:rPr>
          <w:rFonts w:ascii="David" w:hAnsi="David"/>
          <w:rtl/>
        </w:rPr>
      </w:pPr>
    </w:p>
    <w:p w14:paraId="374E13A8" w14:textId="77777777" w:rsidR="00E966B3" w:rsidRDefault="00E966B3" w:rsidP="00E966B3">
      <w:pPr>
        <w:spacing w:line="360" w:lineRule="auto"/>
        <w:ind w:left="1440" w:hanging="720"/>
        <w:jc w:val="both"/>
        <w:rPr>
          <w:rFonts w:ascii="David" w:hAnsi="David"/>
          <w:rtl/>
        </w:rPr>
      </w:pPr>
      <w:r>
        <w:rPr>
          <w:rFonts w:ascii="David" w:hAnsi="David"/>
          <w:rtl/>
        </w:rPr>
        <w:t>א.</w:t>
      </w:r>
      <w:r>
        <w:rPr>
          <w:rFonts w:ascii="David" w:hAnsi="David"/>
          <w:rtl/>
        </w:rPr>
        <w:tab/>
      </w:r>
      <w:r>
        <w:rPr>
          <w:rFonts w:ascii="David" w:hAnsi="David"/>
          <w:b/>
          <w:bCs/>
          <w:rtl/>
        </w:rPr>
        <w:t xml:space="preserve">מאסר </w:t>
      </w:r>
      <w:r>
        <w:rPr>
          <w:rFonts w:ascii="David" w:hAnsi="David"/>
          <w:rtl/>
        </w:rPr>
        <w:t>-</w:t>
      </w:r>
      <w:r>
        <w:rPr>
          <w:rFonts w:ascii="David" w:hAnsi="David"/>
          <w:rtl/>
        </w:rPr>
        <w:tab/>
        <w:t>25 חודשי מאסר בפועל, בניכוי ימי מעצרו ב</w:t>
      </w:r>
      <w:hyperlink r:id="rId23" w:history="1">
        <w:r w:rsidR="001F3703" w:rsidRPr="001F3703">
          <w:rPr>
            <w:rFonts w:ascii="David" w:hAnsi="David"/>
            <w:color w:val="0000FF"/>
            <w:u w:val="single"/>
            <w:rtl/>
          </w:rPr>
          <w:t>ת"פ 45769-04-24</w:t>
        </w:r>
      </w:hyperlink>
      <w:r>
        <w:rPr>
          <w:rFonts w:ascii="David" w:hAnsi="David"/>
          <w:rtl/>
        </w:rPr>
        <w:t xml:space="preserve"> (24 חודשי מאסר בגין כתב האישום הראשון וחודשיים מאסר בגין כתב האישום השני, שירוצו חודש במצטבר לעונש בגין כתב האישום הראשון וחודש בחופף לו). </w:t>
      </w:r>
    </w:p>
    <w:p w14:paraId="4954E1E2" w14:textId="77777777" w:rsidR="00E966B3" w:rsidRDefault="00E966B3" w:rsidP="00E966B3">
      <w:pPr>
        <w:spacing w:line="360" w:lineRule="auto"/>
        <w:ind w:left="1440" w:hanging="720"/>
        <w:jc w:val="both"/>
        <w:rPr>
          <w:rFonts w:ascii="David" w:hAnsi="David"/>
          <w:rtl/>
        </w:rPr>
      </w:pPr>
      <w:r>
        <w:rPr>
          <w:rFonts w:ascii="David" w:hAnsi="David"/>
          <w:rtl/>
        </w:rPr>
        <w:t>ב.</w:t>
      </w:r>
      <w:r>
        <w:rPr>
          <w:rFonts w:ascii="David" w:hAnsi="David"/>
          <w:rtl/>
        </w:rPr>
        <w:tab/>
      </w:r>
      <w:r>
        <w:rPr>
          <w:rFonts w:ascii="David" w:hAnsi="David"/>
          <w:b/>
          <w:bCs/>
          <w:rtl/>
        </w:rPr>
        <w:t>מאסר על תנאי -</w:t>
      </w:r>
      <w:r>
        <w:rPr>
          <w:rFonts w:ascii="David" w:hAnsi="David"/>
          <w:rtl/>
        </w:rPr>
        <w:t xml:space="preserve"> 12 חודשי מאסר על תנאי למשך שלוש שנים מיום שחרורו ממאסרו, שלא יעבור עבירה לפי </w:t>
      </w:r>
      <w:hyperlink r:id="rId24" w:history="1">
        <w:r w:rsidR="00BE42E5" w:rsidRPr="00BE42E5">
          <w:rPr>
            <w:rStyle w:val="Hyperlink"/>
            <w:rFonts w:ascii="David" w:hAnsi="David"/>
            <w:color w:val="0000FF"/>
            <w:rtl/>
          </w:rPr>
          <w:t>סעיף 340א</w:t>
        </w:r>
      </w:hyperlink>
      <w:r>
        <w:rPr>
          <w:rFonts w:ascii="David" w:hAnsi="David"/>
          <w:rtl/>
        </w:rPr>
        <w:t xml:space="preserve"> ל</w:t>
      </w:r>
      <w:hyperlink r:id="rId25" w:history="1">
        <w:r w:rsidR="001F3703" w:rsidRPr="001F3703">
          <w:rPr>
            <w:rFonts w:ascii="David" w:hAnsi="David"/>
            <w:color w:val="0000FF"/>
            <w:u w:val="single"/>
            <w:rtl/>
          </w:rPr>
          <w:t>חוק העונשין</w:t>
        </w:r>
      </w:hyperlink>
      <w:r>
        <w:rPr>
          <w:rFonts w:ascii="David" w:hAnsi="David"/>
          <w:rtl/>
        </w:rPr>
        <w:t xml:space="preserve"> על חלופותיו השונות או עבירה בנשק לפי </w:t>
      </w:r>
      <w:hyperlink r:id="rId26" w:history="1">
        <w:r w:rsidR="00BE42E5" w:rsidRPr="00BE42E5">
          <w:rPr>
            <w:rStyle w:val="Hyperlink"/>
            <w:rFonts w:ascii="David" w:hAnsi="David"/>
            <w:color w:val="0000FF"/>
            <w:rtl/>
          </w:rPr>
          <w:t>סעיף 144</w:t>
        </w:r>
      </w:hyperlink>
      <w:r>
        <w:rPr>
          <w:rFonts w:ascii="David" w:hAnsi="David"/>
          <w:rtl/>
        </w:rPr>
        <w:t xml:space="preserve"> לחוק העונשין על חלופותיו השונות. </w:t>
      </w:r>
    </w:p>
    <w:p w14:paraId="586A6A60" w14:textId="77777777" w:rsidR="00E966B3" w:rsidRDefault="00E966B3" w:rsidP="00E966B3">
      <w:pPr>
        <w:spacing w:line="360" w:lineRule="auto"/>
        <w:ind w:left="1440" w:hanging="720"/>
        <w:jc w:val="both"/>
        <w:rPr>
          <w:rFonts w:ascii="David" w:hAnsi="David"/>
          <w:rtl/>
        </w:rPr>
      </w:pPr>
    </w:p>
    <w:p w14:paraId="057FC576" w14:textId="77777777" w:rsidR="00E966B3" w:rsidRDefault="00E966B3" w:rsidP="00E966B3">
      <w:pPr>
        <w:spacing w:line="360" w:lineRule="auto"/>
        <w:ind w:left="1440" w:hanging="720"/>
        <w:jc w:val="both"/>
        <w:rPr>
          <w:rFonts w:ascii="David" w:hAnsi="David"/>
          <w:rtl/>
        </w:rPr>
      </w:pPr>
      <w:r>
        <w:rPr>
          <w:rFonts w:ascii="David" w:hAnsi="David"/>
          <w:rtl/>
        </w:rPr>
        <w:t>ג.</w:t>
      </w:r>
      <w:r>
        <w:rPr>
          <w:rFonts w:ascii="David" w:hAnsi="David"/>
          <w:rtl/>
        </w:rPr>
        <w:tab/>
      </w:r>
      <w:r>
        <w:rPr>
          <w:rFonts w:ascii="David" w:hAnsi="David"/>
          <w:b/>
          <w:bCs/>
          <w:rtl/>
        </w:rPr>
        <w:t xml:space="preserve">מאסר על תנאי - </w:t>
      </w:r>
      <w:r>
        <w:rPr>
          <w:rFonts w:ascii="David" w:hAnsi="David"/>
          <w:rtl/>
        </w:rPr>
        <w:t>6 חודשי מאסר על תנאי למשך שנתיים מיום שחרורו ממאסרו, שלא יעבור עבירת אלימות מסוג פשע.</w:t>
      </w:r>
    </w:p>
    <w:p w14:paraId="11C6F884" w14:textId="77777777" w:rsidR="00E966B3" w:rsidRDefault="00E966B3" w:rsidP="00E966B3">
      <w:pPr>
        <w:spacing w:line="360" w:lineRule="auto"/>
        <w:ind w:left="1440" w:hanging="720"/>
        <w:jc w:val="both"/>
        <w:rPr>
          <w:rFonts w:ascii="David" w:hAnsi="David"/>
          <w:rtl/>
        </w:rPr>
      </w:pPr>
    </w:p>
    <w:p w14:paraId="19389FB8" w14:textId="77777777" w:rsidR="00E966B3" w:rsidRDefault="00E966B3" w:rsidP="00E966B3">
      <w:pPr>
        <w:spacing w:line="360" w:lineRule="auto"/>
        <w:ind w:left="1440" w:hanging="720"/>
        <w:jc w:val="both"/>
        <w:rPr>
          <w:rFonts w:ascii="David" w:hAnsi="David"/>
          <w:rtl/>
        </w:rPr>
      </w:pPr>
      <w:r>
        <w:rPr>
          <w:rFonts w:ascii="David" w:hAnsi="David"/>
          <w:rtl/>
        </w:rPr>
        <w:t>ד.</w:t>
      </w:r>
      <w:r>
        <w:rPr>
          <w:rFonts w:ascii="David" w:hAnsi="David"/>
          <w:rtl/>
        </w:rPr>
        <w:tab/>
      </w:r>
      <w:r>
        <w:rPr>
          <w:rFonts w:ascii="David" w:hAnsi="David"/>
          <w:b/>
          <w:bCs/>
          <w:rtl/>
        </w:rPr>
        <w:t xml:space="preserve">מאסר על תנאי - </w:t>
      </w:r>
      <w:r>
        <w:rPr>
          <w:rFonts w:ascii="David" w:hAnsi="David"/>
          <w:rtl/>
        </w:rPr>
        <w:t xml:space="preserve">4 חודשי מאסר על תנאי למשך שנתיים מיום שחרורו ממאסרו, שלא יעבור עבירת אלימות מסוג עוון.  </w:t>
      </w:r>
    </w:p>
    <w:p w14:paraId="2C541F6D" w14:textId="77777777" w:rsidR="00E966B3" w:rsidRDefault="00E966B3" w:rsidP="00E966B3">
      <w:pPr>
        <w:spacing w:line="360" w:lineRule="auto"/>
        <w:ind w:left="1440" w:hanging="720"/>
        <w:jc w:val="both"/>
        <w:rPr>
          <w:rFonts w:ascii="David" w:hAnsi="David"/>
          <w:rtl/>
        </w:rPr>
      </w:pPr>
    </w:p>
    <w:p w14:paraId="32465A50" w14:textId="77777777" w:rsidR="00E966B3" w:rsidRDefault="00E966B3" w:rsidP="00E966B3">
      <w:pPr>
        <w:spacing w:line="360" w:lineRule="auto"/>
        <w:ind w:left="1440" w:hanging="720"/>
        <w:jc w:val="both"/>
        <w:rPr>
          <w:rFonts w:ascii="David" w:hAnsi="David"/>
          <w:rtl/>
        </w:rPr>
      </w:pPr>
      <w:r>
        <w:rPr>
          <w:rFonts w:ascii="David" w:hAnsi="David"/>
          <w:rtl/>
        </w:rPr>
        <w:t>ה.</w:t>
      </w:r>
      <w:r>
        <w:rPr>
          <w:rFonts w:ascii="David" w:hAnsi="David"/>
          <w:b/>
          <w:bCs/>
          <w:rtl/>
        </w:rPr>
        <w:tab/>
        <w:t xml:space="preserve">פיצוי </w:t>
      </w:r>
      <w:r>
        <w:rPr>
          <w:rFonts w:ascii="David" w:hAnsi="David"/>
          <w:rtl/>
        </w:rPr>
        <w:t>- פיצוי בסך 20,000 ₪ לטובת ע.ת.1 שב</w:t>
      </w:r>
      <w:hyperlink r:id="rId27" w:history="1">
        <w:r w:rsidR="001F3703" w:rsidRPr="001F3703">
          <w:rPr>
            <w:rFonts w:ascii="David" w:hAnsi="David"/>
            <w:color w:val="0000FF"/>
            <w:u w:val="single"/>
            <w:rtl/>
          </w:rPr>
          <w:t>ת"פ 45769-04-24</w:t>
        </w:r>
      </w:hyperlink>
      <w:r>
        <w:rPr>
          <w:rFonts w:ascii="David" w:hAnsi="David"/>
          <w:rtl/>
        </w:rPr>
        <w:t>. הפיצוי ישולם ב-20 תשלומים חודשים שווים ורצופים החל מיום 01.0</w:t>
      </w:r>
      <w:r>
        <w:rPr>
          <w:rFonts w:ascii="David" w:hAnsi="David" w:hint="cs"/>
          <w:rtl/>
        </w:rPr>
        <w:t>5</w:t>
      </w:r>
      <w:r>
        <w:rPr>
          <w:rFonts w:ascii="David" w:hAnsi="David"/>
          <w:rtl/>
        </w:rPr>
        <w:t xml:space="preserve">.25 ובכל 01 לחודש.  </w:t>
      </w:r>
    </w:p>
    <w:p w14:paraId="50036E00" w14:textId="77777777" w:rsidR="00E966B3" w:rsidRDefault="00E966B3" w:rsidP="00E966B3">
      <w:pPr>
        <w:spacing w:line="360" w:lineRule="auto"/>
        <w:ind w:left="1440" w:hanging="720"/>
        <w:jc w:val="both"/>
        <w:rPr>
          <w:rFonts w:ascii="David" w:hAnsi="David"/>
          <w:rtl/>
        </w:rPr>
      </w:pPr>
    </w:p>
    <w:p w14:paraId="2E9FE605" w14:textId="77777777" w:rsidR="00E966B3" w:rsidRDefault="00E966B3" w:rsidP="00E966B3">
      <w:pPr>
        <w:spacing w:line="360" w:lineRule="auto"/>
        <w:ind w:left="1440" w:hanging="720"/>
        <w:jc w:val="both"/>
        <w:rPr>
          <w:rFonts w:ascii="David" w:hAnsi="David"/>
          <w:rtl/>
        </w:rPr>
      </w:pPr>
      <w:r>
        <w:rPr>
          <w:rFonts w:ascii="David" w:hAnsi="David"/>
          <w:rtl/>
        </w:rPr>
        <w:t xml:space="preserve">ו. </w:t>
      </w:r>
      <w:r>
        <w:rPr>
          <w:rFonts w:ascii="David" w:hAnsi="David"/>
          <w:rtl/>
        </w:rPr>
        <w:tab/>
      </w:r>
      <w:r>
        <w:rPr>
          <w:rFonts w:ascii="David" w:hAnsi="David"/>
          <w:b/>
          <w:bCs/>
          <w:rtl/>
        </w:rPr>
        <w:t>קנס</w:t>
      </w:r>
      <w:r>
        <w:rPr>
          <w:rFonts w:ascii="David" w:hAnsi="David"/>
          <w:rtl/>
        </w:rPr>
        <w:t xml:space="preserve"> - קנס בסך 3,000 ₪ או 15 ימי מאסר תמורתו. הקנס ישולם לא יאוחר מיום 01.07.25. </w:t>
      </w:r>
    </w:p>
    <w:p w14:paraId="4748167F" w14:textId="77777777" w:rsidR="00E966B3" w:rsidRDefault="00E966B3" w:rsidP="00E966B3">
      <w:pPr>
        <w:spacing w:line="360" w:lineRule="auto"/>
        <w:ind w:left="1440" w:hanging="720"/>
        <w:jc w:val="both"/>
        <w:rPr>
          <w:rFonts w:ascii="David" w:hAnsi="David"/>
          <w:rtl/>
        </w:rPr>
      </w:pPr>
    </w:p>
    <w:p w14:paraId="3393E752" w14:textId="77777777" w:rsidR="00E966B3" w:rsidRDefault="00E966B3" w:rsidP="00E966B3">
      <w:pPr>
        <w:spacing w:line="360" w:lineRule="auto"/>
        <w:ind w:left="1440" w:hanging="720"/>
        <w:jc w:val="both"/>
        <w:rPr>
          <w:rFonts w:ascii="David" w:hAnsi="David"/>
          <w:rtl/>
        </w:rPr>
      </w:pPr>
      <w:r>
        <w:rPr>
          <w:rFonts w:ascii="David" w:hAnsi="David"/>
          <w:rtl/>
        </w:rPr>
        <w:t xml:space="preserve">ז. </w:t>
      </w:r>
      <w:r>
        <w:rPr>
          <w:rFonts w:ascii="David" w:hAnsi="David"/>
          <w:rtl/>
        </w:rPr>
        <w:tab/>
      </w:r>
      <w:r>
        <w:rPr>
          <w:rFonts w:ascii="David" w:hAnsi="David"/>
          <w:b/>
          <w:bCs/>
          <w:rtl/>
        </w:rPr>
        <w:t>התחייבות כספית</w:t>
      </w:r>
      <w:r>
        <w:rPr>
          <w:rFonts w:ascii="David" w:hAnsi="David"/>
          <w:rtl/>
        </w:rPr>
        <w:t xml:space="preserve"> – הנאשם יחתום על התחייבות כספית בסך 10,000 ₪ להימנע למשך שנתיים מיום שחרורו מביצוע עבירה לפי </w:t>
      </w:r>
      <w:hyperlink r:id="rId28" w:history="1">
        <w:r w:rsidR="00BE42E5" w:rsidRPr="00BE42E5">
          <w:rPr>
            <w:rStyle w:val="Hyperlink"/>
            <w:rFonts w:ascii="David" w:hAnsi="David"/>
            <w:color w:val="0000FF"/>
            <w:rtl/>
          </w:rPr>
          <w:t>סעיף 379</w:t>
        </w:r>
      </w:hyperlink>
      <w:r>
        <w:rPr>
          <w:rFonts w:ascii="David" w:hAnsi="David"/>
          <w:rtl/>
        </w:rPr>
        <w:t xml:space="preserve"> ל</w:t>
      </w:r>
      <w:hyperlink r:id="rId29" w:history="1">
        <w:r w:rsidR="001F3703" w:rsidRPr="001F3703">
          <w:rPr>
            <w:rFonts w:ascii="David" w:hAnsi="David"/>
            <w:color w:val="0000FF"/>
            <w:u w:val="single"/>
            <w:rtl/>
          </w:rPr>
          <w:t>חוק העונשין</w:t>
        </w:r>
      </w:hyperlink>
      <w:r>
        <w:rPr>
          <w:rFonts w:ascii="David" w:hAnsi="David"/>
          <w:rtl/>
        </w:rPr>
        <w:t>. ההתחייבות תחתם עוד היום (19.03.25). לא תחתם ההתחייבות, הנאשם ייעצר ויובא בפני שופט תוך 24 שעות.</w:t>
      </w:r>
    </w:p>
    <w:p w14:paraId="4C1DFED1" w14:textId="77777777" w:rsidR="00E966B3" w:rsidRDefault="00E966B3" w:rsidP="00E966B3">
      <w:pPr>
        <w:spacing w:line="360" w:lineRule="auto"/>
        <w:ind w:left="720" w:hanging="720"/>
        <w:jc w:val="both"/>
        <w:rPr>
          <w:rFonts w:ascii="David" w:hAnsi="David"/>
          <w:highlight w:val="yellow"/>
          <w:rtl/>
        </w:rPr>
      </w:pPr>
    </w:p>
    <w:p w14:paraId="35C58373" w14:textId="77777777" w:rsidR="00E966B3" w:rsidRDefault="00E966B3" w:rsidP="00E966B3">
      <w:pPr>
        <w:spacing w:line="360" w:lineRule="auto"/>
      </w:pPr>
      <w:r>
        <w:rPr>
          <w:rtl/>
        </w:rPr>
        <w:t>לידיעת הנאשם, ניתן יהיה לשלם את</w:t>
      </w:r>
      <w:r>
        <w:rPr>
          <w:rFonts w:hint="cs"/>
          <w:rtl/>
        </w:rPr>
        <w:t xml:space="preserve"> הפיצוי והקנס</w:t>
      </w:r>
      <w:r>
        <w:rPr>
          <w:rtl/>
        </w:rPr>
        <w:t xml:space="preserve"> לחשבון המרכז לגביית קנסות, אגרות והוצאות ברשות האכיפה והגבייה באחת מהדרכים הבאות:</w:t>
      </w:r>
    </w:p>
    <w:p w14:paraId="75509F5A" w14:textId="77777777" w:rsidR="00E966B3" w:rsidRDefault="00E966B3" w:rsidP="00E966B3"/>
    <w:p w14:paraId="30FE31F6" w14:textId="77777777" w:rsidR="00E966B3" w:rsidRDefault="00E966B3" w:rsidP="00E966B3">
      <w:pPr>
        <w:pStyle w:val="aa"/>
        <w:numPr>
          <w:ilvl w:val="0"/>
          <w:numId w:val="1"/>
        </w:numPr>
        <w:rPr>
          <w:rFonts w:ascii="David" w:hAnsi="David"/>
          <w:b/>
          <w:bCs/>
          <w:rtl/>
        </w:rPr>
      </w:pPr>
      <w:r>
        <w:rPr>
          <w:rFonts w:ascii="David" w:hAnsi="David" w:cs="Times New Roman"/>
          <w:b/>
          <w:bCs/>
          <w:rtl/>
        </w:rPr>
        <w:t>בכרטיס אשראי</w:t>
      </w:r>
      <w:r>
        <w:rPr>
          <w:rFonts w:ascii="David" w:hAnsi="David"/>
          <w:rtl/>
        </w:rPr>
        <w:t xml:space="preserve"> – </w:t>
      </w:r>
      <w:r>
        <w:rPr>
          <w:rFonts w:ascii="David" w:hAnsi="David" w:cs="Times New Roman"/>
          <w:rtl/>
        </w:rPr>
        <w:t>באתר המקוון של רשות האכיפה והגבייה</w:t>
      </w:r>
      <w:r>
        <w:rPr>
          <w:rFonts w:ascii="David" w:hAnsi="David"/>
          <w:rtl/>
        </w:rPr>
        <w:t xml:space="preserve">, </w:t>
      </w:r>
      <w:hyperlink r:id="rId30" w:history="1">
        <w:r>
          <w:rPr>
            <w:rStyle w:val="Hyperlink"/>
            <w:rFonts w:ascii="David" w:hAnsi="David"/>
          </w:rPr>
          <w:t>www.eca.gov.il</w:t>
        </w:r>
      </w:hyperlink>
      <w:r>
        <w:rPr>
          <w:rFonts w:ascii="David" w:hAnsi="David"/>
        </w:rPr>
        <w:t xml:space="preserve"> </w:t>
      </w:r>
      <w:r w:rsidR="001F3703">
        <w:rPr>
          <w:rFonts w:ascii="David" w:hAnsi="David" w:cs="Times New Roman"/>
          <w:rtl/>
        </w:rPr>
        <w:t xml:space="preserve"> </w:t>
      </w:r>
    </w:p>
    <w:p w14:paraId="22CF845C" w14:textId="77777777" w:rsidR="00E966B3" w:rsidRDefault="00E966B3" w:rsidP="00E966B3">
      <w:pPr>
        <w:pStyle w:val="aa"/>
        <w:numPr>
          <w:ilvl w:val="0"/>
          <w:numId w:val="1"/>
        </w:numPr>
        <w:rPr>
          <w:rFonts w:ascii="David" w:hAnsi="David"/>
          <w:b/>
          <w:bCs/>
        </w:rPr>
      </w:pPr>
      <w:r>
        <w:rPr>
          <w:rFonts w:ascii="David" w:hAnsi="David" w:cs="Times New Roman"/>
          <w:b/>
          <w:bCs/>
          <w:rtl/>
        </w:rPr>
        <w:t xml:space="preserve">מוקד שירות טלפוני בשרות עצמי </w:t>
      </w:r>
      <w:r>
        <w:rPr>
          <w:rFonts w:ascii="David" w:hAnsi="David"/>
          <w:b/>
          <w:bCs/>
          <w:rtl/>
        </w:rPr>
        <w:t>(</w:t>
      </w:r>
      <w:r>
        <w:rPr>
          <w:rFonts w:ascii="David" w:hAnsi="David" w:cs="Times New Roman"/>
          <w:b/>
          <w:bCs/>
          <w:rtl/>
        </w:rPr>
        <w:t>מרכז גבייה</w:t>
      </w:r>
      <w:r>
        <w:rPr>
          <w:rFonts w:ascii="David" w:hAnsi="David"/>
          <w:b/>
          <w:bCs/>
          <w:rtl/>
        </w:rPr>
        <w:t>)</w:t>
      </w:r>
      <w:r w:rsidR="001F3703">
        <w:rPr>
          <w:rFonts w:ascii="David" w:hAnsi="David" w:cs="Times New Roman"/>
          <w:b/>
          <w:bCs/>
          <w:rtl/>
        </w:rPr>
        <w:t xml:space="preserve"> </w:t>
      </w:r>
      <w:r>
        <w:rPr>
          <w:rFonts w:ascii="David" w:hAnsi="David"/>
          <w:b/>
          <w:bCs/>
          <w:rtl/>
        </w:rPr>
        <w:t xml:space="preserve"> – </w:t>
      </w:r>
      <w:r>
        <w:rPr>
          <w:rFonts w:ascii="David" w:hAnsi="David" w:cs="Times New Roman"/>
          <w:b/>
          <w:bCs/>
          <w:rtl/>
        </w:rPr>
        <w:t xml:space="preserve">בטלפון </w:t>
      </w:r>
      <w:r>
        <w:rPr>
          <w:rFonts w:ascii="David" w:hAnsi="David"/>
          <w:b/>
          <w:bCs/>
          <w:rtl/>
        </w:rPr>
        <w:t xml:space="preserve">35592* </w:t>
      </w:r>
      <w:r>
        <w:rPr>
          <w:rFonts w:ascii="David" w:hAnsi="David" w:cs="Times New Roman"/>
          <w:b/>
          <w:bCs/>
          <w:rtl/>
        </w:rPr>
        <w:t xml:space="preserve">או בטלפון </w:t>
      </w:r>
      <w:r>
        <w:rPr>
          <w:rFonts w:ascii="David" w:hAnsi="David"/>
          <w:b/>
          <w:bCs/>
          <w:rtl/>
        </w:rPr>
        <w:t>073-2055000</w:t>
      </w:r>
    </w:p>
    <w:p w14:paraId="0E1576AC" w14:textId="77777777" w:rsidR="00E966B3" w:rsidRDefault="00E966B3" w:rsidP="00E966B3">
      <w:pPr>
        <w:pStyle w:val="aa"/>
        <w:numPr>
          <w:ilvl w:val="0"/>
          <w:numId w:val="1"/>
        </w:numPr>
        <w:rPr>
          <w:rFonts w:ascii="David" w:hAnsi="David"/>
          <w:b/>
          <w:bCs/>
          <w:rtl/>
        </w:rPr>
      </w:pPr>
      <w:r>
        <w:rPr>
          <w:rFonts w:ascii="David" w:hAnsi="David" w:cs="Times New Roman"/>
          <w:b/>
          <w:bCs/>
          <w:rtl/>
        </w:rPr>
        <w:t>במזומן בכל סניף של בנק הדואר</w:t>
      </w:r>
      <w:r>
        <w:rPr>
          <w:rFonts w:ascii="David" w:hAnsi="David"/>
          <w:rtl/>
        </w:rPr>
        <w:t xml:space="preserve"> – </w:t>
      </w:r>
      <w:r>
        <w:rPr>
          <w:rFonts w:ascii="David" w:hAnsi="David" w:cs="Times New Roman"/>
          <w:rtl/>
        </w:rPr>
        <w:t xml:space="preserve">בהצגת תעודת זהות בלבד </w:t>
      </w:r>
      <w:r>
        <w:rPr>
          <w:rFonts w:ascii="David" w:hAnsi="David"/>
          <w:rtl/>
        </w:rPr>
        <w:t>(</w:t>
      </w:r>
      <w:r>
        <w:rPr>
          <w:rFonts w:ascii="David" w:hAnsi="David" w:cs="Times New Roman"/>
          <w:rtl/>
        </w:rPr>
        <w:t>אין צורך בשוברי תשלום</w:t>
      </w:r>
      <w:r>
        <w:rPr>
          <w:rFonts w:ascii="David" w:hAnsi="David"/>
          <w:rtl/>
        </w:rPr>
        <w:t>).</w:t>
      </w:r>
    </w:p>
    <w:p w14:paraId="68764F44" w14:textId="77777777" w:rsidR="00E966B3" w:rsidRDefault="00E966B3" w:rsidP="00E966B3">
      <w:pPr>
        <w:rPr>
          <w:rtl/>
        </w:rPr>
      </w:pPr>
    </w:p>
    <w:p w14:paraId="1DCBD90B" w14:textId="77777777" w:rsidR="00E966B3" w:rsidRDefault="00E966B3" w:rsidP="00E966B3">
      <w:pPr>
        <w:spacing w:line="360" w:lineRule="auto"/>
        <w:rPr>
          <w:rtl/>
        </w:rPr>
      </w:pPr>
    </w:p>
    <w:p w14:paraId="30523FB5" w14:textId="77777777" w:rsidR="00E966B3" w:rsidRDefault="00E966B3" w:rsidP="00E966B3">
      <w:pPr>
        <w:spacing w:line="360" w:lineRule="auto"/>
        <w:rPr>
          <w:rtl/>
        </w:rPr>
      </w:pPr>
      <w:r>
        <w:rPr>
          <w:rFonts w:hint="cs"/>
          <w:rtl/>
        </w:rPr>
        <w:t xml:space="preserve">תשומת לב שב"ס לבקשת הסניגורית כי הנאשם ישולב בהליך טיפולי במהלך מאסרו, והכל כמובן בכפוף לשיקול דעת שב"ס ונהליו. </w:t>
      </w:r>
    </w:p>
    <w:p w14:paraId="5E62CBE2" w14:textId="77777777" w:rsidR="00E966B3" w:rsidRPr="001F3703" w:rsidRDefault="001F3703" w:rsidP="00E966B3">
      <w:pPr>
        <w:rPr>
          <w:color w:val="FFFFFF"/>
          <w:sz w:val="2"/>
          <w:szCs w:val="2"/>
        </w:rPr>
      </w:pPr>
      <w:r w:rsidRPr="001F3703">
        <w:rPr>
          <w:color w:val="FFFFFF"/>
          <w:sz w:val="2"/>
          <w:szCs w:val="2"/>
          <w:rtl/>
        </w:rPr>
        <w:t>5129371</w:t>
      </w:r>
    </w:p>
    <w:p w14:paraId="0F3481BC" w14:textId="77777777" w:rsidR="00E966B3" w:rsidRDefault="001F3703" w:rsidP="00E966B3">
      <w:pPr>
        <w:spacing w:line="360" w:lineRule="auto"/>
        <w:jc w:val="both"/>
        <w:rPr>
          <w:rFonts w:ascii="David" w:hAnsi="David"/>
          <w:b/>
          <w:bCs/>
          <w:rtl/>
        </w:rPr>
      </w:pPr>
      <w:r w:rsidRPr="001F3703">
        <w:rPr>
          <w:rFonts w:ascii="David" w:hAnsi="David"/>
          <w:b/>
          <w:bCs/>
          <w:color w:val="FFFFFF"/>
          <w:sz w:val="2"/>
          <w:szCs w:val="2"/>
          <w:rtl/>
        </w:rPr>
        <w:t>54678313</w:t>
      </w:r>
      <w:r w:rsidR="00E966B3">
        <w:rPr>
          <w:rFonts w:ascii="David" w:hAnsi="David"/>
          <w:b/>
          <w:bCs/>
          <w:rtl/>
        </w:rPr>
        <w:t>זכות ערעור תוך 45 ימים לבית המשפט העליון.</w:t>
      </w:r>
    </w:p>
    <w:p w14:paraId="6C61BA99" w14:textId="77777777" w:rsidR="00E966B3" w:rsidRPr="000F2247" w:rsidRDefault="00E966B3" w:rsidP="00E966B3">
      <w:pPr>
        <w:rPr>
          <w:rFonts w:ascii="Arial" w:hAnsi="Arial"/>
          <w:b/>
          <w:bCs/>
          <w:sz w:val="26"/>
          <w:szCs w:val="26"/>
          <w:rtl/>
        </w:rPr>
      </w:pPr>
    </w:p>
    <w:p w14:paraId="7C406D59" w14:textId="77777777" w:rsidR="00E966B3" w:rsidRPr="000F2247" w:rsidRDefault="001F3703" w:rsidP="00E966B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אדר תשפ"ה, 19 מרץ 2025, במעמד הצדדים. </w:t>
      </w:r>
      <w:bookmarkEnd w:id="8"/>
      <w:r w:rsidR="00E966B3">
        <w:rPr>
          <w:rFonts w:ascii="Arial" w:hAnsi="Arial"/>
          <w:b/>
          <w:bCs/>
          <w:sz w:val="26"/>
          <w:szCs w:val="26"/>
          <w:rtl/>
        </w:rPr>
        <w:tab/>
      </w:r>
      <w:r w:rsidR="00E966B3">
        <w:rPr>
          <w:rFonts w:ascii="Arial" w:hAnsi="Arial"/>
          <w:b/>
          <w:bCs/>
          <w:sz w:val="26"/>
          <w:szCs w:val="26"/>
          <w:rtl/>
        </w:rPr>
        <w:tab/>
      </w:r>
      <w:r w:rsidR="00E966B3">
        <w:rPr>
          <w:rFonts w:ascii="Arial" w:hAnsi="Arial"/>
          <w:b/>
          <w:bCs/>
          <w:sz w:val="26"/>
          <w:szCs w:val="26"/>
          <w:rtl/>
        </w:rPr>
        <w:tab/>
      </w:r>
      <w:r w:rsidR="00E966B3">
        <w:rPr>
          <w:rFonts w:ascii="Arial" w:hAnsi="Arial"/>
          <w:b/>
          <w:bCs/>
          <w:sz w:val="26"/>
          <w:szCs w:val="26"/>
          <w:rtl/>
        </w:rPr>
        <w:tab/>
      </w:r>
      <w:r w:rsidR="00E966B3">
        <w:rPr>
          <w:rFonts w:ascii="Arial" w:hAnsi="Arial"/>
          <w:b/>
          <w:bCs/>
          <w:sz w:val="26"/>
          <w:szCs w:val="26"/>
          <w:rtl/>
        </w:rPr>
        <w:tab/>
      </w:r>
      <w:r w:rsidR="00E966B3">
        <w:rPr>
          <w:rFonts w:ascii="Arial" w:hAnsi="Arial"/>
          <w:b/>
          <w:bCs/>
          <w:sz w:val="26"/>
          <w:szCs w:val="26"/>
          <w:rtl/>
        </w:rPr>
        <w:tab/>
      </w:r>
      <w:r w:rsidR="00E966B3">
        <w:rPr>
          <w:rFonts w:ascii="Arial" w:hAnsi="Arial"/>
          <w:b/>
          <w:bCs/>
          <w:sz w:val="26"/>
          <w:szCs w:val="26"/>
          <w:rtl/>
        </w:rPr>
        <w:tab/>
      </w:r>
      <w:r w:rsidR="00E966B3">
        <w:rPr>
          <w:rFonts w:ascii="Arial" w:hAnsi="Arial" w:hint="cs"/>
          <w:b/>
          <w:bCs/>
          <w:sz w:val="26"/>
          <w:szCs w:val="26"/>
          <w:rtl/>
        </w:rPr>
        <w:t xml:space="preserve">         </w:t>
      </w:r>
    </w:p>
    <w:p w14:paraId="4EAFF394" w14:textId="77777777" w:rsidR="00E966B3" w:rsidRPr="000F2247" w:rsidRDefault="00E966B3" w:rsidP="001F370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F206588" w14:textId="77777777" w:rsidR="00E966B3" w:rsidRPr="00BE42E5" w:rsidRDefault="00BE42E5" w:rsidP="00E966B3">
      <w:pPr>
        <w:jc w:val="center"/>
        <w:rPr>
          <w:rFonts w:ascii="Arial" w:hAnsi="Arial"/>
          <w:b/>
          <w:bCs/>
          <w:color w:val="FFFFFF"/>
          <w:sz w:val="2"/>
          <w:szCs w:val="2"/>
          <w:rtl/>
        </w:rPr>
      </w:pPr>
      <w:r w:rsidRPr="00BE42E5">
        <w:rPr>
          <w:rFonts w:ascii="Arial" w:hAnsi="Arial"/>
          <w:b/>
          <w:bCs/>
          <w:color w:val="FFFFFF"/>
          <w:sz w:val="2"/>
          <w:szCs w:val="2"/>
          <w:rtl/>
        </w:rPr>
        <w:t>5129371</w:t>
      </w:r>
    </w:p>
    <w:p w14:paraId="28E3FA69" w14:textId="77777777" w:rsidR="00B925C5" w:rsidRPr="00BE42E5" w:rsidRDefault="00BE42E5" w:rsidP="001F3703">
      <w:pPr>
        <w:keepNext/>
        <w:rPr>
          <w:rFonts w:ascii="David" w:hAnsi="David"/>
          <w:color w:val="FFFFFF"/>
          <w:sz w:val="2"/>
          <w:szCs w:val="2"/>
          <w:rtl/>
        </w:rPr>
      </w:pPr>
      <w:r w:rsidRPr="00BE42E5">
        <w:rPr>
          <w:rFonts w:ascii="David" w:hAnsi="David"/>
          <w:color w:val="FFFFFF"/>
          <w:sz w:val="2"/>
          <w:szCs w:val="2"/>
          <w:rtl/>
        </w:rPr>
        <w:t>54678313</w:t>
      </w:r>
    </w:p>
    <w:p w14:paraId="4D0A461E" w14:textId="77777777" w:rsidR="001F3703" w:rsidRDefault="001F3703" w:rsidP="001F3703">
      <w:pPr>
        <w:rPr>
          <w:rtl/>
        </w:rPr>
      </w:pPr>
    </w:p>
    <w:p w14:paraId="1E30BAAD" w14:textId="77777777" w:rsidR="001F3703" w:rsidRDefault="001F3703" w:rsidP="001F3703">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E764727" w14:textId="77777777" w:rsidR="00BE42E5" w:rsidRPr="00BE42E5" w:rsidRDefault="00BE42E5" w:rsidP="00BE42E5">
      <w:pPr>
        <w:keepNext/>
        <w:rPr>
          <w:rFonts w:ascii="David" w:hAnsi="David"/>
          <w:color w:val="000000"/>
          <w:sz w:val="22"/>
          <w:szCs w:val="22"/>
          <w:rtl/>
        </w:rPr>
      </w:pPr>
    </w:p>
    <w:p w14:paraId="2A9487E0" w14:textId="77777777" w:rsidR="00BE42E5" w:rsidRPr="00BE42E5" w:rsidRDefault="00BE42E5" w:rsidP="00BE42E5">
      <w:pPr>
        <w:keepNext/>
        <w:rPr>
          <w:rFonts w:ascii="David" w:hAnsi="David"/>
          <w:color w:val="000000"/>
          <w:sz w:val="22"/>
          <w:szCs w:val="22"/>
          <w:rtl/>
        </w:rPr>
      </w:pPr>
      <w:r w:rsidRPr="00BE42E5">
        <w:rPr>
          <w:rFonts w:ascii="David" w:hAnsi="David"/>
          <w:color w:val="000000"/>
          <w:sz w:val="22"/>
          <w:szCs w:val="22"/>
          <w:rtl/>
        </w:rPr>
        <w:t>אלון גביזון 54678313-/</w:t>
      </w:r>
    </w:p>
    <w:p w14:paraId="1F2D54A6" w14:textId="77777777" w:rsidR="001F3703" w:rsidRPr="001F3703" w:rsidRDefault="00BE42E5" w:rsidP="00BE42E5">
      <w:pPr>
        <w:rPr>
          <w:color w:val="0000FF"/>
          <w:u w:val="single"/>
        </w:rPr>
      </w:pPr>
      <w:r w:rsidRPr="00BE42E5">
        <w:rPr>
          <w:color w:val="000000"/>
          <w:u w:val="single"/>
          <w:rtl/>
        </w:rPr>
        <w:t>נוסח מסמך זה כפוף לשינויי ניסוח ועריכה</w:t>
      </w:r>
    </w:p>
    <w:sectPr w:rsidR="001F3703" w:rsidRPr="001F3703" w:rsidSect="00BE42E5">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2FE6D" w14:textId="77777777" w:rsidR="00F523EE" w:rsidRDefault="00F523EE" w:rsidP="00C86499">
      <w:r>
        <w:separator/>
      </w:r>
    </w:p>
  </w:endnote>
  <w:endnote w:type="continuationSeparator" w:id="0">
    <w:p w14:paraId="04ED5F98" w14:textId="77777777" w:rsidR="00F523EE" w:rsidRDefault="00F523EE" w:rsidP="00C8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062C3" w14:textId="77777777" w:rsidR="00BE42E5" w:rsidRDefault="00BE42E5" w:rsidP="00BE42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349AA5B" w14:textId="77777777" w:rsidR="000E51F2" w:rsidRPr="00BE42E5" w:rsidRDefault="00BE42E5" w:rsidP="00BE42E5">
    <w:pPr>
      <w:pStyle w:val="a5"/>
      <w:pBdr>
        <w:top w:val="single" w:sz="4" w:space="1" w:color="auto"/>
        <w:between w:val="single" w:sz="4" w:space="0" w:color="auto"/>
      </w:pBdr>
      <w:spacing w:after="60"/>
      <w:jc w:val="center"/>
      <w:rPr>
        <w:rFonts w:ascii="FrankRuehl" w:hAnsi="FrankRuehl" w:cs="FrankRuehl"/>
        <w:color w:val="000000"/>
      </w:rPr>
    </w:pPr>
    <w:r w:rsidRPr="00BE42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C4E2" w14:textId="77777777" w:rsidR="00BE42E5" w:rsidRDefault="00BE42E5" w:rsidP="00BE42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12D8">
      <w:rPr>
        <w:rFonts w:ascii="FrankRuehl" w:hAnsi="FrankRuehl" w:cs="FrankRuehl"/>
        <w:noProof/>
        <w:rtl/>
      </w:rPr>
      <w:t>1</w:t>
    </w:r>
    <w:r>
      <w:rPr>
        <w:rFonts w:ascii="FrankRuehl" w:hAnsi="FrankRuehl" w:cs="FrankRuehl"/>
        <w:rtl/>
      </w:rPr>
      <w:fldChar w:fldCharType="end"/>
    </w:r>
  </w:p>
  <w:p w14:paraId="6AB1D4B6" w14:textId="77777777" w:rsidR="000E51F2" w:rsidRPr="00BE42E5" w:rsidRDefault="00BE42E5" w:rsidP="00BE42E5">
    <w:pPr>
      <w:pStyle w:val="a5"/>
      <w:pBdr>
        <w:top w:val="single" w:sz="4" w:space="1" w:color="auto"/>
        <w:between w:val="single" w:sz="4" w:space="0" w:color="auto"/>
      </w:pBdr>
      <w:spacing w:after="60"/>
      <w:jc w:val="center"/>
      <w:rPr>
        <w:rFonts w:ascii="FrankRuehl" w:hAnsi="FrankRuehl" w:cs="FrankRuehl"/>
        <w:color w:val="000000"/>
      </w:rPr>
    </w:pPr>
    <w:r w:rsidRPr="00BE42E5">
      <w:rPr>
        <w:rFonts w:ascii="FrankRuehl" w:hAnsi="FrankRuehl" w:cs="FrankRuehl"/>
        <w:color w:val="000000"/>
      </w:rPr>
      <w:pict w14:anchorId="3135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CAA0B" w14:textId="77777777" w:rsidR="00F523EE" w:rsidRDefault="00F523EE" w:rsidP="00C86499">
      <w:r>
        <w:separator/>
      </w:r>
    </w:p>
  </w:footnote>
  <w:footnote w:type="continuationSeparator" w:id="0">
    <w:p w14:paraId="4FE90D4A" w14:textId="77777777" w:rsidR="00F523EE" w:rsidRDefault="00F523EE" w:rsidP="00C8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8C599" w14:textId="77777777" w:rsidR="001F3703" w:rsidRPr="00BE42E5" w:rsidRDefault="00BE42E5" w:rsidP="00BE42E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45769-04-24</w:t>
    </w:r>
    <w:r>
      <w:rPr>
        <w:rFonts w:ascii="David" w:hAnsi="David"/>
        <w:color w:val="000000"/>
        <w:sz w:val="22"/>
        <w:szCs w:val="22"/>
        <w:rtl/>
      </w:rPr>
      <w:tab/>
      <w:t xml:space="preserve"> מדינת ישראל נ' מוחמד אבו גליון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1F0A0" w14:textId="77777777" w:rsidR="001F3703" w:rsidRPr="00BE42E5" w:rsidRDefault="00BE42E5" w:rsidP="00BE42E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45769-04-24</w:t>
    </w:r>
    <w:r>
      <w:rPr>
        <w:rFonts w:ascii="David" w:hAnsi="David"/>
        <w:color w:val="000000"/>
        <w:sz w:val="22"/>
        <w:szCs w:val="22"/>
        <w:rtl/>
      </w:rPr>
      <w:tab/>
      <w:t xml:space="preserve"> מדינת ישראל נ' מוחמד אבו גליון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194021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66B3"/>
    <w:rsid w:val="000E51F2"/>
    <w:rsid w:val="001F3703"/>
    <w:rsid w:val="00B925C5"/>
    <w:rsid w:val="00B92735"/>
    <w:rsid w:val="00BE42E5"/>
    <w:rsid w:val="00C86499"/>
    <w:rsid w:val="00E966B3"/>
    <w:rsid w:val="00EF12D8"/>
    <w:rsid w:val="00F523EE"/>
    <w:rsid w:val="00FC6E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515A1F"/>
  <w15:chartTrackingRefBased/>
  <w15:docId w15:val="{7EF4AF7D-47F8-4C72-9B69-42E8867B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6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66B3"/>
    <w:pPr>
      <w:tabs>
        <w:tab w:val="center" w:pos="4153"/>
        <w:tab w:val="right" w:pos="8306"/>
      </w:tabs>
    </w:pPr>
  </w:style>
  <w:style w:type="character" w:customStyle="1" w:styleId="a4">
    <w:name w:val="כותרת עליונה תו"/>
    <w:link w:val="a3"/>
    <w:rsid w:val="00E966B3"/>
    <w:rPr>
      <w:rFonts w:ascii="Times New Roman" w:eastAsia="Times New Roman" w:hAnsi="Times New Roman" w:cs="David"/>
      <w:sz w:val="24"/>
      <w:szCs w:val="24"/>
    </w:rPr>
  </w:style>
  <w:style w:type="paragraph" w:styleId="a5">
    <w:name w:val="footer"/>
    <w:basedOn w:val="a"/>
    <w:link w:val="a6"/>
    <w:rsid w:val="00E966B3"/>
    <w:pPr>
      <w:tabs>
        <w:tab w:val="center" w:pos="4153"/>
        <w:tab w:val="right" w:pos="8306"/>
      </w:tabs>
    </w:pPr>
  </w:style>
  <w:style w:type="character" w:customStyle="1" w:styleId="a6">
    <w:name w:val="כותרת תחתונה תו"/>
    <w:link w:val="a5"/>
    <w:rsid w:val="00E966B3"/>
    <w:rPr>
      <w:rFonts w:ascii="Times New Roman" w:eastAsia="Times New Roman" w:hAnsi="Times New Roman" w:cs="David"/>
      <w:sz w:val="24"/>
      <w:szCs w:val="24"/>
    </w:rPr>
  </w:style>
  <w:style w:type="table" w:styleId="a7">
    <w:name w:val="Table Grid"/>
    <w:basedOn w:val="a1"/>
    <w:rsid w:val="00E966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66B3"/>
  </w:style>
  <w:style w:type="character" w:styleId="Hyperlink">
    <w:name w:val="Hyperlink"/>
    <w:rsid w:val="00E966B3"/>
    <w:rPr>
      <w:color w:val="0563C1"/>
      <w:u w:val="single"/>
    </w:rPr>
  </w:style>
  <w:style w:type="character" w:customStyle="1" w:styleId="a9">
    <w:name w:val="פיסקת רשימה תו"/>
    <w:link w:val="aa"/>
    <w:locked/>
    <w:rsid w:val="00E966B3"/>
    <w:rPr>
      <w:rFonts w:ascii="Calibri" w:hAnsi="Calibri" w:cs="Calibri"/>
    </w:rPr>
  </w:style>
  <w:style w:type="paragraph" w:styleId="aa">
    <w:name w:val="List Paragraph"/>
    <w:basedOn w:val="a"/>
    <w:link w:val="a9"/>
    <w:qFormat/>
    <w:rsid w:val="00E966B3"/>
    <w:pPr>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30621067" TargetMode="External"/><Relationship Id="rId26" Type="http://schemas.openxmlformats.org/officeDocument/2006/relationships/hyperlink" Target="http://www.nevo.co.il/law/70301/144" TargetMode="External"/><Relationship Id="rId21" Type="http://schemas.openxmlformats.org/officeDocument/2006/relationships/hyperlink" Target="http://www.nevo.co.il/case/27078678"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30621067"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379" TargetMode="External"/><Relationship Id="rId20" Type="http://schemas.openxmlformats.org/officeDocument/2006/relationships/hyperlink" Target="http://www.nevo.co.il/case/27925239"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79" TargetMode="External"/><Relationship Id="rId24" Type="http://schemas.openxmlformats.org/officeDocument/2006/relationships/hyperlink" Target="http://www.nevo.co.il/law/70301/340a"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9426147" TargetMode="External"/><Relationship Id="rId23" Type="http://schemas.openxmlformats.org/officeDocument/2006/relationships/hyperlink" Target="http://www.nevo.co.il/case/30621067" TargetMode="External"/><Relationship Id="rId28" Type="http://schemas.openxmlformats.org/officeDocument/2006/relationships/hyperlink" Target="http://www.nevo.co.il/law/70301/379" TargetMode="External"/><Relationship Id="rId36" Type="http://schemas.openxmlformats.org/officeDocument/2006/relationships/fontTable" Target="fontTable.xml"/><Relationship Id="rId10" Type="http://schemas.openxmlformats.org/officeDocument/2006/relationships/hyperlink" Target="http://www.nevo.co.il/law/70301/340a" TargetMode="External"/><Relationship Id="rId19" Type="http://schemas.openxmlformats.org/officeDocument/2006/relationships/hyperlink" Target="http://www.nevo.co.il/case/25612982"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61892" TargetMode="External"/><Relationship Id="rId27" Type="http://schemas.openxmlformats.org/officeDocument/2006/relationships/hyperlink" Target="http://www.nevo.co.il/case/30621067" TargetMode="External"/><Relationship Id="rId30" Type="http://schemas.openxmlformats.org/officeDocument/2006/relationships/hyperlink" Target="http://www.eca.gov.il" TargetMode="External"/><Relationship Id="rId35" Type="http://schemas.openxmlformats.org/officeDocument/2006/relationships/footer" Target="footer2.xml"/><Relationship Id="rId8" Type="http://schemas.openxmlformats.org/officeDocument/2006/relationships/hyperlink" Target="http://www.nevo.co.il/law/70301/14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1679</Words>
  <Characters>8400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10059</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7864368</vt:i4>
      </vt:variant>
      <vt:variant>
        <vt:i4>69</vt:i4>
      </vt:variant>
      <vt:variant>
        <vt:i4>0</vt:i4>
      </vt:variant>
      <vt:variant>
        <vt:i4>5</vt:i4>
      </vt:variant>
      <vt:variant>
        <vt:lpwstr>http://www.eca.gov.il/</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3276918</vt:i4>
      </vt:variant>
      <vt:variant>
        <vt:i4>60</vt:i4>
      </vt:variant>
      <vt:variant>
        <vt:i4>0</vt:i4>
      </vt:variant>
      <vt:variant>
        <vt:i4>5</vt:i4>
      </vt:variant>
      <vt:variant>
        <vt:lpwstr>http://www.nevo.co.il/case/30621067</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7995492</vt:i4>
      </vt:variant>
      <vt:variant>
        <vt:i4>54</vt:i4>
      </vt:variant>
      <vt:variant>
        <vt:i4>0</vt:i4>
      </vt:variant>
      <vt:variant>
        <vt:i4>5</vt:i4>
      </vt:variant>
      <vt:variant>
        <vt:lpwstr>http://www.nevo.co.il/law/70301</vt:lpwstr>
      </vt:variant>
      <vt:variant>
        <vt:lpwstr/>
      </vt:variant>
      <vt:variant>
        <vt:i4>86</vt:i4>
      </vt:variant>
      <vt:variant>
        <vt:i4>51</vt:i4>
      </vt:variant>
      <vt:variant>
        <vt:i4>0</vt:i4>
      </vt:variant>
      <vt:variant>
        <vt:i4>5</vt:i4>
      </vt:variant>
      <vt:variant>
        <vt:lpwstr>http://www.nevo.co.il/law/70301/340a</vt:lpwstr>
      </vt:variant>
      <vt:variant>
        <vt:lpwstr/>
      </vt:variant>
      <vt:variant>
        <vt:i4>3276918</vt:i4>
      </vt:variant>
      <vt:variant>
        <vt:i4>48</vt:i4>
      </vt:variant>
      <vt:variant>
        <vt:i4>0</vt:i4>
      </vt:variant>
      <vt:variant>
        <vt:i4>5</vt:i4>
      </vt:variant>
      <vt:variant>
        <vt:lpwstr>http://www.nevo.co.il/case/30621067</vt:lpwstr>
      </vt:variant>
      <vt:variant>
        <vt:lpwstr/>
      </vt:variant>
      <vt:variant>
        <vt:i4>589898</vt:i4>
      </vt:variant>
      <vt:variant>
        <vt:i4>45</vt:i4>
      </vt:variant>
      <vt:variant>
        <vt:i4>0</vt:i4>
      </vt:variant>
      <vt:variant>
        <vt:i4>5</vt:i4>
      </vt:variant>
      <vt:variant>
        <vt:lpwstr>http://www.nevo.co.il/case/161892</vt:lpwstr>
      </vt:variant>
      <vt:variant>
        <vt:lpwstr/>
      </vt:variant>
      <vt:variant>
        <vt:i4>3997810</vt:i4>
      </vt:variant>
      <vt:variant>
        <vt:i4>42</vt:i4>
      </vt:variant>
      <vt:variant>
        <vt:i4>0</vt:i4>
      </vt:variant>
      <vt:variant>
        <vt:i4>5</vt:i4>
      </vt:variant>
      <vt:variant>
        <vt:lpwstr>http://www.nevo.co.il/case/27078678</vt:lpwstr>
      </vt:variant>
      <vt:variant>
        <vt:lpwstr/>
      </vt:variant>
      <vt:variant>
        <vt:i4>3997811</vt:i4>
      </vt:variant>
      <vt:variant>
        <vt:i4>39</vt:i4>
      </vt:variant>
      <vt:variant>
        <vt:i4>0</vt:i4>
      </vt:variant>
      <vt:variant>
        <vt:i4>5</vt:i4>
      </vt:variant>
      <vt:variant>
        <vt:lpwstr>http://www.nevo.co.il/case/27925239</vt:lpwstr>
      </vt:variant>
      <vt:variant>
        <vt:lpwstr/>
      </vt:variant>
      <vt:variant>
        <vt:i4>4063353</vt:i4>
      </vt:variant>
      <vt:variant>
        <vt:i4>36</vt:i4>
      </vt:variant>
      <vt:variant>
        <vt:i4>0</vt:i4>
      </vt:variant>
      <vt:variant>
        <vt:i4>5</vt:i4>
      </vt:variant>
      <vt:variant>
        <vt:lpwstr>http://www.nevo.co.il/case/25612982</vt:lpwstr>
      </vt:variant>
      <vt:variant>
        <vt:lpwstr/>
      </vt:variant>
      <vt:variant>
        <vt:i4>3276918</vt:i4>
      </vt:variant>
      <vt:variant>
        <vt:i4>33</vt:i4>
      </vt:variant>
      <vt:variant>
        <vt:i4>0</vt:i4>
      </vt:variant>
      <vt:variant>
        <vt:i4>5</vt:i4>
      </vt:variant>
      <vt:variant>
        <vt:lpwstr>http://www.nevo.co.il/case/30621067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3407998</vt:i4>
      </vt:variant>
      <vt:variant>
        <vt:i4>24</vt:i4>
      </vt:variant>
      <vt:variant>
        <vt:i4>0</vt:i4>
      </vt:variant>
      <vt:variant>
        <vt:i4>5</vt:i4>
      </vt:variant>
      <vt:variant>
        <vt:lpwstr>http://www.nevo.co.il/case/29426147</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3276918</vt:i4>
      </vt:variant>
      <vt:variant>
        <vt:i4>15</vt:i4>
      </vt:variant>
      <vt:variant>
        <vt:i4>0</vt:i4>
      </vt:variant>
      <vt:variant>
        <vt:i4>5</vt:i4>
      </vt:variant>
      <vt:variant>
        <vt:lpwstr>http://www.nevo.co.il/case/30621067</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45769</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אבו גליון </vt:lpwstr>
  </property>
  <property fmtid="{D5CDD505-2E9C-101B-9397-08002B2CF9AE}" pid="10" name="LAWYER">
    <vt:lpwstr>אדר בכר;נטלי אוטן</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20250319</vt:lpwstr>
  </property>
  <property fmtid="{D5CDD505-2E9C-101B-9397-08002B2CF9AE}" pid="14" name="TYPE_N_DATE">
    <vt:lpwstr>39020250319</vt:lpwstr>
  </property>
  <property fmtid="{D5CDD505-2E9C-101B-9397-08002B2CF9AE}" pid="15" name="CASESLISTTMP1">
    <vt:lpwstr>30621067:4;29426147;25612982;27925239;27078678;161892</vt:lpwstr>
  </property>
  <property fmtid="{D5CDD505-2E9C-101B-9397-08002B2CF9AE}" pid="16" name="WORDNUMPAGES">
    <vt:lpwstr>7</vt:lpwstr>
  </property>
  <property fmtid="{D5CDD505-2E9C-101B-9397-08002B2CF9AE}" pid="17" name="TYPE_ABS_DATE">
    <vt:lpwstr>390020250319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70301/144.b;379:2;340a;144</vt:lpwstr>
  </property>
  <property fmtid="{D5CDD505-2E9C-101B-9397-08002B2CF9AE}" pid="36" name="ISABSTRACT">
    <vt:lpwstr>Y</vt:lpwstr>
  </property>
</Properties>
</file>