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D260C" w:rsidRPr="009D24E4" w14:paraId="68D5A2E7" w14:textId="77777777" w:rsidTr="00DB265A">
        <w:trPr>
          <w:trHeight w:hRule="exact" w:val="418"/>
          <w:jc w:val="center"/>
        </w:trPr>
        <w:tc>
          <w:tcPr>
            <w:tcW w:w="8721" w:type="dxa"/>
            <w:gridSpan w:val="2"/>
          </w:tcPr>
          <w:p w14:paraId="62F1945D" w14:textId="77777777" w:rsidR="00DD260C" w:rsidRPr="009D24E4" w:rsidRDefault="00DD260C" w:rsidP="006C6FB8">
            <w:pPr>
              <w:pStyle w:val="a3"/>
              <w:jc w:val="center"/>
              <w:rPr>
                <w:rFonts w:ascii="Tahoma" w:hAnsi="Tahoma" w:cs="Tahoma"/>
                <w:color w:val="000080"/>
                <w:rtl/>
              </w:rPr>
            </w:pPr>
            <w:bookmarkStart w:id="0" w:name="LastJudge"/>
            <w:r w:rsidRPr="009D24E4">
              <w:rPr>
                <w:rFonts w:ascii="Tahoma" w:hAnsi="Tahoma" w:cs="Tahoma"/>
                <w:b/>
                <w:bCs/>
                <w:color w:val="000080"/>
                <w:rtl/>
              </w:rPr>
              <w:t>בית המשפט המחוזי בחיפה</w:t>
            </w:r>
          </w:p>
        </w:tc>
      </w:tr>
      <w:tr w:rsidR="00DD260C" w:rsidRPr="009D24E4" w14:paraId="01173B1F" w14:textId="77777777" w:rsidTr="00DB265A">
        <w:trPr>
          <w:trHeight w:val="337"/>
          <w:jc w:val="center"/>
        </w:trPr>
        <w:tc>
          <w:tcPr>
            <w:tcW w:w="5057" w:type="dxa"/>
          </w:tcPr>
          <w:p w14:paraId="66D76011" w14:textId="77777777" w:rsidR="00DD260C" w:rsidRPr="009D24E4" w:rsidRDefault="00DD260C" w:rsidP="006C6FB8">
            <w:pPr>
              <w:rPr>
                <w:rFonts w:cs="FrankRuehl"/>
                <w:sz w:val="28"/>
                <w:szCs w:val="28"/>
                <w:rtl/>
              </w:rPr>
            </w:pPr>
            <w:r w:rsidRPr="009D24E4">
              <w:rPr>
                <w:rFonts w:cs="FrankRuehl"/>
                <w:sz w:val="28"/>
                <w:szCs w:val="28"/>
                <w:rtl/>
              </w:rPr>
              <w:t>ת"פ</w:t>
            </w:r>
            <w:r w:rsidRPr="009D24E4">
              <w:rPr>
                <w:rFonts w:cs="FrankRuehl" w:hint="cs"/>
                <w:sz w:val="28"/>
                <w:szCs w:val="28"/>
                <w:rtl/>
              </w:rPr>
              <w:t xml:space="preserve"> </w:t>
            </w:r>
            <w:r w:rsidRPr="009D24E4">
              <w:rPr>
                <w:rFonts w:cs="FrankRuehl"/>
                <w:sz w:val="28"/>
                <w:szCs w:val="28"/>
                <w:rtl/>
              </w:rPr>
              <w:t>47452-04-24</w:t>
            </w:r>
            <w:r w:rsidRPr="009D24E4">
              <w:rPr>
                <w:rFonts w:cs="FrankRuehl" w:hint="cs"/>
                <w:sz w:val="28"/>
                <w:szCs w:val="28"/>
                <w:rtl/>
              </w:rPr>
              <w:t xml:space="preserve"> </w:t>
            </w:r>
            <w:r w:rsidRPr="009D24E4">
              <w:rPr>
                <w:rFonts w:cs="FrankRuehl"/>
                <w:sz w:val="28"/>
                <w:szCs w:val="28"/>
                <w:rtl/>
              </w:rPr>
              <w:t>מדינת ישראל נ' אסדי(עציר)</w:t>
            </w:r>
          </w:p>
          <w:p w14:paraId="6F8D5872" w14:textId="77777777" w:rsidR="00DD260C" w:rsidRPr="009D24E4" w:rsidRDefault="00DD260C" w:rsidP="006C6FB8">
            <w:pPr>
              <w:pStyle w:val="a3"/>
              <w:rPr>
                <w:rFonts w:cs="FrankRuehl"/>
                <w:sz w:val="28"/>
                <w:szCs w:val="28"/>
                <w:rtl/>
              </w:rPr>
            </w:pPr>
          </w:p>
        </w:tc>
        <w:tc>
          <w:tcPr>
            <w:tcW w:w="3664" w:type="dxa"/>
          </w:tcPr>
          <w:p w14:paraId="1C86F950" w14:textId="77777777" w:rsidR="00DD260C" w:rsidRPr="009D24E4" w:rsidRDefault="00DD260C" w:rsidP="006C6FB8">
            <w:pPr>
              <w:pStyle w:val="a3"/>
              <w:jc w:val="right"/>
              <w:rPr>
                <w:rFonts w:cs="FrankRuehl"/>
                <w:sz w:val="28"/>
                <w:szCs w:val="28"/>
                <w:rtl/>
              </w:rPr>
            </w:pPr>
          </w:p>
        </w:tc>
      </w:tr>
    </w:tbl>
    <w:p w14:paraId="7343CB8E" w14:textId="77777777" w:rsidR="00DD260C" w:rsidRPr="009D24E4" w:rsidRDefault="00DD260C" w:rsidP="00DB265A">
      <w:pPr>
        <w:pStyle w:val="a3"/>
        <w:rPr>
          <w:rFonts w:ascii="David" w:eastAsia="David" w:hAnsi="David"/>
          <w:rtl/>
        </w:rPr>
      </w:pPr>
      <w:r w:rsidRPr="009D24E4">
        <w:rPr>
          <w:rFonts w:hint="cs"/>
          <w:rtl/>
        </w:rPr>
        <w:t xml:space="preserve"> </w:t>
      </w:r>
    </w:p>
    <w:tbl>
      <w:tblPr>
        <w:bidiVisual/>
        <w:tblW w:w="0" w:type="auto"/>
        <w:jc w:val="center"/>
        <w:tblLook w:val="04A0" w:firstRow="1" w:lastRow="0" w:firstColumn="1" w:lastColumn="0" w:noHBand="0" w:noVBand="1"/>
      </w:tblPr>
      <w:tblGrid>
        <w:gridCol w:w="1553"/>
        <w:gridCol w:w="6952"/>
      </w:tblGrid>
      <w:tr w:rsidR="00DD260C" w:rsidRPr="009D24E4" w14:paraId="31445097" w14:textId="77777777" w:rsidTr="006C6FB8">
        <w:trPr>
          <w:trHeight w:val="337"/>
          <w:jc w:val="center"/>
        </w:trPr>
        <w:tc>
          <w:tcPr>
            <w:tcW w:w="1553" w:type="dxa"/>
          </w:tcPr>
          <w:p w14:paraId="0AE508BE" w14:textId="77777777" w:rsidR="00DD260C" w:rsidRPr="009D24E4" w:rsidRDefault="00DD260C" w:rsidP="006C6FB8">
            <w:pPr>
              <w:pStyle w:val="a3"/>
              <w:bidi w:val="0"/>
              <w:spacing w:line="360" w:lineRule="auto"/>
              <w:jc w:val="both"/>
            </w:pPr>
            <w:r w:rsidRPr="009D24E4">
              <w:t xml:space="preserve">   </w:t>
            </w:r>
          </w:p>
        </w:tc>
        <w:tc>
          <w:tcPr>
            <w:tcW w:w="6952" w:type="dxa"/>
          </w:tcPr>
          <w:p w14:paraId="0F8D0D4F" w14:textId="77777777" w:rsidR="00DD260C" w:rsidRPr="009D24E4" w:rsidRDefault="00DD260C" w:rsidP="006C6FB8">
            <w:pPr>
              <w:pStyle w:val="a3"/>
              <w:spacing w:line="256" w:lineRule="auto"/>
              <w:jc w:val="right"/>
            </w:pPr>
            <w:r w:rsidRPr="009D24E4">
              <w:rPr>
                <w:rtl/>
              </w:rPr>
              <w:t xml:space="preserve"> </w:t>
            </w:r>
            <w:r w:rsidRPr="009D24E4">
              <w:rPr>
                <w:rFonts w:hint="cs"/>
                <w:b/>
                <w:bCs/>
                <w:rtl/>
              </w:rPr>
              <w:t>47452-04-24</w:t>
            </w:r>
          </w:p>
        </w:tc>
      </w:tr>
      <w:tr w:rsidR="00DD260C" w:rsidRPr="009D24E4" w14:paraId="6970C7C6" w14:textId="77777777" w:rsidTr="006C6FB8">
        <w:trPr>
          <w:trHeight w:val="337"/>
          <w:jc w:val="center"/>
        </w:trPr>
        <w:tc>
          <w:tcPr>
            <w:tcW w:w="1553" w:type="dxa"/>
          </w:tcPr>
          <w:p w14:paraId="24D46FDF" w14:textId="77777777" w:rsidR="00DD260C" w:rsidRPr="009D24E4" w:rsidRDefault="00DD260C" w:rsidP="006C6FB8">
            <w:pPr>
              <w:pStyle w:val="a3"/>
              <w:bidi w:val="0"/>
              <w:spacing w:line="256" w:lineRule="auto"/>
              <w:jc w:val="both"/>
            </w:pPr>
          </w:p>
        </w:tc>
        <w:tc>
          <w:tcPr>
            <w:tcW w:w="6952" w:type="dxa"/>
            <w:vAlign w:val="center"/>
          </w:tcPr>
          <w:p w14:paraId="04D48EA3" w14:textId="77777777" w:rsidR="00DD260C" w:rsidRPr="009D24E4" w:rsidRDefault="00DD260C" w:rsidP="006C6FB8">
            <w:pPr>
              <w:pStyle w:val="a3"/>
              <w:spacing w:line="256" w:lineRule="auto"/>
              <w:jc w:val="right"/>
              <w:rPr>
                <w:b/>
                <w:bCs/>
                <w:rtl/>
              </w:rPr>
            </w:pPr>
            <w:r w:rsidRPr="009D24E4">
              <w:rPr>
                <w:b/>
                <w:bCs/>
                <w:rtl/>
              </w:rPr>
              <w:t xml:space="preserve">                       </w:t>
            </w:r>
          </w:p>
        </w:tc>
      </w:tr>
    </w:tbl>
    <w:p w14:paraId="26ACD87D" w14:textId="77777777" w:rsidR="00DD260C" w:rsidRPr="009D24E4" w:rsidRDefault="00DD260C" w:rsidP="00DD260C">
      <w:pPr>
        <w:spacing w:line="360" w:lineRule="auto"/>
        <w:jc w:val="both"/>
        <w:rPr>
          <w:rFonts w:ascii="David" w:eastAsia="David" w:hAnsi="David"/>
          <w:rtl/>
        </w:rPr>
      </w:pPr>
    </w:p>
    <w:tbl>
      <w:tblPr>
        <w:bidiVisual/>
        <w:tblW w:w="8802" w:type="dxa"/>
        <w:tblInd w:w="-28" w:type="dxa"/>
        <w:tblLook w:val="01E0" w:firstRow="1" w:lastRow="1" w:firstColumn="1" w:lastColumn="1" w:noHBand="0" w:noVBand="0"/>
      </w:tblPr>
      <w:tblGrid>
        <w:gridCol w:w="2880"/>
        <w:gridCol w:w="5838"/>
        <w:gridCol w:w="84"/>
      </w:tblGrid>
      <w:tr w:rsidR="00DD260C" w:rsidRPr="009D24E4" w14:paraId="5940A989" w14:textId="77777777" w:rsidTr="00DD260C">
        <w:trPr>
          <w:gridAfter w:val="1"/>
          <w:wAfter w:w="56" w:type="dxa"/>
        </w:trPr>
        <w:tc>
          <w:tcPr>
            <w:tcW w:w="8718" w:type="dxa"/>
            <w:gridSpan w:val="2"/>
            <w:shd w:val="clear" w:color="auto" w:fill="auto"/>
          </w:tcPr>
          <w:p w14:paraId="4FF9F9EB" w14:textId="77777777" w:rsidR="00DD260C" w:rsidRPr="009D24E4" w:rsidRDefault="00DD260C" w:rsidP="006C6FB8">
            <w:pPr>
              <w:rPr>
                <w:rStyle w:val="TimesNewRomanTimesNewRoman"/>
                <w:rtl/>
              </w:rPr>
            </w:pPr>
            <w:r w:rsidRPr="009D24E4">
              <w:rPr>
                <w:rFonts w:hint="cs"/>
                <w:b/>
                <w:bCs/>
                <w:rtl/>
              </w:rPr>
              <w:t>לפני כבוד השופט נתנאל בנישו</w:t>
            </w:r>
            <w:r w:rsidRPr="009D24E4">
              <w:rPr>
                <w:rStyle w:val="TimesNewRomanTimesNewRoman"/>
                <w:rtl/>
              </w:rPr>
              <w:t xml:space="preserve"> </w:t>
            </w:r>
          </w:p>
          <w:p w14:paraId="43F5834A" w14:textId="77777777" w:rsidR="00DD260C" w:rsidRPr="009D24E4" w:rsidRDefault="00DD260C" w:rsidP="006C6FB8">
            <w:pPr>
              <w:rPr>
                <w:rStyle w:val="TimesNewRomanTimesNewRoman"/>
                <w:rtl/>
              </w:rPr>
            </w:pPr>
          </w:p>
          <w:p w14:paraId="3CBA7C55" w14:textId="77777777" w:rsidR="00DD260C" w:rsidRPr="009D24E4" w:rsidRDefault="00DD260C" w:rsidP="006C6FB8">
            <w:pPr>
              <w:rPr>
                <w:rFonts w:ascii="David" w:hAnsi="David"/>
                <w:rtl/>
              </w:rPr>
            </w:pPr>
          </w:p>
        </w:tc>
      </w:tr>
      <w:tr w:rsidR="00DD260C" w:rsidRPr="009D24E4" w14:paraId="4DBDBD7F" w14:textId="77777777" w:rsidTr="00DD260C">
        <w:trPr>
          <w:cantSplit/>
          <w:trHeight w:val="724"/>
        </w:trPr>
        <w:tc>
          <w:tcPr>
            <w:tcW w:w="2880" w:type="dxa"/>
            <w:shd w:val="clear" w:color="auto" w:fill="auto"/>
          </w:tcPr>
          <w:p w14:paraId="20B4D2C0" w14:textId="77777777" w:rsidR="00DD260C" w:rsidRPr="009D24E4" w:rsidRDefault="00DD260C" w:rsidP="00DD260C">
            <w:pPr>
              <w:ind w:left="26"/>
              <w:rPr>
                <w:b/>
                <w:bCs/>
                <w:rtl/>
              </w:rPr>
            </w:pPr>
            <w:bookmarkStart w:id="1" w:name="FirstAppellant"/>
            <w:bookmarkStart w:id="2" w:name="FirstLawyer"/>
            <w:r w:rsidRPr="009D24E4">
              <w:rPr>
                <w:rFonts w:hint="cs"/>
                <w:b/>
                <w:bCs/>
                <w:rtl/>
              </w:rPr>
              <w:t>המאשימה</w:t>
            </w:r>
          </w:p>
        </w:tc>
        <w:tc>
          <w:tcPr>
            <w:tcW w:w="5922" w:type="dxa"/>
            <w:gridSpan w:val="2"/>
            <w:shd w:val="clear" w:color="auto" w:fill="auto"/>
          </w:tcPr>
          <w:p w14:paraId="5405CB64" w14:textId="77777777" w:rsidR="00DD260C" w:rsidRPr="009D24E4" w:rsidRDefault="00DD260C" w:rsidP="006C6FB8">
            <w:pPr>
              <w:rPr>
                <w:b/>
                <w:bCs/>
                <w:rtl/>
              </w:rPr>
            </w:pPr>
            <w:r w:rsidRPr="009D24E4">
              <w:rPr>
                <w:rFonts w:hint="cs"/>
                <w:b/>
                <w:bCs/>
                <w:rtl/>
              </w:rPr>
              <w:t xml:space="preserve">מדינת ישראל  </w:t>
            </w:r>
          </w:p>
          <w:p w14:paraId="7D58ABA4" w14:textId="77777777" w:rsidR="00DD260C" w:rsidRPr="009D24E4" w:rsidRDefault="00DD260C" w:rsidP="006C6FB8">
            <w:pPr>
              <w:rPr>
                <w:rtl/>
              </w:rPr>
            </w:pPr>
            <w:r w:rsidRPr="009D24E4">
              <w:rPr>
                <w:rFonts w:hint="cs"/>
                <w:rtl/>
              </w:rPr>
              <w:t>ע"י ב"כ עו"ד ראיד רחאל</w:t>
            </w:r>
          </w:p>
        </w:tc>
      </w:tr>
      <w:bookmarkEnd w:id="1"/>
      <w:bookmarkEnd w:id="2"/>
      <w:tr w:rsidR="00DD260C" w:rsidRPr="009D24E4" w14:paraId="2292C128" w14:textId="77777777" w:rsidTr="00DD260C">
        <w:tc>
          <w:tcPr>
            <w:tcW w:w="8802" w:type="dxa"/>
            <w:gridSpan w:val="3"/>
            <w:shd w:val="clear" w:color="auto" w:fill="auto"/>
            <w:vAlign w:val="center"/>
          </w:tcPr>
          <w:p w14:paraId="031B81FD" w14:textId="77777777" w:rsidR="00DD260C" w:rsidRPr="009D24E4" w:rsidRDefault="00DD260C" w:rsidP="00DD260C">
            <w:pPr>
              <w:jc w:val="center"/>
              <w:rPr>
                <w:rFonts w:ascii="Arial" w:hAnsi="Arial"/>
                <w:b/>
                <w:bCs/>
                <w:rtl/>
              </w:rPr>
            </w:pPr>
          </w:p>
          <w:p w14:paraId="51567A03" w14:textId="77777777" w:rsidR="00DD260C" w:rsidRPr="009D24E4" w:rsidRDefault="00DD260C" w:rsidP="00DD260C">
            <w:pPr>
              <w:jc w:val="center"/>
              <w:rPr>
                <w:rFonts w:ascii="Arial" w:hAnsi="Arial"/>
                <w:b/>
                <w:bCs/>
                <w:rtl/>
              </w:rPr>
            </w:pPr>
            <w:r w:rsidRPr="009D24E4">
              <w:rPr>
                <w:rFonts w:ascii="Arial" w:hAnsi="Arial" w:hint="cs"/>
                <w:b/>
                <w:bCs/>
                <w:rtl/>
              </w:rPr>
              <w:t>נגד</w:t>
            </w:r>
          </w:p>
          <w:p w14:paraId="7D939A48" w14:textId="77777777" w:rsidR="00DD260C" w:rsidRPr="009D24E4" w:rsidRDefault="00DD260C" w:rsidP="006C6FB8">
            <w:pPr>
              <w:rPr>
                <w:rFonts w:ascii="Arial" w:hAnsi="Arial"/>
                <w:b/>
                <w:bCs/>
                <w:rtl/>
              </w:rPr>
            </w:pPr>
          </w:p>
        </w:tc>
      </w:tr>
      <w:tr w:rsidR="00DD260C" w:rsidRPr="009D24E4" w14:paraId="68F1015D" w14:textId="77777777" w:rsidTr="00DD260C">
        <w:tc>
          <w:tcPr>
            <w:tcW w:w="2880" w:type="dxa"/>
            <w:shd w:val="clear" w:color="auto" w:fill="auto"/>
          </w:tcPr>
          <w:p w14:paraId="7308DEE4" w14:textId="77777777" w:rsidR="00DD260C" w:rsidRPr="009D24E4" w:rsidRDefault="00DD260C" w:rsidP="00DD260C">
            <w:pPr>
              <w:ind w:left="26"/>
              <w:rPr>
                <w:rFonts w:ascii="David" w:hAnsi="David"/>
                <w:b/>
                <w:bCs/>
                <w:rtl/>
              </w:rPr>
            </w:pPr>
            <w:r w:rsidRPr="009D24E4">
              <w:rPr>
                <w:rFonts w:hint="cs"/>
                <w:b/>
                <w:bCs/>
                <w:rtl/>
              </w:rPr>
              <w:t>הנאשם</w:t>
            </w:r>
          </w:p>
        </w:tc>
        <w:tc>
          <w:tcPr>
            <w:tcW w:w="5922" w:type="dxa"/>
            <w:gridSpan w:val="2"/>
            <w:shd w:val="clear" w:color="auto" w:fill="auto"/>
          </w:tcPr>
          <w:p w14:paraId="365BB5FB" w14:textId="77777777" w:rsidR="00DD260C" w:rsidRPr="009D24E4" w:rsidRDefault="00DD260C" w:rsidP="006C6FB8">
            <w:pPr>
              <w:rPr>
                <w:b/>
                <w:bCs/>
              </w:rPr>
            </w:pPr>
            <w:r w:rsidRPr="009D24E4">
              <w:rPr>
                <w:rtl/>
              </w:rPr>
              <w:t xml:space="preserve"> </w:t>
            </w:r>
            <w:r w:rsidRPr="009D24E4">
              <w:rPr>
                <w:rFonts w:hint="cs"/>
                <w:b/>
                <w:bCs/>
                <w:rtl/>
              </w:rPr>
              <w:t>עבד נאסר אסדי (עציר)</w:t>
            </w:r>
            <w:r w:rsidRPr="009D24E4">
              <w:rPr>
                <w:rFonts w:hint="cs"/>
                <w:rtl/>
              </w:rPr>
              <w:t xml:space="preserve">, </w:t>
            </w:r>
            <w:r w:rsidRPr="009D24E4">
              <w:rPr>
                <w:rFonts w:hint="cs"/>
                <w:b/>
                <w:bCs/>
                <w:rtl/>
              </w:rPr>
              <w:t xml:space="preserve">ת"ז </w:t>
            </w:r>
            <w:r w:rsidR="009D24E4">
              <w:rPr>
                <w:b/>
                <w:bCs/>
              </w:rPr>
              <w:t>xxxxxxxxxx</w:t>
            </w:r>
          </w:p>
          <w:p w14:paraId="77614069" w14:textId="77777777" w:rsidR="00DD260C" w:rsidRPr="009D24E4" w:rsidRDefault="00DD260C" w:rsidP="006C6FB8">
            <w:pPr>
              <w:rPr>
                <w:rtl/>
              </w:rPr>
            </w:pPr>
            <w:r w:rsidRPr="009D24E4">
              <w:rPr>
                <w:rFonts w:hint="cs"/>
                <w:rtl/>
              </w:rPr>
              <w:t xml:space="preserve"> ע"י ב"כ עו"ד שאדי סרוגי ועו"ד תמי אולמן</w:t>
            </w:r>
          </w:p>
        </w:tc>
      </w:tr>
    </w:tbl>
    <w:p w14:paraId="00CE4B7E" w14:textId="77777777" w:rsidR="00DD260C" w:rsidRPr="009D24E4" w:rsidRDefault="00DD260C" w:rsidP="00DD260C">
      <w:pPr>
        <w:spacing w:line="360" w:lineRule="auto"/>
        <w:jc w:val="both"/>
        <w:rPr>
          <w:rFonts w:ascii="David" w:eastAsia="David" w:hAnsi="David"/>
          <w:rtl/>
        </w:rPr>
      </w:pPr>
    </w:p>
    <w:p w14:paraId="0532DA2C" w14:textId="77777777" w:rsidR="009D24E4" w:rsidRPr="009D24E4" w:rsidRDefault="009D24E4" w:rsidP="009D24E4">
      <w:pPr>
        <w:spacing w:before="120" w:after="120" w:line="240" w:lineRule="exact"/>
        <w:ind w:left="283" w:hanging="283"/>
        <w:jc w:val="both"/>
        <w:rPr>
          <w:rFonts w:ascii="FrankRuehl" w:hAnsi="FrankRuehl" w:cs="FrankRuehl"/>
          <w:rtl/>
        </w:rPr>
      </w:pPr>
    </w:p>
    <w:p w14:paraId="0AE882B6" w14:textId="77777777" w:rsidR="009D24E4" w:rsidRPr="009D24E4" w:rsidRDefault="009D24E4" w:rsidP="009D24E4">
      <w:pPr>
        <w:rPr>
          <w:rtl/>
        </w:rPr>
      </w:pPr>
    </w:p>
    <w:p w14:paraId="14EB2BFC" w14:textId="77777777" w:rsidR="00DB265A" w:rsidRPr="00DB265A" w:rsidRDefault="00DB265A" w:rsidP="00DB265A">
      <w:pPr>
        <w:spacing w:before="120" w:after="120" w:line="240" w:lineRule="exact"/>
        <w:ind w:left="283" w:hanging="283"/>
        <w:jc w:val="both"/>
        <w:rPr>
          <w:rFonts w:ascii="FrankRuehl" w:hAnsi="FrankRuehl" w:cs="FrankRuehl"/>
          <w:rtl/>
        </w:rPr>
      </w:pPr>
      <w:bookmarkStart w:id="3" w:name="LawTable"/>
      <w:bookmarkEnd w:id="3"/>
    </w:p>
    <w:p w14:paraId="1D032F08" w14:textId="77777777" w:rsidR="00DB265A" w:rsidRPr="00DB265A" w:rsidRDefault="00DB265A" w:rsidP="00DB265A">
      <w:pPr>
        <w:spacing w:before="120" w:after="120" w:line="240" w:lineRule="exact"/>
        <w:ind w:left="283" w:hanging="283"/>
        <w:jc w:val="both"/>
        <w:rPr>
          <w:rFonts w:ascii="FrankRuehl" w:hAnsi="FrankRuehl" w:cs="FrankRuehl"/>
          <w:rtl/>
        </w:rPr>
      </w:pPr>
      <w:r w:rsidRPr="00DB265A">
        <w:rPr>
          <w:rFonts w:ascii="FrankRuehl" w:hAnsi="FrankRuehl" w:cs="FrankRuehl"/>
          <w:rtl/>
        </w:rPr>
        <w:t xml:space="preserve">חקיקה שאוזכרה: </w:t>
      </w:r>
    </w:p>
    <w:p w14:paraId="1E3012B1" w14:textId="77777777" w:rsidR="00DB265A" w:rsidRPr="00DB265A" w:rsidRDefault="00DB265A" w:rsidP="00DB265A">
      <w:pPr>
        <w:spacing w:before="120" w:after="120" w:line="240" w:lineRule="exact"/>
        <w:ind w:left="283" w:hanging="283"/>
        <w:jc w:val="both"/>
        <w:rPr>
          <w:rFonts w:ascii="FrankRuehl" w:hAnsi="FrankRuehl" w:cs="FrankRuehl"/>
          <w:color w:val="0000FF"/>
          <w:rtl/>
        </w:rPr>
      </w:pPr>
      <w:hyperlink r:id="rId7" w:history="1">
        <w:r w:rsidRPr="00DB265A">
          <w:rPr>
            <w:rStyle w:val="Hyperlink"/>
            <w:rFonts w:ascii="FrankRuehl" w:hAnsi="FrankRuehl" w:cs="FrankRuehl"/>
            <w:u w:val="none"/>
            <w:rtl/>
          </w:rPr>
          <w:t>חוק העונשין, תשל"ז-1977</w:t>
        </w:r>
      </w:hyperlink>
      <w:r w:rsidRPr="00DB265A">
        <w:rPr>
          <w:rFonts w:ascii="FrankRuehl" w:hAnsi="FrankRuehl" w:cs="FrankRuehl"/>
          <w:color w:val="0000FF"/>
          <w:rtl/>
        </w:rPr>
        <w:t xml:space="preserve">: סע'  </w:t>
      </w:r>
      <w:hyperlink r:id="rId8" w:history="1">
        <w:r w:rsidRPr="00DB265A">
          <w:rPr>
            <w:rStyle w:val="Hyperlink"/>
            <w:rFonts w:ascii="FrankRuehl" w:hAnsi="FrankRuehl" w:cs="FrankRuehl"/>
            <w:u w:val="none"/>
          </w:rPr>
          <w:t>31</w:t>
        </w:r>
      </w:hyperlink>
      <w:r w:rsidRPr="00DB265A">
        <w:rPr>
          <w:rFonts w:ascii="FrankRuehl" w:hAnsi="FrankRuehl" w:cs="FrankRuehl"/>
          <w:color w:val="0000FF"/>
          <w:rtl/>
        </w:rPr>
        <w:t xml:space="preserve">, </w:t>
      </w:r>
      <w:hyperlink r:id="rId9" w:history="1">
        <w:r w:rsidRPr="00DB265A">
          <w:rPr>
            <w:rStyle w:val="Hyperlink"/>
            <w:rFonts w:ascii="FrankRuehl" w:hAnsi="FrankRuehl" w:cs="FrankRuehl"/>
            <w:u w:val="none"/>
          </w:rPr>
          <w:t>144</w:t>
        </w:r>
      </w:hyperlink>
      <w:r w:rsidRPr="00DB265A">
        <w:rPr>
          <w:rFonts w:ascii="FrankRuehl" w:hAnsi="FrankRuehl" w:cs="FrankRuehl"/>
          <w:color w:val="0000FF"/>
          <w:rtl/>
        </w:rPr>
        <w:t xml:space="preserve">, </w:t>
      </w:r>
      <w:hyperlink r:id="rId10" w:history="1">
        <w:r w:rsidRPr="00DB265A">
          <w:rPr>
            <w:rStyle w:val="Hyperlink"/>
            <w:rFonts w:ascii="FrankRuehl" w:hAnsi="FrankRuehl" w:cs="FrankRuehl"/>
            <w:u w:val="none"/>
          </w:rPr>
          <w:t>144</w:t>
        </w:r>
      </w:hyperlink>
      <w:r w:rsidRPr="00DB265A">
        <w:rPr>
          <w:rFonts w:ascii="FrankRuehl" w:hAnsi="FrankRuehl" w:cs="FrankRuehl"/>
          <w:color w:val="0000FF"/>
          <w:rtl/>
        </w:rPr>
        <w:t xml:space="preserve">(ב), </w:t>
      </w:r>
      <w:hyperlink r:id="rId11" w:history="1">
        <w:r w:rsidRPr="00DB265A">
          <w:rPr>
            <w:rStyle w:val="Hyperlink"/>
            <w:rFonts w:ascii="FrankRuehl" w:hAnsi="FrankRuehl" w:cs="FrankRuehl"/>
            <w:u w:val="none"/>
          </w:rPr>
          <w:t>413</w:t>
        </w:r>
        <w:r w:rsidRPr="00DB265A">
          <w:rPr>
            <w:rStyle w:val="Hyperlink"/>
            <w:rFonts w:ascii="FrankRuehl" w:hAnsi="FrankRuehl" w:cs="FrankRuehl"/>
            <w:u w:val="none"/>
            <w:rtl/>
          </w:rPr>
          <w:t>ג</w:t>
        </w:r>
      </w:hyperlink>
    </w:p>
    <w:p w14:paraId="3549D29D" w14:textId="77777777" w:rsidR="00DD260C" w:rsidRDefault="00DD260C" w:rsidP="00DB265A">
      <w:pPr>
        <w:rPr>
          <w:rFonts w:hint="cs"/>
          <w:rtl/>
        </w:rPr>
      </w:pPr>
      <w:bookmarkStart w:id="4" w:name="LawTable_End"/>
      <w:bookmarkEnd w:id="4"/>
    </w:p>
    <w:p w14:paraId="6C21A15B" w14:textId="77777777" w:rsidR="00DB265A" w:rsidRDefault="00DB265A" w:rsidP="00DB265A">
      <w:pPr>
        <w:rPr>
          <w:rFonts w:hint="cs"/>
          <w:rtl/>
        </w:rPr>
      </w:pPr>
    </w:p>
    <w:p w14:paraId="61381578" w14:textId="77777777" w:rsidR="00DB265A" w:rsidRPr="00DB265A" w:rsidRDefault="00DB265A" w:rsidP="00DB265A">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60C" w14:paraId="640C8199" w14:textId="77777777" w:rsidTr="00DD260C">
        <w:trPr>
          <w:trHeight w:val="355"/>
          <w:jc w:val="center"/>
        </w:trPr>
        <w:tc>
          <w:tcPr>
            <w:tcW w:w="8820" w:type="dxa"/>
            <w:tcBorders>
              <w:top w:val="nil"/>
              <w:left w:val="nil"/>
              <w:bottom w:val="nil"/>
              <w:right w:val="nil"/>
            </w:tcBorders>
            <w:shd w:val="clear" w:color="auto" w:fill="auto"/>
          </w:tcPr>
          <w:p w14:paraId="3F9C8EB6" w14:textId="77777777" w:rsidR="009D24E4" w:rsidRPr="009D24E4" w:rsidRDefault="009D24E4" w:rsidP="009D24E4">
            <w:pPr>
              <w:jc w:val="center"/>
              <w:rPr>
                <w:b/>
                <w:bCs/>
                <w:u w:val="single"/>
                <w:rtl/>
              </w:rPr>
            </w:pPr>
            <w:bookmarkStart w:id="5" w:name="PsakDin" w:colFirst="0" w:colLast="0"/>
            <w:bookmarkEnd w:id="0"/>
            <w:r w:rsidRPr="009D24E4">
              <w:rPr>
                <w:b/>
                <w:bCs/>
                <w:u w:val="single"/>
                <w:rtl/>
              </w:rPr>
              <w:t>גזר דין</w:t>
            </w:r>
          </w:p>
          <w:p w14:paraId="741BA817" w14:textId="77777777" w:rsidR="00DD260C" w:rsidRPr="009D24E4" w:rsidRDefault="00DD260C" w:rsidP="009D24E4">
            <w:pPr>
              <w:jc w:val="center"/>
              <w:rPr>
                <w:bCs/>
                <w:u w:val="single"/>
              </w:rPr>
            </w:pPr>
          </w:p>
        </w:tc>
      </w:tr>
      <w:bookmarkEnd w:id="5"/>
    </w:tbl>
    <w:p w14:paraId="4ED4C58A" w14:textId="77777777" w:rsidR="00DD260C" w:rsidRDefault="00DD260C" w:rsidP="00DD260C">
      <w:pPr>
        <w:rPr>
          <w:rFonts w:ascii="Arial" w:eastAsia="David" w:hAnsi="Arial"/>
          <w:b/>
          <w:bCs/>
          <w:rtl/>
        </w:rPr>
      </w:pPr>
    </w:p>
    <w:p w14:paraId="53AB1BBE" w14:textId="77777777" w:rsidR="00DD260C" w:rsidRDefault="00DD260C" w:rsidP="00DD260C">
      <w:pPr>
        <w:spacing w:line="360" w:lineRule="auto"/>
        <w:jc w:val="both"/>
        <w:rPr>
          <w:rFonts w:ascii="Arial" w:hAnsi="Arial"/>
          <w:b/>
          <w:bCs/>
          <w:u w:val="single"/>
          <w:rtl/>
        </w:rPr>
      </w:pPr>
      <w:r>
        <w:rPr>
          <w:rFonts w:ascii="Arial" w:hAnsi="Arial" w:hint="cs"/>
          <w:b/>
          <w:bCs/>
          <w:u w:val="single"/>
          <w:rtl/>
        </w:rPr>
        <w:t>כתב האישום המתוקן</w:t>
      </w:r>
    </w:p>
    <w:p w14:paraId="66543558" w14:textId="77777777" w:rsidR="00DD260C" w:rsidRPr="001772F0" w:rsidRDefault="00DD260C" w:rsidP="00DD260C">
      <w:pPr>
        <w:spacing w:line="360" w:lineRule="auto"/>
        <w:jc w:val="both"/>
        <w:rPr>
          <w:rFonts w:ascii="Arial" w:hAnsi="Arial"/>
          <w:b/>
          <w:bCs/>
          <w:sz w:val="16"/>
          <w:szCs w:val="16"/>
          <w:u w:val="single"/>
          <w:rtl/>
        </w:rPr>
      </w:pPr>
    </w:p>
    <w:p w14:paraId="478F4B55" w14:textId="77777777" w:rsidR="00DD260C" w:rsidRPr="005079F4" w:rsidRDefault="00DD260C" w:rsidP="00DD260C">
      <w:pPr>
        <w:spacing w:line="360" w:lineRule="auto"/>
        <w:jc w:val="both"/>
        <w:rPr>
          <w:rFonts w:ascii="Arial" w:hAnsi="Arial"/>
          <w:rtl/>
        </w:rPr>
      </w:pPr>
      <w:bookmarkStart w:id="6" w:name="ABSTRACT_START"/>
      <w:bookmarkEnd w:id="6"/>
      <w:r>
        <w:rPr>
          <w:rFonts w:ascii="Arial" w:hAnsi="Arial" w:hint="cs"/>
          <w:rtl/>
        </w:rPr>
        <w:t xml:space="preserve">הנאשם הורשע על פי הודאתו, במסגרת הסדר טיעון, בכתב אישום מתוקן, בעבירה של </w:t>
      </w:r>
      <w:r w:rsidRPr="00F464D7">
        <w:rPr>
          <w:rFonts w:ascii="Arial" w:hAnsi="Arial" w:hint="cs"/>
          <w:b/>
          <w:bCs/>
          <w:rtl/>
        </w:rPr>
        <w:t>סיוע לעבירות בנשק (נשיאה והובלה)</w:t>
      </w:r>
      <w:r>
        <w:rPr>
          <w:rFonts w:ascii="Arial" w:hAnsi="Arial" w:hint="cs"/>
          <w:rtl/>
        </w:rPr>
        <w:t xml:space="preserve"> לפי </w:t>
      </w:r>
      <w:hyperlink r:id="rId12" w:history="1">
        <w:r w:rsidR="00DB265A" w:rsidRPr="00DB265A">
          <w:rPr>
            <w:rStyle w:val="Hyperlink"/>
            <w:rFonts w:ascii="Arial" w:hAnsi="Arial" w:hint="eastAsia"/>
            <w:color w:val="0000FF"/>
            <w:rtl/>
          </w:rPr>
          <w:t>סעיף</w:t>
        </w:r>
        <w:r w:rsidR="00DB265A" w:rsidRPr="00DB265A">
          <w:rPr>
            <w:rStyle w:val="Hyperlink"/>
            <w:rFonts w:ascii="Arial" w:hAnsi="Arial"/>
            <w:color w:val="0000FF"/>
            <w:rtl/>
          </w:rPr>
          <w:t xml:space="preserve"> 144(ב)</w:t>
        </w:r>
      </w:hyperlink>
      <w:r>
        <w:rPr>
          <w:rFonts w:ascii="Arial" w:hAnsi="Arial" w:hint="cs"/>
          <w:rtl/>
        </w:rPr>
        <w:t xml:space="preserve"> רישה וסיפא </w:t>
      </w:r>
      <w:hyperlink r:id="rId13" w:history="1">
        <w:r w:rsidR="00DB265A" w:rsidRPr="00DB265A">
          <w:rPr>
            <w:rStyle w:val="Hyperlink"/>
            <w:rFonts w:ascii="Arial" w:hAnsi="Arial" w:hint="eastAsia"/>
            <w:color w:val="0000FF"/>
            <w:rtl/>
          </w:rPr>
          <w:t>וסעיף</w:t>
        </w:r>
        <w:r w:rsidR="00DB265A" w:rsidRPr="00DB265A">
          <w:rPr>
            <w:rStyle w:val="Hyperlink"/>
            <w:rFonts w:ascii="Arial" w:hAnsi="Arial"/>
            <w:color w:val="0000FF"/>
            <w:rtl/>
          </w:rPr>
          <w:t xml:space="preserve"> 31</w:t>
        </w:r>
      </w:hyperlink>
      <w:r>
        <w:rPr>
          <w:rFonts w:ascii="Arial" w:hAnsi="Arial" w:hint="cs"/>
          <w:rtl/>
        </w:rPr>
        <w:t xml:space="preserve"> ל</w:t>
      </w:r>
      <w:hyperlink r:id="rId14" w:history="1">
        <w:r w:rsidR="009D24E4" w:rsidRPr="009D24E4">
          <w:rPr>
            <w:rFonts w:ascii="Arial" w:hAnsi="Arial"/>
            <w:color w:val="0000FF"/>
            <w:u w:val="single"/>
            <w:rtl/>
          </w:rPr>
          <w:t>חוק העונשין</w:t>
        </w:r>
      </w:hyperlink>
      <w:r>
        <w:rPr>
          <w:rFonts w:ascii="Arial" w:hAnsi="Arial" w:hint="cs"/>
          <w:rtl/>
        </w:rPr>
        <w:t xml:space="preserve">, תשל"ז-1977 (להלן: </w:t>
      </w:r>
      <w:r w:rsidRPr="00F464D7">
        <w:rPr>
          <w:rFonts w:ascii="Arial" w:hAnsi="Arial" w:hint="cs"/>
          <w:rtl/>
        </w:rPr>
        <w:t>חוק העונשין)</w:t>
      </w:r>
      <w:r>
        <w:rPr>
          <w:rFonts w:ascii="Arial" w:hAnsi="Arial" w:hint="cs"/>
          <w:rtl/>
        </w:rPr>
        <w:t xml:space="preserve"> </w:t>
      </w:r>
      <w:r w:rsidRPr="005079F4">
        <w:rPr>
          <w:rFonts w:ascii="Arial" w:hAnsi="Arial" w:hint="cs"/>
          <w:rtl/>
        </w:rPr>
        <w:t xml:space="preserve">ובעבירה של שימוש ברכב ללא רשות, לפי </w:t>
      </w:r>
      <w:hyperlink r:id="rId15" w:history="1">
        <w:r w:rsidR="00DB265A" w:rsidRPr="00DB265A">
          <w:rPr>
            <w:rStyle w:val="Hyperlink"/>
            <w:rFonts w:ascii="Arial" w:hAnsi="Arial" w:hint="eastAsia"/>
            <w:color w:val="0000FF"/>
            <w:rtl/>
          </w:rPr>
          <w:t>סעיף</w:t>
        </w:r>
        <w:r w:rsidR="00DB265A" w:rsidRPr="00DB265A">
          <w:rPr>
            <w:rStyle w:val="Hyperlink"/>
            <w:rFonts w:ascii="Arial" w:hAnsi="Arial"/>
            <w:color w:val="0000FF"/>
            <w:rtl/>
          </w:rPr>
          <w:t xml:space="preserve"> 413ג</w:t>
        </w:r>
      </w:hyperlink>
      <w:r w:rsidRPr="005079F4">
        <w:rPr>
          <w:rFonts w:ascii="Arial" w:hAnsi="Arial" w:hint="cs"/>
          <w:rtl/>
        </w:rPr>
        <w:t xml:space="preserve"> לחוק העונשין (כפי שתוקן בהחלטתי מהיום).</w:t>
      </w:r>
    </w:p>
    <w:p w14:paraId="5F49D7F7" w14:textId="77777777" w:rsidR="00DD260C" w:rsidRDefault="00DD260C" w:rsidP="00DD260C">
      <w:pPr>
        <w:spacing w:line="360" w:lineRule="auto"/>
        <w:jc w:val="both"/>
        <w:rPr>
          <w:rFonts w:ascii="Arial" w:hAnsi="Arial"/>
          <w:rtl/>
        </w:rPr>
      </w:pPr>
      <w:bookmarkStart w:id="7" w:name="ABSTRACT_END"/>
      <w:bookmarkEnd w:id="7"/>
    </w:p>
    <w:p w14:paraId="2EEF01A3" w14:textId="77777777" w:rsidR="00DD260C" w:rsidRDefault="00DD260C" w:rsidP="00DD260C">
      <w:pPr>
        <w:spacing w:line="360" w:lineRule="auto"/>
        <w:jc w:val="both"/>
        <w:rPr>
          <w:rFonts w:ascii="Arial" w:hAnsi="Arial"/>
          <w:rtl/>
        </w:rPr>
      </w:pPr>
      <w:r>
        <w:rPr>
          <w:rFonts w:ascii="Arial" w:hAnsi="Arial" w:hint="cs"/>
          <w:rtl/>
        </w:rPr>
        <w:t xml:space="preserve">ברקע העבירות בהן הודה הנאשם, עומד סכסוך שהתקיים בין קרוב משפחתו של הנאשם לבין שאדי נעמה (להלן: </w:t>
      </w:r>
      <w:r w:rsidRPr="00FC0BF0">
        <w:rPr>
          <w:rFonts w:ascii="Arial" w:hAnsi="Arial" w:hint="cs"/>
          <w:rtl/>
        </w:rPr>
        <w:t>שאדי</w:t>
      </w:r>
      <w:r>
        <w:rPr>
          <w:rFonts w:ascii="Arial" w:hAnsi="Arial" w:hint="cs"/>
          <w:rtl/>
        </w:rPr>
        <w:t xml:space="preserve">), המתגורר בדיר אל אסד. בעקבות סכסוך זה, עובר ליום 01.11.2023, החליטו אחרים, שזהותם אינם ידועה, לירות לעבר ביתו של שאדי. לצורך זה, הצטיידו ברכב יונדאי ובלפחות שלושה אקדחים, שלוש מחסניות ועשרות כדורים. האחרים הגיעו בסמוך לביתו של שאדי </w:t>
      </w:r>
      <w:r>
        <w:rPr>
          <w:rFonts w:ascii="Arial" w:hAnsi="Arial" w:hint="cs"/>
          <w:rtl/>
        </w:rPr>
        <w:lastRenderedPageBreak/>
        <w:t>באמצעות רכב היונדאי, כשהם לבושים בגדים כהים וראשיהם מכוסים, על מנת למנוע את זיהויים. הם ירדו מהרכב וביצעו ירי של לא פחות מארבעים וארבעה קליעים לעבר ביתו של שאדי, כאשר באותו הזמן שהו בבית ובחנייה מספר אנשים. כתוצאה מהירי נגרמו נזקים לכלי רכב שונים. בנוסף, חלק מהכדורים חדרו לבית.</w:t>
      </w:r>
    </w:p>
    <w:p w14:paraId="221E9B11" w14:textId="77777777" w:rsidR="00DD260C" w:rsidRDefault="00DD260C" w:rsidP="00DD260C">
      <w:pPr>
        <w:spacing w:line="360" w:lineRule="auto"/>
        <w:jc w:val="both"/>
        <w:rPr>
          <w:rFonts w:ascii="Arial" w:hAnsi="Arial"/>
          <w:rtl/>
        </w:rPr>
      </w:pPr>
    </w:p>
    <w:p w14:paraId="0B2F8E48" w14:textId="77777777" w:rsidR="00DD260C" w:rsidRDefault="00DD260C" w:rsidP="00DD260C">
      <w:pPr>
        <w:spacing w:line="360" w:lineRule="auto"/>
        <w:jc w:val="both"/>
        <w:rPr>
          <w:rFonts w:ascii="Arial" w:hAnsi="Arial"/>
          <w:rtl/>
        </w:rPr>
      </w:pPr>
      <w:r>
        <w:rPr>
          <w:rFonts w:ascii="Arial" w:hAnsi="Arial" w:hint="cs"/>
          <w:rtl/>
        </w:rPr>
        <w:t xml:space="preserve">מיד לאחר מכן חזרו האחרים, בניהם אחד חאתם אסדי (להלן: חאתם), לרכב היונדאי ואף הנאשם עלה לרכב זה וכולם נסעו יחד מהמקום, כאשר הנאשם מסייע להם בנשיאת והובלת האקדחים בלא רשות על פי דין, בעצם נסיעתו עמם. לאחר נסיעה קצרה, רכב היונדאי נעצר כך שלא ניתן היה להמשיך לנסוע בו. הנאשם והאחרים ירדו ממנו ונמלטו יחדיו רגלית מהמקום, בעוד האחרים נושאים את האקדחים וזאת בסיועו של הנאשם. </w:t>
      </w:r>
    </w:p>
    <w:p w14:paraId="3A720EFD" w14:textId="77777777" w:rsidR="00DD260C" w:rsidRDefault="00DD260C" w:rsidP="00DD260C">
      <w:pPr>
        <w:spacing w:line="360" w:lineRule="auto"/>
        <w:jc w:val="both"/>
        <w:rPr>
          <w:rFonts w:ascii="Arial" w:hAnsi="Arial"/>
          <w:rtl/>
        </w:rPr>
      </w:pPr>
    </w:p>
    <w:p w14:paraId="44B5C78B" w14:textId="77777777" w:rsidR="00DD260C" w:rsidRDefault="00DD260C" w:rsidP="00DD260C">
      <w:pPr>
        <w:spacing w:line="360" w:lineRule="auto"/>
        <w:jc w:val="both"/>
        <w:rPr>
          <w:rFonts w:ascii="Arial" w:hAnsi="Arial"/>
          <w:rtl/>
        </w:rPr>
      </w:pPr>
      <w:r>
        <w:rPr>
          <w:rFonts w:ascii="Arial" w:hAnsi="Arial" w:hint="cs"/>
          <w:rtl/>
        </w:rPr>
        <w:t xml:space="preserve">בנתיב הימלטותם הבחינו האחרים ברכב טיוטה, בו נהגה אישה בהריון. בשלב זה, חלק מהאחרים החליטו לשדוד את הרכב. לצורך זה, נצמדו אליו, כיוונו אקדחים לעבר הנהגת והורו לה לרדת. הנהגת ירדה מהרכב, בעוד בעלה שהגיע למקום ביקש שלא יעשו דבר לרכב. בתגובה, האחרים כיוונו לעברו שני אקדחים. </w:t>
      </w:r>
    </w:p>
    <w:p w14:paraId="0CB4EBDA" w14:textId="77777777" w:rsidR="00DD260C" w:rsidRDefault="00DD260C" w:rsidP="00DD260C">
      <w:pPr>
        <w:spacing w:line="360" w:lineRule="auto"/>
        <w:jc w:val="both"/>
        <w:rPr>
          <w:rFonts w:ascii="Arial" w:hAnsi="Arial"/>
          <w:rtl/>
        </w:rPr>
      </w:pPr>
    </w:p>
    <w:p w14:paraId="13C8C132" w14:textId="77777777" w:rsidR="00DD260C" w:rsidRDefault="00DD260C" w:rsidP="00DD260C">
      <w:pPr>
        <w:spacing w:line="360" w:lineRule="auto"/>
        <w:jc w:val="both"/>
        <w:rPr>
          <w:rFonts w:ascii="Arial" w:hAnsi="Arial"/>
          <w:rtl/>
        </w:rPr>
      </w:pPr>
      <w:r>
        <w:rPr>
          <w:rFonts w:ascii="Arial" w:hAnsi="Arial" w:hint="cs"/>
          <w:rtl/>
        </w:rPr>
        <w:t>מיד לאחר מכן, הגיעו הנאשם וחאתם למקום ונכנסו לתוך רכב הטיוטה בו היו האחרים. הנאשם, חאתם והאחרים נסעו ברכב ללא רשות בעליו, כשחלק מהאחרים ממשיכים לשאת ולהוביל את האקדחים הטעונים במחסניות והכדורים. בהמשך אותו הלילה ובמרחק של כ-900 מטרים מהמקום, אותר רכב הטיוטה עולה באש. בכך אף השתמש הנאשם ברכב הטיוטה ללא רשות בעליו.</w:t>
      </w:r>
    </w:p>
    <w:p w14:paraId="17A85B15" w14:textId="77777777" w:rsidR="00DD260C" w:rsidRDefault="00DD260C" w:rsidP="00DD260C">
      <w:pPr>
        <w:rPr>
          <w:rFonts w:ascii="Arial" w:hAnsi="Arial"/>
          <w:b/>
          <w:bCs/>
          <w:rtl/>
        </w:rPr>
      </w:pPr>
    </w:p>
    <w:p w14:paraId="30BAE5C8" w14:textId="77777777" w:rsidR="00DD260C" w:rsidRDefault="00DD260C" w:rsidP="00DD260C">
      <w:pPr>
        <w:spacing w:line="360" w:lineRule="auto"/>
        <w:jc w:val="both"/>
        <w:rPr>
          <w:rFonts w:ascii="Arial" w:hAnsi="Arial"/>
          <w:b/>
          <w:bCs/>
          <w:u w:val="single"/>
          <w:rtl/>
        </w:rPr>
      </w:pPr>
      <w:r>
        <w:rPr>
          <w:rFonts w:ascii="Arial" w:hAnsi="Arial" w:hint="cs"/>
          <w:b/>
          <w:bCs/>
          <w:u w:val="single"/>
          <w:rtl/>
        </w:rPr>
        <w:t>טיעוני הצדדים לעונש</w:t>
      </w:r>
    </w:p>
    <w:p w14:paraId="0D0E097E" w14:textId="77777777" w:rsidR="00DD260C" w:rsidRPr="001772F0" w:rsidRDefault="00DD260C" w:rsidP="00DD260C">
      <w:pPr>
        <w:spacing w:line="360" w:lineRule="auto"/>
        <w:jc w:val="both"/>
        <w:rPr>
          <w:rFonts w:ascii="Arial" w:hAnsi="Arial"/>
          <w:b/>
          <w:bCs/>
          <w:sz w:val="16"/>
          <w:szCs w:val="16"/>
          <w:u w:val="single"/>
          <w:rtl/>
        </w:rPr>
      </w:pPr>
    </w:p>
    <w:p w14:paraId="6E8EE676" w14:textId="77777777" w:rsidR="00DD260C" w:rsidRDefault="00DD260C" w:rsidP="00DD260C">
      <w:pPr>
        <w:spacing w:line="360" w:lineRule="auto"/>
        <w:jc w:val="both"/>
        <w:rPr>
          <w:rFonts w:ascii="Arial" w:hAnsi="Arial"/>
          <w:rtl/>
        </w:rPr>
      </w:pPr>
      <w:r>
        <w:rPr>
          <w:rFonts w:ascii="Arial" w:hAnsi="Arial" w:hint="cs"/>
          <w:rtl/>
        </w:rPr>
        <w:t xml:space="preserve">במסגרת </w:t>
      </w:r>
      <w:r>
        <w:rPr>
          <w:rFonts w:ascii="Arial" w:hAnsi="Arial" w:hint="cs"/>
          <w:b/>
          <w:bCs/>
          <w:rtl/>
        </w:rPr>
        <w:t>הראיות לעונש</w:t>
      </w:r>
      <w:r>
        <w:rPr>
          <w:rFonts w:ascii="Arial" w:hAnsi="Arial" w:hint="cs"/>
          <w:rtl/>
        </w:rPr>
        <w:t>, הוגש הרישום הפלילי של הנאשם, ממנו למדתי כי לחובתו שתי הרשעות.</w:t>
      </w:r>
    </w:p>
    <w:p w14:paraId="7B2C25D7" w14:textId="77777777" w:rsidR="00DD260C" w:rsidRDefault="00DD260C" w:rsidP="00DD260C">
      <w:pPr>
        <w:spacing w:line="360" w:lineRule="auto"/>
        <w:jc w:val="both"/>
        <w:rPr>
          <w:rFonts w:ascii="Arial" w:hAnsi="Arial"/>
          <w:rtl/>
        </w:rPr>
      </w:pPr>
    </w:p>
    <w:p w14:paraId="67B49560" w14:textId="77777777" w:rsidR="00DD260C" w:rsidRDefault="00DD260C" w:rsidP="00DD260C">
      <w:pPr>
        <w:spacing w:line="360" w:lineRule="auto"/>
        <w:jc w:val="both"/>
        <w:rPr>
          <w:rFonts w:ascii="Arial" w:hAnsi="Arial"/>
          <w:rtl/>
        </w:rPr>
      </w:pPr>
      <w:r>
        <w:rPr>
          <w:rFonts w:ascii="Arial" w:hAnsi="Arial" w:hint="cs"/>
          <w:rtl/>
        </w:rPr>
        <w:t>הראשונה משנת 2014, בגין עבירות שוד מזוין, נשיאה והובלת נשק, ירי מנשק חם לאזור מגורים וקשירת קשר לעשות פשע. בגין הרשעה זו הוטלו על הנאשם 57 חודשי מאסר בריצוי בפועל, לצד מאסר מותנה, קנס ופיצוי לנפגע עבירה (</w:t>
      </w:r>
      <w:hyperlink r:id="rId16" w:history="1">
        <w:r w:rsidR="009D24E4" w:rsidRPr="009D24E4">
          <w:rPr>
            <w:rFonts w:ascii="Arial" w:hAnsi="Arial"/>
            <w:color w:val="0000FF"/>
            <w:u w:val="single"/>
            <w:rtl/>
          </w:rPr>
          <w:t>ע"פ 7500/14</w:t>
        </w:r>
      </w:hyperlink>
      <w:r>
        <w:rPr>
          <w:rFonts w:ascii="Arial" w:hAnsi="Arial" w:hint="cs"/>
          <w:rtl/>
        </w:rPr>
        <w:t xml:space="preserve">, מיום 11.05.2015). </w:t>
      </w:r>
    </w:p>
    <w:p w14:paraId="15D36FD9" w14:textId="77777777" w:rsidR="00DD260C" w:rsidRDefault="00DD260C" w:rsidP="00DD260C">
      <w:pPr>
        <w:spacing w:line="360" w:lineRule="auto"/>
        <w:jc w:val="both"/>
        <w:rPr>
          <w:rFonts w:ascii="Arial" w:hAnsi="Arial"/>
          <w:rtl/>
        </w:rPr>
      </w:pPr>
    </w:p>
    <w:p w14:paraId="6B76A7DA" w14:textId="77777777" w:rsidR="00DD260C" w:rsidRDefault="00DD260C" w:rsidP="00DD260C">
      <w:pPr>
        <w:spacing w:line="360" w:lineRule="auto"/>
        <w:jc w:val="both"/>
        <w:rPr>
          <w:rFonts w:ascii="Arial" w:hAnsi="Arial"/>
          <w:rtl/>
        </w:rPr>
      </w:pPr>
      <w:r>
        <w:rPr>
          <w:rFonts w:ascii="Arial" w:hAnsi="Arial" w:hint="cs"/>
          <w:rtl/>
        </w:rPr>
        <w:t xml:space="preserve">השנייה, משנת 2021, בגין </w:t>
      </w:r>
      <w:r>
        <w:rPr>
          <w:rFonts w:ascii="Arial" w:hAnsi="Arial"/>
          <w:rtl/>
        </w:rPr>
        <w:t>עבירות שעני</w:t>
      </w:r>
      <w:r>
        <w:rPr>
          <w:rFonts w:ascii="Arial" w:hAnsi="Arial" w:hint="cs"/>
          <w:rtl/>
        </w:rPr>
        <w:t>י</w:t>
      </w:r>
      <w:r>
        <w:rPr>
          <w:rFonts w:ascii="Arial" w:hAnsi="Arial"/>
          <w:rtl/>
        </w:rPr>
        <w:t xml:space="preserve">נן סחר בנשק שלא כדין, נשיאת נשק וירי מנשק </w:t>
      </w:r>
      <w:r>
        <w:rPr>
          <w:rFonts w:ascii="Arial" w:hAnsi="Arial" w:hint="cs"/>
          <w:rtl/>
        </w:rPr>
        <w:t>חם. בגין הרשעה זו הוטלו על הנאשם 20 חודשי מאסר בריצוי בפועל, לצד מאסר מותנה בן 12 חודשים וקנס (ת"פ 15678-02-2021). ב"כ המאשימה מסר כי מאסר מותנה זה בר הפעלה בענייננו.</w:t>
      </w:r>
    </w:p>
    <w:p w14:paraId="42125619" w14:textId="77777777" w:rsidR="00DD260C" w:rsidRDefault="00DD260C" w:rsidP="00DD260C">
      <w:pPr>
        <w:spacing w:line="360" w:lineRule="auto"/>
        <w:jc w:val="both"/>
        <w:rPr>
          <w:rFonts w:ascii="Arial" w:hAnsi="Arial"/>
          <w:b/>
          <w:bCs/>
          <w:u w:val="single"/>
          <w:rtl/>
        </w:rPr>
      </w:pPr>
    </w:p>
    <w:p w14:paraId="547DD951" w14:textId="77777777" w:rsidR="00DD260C" w:rsidRDefault="00DD260C" w:rsidP="00DD260C">
      <w:pPr>
        <w:spacing w:line="360" w:lineRule="auto"/>
        <w:jc w:val="both"/>
        <w:rPr>
          <w:rFonts w:ascii="Arial" w:hAnsi="Arial"/>
          <w:rtl/>
        </w:rPr>
      </w:pPr>
      <w:r>
        <w:rPr>
          <w:rFonts w:ascii="Arial" w:hAnsi="Arial" w:hint="cs"/>
          <w:rtl/>
        </w:rPr>
        <w:t xml:space="preserve">בטיעוניו לעונש, </w:t>
      </w:r>
      <w:r>
        <w:rPr>
          <w:rFonts w:ascii="Arial" w:hAnsi="Arial" w:hint="cs"/>
          <w:b/>
          <w:bCs/>
          <w:rtl/>
        </w:rPr>
        <w:t>ב"כ המאשימה</w:t>
      </w:r>
      <w:r>
        <w:rPr>
          <w:rFonts w:ascii="Arial" w:hAnsi="Arial" w:hint="cs"/>
          <w:rtl/>
        </w:rPr>
        <w:t xml:space="preserve"> עומד על הערכים המוגנים בעבירה של נשיאת נשק. </w:t>
      </w:r>
    </w:p>
    <w:p w14:paraId="7B06E944" w14:textId="77777777" w:rsidR="00DD260C" w:rsidRDefault="00DD260C" w:rsidP="00DD260C">
      <w:pPr>
        <w:spacing w:line="360" w:lineRule="auto"/>
        <w:jc w:val="both"/>
        <w:rPr>
          <w:rFonts w:ascii="Arial" w:hAnsi="Arial"/>
          <w:rtl/>
        </w:rPr>
      </w:pPr>
    </w:p>
    <w:p w14:paraId="532FC4AC" w14:textId="77777777" w:rsidR="00DD260C" w:rsidRDefault="00DD260C" w:rsidP="00DD260C">
      <w:pPr>
        <w:spacing w:line="360" w:lineRule="auto"/>
        <w:jc w:val="both"/>
        <w:rPr>
          <w:rFonts w:ascii="David" w:hAnsi="David"/>
          <w:rtl/>
        </w:rPr>
      </w:pPr>
      <w:r>
        <w:rPr>
          <w:rFonts w:ascii="Arial" w:hAnsi="Arial" w:hint="cs"/>
          <w:rtl/>
        </w:rPr>
        <w:lastRenderedPageBreak/>
        <w:t xml:space="preserve">כן הוא מדגיש את העובדה כי הנאשם </w:t>
      </w:r>
      <w:r>
        <w:rPr>
          <w:rFonts w:hint="cs"/>
          <w:rtl/>
        </w:rPr>
        <w:t xml:space="preserve">סייע לנשיאת והובלת הנשק על ידי חבורה שעשתה שימוש בשלושה אקדחים, לכל הפחות, כאשר הנאשם נמצא בזירה, חובר לאותה חבורה ונוטש את המקום, תוך שהוא מבצע עבירה נוספת. </w:t>
      </w:r>
    </w:p>
    <w:p w14:paraId="6A98D4C5" w14:textId="77777777" w:rsidR="00DD260C" w:rsidRDefault="00DD260C" w:rsidP="00DD260C">
      <w:pPr>
        <w:spacing w:line="360" w:lineRule="auto"/>
        <w:jc w:val="both"/>
        <w:rPr>
          <w:rFonts w:ascii="David" w:hAnsi="David"/>
          <w:rtl/>
        </w:rPr>
      </w:pPr>
    </w:p>
    <w:p w14:paraId="0427850D" w14:textId="77777777" w:rsidR="00DD260C" w:rsidRDefault="00DD260C" w:rsidP="00DD260C">
      <w:pPr>
        <w:spacing w:line="360" w:lineRule="auto"/>
        <w:jc w:val="both"/>
        <w:rPr>
          <w:rFonts w:ascii="David" w:hAnsi="David"/>
        </w:rPr>
      </w:pPr>
      <w:r>
        <w:rPr>
          <w:rFonts w:ascii="David" w:hAnsi="David" w:hint="cs"/>
          <w:rtl/>
        </w:rPr>
        <w:t>התובע מדגיש כי המתואר בכתב האישום משקף מציאות יומיומית, ממנה סובלת החברה בכלל והחברה הערבית בפרט. לטעמו, אל מול המציאות האמורה, צו השעה הוא בענישה מחמירה.</w:t>
      </w:r>
    </w:p>
    <w:p w14:paraId="7B280462" w14:textId="77777777" w:rsidR="00DD260C" w:rsidRPr="00CA37A2" w:rsidRDefault="00DD260C" w:rsidP="00DD260C">
      <w:pPr>
        <w:spacing w:line="360" w:lineRule="auto"/>
        <w:jc w:val="both"/>
        <w:rPr>
          <w:rtl/>
        </w:rPr>
      </w:pPr>
    </w:p>
    <w:p w14:paraId="493D1A70" w14:textId="77777777" w:rsidR="00DD260C" w:rsidRDefault="00DD260C" w:rsidP="00DD260C">
      <w:pPr>
        <w:spacing w:line="360" w:lineRule="auto"/>
        <w:jc w:val="both"/>
        <w:rPr>
          <w:rtl/>
        </w:rPr>
      </w:pPr>
      <w:r>
        <w:rPr>
          <w:rFonts w:hint="cs"/>
          <w:rtl/>
        </w:rPr>
        <w:t xml:space="preserve">בנוסף, הוא מפנה לפסיקת בית המשפט העליון בעבירות נשק. </w:t>
      </w:r>
    </w:p>
    <w:p w14:paraId="482C17D3" w14:textId="77777777" w:rsidR="00DD260C" w:rsidRDefault="00DD260C" w:rsidP="00DD260C">
      <w:pPr>
        <w:spacing w:line="360" w:lineRule="auto"/>
        <w:jc w:val="both"/>
        <w:rPr>
          <w:rtl/>
        </w:rPr>
      </w:pPr>
    </w:p>
    <w:p w14:paraId="5E9ACB06" w14:textId="77777777" w:rsidR="00DD260C" w:rsidRDefault="00DD260C" w:rsidP="00DD260C">
      <w:pPr>
        <w:spacing w:line="360" w:lineRule="auto"/>
        <w:jc w:val="both"/>
        <w:rPr>
          <w:rFonts w:ascii="Arial" w:hAnsi="Arial"/>
        </w:rPr>
      </w:pPr>
      <w:r>
        <w:rPr>
          <w:rFonts w:hint="cs"/>
          <w:rtl/>
        </w:rPr>
        <w:t>כמו כן, מציין התובע כי הנאשם בגיר, אשר היה מודע למעשיו ולפסול שבהם, אך לא עצר לרגע לחשוב או לחדול ממעשיו.</w:t>
      </w:r>
    </w:p>
    <w:p w14:paraId="736B890E" w14:textId="77777777" w:rsidR="00DD260C" w:rsidRDefault="00DD260C" w:rsidP="00DD260C">
      <w:pPr>
        <w:spacing w:line="360" w:lineRule="auto"/>
        <w:jc w:val="both"/>
        <w:rPr>
          <w:rtl/>
        </w:rPr>
      </w:pPr>
      <w:r>
        <w:rPr>
          <w:rFonts w:ascii="Arial" w:hAnsi="Arial" w:hint="cs"/>
          <w:rtl/>
        </w:rPr>
        <w:t xml:space="preserve">באשר למתחם הענישה ההולם, מפנה ב"כ המאשימה לגזר הדין </w:t>
      </w:r>
      <w:r>
        <w:rPr>
          <w:rFonts w:hint="cs"/>
          <w:rtl/>
        </w:rPr>
        <w:t>במסגרת אותה פרשייה (</w:t>
      </w:r>
      <w:hyperlink r:id="rId17" w:history="1">
        <w:r w:rsidR="009D24E4" w:rsidRPr="009D24E4">
          <w:rPr>
            <w:color w:val="0000FF"/>
            <w:u w:val="single"/>
            <w:rtl/>
          </w:rPr>
          <w:t>ת"פ (חיפה) 17260-12-23</w:t>
        </w:r>
      </w:hyperlink>
      <w:r>
        <w:rPr>
          <w:rFonts w:hint="cs"/>
          <w:rtl/>
        </w:rPr>
        <w:t xml:space="preserve"> בעניינו של חאתם אסדי הנ"ל). התובע מציין כי חאתם הורשע אף הוא בעבירות שיוחסו לנאשם בעניינו, וכן בעבירה נוספת של הפרת הוראה חוקית. בעניינו של חאתם, בית משפט זה קבע מתחם עונשי הנע בין </w:t>
      </w:r>
      <w:r w:rsidRPr="007703BB">
        <w:rPr>
          <w:rFonts w:hint="cs"/>
          <w:rtl/>
        </w:rPr>
        <w:t>12 – 28 חודשי</w:t>
      </w:r>
      <w:r>
        <w:rPr>
          <w:rFonts w:hint="cs"/>
          <w:rtl/>
        </w:rPr>
        <w:t xml:space="preserve">ם, כאשר בסופו של דבר הוטלו עליו 14 חודשי מאסר </w:t>
      </w:r>
      <w:r w:rsidRPr="007703BB">
        <w:rPr>
          <w:rFonts w:hint="cs"/>
          <w:rtl/>
        </w:rPr>
        <w:t>לריצוי בפועל</w:t>
      </w:r>
      <w:r>
        <w:rPr>
          <w:rFonts w:hint="cs"/>
          <w:rtl/>
        </w:rPr>
        <w:t xml:space="preserve">. </w:t>
      </w:r>
    </w:p>
    <w:p w14:paraId="7F75E328" w14:textId="77777777" w:rsidR="00DD260C" w:rsidRDefault="00DD260C" w:rsidP="00DD260C">
      <w:pPr>
        <w:spacing w:line="360" w:lineRule="auto"/>
        <w:jc w:val="both"/>
        <w:rPr>
          <w:rFonts w:ascii="Arial" w:hAnsi="Arial"/>
          <w:rtl/>
        </w:rPr>
      </w:pPr>
    </w:p>
    <w:p w14:paraId="68986625" w14:textId="77777777" w:rsidR="00DD260C" w:rsidRDefault="00DD260C" w:rsidP="00DD260C">
      <w:pPr>
        <w:spacing w:line="360" w:lineRule="auto"/>
        <w:jc w:val="both"/>
        <w:rPr>
          <w:rtl/>
        </w:rPr>
      </w:pPr>
      <w:r>
        <w:rPr>
          <w:rFonts w:hint="cs"/>
          <w:rtl/>
        </w:rPr>
        <w:t xml:space="preserve">לדברי ב"כ המאשימה, לולא נקבע המתחם האמור והוטל העונש שפורט, היה מבקש להעמיד את מתחם ענישה בעניינו של הנאשם על  24-36 חודשים. ברם, לאור עיקרון אחידות הענישה ומאחר שלא הוגש ערעור בתיק של חאתם, הוא מבקש לאמץ את המתחם שנקבע בעניינו של זה האחרון, קרי 12-28 חודשי מאסר בפועל. </w:t>
      </w:r>
    </w:p>
    <w:p w14:paraId="399399F2" w14:textId="77777777" w:rsidR="00DD260C" w:rsidRDefault="00DD260C" w:rsidP="00DD260C">
      <w:pPr>
        <w:spacing w:line="360" w:lineRule="auto"/>
        <w:jc w:val="both"/>
        <w:rPr>
          <w:rtl/>
        </w:rPr>
      </w:pPr>
    </w:p>
    <w:p w14:paraId="6E85A018" w14:textId="77777777" w:rsidR="00DD260C" w:rsidRDefault="00DD260C" w:rsidP="00DD260C">
      <w:pPr>
        <w:spacing w:line="360" w:lineRule="auto"/>
        <w:jc w:val="both"/>
        <w:rPr>
          <w:rtl/>
        </w:rPr>
      </w:pPr>
      <w:r>
        <w:rPr>
          <w:rFonts w:hint="cs"/>
          <w:rtl/>
        </w:rPr>
        <w:t xml:space="preserve">עם זאת, התובע מבקש להבחין את עניינו של חאתם מזה של הנאשם, בכך שהנאשם בפנינו בעל עבר פלילי בר הפעלה, בעוד עברו של חאתם היה נקי. </w:t>
      </w:r>
    </w:p>
    <w:p w14:paraId="175BA7FD" w14:textId="77777777" w:rsidR="00DD260C" w:rsidRDefault="00DD260C" w:rsidP="00DD260C">
      <w:pPr>
        <w:spacing w:line="360" w:lineRule="auto"/>
        <w:jc w:val="both"/>
        <w:rPr>
          <w:rtl/>
        </w:rPr>
      </w:pPr>
    </w:p>
    <w:p w14:paraId="324864B6" w14:textId="77777777" w:rsidR="00DD260C" w:rsidRDefault="00DD260C" w:rsidP="00DD260C">
      <w:pPr>
        <w:spacing w:line="360" w:lineRule="auto"/>
        <w:jc w:val="both"/>
        <w:rPr>
          <w:rtl/>
        </w:rPr>
      </w:pPr>
      <w:r>
        <w:rPr>
          <w:rFonts w:ascii="Arial" w:hAnsi="Arial" w:hint="cs"/>
          <w:rtl/>
        </w:rPr>
        <w:t xml:space="preserve">כמו כן, במסגרת הסדר הטיעון, עותר ב"כ המאשימה </w:t>
      </w:r>
      <w:r>
        <w:rPr>
          <w:rFonts w:hint="cs"/>
          <w:rtl/>
        </w:rPr>
        <w:t xml:space="preserve">להפעלת המאסר המותנה, בן 12 חודשים, התלוי ועומד נגד הנאשם, כך שמחציתו יופעל במצטבר ומחציתו בחופף. </w:t>
      </w:r>
    </w:p>
    <w:p w14:paraId="1E4C5EC1" w14:textId="77777777" w:rsidR="00DD260C" w:rsidRDefault="00DD260C" w:rsidP="00DD260C">
      <w:pPr>
        <w:spacing w:line="360" w:lineRule="auto"/>
        <w:jc w:val="both"/>
        <w:rPr>
          <w:rtl/>
        </w:rPr>
      </w:pPr>
    </w:p>
    <w:p w14:paraId="72DBD446" w14:textId="77777777" w:rsidR="00DD260C" w:rsidRDefault="00DD260C" w:rsidP="00DD260C">
      <w:pPr>
        <w:spacing w:line="360" w:lineRule="auto"/>
        <w:jc w:val="both"/>
        <w:rPr>
          <w:rFonts w:ascii="David" w:hAnsi="David"/>
          <w:rtl/>
        </w:rPr>
      </w:pPr>
      <w:r>
        <w:rPr>
          <w:rFonts w:ascii="Arial" w:hAnsi="Arial" w:hint="cs"/>
          <w:rtl/>
        </w:rPr>
        <w:t xml:space="preserve">מעבר לאמור, ב"כ המאשימה מפנה לגזרי דין נוספים, בהם הורשעו הנאשמים בעבירות דומות, שם נגזרו עונשי מאסר הנעים בין 18 חודשים לריצוי בפועל לבין </w:t>
      </w:r>
      <w:r>
        <w:rPr>
          <w:rFonts w:hint="cs"/>
          <w:rtl/>
        </w:rPr>
        <w:t xml:space="preserve">9 חודשי עבודות שירות (מטעמי שיקום ובשל תסקיר חיובי). </w:t>
      </w:r>
    </w:p>
    <w:p w14:paraId="766B6A2D" w14:textId="77777777" w:rsidR="00DD260C" w:rsidRDefault="00DD260C" w:rsidP="00DD260C">
      <w:pPr>
        <w:spacing w:line="360" w:lineRule="auto"/>
        <w:jc w:val="both"/>
        <w:rPr>
          <w:rFonts w:ascii="Arial" w:hAnsi="Arial"/>
          <w:rtl/>
        </w:rPr>
      </w:pPr>
    </w:p>
    <w:p w14:paraId="11D53E28" w14:textId="77777777" w:rsidR="00DD260C" w:rsidRDefault="00DD260C" w:rsidP="00DD260C">
      <w:pPr>
        <w:spacing w:line="360" w:lineRule="auto"/>
        <w:jc w:val="both"/>
        <w:rPr>
          <w:rFonts w:ascii="Arial" w:hAnsi="Arial"/>
          <w:rtl/>
        </w:rPr>
      </w:pPr>
      <w:r>
        <w:rPr>
          <w:rFonts w:ascii="Arial" w:hAnsi="Arial" w:hint="cs"/>
          <w:b/>
          <w:bCs/>
          <w:rtl/>
        </w:rPr>
        <w:t>ב"כ הנאשם</w:t>
      </w:r>
      <w:r>
        <w:rPr>
          <w:rFonts w:ascii="Arial" w:hAnsi="Arial" w:hint="cs"/>
          <w:rtl/>
        </w:rPr>
        <w:t xml:space="preserve"> טוען כי לאור הקשיים הראייתיים שהתעוררו בתיק, החליט הנאשם בסופו של דבר להודות בכתב האישום המתוקן. </w:t>
      </w:r>
    </w:p>
    <w:p w14:paraId="3CBE371C" w14:textId="77777777" w:rsidR="00DD260C" w:rsidRDefault="00DD260C" w:rsidP="00DD260C">
      <w:pPr>
        <w:spacing w:line="360" w:lineRule="auto"/>
        <w:jc w:val="both"/>
        <w:rPr>
          <w:rFonts w:ascii="Arial" w:hAnsi="Arial"/>
          <w:rtl/>
        </w:rPr>
      </w:pPr>
    </w:p>
    <w:p w14:paraId="6854F7F3" w14:textId="77777777" w:rsidR="00DD260C" w:rsidRDefault="00DD260C" w:rsidP="00DD260C">
      <w:pPr>
        <w:spacing w:line="360" w:lineRule="auto"/>
        <w:jc w:val="both"/>
        <w:rPr>
          <w:rFonts w:ascii="Arial" w:hAnsi="Arial"/>
          <w:rtl/>
        </w:rPr>
      </w:pPr>
      <w:r>
        <w:rPr>
          <w:rFonts w:ascii="Arial" w:hAnsi="Arial" w:hint="cs"/>
          <w:rtl/>
        </w:rPr>
        <w:t xml:space="preserve">במישור העובדתי, מדגיש הסניגור כי נשיאת הנשק בפועל בוצעה על ידי אחרים, כאשר רק נוכחות הנאשם ברכב הביאה לגיבוש העבירות. ב"כ הנאשם מוסיף ומדגיש כי למרשו לא היה שום מגע עם הנשק, ועל כן, לשיטתו, ההודאה נבעה מהשיקול המרכזי של חיסכון בזמן שיפוטי יקר כבר בתחילת ההליך. </w:t>
      </w:r>
    </w:p>
    <w:p w14:paraId="1EB909C2" w14:textId="77777777" w:rsidR="00DD260C" w:rsidRDefault="00DD260C" w:rsidP="00DD260C">
      <w:pPr>
        <w:spacing w:line="360" w:lineRule="auto"/>
        <w:jc w:val="both"/>
        <w:rPr>
          <w:rFonts w:ascii="Arial" w:hAnsi="Arial"/>
          <w:rtl/>
        </w:rPr>
      </w:pPr>
    </w:p>
    <w:p w14:paraId="3BB82135" w14:textId="77777777" w:rsidR="00DD260C" w:rsidRDefault="00DD260C" w:rsidP="00DD260C">
      <w:pPr>
        <w:spacing w:line="360" w:lineRule="auto"/>
        <w:jc w:val="both"/>
        <w:rPr>
          <w:rFonts w:ascii="Arial" w:hAnsi="Arial"/>
          <w:rtl/>
        </w:rPr>
      </w:pPr>
      <w:r>
        <w:rPr>
          <w:rFonts w:ascii="Arial" w:hAnsi="Arial" w:hint="cs"/>
          <w:rtl/>
        </w:rPr>
        <w:t xml:space="preserve">הסנגור מתרכז בעונשו של המעורב הנוסף בפרשה, חאתם. בעניין זה, טוען הסנגור, כי ישנם הבדלים מהותיים בין הנאשם לבין חאתם. לטענתו, חאתם ביצע את העבירה תוך כדי הפרת תנאי מעצר הבית בו שהה. זאת ועוד, חלקו של חאתם, כפי שמפורט בכתב האישום, חמור יותר. חאתם נכח בשלב הירי, וכן נהג ברכב שנלקח ללא רשות. זאת, להבדיל מהנאשם, אשר לא שהה במקום בשלב הירי, הופיע לאחר שאירוע הירי הסתיים והצטרף רק בשלב הנסיעה. בנוסף, ב"כ הנאשם מפנה לעובדה כי גם לחתאם יש עבר פלילי, כאשר לטענתו, טרם גזר הדין הוא הורשע בעבירות של גניבת כלי רכב ובהלנת שב"ח. </w:t>
      </w:r>
    </w:p>
    <w:p w14:paraId="21DEBDE8" w14:textId="77777777" w:rsidR="00DD260C" w:rsidRDefault="00DD260C" w:rsidP="00DD260C">
      <w:pPr>
        <w:spacing w:line="360" w:lineRule="auto"/>
        <w:jc w:val="both"/>
        <w:rPr>
          <w:rFonts w:ascii="Arial" w:hAnsi="Arial"/>
          <w:rtl/>
        </w:rPr>
      </w:pPr>
    </w:p>
    <w:p w14:paraId="792823FA" w14:textId="77777777" w:rsidR="00DD260C" w:rsidRDefault="00DD260C" w:rsidP="00DD260C">
      <w:pPr>
        <w:spacing w:line="360" w:lineRule="auto"/>
        <w:jc w:val="both"/>
        <w:rPr>
          <w:rFonts w:ascii="Arial" w:hAnsi="Arial"/>
          <w:rtl/>
        </w:rPr>
      </w:pPr>
      <w:r>
        <w:rPr>
          <w:rFonts w:ascii="Arial" w:hAnsi="Arial" w:hint="cs"/>
          <w:rtl/>
        </w:rPr>
        <w:t xml:space="preserve">בהמשך דבריו, סוקר ב"כ הנאשם פסיקה, בה הנאשמים הואשמו בעבירות דומות או חמורות יותר, תוך שהוא מבקש לאבחנה לקולא. </w:t>
      </w:r>
    </w:p>
    <w:p w14:paraId="13F91E97" w14:textId="77777777" w:rsidR="00DD260C" w:rsidRDefault="00DD260C" w:rsidP="00DD260C">
      <w:pPr>
        <w:spacing w:line="360" w:lineRule="auto"/>
        <w:jc w:val="both"/>
        <w:rPr>
          <w:rFonts w:ascii="Arial" w:hAnsi="Arial"/>
          <w:rtl/>
        </w:rPr>
      </w:pPr>
    </w:p>
    <w:p w14:paraId="57174891" w14:textId="77777777" w:rsidR="00DD260C" w:rsidRDefault="00DD260C" w:rsidP="00DD260C">
      <w:pPr>
        <w:spacing w:line="360" w:lineRule="auto"/>
        <w:jc w:val="both"/>
        <w:rPr>
          <w:rFonts w:ascii="Arial" w:hAnsi="Arial"/>
          <w:rtl/>
        </w:rPr>
      </w:pPr>
      <w:r>
        <w:rPr>
          <w:rFonts w:ascii="Arial" w:hAnsi="Arial" w:hint="cs"/>
          <w:rtl/>
        </w:rPr>
        <w:t xml:space="preserve">מעבר לכך, ב"כ הנאשם מבקש להתחשב בנסיבותיו האישיות, כאשר אשתו ילדה בן לפני כחודש. עוד הוא מבקש לזקוף לזכותו את החיסכון בזמן שיפוטי והעובדה כי לקח אחריות על מעשיו. כמו כן, מציין הסנגור את התנהגותו החיובית מאוד של הנאשם מאז נעצר, אשר תומך באחרים בבית המעצר. </w:t>
      </w:r>
    </w:p>
    <w:p w14:paraId="3347C7FB" w14:textId="77777777" w:rsidR="00DD260C" w:rsidRDefault="00DD260C" w:rsidP="00DD260C">
      <w:pPr>
        <w:spacing w:line="360" w:lineRule="auto"/>
        <w:jc w:val="both"/>
        <w:rPr>
          <w:rFonts w:ascii="Arial" w:hAnsi="Arial"/>
          <w:rtl/>
        </w:rPr>
      </w:pPr>
    </w:p>
    <w:p w14:paraId="63CFB1D6" w14:textId="77777777" w:rsidR="00DD260C" w:rsidRDefault="00DD260C" w:rsidP="00DD260C">
      <w:pPr>
        <w:spacing w:line="360" w:lineRule="auto"/>
        <w:jc w:val="both"/>
        <w:rPr>
          <w:rFonts w:ascii="Arial" w:hAnsi="Arial"/>
          <w:rtl/>
        </w:rPr>
      </w:pPr>
      <w:r>
        <w:rPr>
          <w:rFonts w:ascii="Arial" w:hAnsi="Arial" w:hint="cs"/>
          <w:rtl/>
        </w:rPr>
        <w:t>לאור כל זאת, מבקש הסנגור להעמיד את מתחם הענישה על 6-10 חודשי מאסר בפועל, אליהם יתווספו 6 חודשים מתוך המאסר המותנה העומד להפעלה, בהתאם להסכמה בין הצדדים.</w:t>
      </w:r>
    </w:p>
    <w:p w14:paraId="31E64DC9" w14:textId="77777777" w:rsidR="00DD260C" w:rsidRDefault="00DD260C" w:rsidP="00DD260C">
      <w:pPr>
        <w:spacing w:line="360" w:lineRule="auto"/>
        <w:jc w:val="both"/>
        <w:rPr>
          <w:rFonts w:ascii="Arial" w:hAnsi="Arial"/>
          <w:rtl/>
        </w:rPr>
      </w:pPr>
      <w:r>
        <w:rPr>
          <w:rFonts w:ascii="Arial" w:hAnsi="Arial" w:hint="cs"/>
          <w:rtl/>
        </w:rPr>
        <w:t xml:space="preserve">  </w:t>
      </w:r>
    </w:p>
    <w:p w14:paraId="6B42F933" w14:textId="77777777" w:rsidR="00DD260C" w:rsidRDefault="00DD260C" w:rsidP="00DD260C">
      <w:pPr>
        <w:spacing w:line="360" w:lineRule="auto"/>
        <w:jc w:val="both"/>
        <w:rPr>
          <w:rFonts w:ascii="Arial" w:hAnsi="Arial"/>
          <w:rtl/>
        </w:rPr>
      </w:pPr>
      <w:r w:rsidRPr="00CE7725">
        <w:rPr>
          <w:rFonts w:ascii="Arial" w:hAnsi="Arial" w:hint="cs"/>
          <w:b/>
          <w:bCs/>
          <w:rtl/>
        </w:rPr>
        <w:t>הנאשם בדברו האחרון</w:t>
      </w:r>
      <w:r>
        <w:rPr>
          <w:rFonts w:ascii="Arial" w:hAnsi="Arial" w:hint="cs"/>
          <w:rtl/>
        </w:rPr>
        <w:t xml:space="preserve"> מסר כי הוא מקבל אחריות מלאה על מעשיו וכי עשה טעות. בנוסף, ציין שהוא אב לשני ילדים, תומך באחרים במעצר, ומשתתף בקבוצות טיפוליות. לדבריו, הוא מעוניין לחזור למשפחתו. </w:t>
      </w:r>
    </w:p>
    <w:p w14:paraId="035F09EC" w14:textId="77777777" w:rsidR="00DD260C" w:rsidRDefault="00DD260C" w:rsidP="00DD260C">
      <w:pPr>
        <w:spacing w:line="360" w:lineRule="auto"/>
        <w:jc w:val="both"/>
        <w:rPr>
          <w:rFonts w:ascii="Arial" w:hAnsi="Arial"/>
          <w:b/>
          <w:bCs/>
          <w:u w:val="single"/>
          <w:rtl/>
        </w:rPr>
      </w:pPr>
    </w:p>
    <w:p w14:paraId="700C67E4" w14:textId="77777777" w:rsidR="00DD260C" w:rsidRPr="001772F0" w:rsidRDefault="00DD260C" w:rsidP="00DD260C">
      <w:pPr>
        <w:spacing w:line="360" w:lineRule="auto"/>
        <w:jc w:val="both"/>
        <w:rPr>
          <w:rFonts w:ascii="Arial" w:hAnsi="Arial"/>
          <w:b/>
          <w:bCs/>
          <w:u w:val="single"/>
          <w:rtl/>
        </w:rPr>
      </w:pPr>
      <w:r w:rsidRPr="001772F0">
        <w:rPr>
          <w:rFonts w:ascii="Arial" w:hAnsi="Arial" w:hint="cs"/>
          <w:b/>
          <w:bCs/>
          <w:u w:val="single"/>
          <w:rtl/>
        </w:rPr>
        <w:t>דיון והכרעה</w:t>
      </w:r>
    </w:p>
    <w:p w14:paraId="26FA88C5" w14:textId="77777777" w:rsidR="00DD260C" w:rsidRPr="006A1F9B" w:rsidRDefault="00DD260C" w:rsidP="00DD260C">
      <w:pPr>
        <w:spacing w:line="360" w:lineRule="auto"/>
        <w:jc w:val="both"/>
        <w:rPr>
          <w:rFonts w:ascii="Arial" w:hAnsi="Arial"/>
          <w:b/>
          <w:bCs/>
          <w:sz w:val="16"/>
          <w:szCs w:val="16"/>
          <w:u w:val="single"/>
          <w:rtl/>
        </w:rPr>
      </w:pPr>
    </w:p>
    <w:p w14:paraId="745DB99E" w14:textId="77777777" w:rsidR="00DD260C" w:rsidRDefault="00DD260C" w:rsidP="00DD260C">
      <w:pPr>
        <w:spacing w:line="360" w:lineRule="auto"/>
        <w:jc w:val="both"/>
        <w:rPr>
          <w:rFonts w:ascii="Arial" w:hAnsi="Arial"/>
          <w:b/>
          <w:bCs/>
          <w:rtl/>
        </w:rPr>
      </w:pPr>
      <w:r w:rsidRPr="00D01E64">
        <w:rPr>
          <w:rFonts w:ascii="Arial" w:hAnsi="Arial" w:hint="cs"/>
          <w:b/>
          <w:bCs/>
          <w:rtl/>
        </w:rPr>
        <w:t>הערכים החברתיים המוגנים</w:t>
      </w:r>
    </w:p>
    <w:p w14:paraId="4AA6CA40" w14:textId="77777777" w:rsidR="00DD260C" w:rsidRPr="006A1F9B" w:rsidRDefault="00DD260C" w:rsidP="00DD260C">
      <w:pPr>
        <w:spacing w:line="360" w:lineRule="auto"/>
        <w:jc w:val="both"/>
        <w:rPr>
          <w:rFonts w:ascii="Arial" w:hAnsi="Arial"/>
          <w:b/>
          <w:bCs/>
          <w:sz w:val="16"/>
          <w:szCs w:val="16"/>
          <w:rtl/>
        </w:rPr>
      </w:pPr>
    </w:p>
    <w:p w14:paraId="7BA9C9CB" w14:textId="77777777" w:rsidR="00DD260C" w:rsidRDefault="00DB265A" w:rsidP="00DD260C">
      <w:pPr>
        <w:spacing w:line="360" w:lineRule="auto"/>
        <w:jc w:val="both"/>
        <w:rPr>
          <w:rFonts w:ascii="Arial" w:hAnsi="Arial"/>
        </w:rPr>
      </w:pPr>
      <w:hyperlink r:id="rId18" w:history="1">
        <w:r w:rsidRPr="00DB265A">
          <w:rPr>
            <w:rStyle w:val="Hyperlink"/>
            <w:rFonts w:ascii="Arial" w:hAnsi="Arial" w:hint="eastAsia"/>
            <w:color w:val="0000FF"/>
            <w:rtl/>
          </w:rPr>
          <w:t>סעיף</w:t>
        </w:r>
        <w:r w:rsidRPr="00DB265A">
          <w:rPr>
            <w:rStyle w:val="Hyperlink"/>
            <w:rFonts w:ascii="Arial" w:hAnsi="Arial"/>
            <w:color w:val="0000FF"/>
            <w:rtl/>
          </w:rPr>
          <w:t xml:space="preserve"> 144</w:t>
        </w:r>
      </w:hyperlink>
      <w:r w:rsidR="00DD260C">
        <w:rPr>
          <w:rFonts w:ascii="Arial" w:hAnsi="Arial" w:hint="cs"/>
          <w:rtl/>
        </w:rPr>
        <w:t xml:space="preserve"> ל</w:t>
      </w:r>
      <w:hyperlink r:id="rId19" w:history="1">
        <w:r w:rsidR="009D24E4" w:rsidRPr="009D24E4">
          <w:rPr>
            <w:rFonts w:ascii="Arial" w:hAnsi="Arial"/>
            <w:color w:val="0000FF"/>
            <w:u w:val="single"/>
            <w:rtl/>
          </w:rPr>
          <w:t>חוק העונשין</w:t>
        </w:r>
      </w:hyperlink>
      <w:r w:rsidR="00DD260C">
        <w:rPr>
          <w:rFonts w:ascii="Arial" w:hAnsi="Arial" w:hint="cs"/>
          <w:rtl/>
        </w:rPr>
        <w:t xml:space="preserve"> מגלם בחובו תכליות של הגנה על חיי האדם, שלום הציבור וביטחונו (ראו מיני רבים </w:t>
      </w:r>
      <w:hyperlink r:id="rId20" w:history="1">
        <w:r w:rsidR="009D24E4" w:rsidRPr="009D24E4">
          <w:rPr>
            <w:rFonts w:ascii="Arial" w:hAnsi="Arial"/>
            <w:color w:val="0000FF"/>
            <w:u w:val="single"/>
            <w:rtl/>
          </w:rPr>
          <w:t>ע"פ 7971/23</w:t>
        </w:r>
      </w:hyperlink>
      <w:r w:rsidR="00DD260C">
        <w:rPr>
          <w:rFonts w:ascii="Arial" w:hAnsi="Arial" w:hint="cs"/>
          <w:rtl/>
        </w:rPr>
        <w:t xml:space="preserve"> </w:t>
      </w:r>
      <w:r w:rsidR="00DD260C">
        <w:rPr>
          <w:rFonts w:ascii="Arial" w:hAnsi="Arial" w:hint="cs"/>
          <w:b/>
          <w:bCs/>
          <w:rtl/>
        </w:rPr>
        <w:t>אגבאריה</w:t>
      </w:r>
      <w:r w:rsidR="00DD260C">
        <w:rPr>
          <w:rFonts w:ascii="Arial" w:hAnsi="Arial" w:hint="cs"/>
          <w:rtl/>
        </w:rPr>
        <w:t xml:space="preserve"> נ' </w:t>
      </w:r>
      <w:r w:rsidR="00DD260C">
        <w:rPr>
          <w:rFonts w:ascii="Arial" w:hAnsi="Arial" w:hint="cs"/>
          <w:b/>
          <w:bCs/>
          <w:rtl/>
        </w:rPr>
        <w:t>מדינת ישראל</w:t>
      </w:r>
      <w:r w:rsidR="00DD260C">
        <w:rPr>
          <w:rFonts w:ascii="Arial" w:hAnsi="Arial" w:hint="cs"/>
          <w:rtl/>
        </w:rPr>
        <w:t xml:space="preserve"> (פורסם בנבו, 26.5.24)). </w:t>
      </w:r>
    </w:p>
    <w:p w14:paraId="3BAF7B10" w14:textId="77777777" w:rsidR="00DD260C" w:rsidRDefault="00DD260C" w:rsidP="00DD260C">
      <w:pPr>
        <w:spacing w:line="360" w:lineRule="auto"/>
        <w:jc w:val="both"/>
        <w:rPr>
          <w:rFonts w:ascii="Arial" w:hAnsi="Arial"/>
          <w:rtl/>
        </w:rPr>
      </w:pPr>
    </w:p>
    <w:p w14:paraId="5610FAA4" w14:textId="77777777" w:rsidR="00DD260C" w:rsidRDefault="00DD260C" w:rsidP="00DD260C">
      <w:pPr>
        <w:spacing w:line="360" w:lineRule="auto"/>
        <w:jc w:val="both"/>
        <w:rPr>
          <w:rFonts w:ascii="Arial" w:hAnsi="Arial"/>
          <w:rtl/>
        </w:rPr>
      </w:pPr>
      <w:r>
        <w:rPr>
          <w:rFonts w:ascii="Arial" w:hAnsi="Arial" w:hint="cs"/>
          <w:rtl/>
        </w:rPr>
        <w:t>הסיכון הכרוך בנשיאת נשק שלא כדין מתבטא בחשש שהנושא נשק יעשה בו שימוש וכן באפשרות כי נשק זה יגיע לידיים אחרות (</w:t>
      </w:r>
      <w:hyperlink r:id="rId21" w:history="1">
        <w:r w:rsidR="009D24E4" w:rsidRPr="009D24E4">
          <w:rPr>
            <w:rFonts w:ascii="Arial" w:hAnsi="Arial"/>
            <w:color w:val="0000FF"/>
            <w:u w:val="single"/>
            <w:rtl/>
          </w:rPr>
          <w:t>ע"פ 4945/14</w:t>
        </w:r>
      </w:hyperlink>
      <w:r>
        <w:rPr>
          <w:rFonts w:ascii="Arial" w:hAnsi="Arial" w:hint="cs"/>
          <w:rtl/>
        </w:rPr>
        <w:t xml:space="preserve"> </w:t>
      </w:r>
      <w:r>
        <w:rPr>
          <w:rFonts w:ascii="Arial" w:hAnsi="Arial" w:hint="cs"/>
          <w:b/>
          <w:bCs/>
          <w:rtl/>
        </w:rPr>
        <w:t>מדינת ישראל</w:t>
      </w:r>
      <w:r>
        <w:rPr>
          <w:rFonts w:ascii="Arial" w:hAnsi="Arial" w:hint="cs"/>
          <w:rtl/>
        </w:rPr>
        <w:t xml:space="preserve"> נ' </w:t>
      </w:r>
      <w:r>
        <w:rPr>
          <w:rFonts w:ascii="Arial" w:hAnsi="Arial" w:hint="cs"/>
          <w:b/>
          <w:bCs/>
          <w:rtl/>
        </w:rPr>
        <w:t>סלימאן</w:t>
      </w:r>
      <w:r>
        <w:rPr>
          <w:rFonts w:ascii="Arial" w:hAnsi="Arial" w:hint="cs"/>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646C39A5" w14:textId="77777777" w:rsidR="00DD260C" w:rsidRDefault="00DD260C" w:rsidP="00DD260C">
      <w:pPr>
        <w:spacing w:line="360" w:lineRule="auto"/>
        <w:jc w:val="both"/>
        <w:rPr>
          <w:rFonts w:ascii="Arial" w:hAnsi="Arial"/>
          <w:rtl/>
        </w:rPr>
      </w:pPr>
    </w:p>
    <w:p w14:paraId="26EC6781" w14:textId="77777777" w:rsidR="00DD260C" w:rsidRDefault="00DD260C" w:rsidP="00DD260C">
      <w:pPr>
        <w:spacing w:line="360" w:lineRule="auto"/>
        <w:jc w:val="both"/>
        <w:rPr>
          <w:rFonts w:ascii="Arial" w:hAnsi="Arial"/>
          <w:rtl/>
        </w:rPr>
      </w:pPr>
      <w:r>
        <w:rPr>
          <w:rFonts w:ascii="Arial" w:hAnsi="Arial" w:hint="cs"/>
          <w:rtl/>
        </w:rPr>
        <w:t>עבירת השימוש ברכב ללא רשות נועדה להגן על קניינו של הפרט. לא פעם ביצוע עבירה זו פוגע לא רק ברכושו של הפרט אלא אף בתחושת ביטחונו.</w:t>
      </w:r>
    </w:p>
    <w:p w14:paraId="564B7D4E" w14:textId="77777777" w:rsidR="00DD260C" w:rsidRDefault="00DD260C" w:rsidP="00DD260C">
      <w:pPr>
        <w:spacing w:line="360" w:lineRule="auto"/>
        <w:jc w:val="both"/>
        <w:rPr>
          <w:rFonts w:ascii="Arial" w:hAnsi="Arial"/>
          <w:b/>
          <w:bCs/>
          <w:rtl/>
        </w:rPr>
      </w:pPr>
    </w:p>
    <w:p w14:paraId="2912F114" w14:textId="77777777" w:rsidR="00DD260C" w:rsidRDefault="00DD260C" w:rsidP="00DD260C">
      <w:pPr>
        <w:spacing w:line="360" w:lineRule="auto"/>
        <w:jc w:val="both"/>
        <w:rPr>
          <w:rFonts w:ascii="Arial" w:hAnsi="Arial"/>
          <w:b/>
          <w:bCs/>
          <w:rtl/>
        </w:rPr>
      </w:pPr>
      <w:r w:rsidRPr="004968FA">
        <w:rPr>
          <w:rFonts w:ascii="Arial" w:hAnsi="Arial" w:hint="cs"/>
          <w:b/>
          <w:bCs/>
          <w:rtl/>
        </w:rPr>
        <w:t xml:space="preserve">נסיבות הקשורות בביצוע העבירה </w:t>
      </w:r>
    </w:p>
    <w:p w14:paraId="56B75AA4" w14:textId="77777777" w:rsidR="00DD260C" w:rsidRPr="001772F0" w:rsidRDefault="00DD260C" w:rsidP="00DD260C">
      <w:pPr>
        <w:spacing w:line="360" w:lineRule="auto"/>
        <w:jc w:val="both"/>
        <w:rPr>
          <w:rFonts w:ascii="Arial" w:hAnsi="Arial"/>
          <w:b/>
          <w:bCs/>
          <w:sz w:val="16"/>
          <w:szCs w:val="16"/>
          <w:rtl/>
        </w:rPr>
      </w:pPr>
    </w:p>
    <w:p w14:paraId="531D1F44" w14:textId="77777777" w:rsidR="00DD260C" w:rsidRDefault="00DD260C" w:rsidP="00DD260C">
      <w:pPr>
        <w:spacing w:line="360" w:lineRule="auto"/>
        <w:jc w:val="both"/>
        <w:rPr>
          <w:rFonts w:ascii="Arial" w:hAnsi="Arial"/>
          <w:sz w:val="22"/>
          <w:szCs w:val="22"/>
          <w:rtl/>
        </w:rPr>
      </w:pPr>
      <w:r>
        <w:rPr>
          <w:rFonts w:ascii="Arial" w:hAnsi="Arial" w:hint="cs"/>
          <w:rtl/>
        </w:rPr>
        <w:t>בבואנו לקבוע את מתחם העונש ההולם למעשי העבירה שבוצעו על ידי הנאשם נעמוד על נסיבותיהם.</w:t>
      </w:r>
    </w:p>
    <w:p w14:paraId="1F455DCE" w14:textId="77777777" w:rsidR="00DD260C" w:rsidRDefault="00DD260C" w:rsidP="00DD260C">
      <w:pPr>
        <w:spacing w:line="360" w:lineRule="auto"/>
        <w:jc w:val="both"/>
        <w:rPr>
          <w:rFonts w:ascii="Arial" w:hAnsi="Arial"/>
          <w:rtl/>
        </w:rPr>
      </w:pPr>
    </w:p>
    <w:p w14:paraId="432C631B" w14:textId="77777777" w:rsidR="00DD260C" w:rsidRDefault="00DD260C" w:rsidP="00DD260C">
      <w:pPr>
        <w:spacing w:line="360" w:lineRule="auto"/>
        <w:jc w:val="both"/>
        <w:rPr>
          <w:rFonts w:ascii="Arial" w:hAnsi="Arial"/>
          <w:rtl/>
        </w:rPr>
      </w:pPr>
      <w:r>
        <w:rPr>
          <w:rFonts w:ascii="Arial" w:hAnsi="Arial" w:hint="cs"/>
          <w:rtl/>
        </w:rPr>
        <w:t>ראשית, בקביעת חומרת עבירת הנשק יש לקחת בחשבון את סוג הנשק, כמות הנשק והתחמושת ומטרת נשיאתו. במקרה דנן, הנאשם סייע לאחרים, אשר ביצעו ירי של 44 כדורים באמצעות שלושה אקדחים, לעבר בתים וכלי רכב בהם שהו אזרחים. הנאשם סייע בנשיאה והובלת כלי הנשק בנסיעה ממקום הירי. לאחר מכן, נכנס הנאשם לרכב אחר שנלקח ללא רשות מבעליו על ידי אחרים, כשהם עדיין מחזיקים ונושאים את כלי הנשק, המחסניות והכדורים, ואף עושים בהם שימוש לצורך ביצוע עבירה זו.</w:t>
      </w:r>
    </w:p>
    <w:p w14:paraId="18E2D04A" w14:textId="77777777" w:rsidR="00DD260C" w:rsidRDefault="00DD260C" w:rsidP="00DD260C">
      <w:pPr>
        <w:spacing w:line="360" w:lineRule="auto"/>
        <w:jc w:val="both"/>
        <w:rPr>
          <w:rFonts w:ascii="Arial" w:hAnsi="Arial"/>
          <w:rtl/>
        </w:rPr>
      </w:pPr>
    </w:p>
    <w:p w14:paraId="505D5351" w14:textId="77777777" w:rsidR="00DD260C" w:rsidRDefault="00DD260C" w:rsidP="00DD260C">
      <w:pPr>
        <w:spacing w:line="360" w:lineRule="auto"/>
        <w:jc w:val="both"/>
        <w:rPr>
          <w:rFonts w:ascii="Arial" w:hAnsi="Arial"/>
          <w:rtl/>
        </w:rPr>
      </w:pPr>
      <w:r>
        <w:rPr>
          <w:rFonts w:ascii="Arial" w:hAnsi="Arial" w:hint="cs"/>
          <w:rtl/>
        </w:rPr>
        <w:t>כל אלה, מציירים את הנסיבות האופפות את ביצוע העבירות בצבעים קודרים ביותר, בשל המסוכנות והחומרה הרבה העולה מהן.</w:t>
      </w:r>
    </w:p>
    <w:p w14:paraId="27521941" w14:textId="77777777" w:rsidR="00DD260C" w:rsidRDefault="00DD260C" w:rsidP="00DD260C">
      <w:pPr>
        <w:rPr>
          <w:rFonts w:ascii="Arial" w:hAnsi="Arial"/>
          <w:b/>
          <w:bCs/>
          <w:rtl/>
        </w:rPr>
      </w:pPr>
    </w:p>
    <w:p w14:paraId="139F8964" w14:textId="77777777" w:rsidR="00DD260C" w:rsidRDefault="00DD260C" w:rsidP="00DD260C">
      <w:pPr>
        <w:spacing w:line="360" w:lineRule="auto"/>
        <w:jc w:val="both"/>
        <w:rPr>
          <w:rFonts w:ascii="Arial" w:hAnsi="Arial"/>
          <w:rtl/>
        </w:rPr>
      </w:pPr>
      <w:r>
        <w:rPr>
          <w:rFonts w:ascii="Arial" w:hAnsi="Arial" w:hint="cs"/>
          <w:rtl/>
        </w:rPr>
        <w:t>לצד האמור, יש לזכור כי הנאשם לא נטל חלק במעשי הירי ושוד הרכב שבוצעו על ידי החבורה ואף לא החזיק פיזית את כלי הנשק. יחד עם זאת, הוא נכח בעת שחבריו נשאו את כלי הנשק במרחב הציבורי וסייע להם בנשיאת האקדחים והובלתם וכן היה שותף לשימוש ברכב ללא רשות בעליו.</w:t>
      </w:r>
    </w:p>
    <w:p w14:paraId="6A666C56" w14:textId="77777777" w:rsidR="00DD260C" w:rsidRDefault="00DD260C" w:rsidP="00DD260C">
      <w:pPr>
        <w:spacing w:line="360" w:lineRule="auto"/>
        <w:jc w:val="both"/>
        <w:rPr>
          <w:rFonts w:ascii="Arial" w:hAnsi="Arial"/>
          <w:rtl/>
        </w:rPr>
      </w:pPr>
      <w:r>
        <w:rPr>
          <w:rFonts w:ascii="Arial" w:hAnsi="Arial" w:hint="cs"/>
          <w:rtl/>
        </w:rPr>
        <w:t xml:space="preserve"> </w:t>
      </w:r>
    </w:p>
    <w:p w14:paraId="7657031E" w14:textId="77777777" w:rsidR="00DD260C" w:rsidRDefault="00DD260C" w:rsidP="00DD260C">
      <w:pPr>
        <w:spacing w:line="360" w:lineRule="auto"/>
        <w:jc w:val="both"/>
        <w:rPr>
          <w:rFonts w:ascii="Arial" w:hAnsi="Arial"/>
          <w:rtl/>
        </w:rPr>
      </w:pPr>
      <w:r>
        <w:rPr>
          <w:rFonts w:ascii="Arial" w:hAnsi="Arial" w:hint="cs"/>
          <w:rtl/>
        </w:rPr>
        <w:t xml:space="preserve">כפי שציין בצדק התובע, המקרה הנוכחי מדגים בצורה ברורה את הסיכון הטמון בנשיאת נשק ללא היתר, כאשר נעשה שימוש בנשק במספר הזדמנויות במהלך אותו אירוע מתמשך, הן בירי של ממש והן באיומים. </w:t>
      </w:r>
    </w:p>
    <w:p w14:paraId="031F9AFA" w14:textId="77777777" w:rsidR="00DD260C" w:rsidRDefault="00DD260C" w:rsidP="00DD260C">
      <w:pPr>
        <w:spacing w:line="360" w:lineRule="auto"/>
        <w:jc w:val="both"/>
        <w:rPr>
          <w:rFonts w:ascii="Arial" w:hAnsi="Arial"/>
          <w:rtl/>
        </w:rPr>
      </w:pPr>
    </w:p>
    <w:p w14:paraId="6E890CB5" w14:textId="77777777" w:rsidR="00DD260C" w:rsidRDefault="00DD260C" w:rsidP="00DD260C">
      <w:pPr>
        <w:spacing w:line="360" w:lineRule="auto"/>
        <w:jc w:val="both"/>
        <w:rPr>
          <w:rFonts w:ascii="Arial" w:hAnsi="Arial"/>
          <w:rtl/>
        </w:rPr>
      </w:pPr>
      <w:r>
        <w:rPr>
          <w:rFonts w:ascii="Arial" w:hAnsi="Arial" w:hint="cs"/>
          <w:rtl/>
        </w:rPr>
        <w:t>ודוקו, כתב האישום אינו מבהיר מה מידת ידיעתו של הנאשם בנוגע לשימוש שנעשה בכלי הנשק כאמור על ידי המעורבים האחרים. על כן, אין לזקוף עובדות אלה לחובתו.</w:t>
      </w:r>
    </w:p>
    <w:p w14:paraId="1AB97C30" w14:textId="77777777" w:rsidR="00DD260C" w:rsidRDefault="00DD260C" w:rsidP="00DD260C">
      <w:pPr>
        <w:spacing w:line="360" w:lineRule="auto"/>
        <w:jc w:val="both"/>
        <w:rPr>
          <w:rFonts w:ascii="Arial" w:hAnsi="Arial"/>
          <w:rtl/>
        </w:rPr>
      </w:pPr>
    </w:p>
    <w:p w14:paraId="58DDEE5D" w14:textId="77777777" w:rsidR="00DD260C" w:rsidRDefault="00DD260C" w:rsidP="00DD260C">
      <w:pPr>
        <w:spacing w:line="360" w:lineRule="auto"/>
        <w:jc w:val="both"/>
        <w:rPr>
          <w:rFonts w:ascii="David" w:hAnsi="David"/>
          <w:rtl/>
        </w:rPr>
      </w:pPr>
      <w:r>
        <w:rPr>
          <w:rFonts w:ascii="Arial" w:hAnsi="Arial" w:hint="cs"/>
          <w:rtl/>
        </w:rPr>
        <w:t xml:space="preserve">יחד עם זאת, אין להתעלם מפוטנציאל הנזק הטמון בעבירת הסיוע לנשיאת נשק ללא היתר, שהומחש היטב לאורך כל האירוע המתואר בכתב האישום. באופן דומה, יש לתת משקל לנזק הממשי שנגרם מהסיוע לנשיאת הנשק, למצער בחלק השני של האירוע, כאשר הנאשם כבר היה מודע היטב לעובדה כי חבריו נושאים נשק והמשיך בנסיעה עמם, ברכב לא לו. </w:t>
      </w:r>
    </w:p>
    <w:p w14:paraId="550E5713" w14:textId="77777777" w:rsidR="00DD260C" w:rsidRDefault="00DD260C" w:rsidP="00DD260C">
      <w:pPr>
        <w:spacing w:line="360" w:lineRule="auto"/>
        <w:jc w:val="both"/>
        <w:rPr>
          <w:rFonts w:ascii="David" w:hAnsi="David"/>
          <w:rtl/>
        </w:rPr>
      </w:pPr>
    </w:p>
    <w:p w14:paraId="222F6652" w14:textId="77777777" w:rsidR="00DD260C" w:rsidRDefault="00DD260C" w:rsidP="00DD260C">
      <w:pPr>
        <w:spacing w:line="360" w:lineRule="auto"/>
        <w:jc w:val="both"/>
        <w:rPr>
          <w:rFonts w:ascii="David" w:hAnsi="David"/>
          <w:rtl/>
        </w:rPr>
      </w:pPr>
      <w:r>
        <w:rPr>
          <w:rFonts w:ascii="David" w:hAnsi="David" w:hint="cs"/>
          <w:rtl/>
        </w:rPr>
        <w:t>העובדה כי הנאשם התמיד בחבירתו לאחרים גם לאחר שנאלצו לעזוב את רכב היונדאי, כאשר הוא מצטרף להמשך נסיעתם ברכב, אשר נעשה בו שימוש ללא רשות הבעלים (תיאור הממעיט מחומרת דרך השגת הרכב האמור), אף היא מהווה נסיבה מחמירה.</w:t>
      </w:r>
    </w:p>
    <w:p w14:paraId="0F751948" w14:textId="77777777" w:rsidR="00DD260C" w:rsidRDefault="00DD260C" w:rsidP="00DD260C">
      <w:pPr>
        <w:spacing w:line="360" w:lineRule="auto"/>
        <w:jc w:val="both"/>
        <w:rPr>
          <w:rFonts w:ascii="Arial" w:hAnsi="Arial"/>
          <w:b/>
          <w:bCs/>
          <w:rtl/>
        </w:rPr>
      </w:pPr>
    </w:p>
    <w:p w14:paraId="1A578932" w14:textId="77777777" w:rsidR="00DD260C" w:rsidRDefault="00DD260C" w:rsidP="00DD260C">
      <w:pPr>
        <w:bidi w:val="0"/>
        <w:rPr>
          <w:rFonts w:ascii="Arial" w:hAnsi="Arial"/>
          <w:b/>
          <w:bCs/>
          <w:rtl/>
        </w:rPr>
      </w:pPr>
      <w:r>
        <w:rPr>
          <w:rFonts w:ascii="Arial" w:hAnsi="Arial"/>
          <w:b/>
          <w:bCs/>
          <w:rtl/>
        </w:rPr>
        <w:br w:type="page"/>
      </w:r>
    </w:p>
    <w:p w14:paraId="2B36F2D2" w14:textId="77777777" w:rsidR="00DD260C" w:rsidRDefault="00DD260C" w:rsidP="00DD260C">
      <w:pPr>
        <w:spacing w:line="360" w:lineRule="auto"/>
        <w:jc w:val="both"/>
        <w:rPr>
          <w:rFonts w:ascii="Arial" w:hAnsi="Arial"/>
          <w:b/>
          <w:bCs/>
          <w:rtl/>
        </w:rPr>
      </w:pPr>
      <w:r w:rsidRPr="004968FA">
        <w:rPr>
          <w:rFonts w:ascii="Arial" w:hAnsi="Arial" w:hint="cs"/>
          <w:b/>
          <w:bCs/>
          <w:rtl/>
        </w:rPr>
        <w:t>מדיניות הענישה</w:t>
      </w:r>
    </w:p>
    <w:p w14:paraId="760E29D8" w14:textId="77777777" w:rsidR="00DD260C" w:rsidRPr="004968FA" w:rsidRDefault="00DD260C" w:rsidP="00DD260C">
      <w:pPr>
        <w:spacing w:line="360" w:lineRule="auto"/>
        <w:jc w:val="both"/>
        <w:rPr>
          <w:rFonts w:ascii="Arial" w:hAnsi="Arial"/>
          <w:b/>
          <w:bCs/>
          <w:rtl/>
        </w:rPr>
      </w:pPr>
      <w:r w:rsidRPr="004968FA">
        <w:rPr>
          <w:rFonts w:ascii="Arial" w:hAnsi="Arial" w:hint="cs"/>
          <w:b/>
          <w:bCs/>
          <w:rtl/>
        </w:rPr>
        <w:t xml:space="preserve"> </w:t>
      </w:r>
    </w:p>
    <w:p w14:paraId="18682F38" w14:textId="77777777" w:rsidR="00DD260C" w:rsidRPr="00DB38DC" w:rsidRDefault="00DD260C" w:rsidP="00DD260C">
      <w:pPr>
        <w:spacing w:line="360" w:lineRule="auto"/>
        <w:jc w:val="both"/>
        <w:rPr>
          <w:rFonts w:ascii="Arial" w:hAnsi="Arial"/>
        </w:rPr>
      </w:pPr>
      <w:r w:rsidRPr="00DB38DC">
        <w:rPr>
          <w:rFonts w:ascii="Arial" w:hAnsi="Arial" w:hint="cs"/>
          <w:rtl/>
        </w:rPr>
        <w:t xml:space="preserve">רבות נכתב על ידי בית המשפט העליון בנוגע לצורך בענישה מחמירה בעבירות הנשק לדרגותיהן. הצורך להילחם מלחמה שערה נגד התופעה הנרחבת של החזקה ושימוש בכלי נשק בלתי חוקיים עובר כחוט השני בפסיקת בתי המשפט בשנים האחרונות (ראו מיני רבים </w:t>
      </w:r>
      <w:r w:rsidRPr="00DB38DC">
        <w:rPr>
          <w:rFonts w:ascii="Arial" w:hAnsi="Arial"/>
          <w:rtl/>
        </w:rPr>
        <w:t>(</w:t>
      </w:r>
      <w:hyperlink r:id="rId22" w:history="1">
        <w:r w:rsidR="009D24E4" w:rsidRPr="009D24E4">
          <w:rPr>
            <w:rFonts w:ascii="Arial" w:hAnsi="Arial"/>
            <w:color w:val="0000FF"/>
            <w:u w:val="single"/>
            <w:rtl/>
          </w:rPr>
          <w:t>ע"פ 4406/19</w:t>
        </w:r>
      </w:hyperlink>
      <w:r w:rsidRPr="00DB38DC">
        <w:rPr>
          <w:rFonts w:ascii="Arial" w:hAnsi="Arial"/>
          <w:rtl/>
        </w:rPr>
        <w:t xml:space="preserve"> </w:t>
      </w:r>
      <w:r w:rsidRPr="00DB38DC">
        <w:rPr>
          <w:rFonts w:ascii="Arial" w:hAnsi="Arial"/>
          <w:b/>
          <w:bCs/>
          <w:rtl/>
        </w:rPr>
        <w:t xml:space="preserve">מדינת ישראל </w:t>
      </w:r>
      <w:r w:rsidRPr="00DB38DC">
        <w:rPr>
          <w:rFonts w:ascii="Arial" w:hAnsi="Arial"/>
          <w:rtl/>
        </w:rPr>
        <w:t xml:space="preserve">נ' </w:t>
      </w:r>
      <w:r w:rsidRPr="00DB38DC">
        <w:rPr>
          <w:rFonts w:ascii="Arial" w:hAnsi="Arial"/>
          <w:b/>
          <w:bCs/>
          <w:rtl/>
        </w:rPr>
        <w:t>סובח</w:t>
      </w:r>
      <w:r w:rsidRPr="00DB38DC">
        <w:rPr>
          <w:rFonts w:ascii="Arial" w:hAnsi="Arial"/>
          <w:rtl/>
        </w:rPr>
        <w:t xml:space="preserve"> (פורסם בנבו, 5.11.19)</w:t>
      </w:r>
      <w:r w:rsidRPr="00DB38DC">
        <w:rPr>
          <w:rFonts w:ascii="Arial" w:hAnsi="Arial" w:hint="cs"/>
          <w:rtl/>
        </w:rPr>
        <w:t xml:space="preserve">, </w:t>
      </w:r>
      <w:hyperlink r:id="rId23" w:history="1">
        <w:r w:rsidR="009D24E4" w:rsidRPr="009D24E4">
          <w:rPr>
            <w:rFonts w:ascii="Arial" w:hAnsi="Arial"/>
            <w:color w:val="0000FF"/>
            <w:u w:val="single"/>
            <w:rtl/>
          </w:rPr>
          <w:t>ע"פ 309/22</w:t>
        </w:r>
      </w:hyperlink>
      <w:r w:rsidRPr="00DB38DC">
        <w:rPr>
          <w:rFonts w:ascii="Arial" w:hAnsi="Arial"/>
          <w:rtl/>
        </w:rPr>
        <w:t xml:space="preserve"> </w:t>
      </w:r>
      <w:r w:rsidRPr="00DB38DC">
        <w:rPr>
          <w:rFonts w:ascii="Arial" w:hAnsi="Arial"/>
          <w:b/>
          <w:bCs/>
          <w:rtl/>
        </w:rPr>
        <w:t>מדינת ישראל</w:t>
      </w:r>
      <w:r w:rsidRPr="00DB38DC">
        <w:rPr>
          <w:rFonts w:ascii="Arial" w:hAnsi="Arial"/>
          <w:rtl/>
        </w:rPr>
        <w:t xml:space="preserve"> נ' </w:t>
      </w:r>
      <w:r w:rsidRPr="00DB38DC">
        <w:rPr>
          <w:rFonts w:ascii="Arial" w:hAnsi="Arial"/>
          <w:b/>
          <w:bCs/>
          <w:rtl/>
        </w:rPr>
        <w:t>ביאדסה</w:t>
      </w:r>
      <w:r w:rsidRPr="00DB38DC">
        <w:rPr>
          <w:rFonts w:ascii="Arial" w:hAnsi="Arial"/>
          <w:rtl/>
        </w:rPr>
        <w:t xml:space="preserve"> (פורסם בנבו, 10.5.22),</w:t>
      </w:r>
      <w:r w:rsidRPr="00DB38DC">
        <w:rPr>
          <w:rFonts w:ascii="Arial" w:hAnsi="Arial"/>
          <w:color w:val="FF0000"/>
          <w:rtl/>
        </w:rPr>
        <w:t xml:space="preserve"> </w:t>
      </w:r>
      <w:hyperlink r:id="rId24" w:history="1">
        <w:r w:rsidR="009D24E4" w:rsidRPr="009D24E4">
          <w:rPr>
            <w:rFonts w:ascii="Arial" w:hAnsi="Arial"/>
            <w:color w:val="0000FF"/>
            <w:u w:val="single"/>
            <w:rtl/>
          </w:rPr>
          <w:t>ע"פ 1695/22</w:t>
        </w:r>
      </w:hyperlink>
      <w:r w:rsidRPr="00DB38DC">
        <w:rPr>
          <w:rFonts w:ascii="Arial" w:hAnsi="Arial"/>
          <w:rtl/>
        </w:rPr>
        <w:t xml:space="preserve"> </w:t>
      </w:r>
      <w:r w:rsidRPr="00DB38DC">
        <w:rPr>
          <w:rFonts w:ascii="Arial" w:hAnsi="Arial"/>
          <w:b/>
          <w:bCs/>
          <w:rtl/>
        </w:rPr>
        <w:t>מדינת ישראל</w:t>
      </w:r>
      <w:r w:rsidRPr="00DB38DC">
        <w:rPr>
          <w:rFonts w:ascii="Arial" w:hAnsi="Arial"/>
          <w:rtl/>
        </w:rPr>
        <w:t xml:space="preserve"> נ' </w:t>
      </w:r>
      <w:r w:rsidRPr="00DB38DC">
        <w:rPr>
          <w:rFonts w:ascii="Arial" w:hAnsi="Arial"/>
          <w:b/>
          <w:bCs/>
          <w:rtl/>
        </w:rPr>
        <w:t>גאנים</w:t>
      </w:r>
      <w:r w:rsidRPr="00DB38DC">
        <w:rPr>
          <w:rFonts w:ascii="Arial" w:hAnsi="Arial"/>
          <w:rtl/>
        </w:rPr>
        <w:t xml:space="preserve"> (פורסם בנבו, 29.3.22)). </w:t>
      </w:r>
    </w:p>
    <w:p w14:paraId="6FE8329C" w14:textId="77777777" w:rsidR="00DD260C" w:rsidRDefault="00DD260C" w:rsidP="00DD260C">
      <w:pPr>
        <w:spacing w:line="360" w:lineRule="auto"/>
        <w:jc w:val="both"/>
        <w:rPr>
          <w:rFonts w:ascii="Arial" w:hAnsi="Arial"/>
          <w:rtl/>
        </w:rPr>
      </w:pPr>
    </w:p>
    <w:p w14:paraId="39EA7E83" w14:textId="77777777" w:rsidR="00DD260C" w:rsidRDefault="00DD260C" w:rsidP="00DD260C">
      <w:pPr>
        <w:spacing w:line="360" w:lineRule="auto"/>
        <w:jc w:val="both"/>
        <w:rPr>
          <w:rFonts w:ascii="Arial" w:hAnsi="Arial"/>
          <w:rtl/>
        </w:rPr>
      </w:pPr>
      <w:r>
        <w:rPr>
          <w:rFonts w:ascii="Arial" w:hAnsi="Arial" w:hint="cs"/>
          <w:rtl/>
        </w:rPr>
        <w:t xml:space="preserve">בהתאם לכך, נקבעה רמת ענישה מחמירה באשר לעבירת נשיאה והובלת כלי נשק (ראו עניין </w:t>
      </w:r>
      <w:r w:rsidRPr="00240A81">
        <w:rPr>
          <w:rFonts w:ascii="Arial" w:hAnsi="Arial" w:hint="cs"/>
          <w:b/>
          <w:bCs/>
          <w:rtl/>
        </w:rPr>
        <w:t>אגבאריה</w:t>
      </w:r>
      <w:r>
        <w:rPr>
          <w:rFonts w:ascii="Arial" w:hAnsi="Arial" w:hint="cs"/>
          <w:rtl/>
        </w:rPr>
        <w:t xml:space="preserve"> הנ"ל) בו קבע בית המשפט העליון מתחם עונשי הנע בין 30-42 חודשי מאסר לריצוי בפועל בגין עבירת החזקת נשק חם במרחב הציבורי (וראו גם</w:t>
      </w:r>
      <w:r w:rsidRPr="00240A81">
        <w:rPr>
          <w:rFonts w:ascii="Arial" w:hAnsi="Arial" w:hint="cs"/>
          <w:rtl/>
        </w:rPr>
        <w:t xml:space="preserve"> </w:t>
      </w:r>
      <w:hyperlink r:id="rId25" w:history="1">
        <w:r w:rsidR="009D24E4" w:rsidRPr="009D24E4">
          <w:rPr>
            <w:rFonts w:ascii="Arial" w:hAnsi="Arial"/>
            <w:color w:val="0000FF"/>
            <w:u w:val="single"/>
            <w:rtl/>
          </w:rPr>
          <w:t>ע"פ 5602/22</w:t>
        </w:r>
      </w:hyperlink>
      <w:r w:rsidRPr="00240A81">
        <w:rPr>
          <w:rFonts w:ascii="Arial" w:hAnsi="Arial"/>
          <w:rtl/>
        </w:rPr>
        <w:t xml:space="preserve"> </w:t>
      </w:r>
      <w:r w:rsidRPr="00240A81">
        <w:rPr>
          <w:rFonts w:ascii="Arial" w:hAnsi="Arial"/>
          <w:b/>
          <w:bCs/>
          <w:rtl/>
        </w:rPr>
        <w:t>מדינת ישראל</w:t>
      </w:r>
      <w:r w:rsidRPr="00240A81">
        <w:rPr>
          <w:rFonts w:ascii="Arial" w:hAnsi="Arial"/>
          <w:rtl/>
        </w:rPr>
        <w:t xml:space="preserve"> נ' </w:t>
      </w:r>
      <w:r w:rsidRPr="00240A81">
        <w:rPr>
          <w:rFonts w:ascii="Arial" w:hAnsi="Arial"/>
          <w:b/>
          <w:bCs/>
          <w:rtl/>
        </w:rPr>
        <w:t>פלוני</w:t>
      </w:r>
      <w:r w:rsidRPr="00240A81">
        <w:rPr>
          <w:rFonts w:ascii="Arial" w:hAnsi="Arial"/>
          <w:rtl/>
        </w:rPr>
        <w:t xml:space="preserve"> (פורסם בנבו, 14.9.2022</w:t>
      </w:r>
      <w:r w:rsidRPr="00240A81">
        <w:rPr>
          <w:rFonts w:ascii="Arial" w:hAnsi="Arial" w:hint="cs"/>
          <w:rtl/>
        </w:rPr>
        <w:t xml:space="preserve">) </w:t>
      </w:r>
      <w:r w:rsidRPr="00240A81">
        <w:rPr>
          <w:rFonts w:ascii="Arial" w:hAnsi="Arial"/>
          <w:rtl/>
        </w:rPr>
        <w:t>באותו עניין הורשע הנאשם בנשיאת אקדח עת נסע ברכב, בהפרעה לשוטר</w:t>
      </w:r>
      <w:r>
        <w:rPr>
          <w:rFonts w:ascii="Arial" w:hAnsi="Arial"/>
          <w:rtl/>
        </w:rPr>
        <w:t xml:space="preserve"> ובכניסה ושהייה בישראל ללא היתר</w:t>
      </w:r>
      <w:r w:rsidRPr="00240A81">
        <w:rPr>
          <w:rFonts w:ascii="Arial" w:hAnsi="Arial"/>
          <w:rtl/>
        </w:rPr>
        <w:t>. באופן דומה נקבע גם ב</w:t>
      </w:r>
      <w:hyperlink r:id="rId26" w:history="1">
        <w:r w:rsidR="009D24E4" w:rsidRPr="009D24E4">
          <w:rPr>
            <w:rFonts w:ascii="Arial" w:hAnsi="Arial"/>
            <w:color w:val="0000FF"/>
            <w:u w:val="single"/>
            <w:rtl/>
          </w:rPr>
          <w:t>ע"פ 4077/22</w:t>
        </w:r>
      </w:hyperlink>
      <w:r w:rsidRPr="00240A81">
        <w:rPr>
          <w:rFonts w:ascii="Arial" w:hAnsi="Arial"/>
          <w:rtl/>
        </w:rPr>
        <w:t xml:space="preserve"> </w:t>
      </w:r>
      <w:r w:rsidRPr="00240A81">
        <w:rPr>
          <w:rFonts w:ascii="Arial" w:hAnsi="Arial"/>
          <w:b/>
          <w:bCs/>
          <w:rtl/>
        </w:rPr>
        <w:t>פלוני</w:t>
      </w:r>
      <w:r w:rsidRPr="00240A81">
        <w:rPr>
          <w:rFonts w:ascii="Arial" w:hAnsi="Arial"/>
          <w:rtl/>
        </w:rPr>
        <w:t xml:space="preserve"> נ' </w:t>
      </w:r>
      <w:r w:rsidRPr="00240A81">
        <w:rPr>
          <w:rFonts w:ascii="Arial" w:hAnsi="Arial"/>
          <w:b/>
          <w:bCs/>
          <w:rtl/>
        </w:rPr>
        <w:t>מדינת ישראל</w:t>
      </w:r>
      <w:r w:rsidRPr="00240A81">
        <w:rPr>
          <w:rFonts w:ascii="Arial" w:hAnsi="Arial"/>
          <w:rtl/>
        </w:rPr>
        <w:t xml:space="preserve"> </w:t>
      </w:r>
      <w:r>
        <w:rPr>
          <w:rFonts w:ascii="Arial" w:hAnsi="Arial"/>
          <w:rtl/>
        </w:rPr>
        <w:t>(פורסם בנבו, 28.7.2022)</w:t>
      </w:r>
      <w:r>
        <w:rPr>
          <w:rFonts w:ascii="Arial" w:hAnsi="Arial" w:hint="cs"/>
          <w:rtl/>
        </w:rPr>
        <w:t>)</w:t>
      </w:r>
      <w:r w:rsidRPr="00240A81">
        <w:rPr>
          <w:rFonts w:ascii="Arial" w:hAnsi="Arial"/>
          <w:rtl/>
        </w:rPr>
        <w:t xml:space="preserve">. </w:t>
      </w:r>
    </w:p>
    <w:p w14:paraId="74043A88" w14:textId="77777777" w:rsidR="00DD260C" w:rsidRDefault="00DD260C" w:rsidP="00DD260C">
      <w:pPr>
        <w:spacing w:line="360" w:lineRule="auto"/>
        <w:jc w:val="both"/>
        <w:rPr>
          <w:rFonts w:ascii="David" w:hAnsi="David"/>
          <w:color w:val="000000"/>
          <w:rtl/>
        </w:rPr>
      </w:pPr>
    </w:p>
    <w:p w14:paraId="61467687" w14:textId="77777777" w:rsidR="00DD260C" w:rsidRDefault="00DD260C" w:rsidP="00DD260C">
      <w:pPr>
        <w:spacing w:line="360" w:lineRule="auto"/>
        <w:jc w:val="both"/>
        <w:rPr>
          <w:rFonts w:ascii="David" w:hAnsi="David"/>
          <w:color w:val="000000"/>
          <w:rtl/>
        </w:rPr>
      </w:pPr>
      <w:r>
        <w:rPr>
          <w:rFonts w:ascii="David" w:hAnsi="David" w:hint="cs"/>
          <w:color w:val="000000"/>
          <w:rtl/>
        </w:rPr>
        <w:t>מגמת ההחמרה האמורה מן הראוי שתחול גם על מי אשר אך סייע לנשיאת והובלת נשק, עם כי תוך התחשבות בהוראת המחוקק המעמידה את עונשו של המסייע על מחצית העונש של המבצע העיקרי, ובהתאם לנסיבות הפרטניות של כל מקרה ומקרה.</w:t>
      </w:r>
    </w:p>
    <w:p w14:paraId="673E1473" w14:textId="77777777" w:rsidR="00DD260C" w:rsidRPr="004968FA" w:rsidRDefault="00DD260C" w:rsidP="00DD260C">
      <w:pPr>
        <w:spacing w:line="360" w:lineRule="auto"/>
        <w:jc w:val="both"/>
        <w:rPr>
          <w:rFonts w:ascii="David" w:hAnsi="David"/>
          <w:color w:val="000000"/>
          <w:rtl/>
        </w:rPr>
      </w:pPr>
    </w:p>
    <w:p w14:paraId="53A35FD6" w14:textId="77777777" w:rsidR="00DD260C" w:rsidRDefault="00DD260C" w:rsidP="00DD260C">
      <w:pPr>
        <w:spacing w:line="360" w:lineRule="auto"/>
        <w:jc w:val="both"/>
        <w:rPr>
          <w:rFonts w:ascii="Arial" w:hAnsi="Arial"/>
          <w:b/>
          <w:bCs/>
          <w:rtl/>
        </w:rPr>
      </w:pPr>
      <w:r w:rsidRPr="004968FA">
        <w:rPr>
          <w:rFonts w:ascii="Arial" w:hAnsi="Arial" w:hint="cs"/>
          <w:b/>
          <w:bCs/>
          <w:rtl/>
        </w:rPr>
        <w:t>מתחם העונש ההולם</w:t>
      </w:r>
    </w:p>
    <w:p w14:paraId="3DA06956" w14:textId="77777777" w:rsidR="00DD260C" w:rsidRPr="001772F0" w:rsidRDefault="00DD260C" w:rsidP="00DD260C">
      <w:pPr>
        <w:spacing w:line="360" w:lineRule="auto"/>
        <w:jc w:val="both"/>
        <w:rPr>
          <w:rFonts w:ascii="Arial" w:hAnsi="Arial"/>
          <w:b/>
          <w:bCs/>
          <w:sz w:val="16"/>
          <w:szCs w:val="16"/>
          <w:rtl/>
        </w:rPr>
      </w:pPr>
    </w:p>
    <w:p w14:paraId="4DF5E4DA" w14:textId="77777777" w:rsidR="00DD260C" w:rsidRDefault="00DD260C" w:rsidP="00DD260C">
      <w:pPr>
        <w:spacing w:line="360" w:lineRule="auto"/>
        <w:jc w:val="both"/>
        <w:rPr>
          <w:rFonts w:ascii="Arial" w:hAnsi="Arial"/>
          <w:rtl/>
        </w:rPr>
      </w:pPr>
      <w:r w:rsidRPr="00E84592">
        <w:rPr>
          <w:rFonts w:ascii="Arial" w:hAnsi="Arial" w:hint="cs"/>
          <w:rtl/>
        </w:rPr>
        <w:t>אציין תחילה</w:t>
      </w:r>
      <w:r>
        <w:rPr>
          <w:rFonts w:ascii="Arial" w:hAnsi="Arial" w:hint="cs"/>
          <w:rtl/>
        </w:rPr>
        <w:t xml:space="preserve"> כי </w:t>
      </w:r>
      <w:r>
        <w:rPr>
          <w:rFonts w:hint="cs"/>
          <w:rtl/>
        </w:rPr>
        <w:t>נוכח נסיבות ביצוע העבירות והעובדה שמדובר במסכת עבריינית אחת, יש מקום לקבוע מתחם ענישה אחד ביחס לשתי העבירות</w:t>
      </w:r>
      <w:r>
        <w:rPr>
          <w:rFonts w:ascii="Arial" w:hAnsi="Arial" w:hint="cs"/>
          <w:rtl/>
        </w:rPr>
        <w:t>. זו הייתה גם הגישה המשתקפת מטיעוניהם של הצדדים.</w:t>
      </w:r>
    </w:p>
    <w:p w14:paraId="6D596C83" w14:textId="77777777" w:rsidR="00DD260C" w:rsidRDefault="00DD260C" w:rsidP="00DD260C">
      <w:pPr>
        <w:spacing w:line="360" w:lineRule="auto"/>
        <w:jc w:val="both"/>
        <w:rPr>
          <w:rFonts w:ascii="Arial" w:hAnsi="Arial"/>
          <w:rtl/>
        </w:rPr>
      </w:pPr>
    </w:p>
    <w:p w14:paraId="1AA4DE52" w14:textId="77777777" w:rsidR="00DD260C" w:rsidRDefault="00DD260C" w:rsidP="00DD260C">
      <w:pPr>
        <w:spacing w:line="360" w:lineRule="auto"/>
        <w:jc w:val="both"/>
        <w:rPr>
          <w:rFonts w:ascii="Arial" w:hAnsi="Arial"/>
          <w:rtl/>
        </w:rPr>
      </w:pPr>
      <w:r>
        <w:rPr>
          <w:rFonts w:ascii="Arial" w:hAnsi="Arial" w:hint="cs"/>
          <w:rtl/>
        </w:rPr>
        <w:t xml:space="preserve">זאת ועוד, כאמור כאשר אנו עוסקים בסיוע לביצוע עבירה, הדין קובע עונש שגובהו מחצית מעונשו של המבצע העיקרי ויש להביא זאת בחשבון במסגרת קביעת מתחם העונש ההולם. בענייננו, העונש המרבי הקבוע בחוק ביחס לעבירת נשיאה והובלת נשק הינו 10 שנות מאסר, על כן העונש המרבי למסייע עומד על 5 שנות מאסר. </w:t>
      </w:r>
    </w:p>
    <w:p w14:paraId="41F1A5AA" w14:textId="77777777" w:rsidR="00DD260C" w:rsidRDefault="00DD260C" w:rsidP="00DD260C">
      <w:pPr>
        <w:spacing w:line="360" w:lineRule="auto"/>
        <w:jc w:val="both"/>
        <w:rPr>
          <w:rFonts w:ascii="Arial" w:hAnsi="Arial"/>
          <w:rtl/>
        </w:rPr>
      </w:pPr>
    </w:p>
    <w:p w14:paraId="6E6D353C" w14:textId="77777777" w:rsidR="00DD260C" w:rsidRDefault="00DD260C" w:rsidP="00DD260C">
      <w:pPr>
        <w:spacing w:line="360" w:lineRule="auto"/>
        <w:jc w:val="both"/>
        <w:rPr>
          <w:rFonts w:ascii="Arial" w:hAnsi="Arial"/>
          <w:rtl/>
        </w:rPr>
      </w:pPr>
      <w:r>
        <w:rPr>
          <w:rFonts w:ascii="Arial" w:hAnsi="Arial" w:hint="cs"/>
          <w:rtl/>
        </w:rPr>
        <w:t>מעבר לכך, בשל תחולת תיקון 140 ל</w:t>
      </w:r>
      <w:hyperlink r:id="rId27" w:history="1">
        <w:r w:rsidR="009D24E4" w:rsidRPr="009D24E4">
          <w:rPr>
            <w:rFonts w:ascii="Arial" w:hAnsi="Arial"/>
            <w:color w:val="0000FF"/>
            <w:u w:val="single"/>
            <w:rtl/>
          </w:rPr>
          <w:t>חוק העונשין</w:t>
        </w:r>
      </w:hyperlink>
      <w:r>
        <w:rPr>
          <w:rFonts w:ascii="Arial" w:hAnsi="Arial" w:hint="cs"/>
          <w:rtl/>
        </w:rPr>
        <w:t xml:space="preserve">, עונש המזערי בשל סיוע כאמור הוא לא יפחת מ-15 חודשי מאסר (עונש שאינו יכול להיות כולו על תנאי). </w:t>
      </w:r>
    </w:p>
    <w:p w14:paraId="6EA02DC3" w14:textId="77777777" w:rsidR="00DD260C" w:rsidRDefault="00DD260C" w:rsidP="00DD260C">
      <w:pPr>
        <w:spacing w:line="360" w:lineRule="auto"/>
        <w:jc w:val="both"/>
        <w:rPr>
          <w:rFonts w:ascii="Arial" w:hAnsi="Arial"/>
          <w:rtl/>
        </w:rPr>
      </w:pPr>
    </w:p>
    <w:p w14:paraId="1208927F" w14:textId="77777777" w:rsidR="00DD260C" w:rsidRDefault="00DD260C" w:rsidP="00DD260C">
      <w:pPr>
        <w:spacing w:line="360" w:lineRule="auto"/>
        <w:jc w:val="both"/>
        <w:rPr>
          <w:rFonts w:ascii="Arial" w:hAnsi="Arial"/>
          <w:rtl/>
        </w:rPr>
      </w:pPr>
      <w:r>
        <w:rPr>
          <w:rFonts w:ascii="Arial" w:hAnsi="Arial" w:hint="cs"/>
          <w:rtl/>
        </w:rPr>
        <w:t xml:space="preserve">עוד יצוין כי בצידה של עבירת שימוש ברכב ללא רשות נקבע עונש של שלוש שנות מאסר. </w:t>
      </w:r>
    </w:p>
    <w:p w14:paraId="6DE8C0F7" w14:textId="77777777" w:rsidR="00DD260C" w:rsidRDefault="00DD260C" w:rsidP="00DD260C">
      <w:pPr>
        <w:spacing w:line="360" w:lineRule="auto"/>
        <w:jc w:val="both"/>
        <w:rPr>
          <w:rFonts w:ascii="Arial" w:hAnsi="Arial"/>
          <w:rtl/>
        </w:rPr>
      </w:pPr>
      <w:r>
        <w:rPr>
          <w:rFonts w:ascii="Arial" w:hAnsi="Arial" w:hint="cs"/>
          <w:rtl/>
        </w:rPr>
        <w:t xml:space="preserve">עמדתי לעיל על מגמתה המחמירה של הפסיקה בעבירת נשיאת נשק והובלתו ללא היתר. ברם, לצד קביעות הפסיקה האמורות, בענייננו נקודת המוצא לעונש הראוי לנאשם מצויה בעונשו של המעורב הנוסף בפרשה, </w:t>
      </w:r>
      <w:r w:rsidRPr="00830879">
        <w:rPr>
          <w:rFonts w:ascii="Arial" w:hAnsi="Arial" w:hint="cs"/>
          <w:b/>
          <w:bCs/>
          <w:rtl/>
        </w:rPr>
        <w:t>חאתם</w:t>
      </w:r>
      <w:r>
        <w:rPr>
          <w:rFonts w:ascii="Arial" w:hAnsi="Arial" w:hint="cs"/>
          <w:rtl/>
        </w:rPr>
        <w:t>.</w:t>
      </w:r>
    </w:p>
    <w:p w14:paraId="153FB1BA" w14:textId="77777777" w:rsidR="00DD260C" w:rsidRDefault="00DD260C" w:rsidP="00DD260C">
      <w:pPr>
        <w:spacing w:line="360" w:lineRule="auto"/>
        <w:jc w:val="both"/>
        <w:rPr>
          <w:rFonts w:ascii="Arial" w:hAnsi="Arial"/>
          <w:rtl/>
        </w:rPr>
      </w:pPr>
    </w:p>
    <w:p w14:paraId="4791F8EC" w14:textId="77777777" w:rsidR="00DD260C" w:rsidRDefault="00DD260C" w:rsidP="00DD260C">
      <w:pPr>
        <w:spacing w:line="360" w:lineRule="auto"/>
        <w:jc w:val="both"/>
        <w:rPr>
          <w:rFonts w:ascii="Arial" w:hAnsi="Arial"/>
          <w:rtl/>
        </w:rPr>
      </w:pPr>
      <w:r>
        <w:rPr>
          <w:rFonts w:ascii="Arial" w:hAnsi="Arial" w:hint="cs"/>
          <w:rtl/>
        </w:rPr>
        <w:t>בעניינו של חאתם, נקבע מתחם ענישה של 12-28 חודשי מאסר, אשר הוא אף המתחם אליו עתר ב"כ המאשימה.</w:t>
      </w:r>
    </w:p>
    <w:p w14:paraId="46075318" w14:textId="77777777" w:rsidR="00DD260C" w:rsidRDefault="00DD260C" w:rsidP="00DD260C">
      <w:pPr>
        <w:spacing w:line="360" w:lineRule="auto"/>
        <w:jc w:val="both"/>
        <w:rPr>
          <w:rFonts w:ascii="Arial" w:hAnsi="Arial"/>
          <w:rtl/>
        </w:rPr>
      </w:pPr>
    </w:p>
    <w:p w14:paraId="220BA5FF" w14:textId="77777777" w:rsidR="00DD260C" w:rsidRDefault="00DD260C" w:rsidP="00DD260C">
      <w:pPr>
        <w:spacing w:line="360" w:lineRule="auto"/>
        <w:jc w:val="both"/>
        <w:rPr>
          <w:rFonts w:ascii="Arial" w:hAnsi="Arial"/>
          <w:rtl/>
        </w:rPr>
      </w:pPr>
      <w:r>
        <w:rPr>
          <w:rFonts w:ascii="Arial" w:hAnsi="Arial" w:hint="cs"/>
          <w:rtl/>
        </w:rPr>
        <w:t>ואכן, בשל הדמיון בין עניינם של השניים, נראה כי מן הראוי לגזור את המתחם בענייננו ממתחם זה, גם אם בעיניי צורכי הענישה הכללים, כפי שתוארו בהרחבה בפסיקה המצוטטת לעיל, היו עשויים להביא לקביעת מתחם ענישה מחמיר יותר.</w:t>
      </w:r>
    </w:p>
    <w:p w14:paraId="33EBFF27" w14:textId="77777777" w:rsidR="00DD260C" w:rsidRDefault="00DD260C" w:rsidP="00DD260C">
      <w:pPr>
        <w:spacing w:line="360" w:lineRule="auto"/>
        <w:jc w:val="both"/>
        <w:rPr>
          <w:rFonts w:ascii="Arial" w:hAnsi="Arial"/>
          <w:rtl/>
        </w:rPr>
      </w:pPr>
    </w:p>
    <w:p w14:paraId="7FA85AFF" w14:textId="77777777" w:rsidR="00DD260C" w:rsidRDefault="00DD260C" w:rsidP="00DD260C">
      <w:pPr>
        <w:spacing w:line="360" w:lineRule="auto"/>
        <w:jc w:val="both"/>
        <w:rPr>
          <w:rFonts w:ascii="Arial" w:hAnsi="Arial"/>
          <w:rtl/>
        </w:rPr>
      </w:pPr>
      <w:r>
        <w:rPr>
          <w:rFonts w:ascii="Arial" w:hAnsi="Arial" w:hint="cs"/>
          <w:rtl/>
        </w:rPr>
        <w:t xml:space="preserve">כעולה מכתב האישום נגד הנאשם ומגזר הדין של חאתם, קיימות נקודות דמיון מהותיות בין עניינם של השניים. ראשית, יש לציין כי הנאשם הורשע בשתיים מהעבירות שבהן הורשע חאתם, כאשר נראה כי אלה היו העבירות בעלות המשקל הסגולי הרב יותר, לעומת עבירת הפרת הוראה חוקית. שנית, גם חאתם לא היה מעורב באירוע הירי, הוא לא החזיק בכלי הנשק באופן פיזי, ואף לא נטל חלק ב"שוד" הרכב, אלא להצטרף לנסיעה יחד עם הנאשם. </w:t>
      </w:r>
    </w:p>
    <w:p w14:paraId="78B7F50D" w14:textId="77777777" w:rsidR="00DD260C" w:rsidRDefault="00DD260C" w:rsidP="00DD260C">
      <w:pPr>
        <w:spacing w:line="360" w:lineRule="auto"/>
        <w:jc w:val="both"/>
        <w:rPr>
          <w:rFonts w:ascii="Arial" w:hAnsi="Arial"/>
          <w:rtl/>
        </w:rPr>
      </w:pPr>
    </w:p>
    <w:p w14:paraId="4440DCD9" w14:textId="77777777" w:rsidR="00DD260C" w:rsidRDefault="00DD260C" w:rsidP="00DD260C">
      <w:pPr>
        <w:spacing w:line="360" w:lineRule="auto"/>
        <w:jc w:val="both"/>
        <w:rPr>
          <w:rFonts w:ascii="Arial" w:hAnsi="Arial"/>
          <w:rtl/>
        </w:rPr>
      </w:pPr>
      <w:r>
        <w:rPr>
          <w:rFonts w:ascii="Arial" w:hAnsi="Arial" w:hint="cs"/>
          <w:rtl/>
        </w:rPr>
        <w:t>מאידך גיסא, נבדל עניינו של חאתם לחומרה. חאתם נכח בעת ביצוע הירי, גם אם לא נטל בו חלק ולא יוחסה לו עבירה בקשר לכך. בנוסף, חאתם הוא שנהג בפועל ברכב הטיוטה.</w:t>
      </w:r>
    </w:p>
    <w:p w14:paraId="076544AE" w14:textId="77777777" w:rsidR="00DD260C" w:rsidRDefault="00DD260C" w:rsidP="00DD260C">
      <w:pPr>
        <w:spacing w:line="360" w:lineRule="auto"/>
        <w:jc w:val="both"/>
        <w:rPr>
          <w:rFonts w:ascii="Arial" w:hAnsi="Arial"/>
          <w:rtl/>
        </w:rPr>
      </w:pPr>
    </w:p>
    <w:p w14:paraId="53088480" w14:textId="77777777" w:rsidR="00DD260C" w:rsidRDefault="00DD260C" w:rsidP="00DD260C">
      <w:pPr>
        <w:spacing w:line="360" w:lineRule="auto"/>
        <w:jc w:val="both"/>
        <w:rPr>
          <w:rtl/>
        </w:rPr>
      </w:pPr>
      <w:r>
        <w:rPr>
          <w:rFonts w:ascii="Arial" w:hAnsi="Arial" w:hint="cs"/>
          <w:rtl/>
        </w:rPr>
        <w:t xml:space="preserve">לנוכח האמור, בשים לב לדמיון ולשוני בין מעשיו של הנאשם לבין אלה של חאתם, ואף להרשעתו של זה האחרון בעבירה נוספת, בנוגע לנאשם דידן יש מקום לקבוע מתחם עונשי הנופל במקצת מזה של חאתם. </w:t>
      </w:r>
    </w:p>
    <w:p w14:paraId="08D012AC" w14:textId="77777777" w:rsidR="00DD260C" w:rsidRDefault="00DD260C" w:rsidP="00DD260C">
      <w:pPr>
        <w:spacing w:line="360" w:lineRule="auto"/>
        <w:jc w:val="both"/>
      </w:pPr>
    </w:p>
    <w:p w14:paraId="316900BD" w14:textId="77777777" w:rsidR="00DD260C" w:rsidRDefault="00DD260C" w:rsidP="00DD260C">
      <w:pPr>
        <w:spacing w:line="360" w:lineRule="auto"/>
        <w:jc w:val="both"/>
        <w:rPr>
          <w:rtl/>
        </w:rPr>
      </w:pPr>
      <w:r>
        <w:rPr>
          <w:rFonts w:hint="cs"/>
          <w:rtl/>
        </w:rPr>
        <w:t>לאור קביעותי דלעיל, בהתחשב בנסיבות ביצוע העבירות והרקע החמור להן, בחלקו של הנאשם בסיוע, בהעדר מגע ישיר של הנאשם עם כלי הנשק, מידת הפגיעה בערכים המוגנים ועיקרון אחידות הענישה, אני סבור כי מתחם העונש ההולם לנאשם הינו בין 8-20 חודשי מאסר בפועל בגין העבירות כולן, לצד מאסר מותנה וקנס.</w:t>
      </w:r>
    </w:p>
    <w:p w14:paraId="244E2B9A" w14:textId="77777777" w:rsidR="00DD260C" w:rsidRDefault="00DD260C" w:rsidP="00DD260C">
      <w:pPr>
        <w:rPr>
          <w:rFonts w:ascii="Arial" w:hAnsi="Arial"/>
          <w:b/>
          <w:bCs/>
          <w:rtl/>
        </w:rPr>
      </w:pPr>
    </w:p>
    <w:p w14:paraId="65EB7DB9" w14:textId="77777777" w:rsidR="00DD260C" w:rsidRDefault="00DD260C" w:rsidP="00DD260C">
      <w:pPr>
        <w:spacing w:line="360" w:lineRule="auto"/>
        <w:jc w:val="both"/>
        <w:rPr>
          <w:rFonts w:ascii="Arial" w:hAnsi="Arial"/>
          <w:b/>
          <w:bCs/>
          <w:rtl/>
        </w:rPr>
      </w:pPr>
      <w:r w:rsidRPr="004968FA">
        <w:rPr>
          <w:rFonts w:ascii="Arial" w:hAnsi="Arial" w:hint="cs"/>
          <w:b/>
          <w:bCs/>
          <w:rtl/>
        </w:rPr>
        <w:t>נסיבות שאינן קשורות בעבירה</w:t>
      </w:r>
    </w:p>
    <w:p w14:paraId="164306B0" w14:textId="77777777" w:rsidR="00DD260C" w:rsidRPr="000B4B9E" w:rsidRDefault="00DD260C" w:rsidP="00DD260C">
      <w:pPr>
        <w:spacing w:line="360" w:lineRule="auto"/>
        <w:jc w:val="both"/>
        <w:rPr>
          <w:rFonts w:ascii="Arial" w:hAnsi="Arial"/>
          <w:b/>
          <w:bCs/>
          <w:sz w:val="16"/>
          <w:szCs w:val="16"/>
          <w:rtl/>
        </w:rPr>
      </w:pPr>
    </w:p>
    <w:p w14:paraId="246457AB" w14:textId="77777777" w:rsidR="00DD260C" w:rsidRDefault="00DD260C" w:rsidP="00DD260C">
      <w:pPr>
        <w:spacing w:line="360" w:lineRule="auto"/>
        <w:jc w:val="both"/>
        <w:rPr>
          <w:rFonts w:ascii="Arial" w:hAnsi="Arial"/>
          <w:rtl/>
        </w:rPr>
      </w:pPr>
      <w:r>
        <w:rPr>
          <w:rFonts w:ascii="Arial" w:hAnsi="Arial" w:hint="cs"/>
          <w:rtl/>
        </w:rPr>
        <w:t xml:space="preserve">באשר לנסיבות שאינן קשורות לביצוע העבירות, מצאתי להתחשב במצבו המשפחתי של הנאשם, לו אישה ושני ילדים, כאשר בנו השני נולד בעת מעצרו. </w:t>
      </w:r>
    </w:p>
    <w:p w14:paraId="38840AC5" w14:textId="77777777" w:rsidR="00DD260C" w:rsidRDefault="00DD260C" w:rsidP="00DD260C">
      <w:pPr>
        <w:spacing w:line="360" w:lineRule="auto"/>
        <w:jc w:val="both"/>
        <w:rPr>
          <w:rFonts w:ascii="Arial" w:hAnsi="Arial"/>
          <w:rtl/>
        </w:rPr>
      </w:pPr>
    </w:p>
    <w:p w14:paraId="3C9E04A1" w14:textId="77777777" w:rsidR="00DD260C" w:rsidRDefault="00DD260C" w:rsidP="00DD260C">
      <w:pPr>
        <w:spacing w:line="360" w:lineRule="auto"/>
        <w:jc w:val="both"/>
        <w:rPr>
          <w:rFonts w:ascii="Arial" w:hAnsi="Arial"/>
          <w:rtl/>
        </w:rPr>
      </w:pPr>
      <w:r>
        <w:rPr>
          <w:rFonts w:ascii="Arial" w:hAnsi="Arial" w:hint="cs"/>
          <w:rtl/>
        </w:rPr>
        <w:t xml:space="preserve">כמו כן, יש להתחשב בהודאתו המהירה בביצוע העבירות לאחר שתוקן כתב האישום. יש לראות בכך קבלת אחריות על המעשים. עוד יש לציין כי הודאה זו באה מבלי שנשמעו עדים, דבר אשר חסך זמן שיפוטי יקר. לבסוף, יש מקום להתחשב בדברי החרטה אותם הביע הנאשם בפניי. </w:t>
      </w:r>
    </w:p>
    <w:p w14:paraId="15245EE5" w14:textId="77777777" w:rsidR="00DD260C" w:rsidRDefault="00DD260C" w:rsidP="00DD260C">
      <w:pPr>
        <w:spacing w:line="360" w:lineRule="auto"/>
        <w:jc w:val="both"/>
        <w:rPr>
          <w:rFonts w:ascii="Arial" w:hAnsi="Arial"/>
          <w:rtl/>
        </w:rPr>
      </w:pPr>
    </w:p>
    <w:p w14:paraId="2F5938D4" w14:textId="77777777" w:rsidR="00DD260C" w:rsidRDefault="00DD260C" w:rsidP="00DD260C">
      <w:pPr>
        <w:spacing w:line="360" w:lineRule="auto"/>
        <w:jc w:val="both"/>
        <w:rPr>
          <w:rFonts w:ascii="Arial" w:hAnsi="Arial"/>
          <w:rtl/>
        </w:rPr>
      </w:pPr>
      <w:r>
        <w:rPr>
          <w:rFonts w:ascii="Arial" w:hAnsi="Arial" w:hint="cs"/>
          <w:rtl/>
        </w:rPr>
        <w:t xml:space="preserve">ברם, לצד האמור יש לתת משקל משמעותי לעובדה כי זו הרשעתו השלישית של הנאשם, אשר בשתי הזדמנויות בעבר הורשע בעבירות חמורות וריצה עונשי מאסר ממושכים למדי. הנאשם לא למד את הלקח ועירב עצמו פעם נוספת בעבירות בעלות גוון דומה, גם אם הפעם לא נטל חלק בירי. </w:t>
      </w:r>
    </w:p>
    <w:p w14:paraId="0CE5FB5B" w14:textId="77777777" w:rsidR="00DD260C" w:rsidRDefault="00DD260C" w:rsidP="00DD260C">
      <w:pPr>
        <w:spacing w:line="360" w:lineRule="auto"/>
        <w:jc w:val="both"/>
        <w:rPr>
          <w:rFonts w:ascii="Arial" w:hAnsi="Arial"/>
          <w:rtl/>
        </w:rPr>
      </w:pPr>
    </w:p>
    <w:p w14:paraId="6DE87978" w14:textId="77777777" w:rsidR="00DD260C" w:rsidRDefault="00DD260C" w:rsidP="00DD260C">
      <w:pPr>
        <w:spacing w:line="360" w:lineRule="auto"/>
        <w:jc w:val="both"/>
        <w:rPr>
          <w:rFonts w:ascii="Arial" w:hAnsi="Arial"/>
          <w:rtl/>
        </w:rPr>
      </w:pPr>
      <w:r>
        <w:rPr>
          <w:rFonts w:ascii="Arial" w:hAnsi="Arial" w:hint="cs"/>
          <w:rtl/>
        </w:rPr>
        <w:t xml:space="preserve">הרשעות אלה מבחינות בין עניינו של הנאשם לבין זה של חאתם הבחנה מהותית. זאת מאחר שנראה כי חאתם זכה להקלה עונשית, בין היתר בשל עברו הנקי. </w:t>
      </w:r>
    </w:p>
    <w:p w14:paraId="0A88DF44" w14:textId="77777777" w:rsidR="00DD260C" w:rsidRDefault="00DD260C" w:rsidP="00DD260C">
      <w:pPr>
        <w:spacing w:line="360" w:lineRule="auto"/>
        <w:jc w:val="both"/>
        <w:rPr>
          <w:rFonts w:ascii="Arial" w:hAnsi="Arial"/>
          <w:rtl/>
        </w:rPr>
      </w:pPr>
    </w:p>
    <w:p w14:paraId="3FE9F21E" w14:textId="77777777" w:rsidR="00DD260C" w:rsidRDefault="00DD260C" w:rsidP="00DD260C">
      <w:pPr>
        <w:spacing w:line="360" w:lineRule="auto"/>
        <w:jc w:val="both"/>
        <w:rPr>
          <w:rFonts w:ascii="Arial" w:hAnsi="Arial"/>
          <w:rtl/>
        </w:rPr>
      </w:pPr>
      <w:r>
        <w:rPr>
          <w:rFonts w:ascii="Arial" w:hAnsi="Arial" w:hint="cs"/>
          <w:rtl/>
        </w:rPr>
        <w:t xml:space="preserve">לאור האמור, יש למקם את עניינו של הנאשם בחלקו הבינוני של המתחם. </w:t>
      </w:r>
    </w:p>
    <w:p w14:paraId="0CFA4E81" w14:textId="77777777" w:rsidR="00DD260C" w:rsidRDefault="00DD260C" w:rsidP="00DD260C">
      <w:pPr>
        <w:rPr>
          <w:rFonts w:ascii="Arial" w:hAnsi="Arial"/>
          <w:b/>
          <w:bCs/>
          <w:rtl/>
        </w:rPr>
      </w:pPr>
    </w:p>
    <w:p w14:paraId="79A26A06" w14:textId="77777777" w:rsidR="00DD260C" w:rsidRDefault="00DD260C" w:rsidP="00DD260C">
      <w:pPr>
        <w:spacing w:line="360" w:lineRule="auto"/>
        <w:jc w:val="both"/>
        <w:rPr>
          <w:rFonts w:ascii="Arial" w:hAnsi="Arial"/>
          <w:b/>
          <w:bCs/>
          <w:u w:val="single"/>
          <w:rtl/>
        </w:rPr>
      </w:pPr>
      <w:r w:rsidRPr="00D33071">
        <w:rPr>
          <w:rFonts w:ascii="Arial" w:hAnsi="Arial" w:hint="cs"/>
          <w:b/>
          <w:bCs/>
          <w:u w:val="single"/>
          <w:rtl/>
        </w:rPr>
        <w:t>סוף דבר</w:t>
      </w:r>
    </w:p>
    <w:p w14:paraId="66CA6D1A" w14:textId="77777777" w:rsidR="00DD260C" w:rsidRPr="000B4B9E" w:rsidRDefault="00DD260C" w:rsidP="00DD260C">
      <w:pPr>
        <w:spacing w:line="360" w:lineRule="auto"/>
        <w:jc w:val="both"/>
        <w:rPr>
          <w:rFonts w:ascii="Arial" w:hAnsi="Arial"/>
          <w:b/>
          <w:bCs/>
          <w:sz w:val="16"/>
          <w:szCs w:val="16"/>
          <w:u w:val="single"/>
          <w:rtl/>
        </w:rPr>
      </w:pPr>
    </w:p>
    <w:p w14:paraId="7EC86146" w14:textId="77777777" w:rsidR="00DD260C" w:rsidRPr="00D33071" w:rsidRDefault="00DD260C" w:rsidP="00DD260C">
      <w:pPr>
        <w:spacing w:line="360" w:lineRule="auto"/>
        <w:jc w:val="both"/>
        <w:rPr>
          <w:rFonts w:ascii="Arial" w:hAnsi="Arial"/>
          <w:b/>
          <w:bCs/>
          <w:sz w:val="26"/>
          <w:szCs w:val="26"/>
          <w:u w:val="single"/>
          <w:rtl/>
        </w:rPr>
      </w:pPr>
      <w:r w:rsidRPr="00D33071">
        <w:rPr>
          <w:rFonts w:ascii="Arial" w:hAnsi="Arial" w:hint="cs"/>
          <w:rtl/>
        </w:rPr>
        <w:t>העולה מדברנו</w:t>
      </w:r>
      <w:r>
        <w:rPr>
          <w:rFonts w:ascii="Arial" w:hAnsi="Arial" w:hint="cs"/>
          <w:rtl/>
        </w:rPr>
        <w:t xml:space="preserve"> עד כה, כי הנאשם עירב עצמו בביצוע עבירות חמורות, כאשר סייע לאחרים בנשיאה והובלה של מספר כלי נשק בהם מחסניות וכדורים, עת נסע איתם ברכב בו נמלטו, לאחר שהאחרים ירו ירי מסיבי לעבר בית מיושב וכלי רכב. </w:t>
      </w:r>
    </w:p>
    <w:p w14:paraId="6848AAAC" w14:textId="77777777" w:rsidR="00DD260C" w:rsidRDefault="00DD260C" w:rsidP="00DD260C">
      <w:pPr>
        <w:spacing w:before="240" w:line="360" w:lineRule="auto"/>
        <w:jc w:val="both"/>
        <w:rPr>
          <w:rFonts w:ascii="Arial" w:hAnsi="Arial"/>
          <w:rtl/>
        </w:rPr>
      </w:pPr>
      <w:r>
        <w:rPr>
          <w:rFonts w:ascii="Arial" w:hAnsi="Arial" w:hint="cs"/>
          <w:rtl/>
        </w:rPr>
        <w:t xml:space="preserve">לאחר מכן, הנאשם המשיך בחבירתו לאותם אחרים, כשנסע איתם ברכב אחר, אותו לקחו ללא רשות הבעלים, כאשר הם עדיין נושאים עמם את כלי הנשק, והוא עדיין מסייע להם בכך. </w:t>
      </w:r>
    </w:p>
    <w:p w14:paraId="46C86638" w14:textId="77777777" w:rsidR="00DD260C" w:rsidRDefault="00DD260C" w:rsidP="00DD260C">
      <w:pPr>
        <w:spacing w:before="240" w:line="360" w:lineRule="auto"/>
        <w:jc w:val="both"/>
        <w:rPr>
          <w:rFonts w:ascii="Arial" w:hAnsi="Arial"/>
          <w:rtl/>
        </w:rPr>
      </w:pPr>
      <w:r>
        <w:rPr>
          <w:rFonts w:ascii="Arial" w:hAnsi="Arial" w:hint="cs"/>
          <w:rtl/>
        </w:rPr>
        <w:t xml:space="preserve">אין צורך להכביר במילים על אודות החומרה הכוללת של האירוע המתואר בכתב האישום המתוקן.  על כן, גם אם חלקו של הנאשם באותו אירוע היה מצומצם ומינורי, בעיניי יש בו להשפיע על עונש. זאת, כמובן מבלי להתעלם מכך שחלקו של הנאשם, כפי שנלמד מכתב האישום המתוקן, היה הפריפריאלי ביותר באירוע, והוא לא כלל מעורבות בירי ואף לא החזקה פיזית בכלי הנשק. בדומה, הנאשם לא מילא תפקיד אקטיבי בהשגת רכב הטויוטה. </w:t>
      </w:r>
    </w:p>
    <w:p w14:paraId="1106551A" w14:textId="77777777" w:rsidR="00DD260C" w:rsidRDefault="00DD260C" w:rsidP="00DD260C">
      <w:pPr>
        <w:spacing w:line="360" w:lineRule="auto"/>
        <w:jc w:val="both"/>
        <w:rPr>
          <w:rFonts w:ascii="Arial" w:hAnsi="Arial"/>
          <w:sz w:val="26"/>
          <w:szCs w:val="26"/>
          <w:rtl/>
        </w:rPr>
      </w:pPr>
    </w:p>
    <w:p w14:paraId="3AFB895B" w14:textId="77777777" w:rsidR="00DD260C" w:rsidRDefault="00DD260C" w:rsidP="00DD260C">
      <w:pPr>
        <w:spacing w:line="360" w:lineRule="auto"/>
        <w:jc w:val="both"/>
        <w:rPr>
          <w:rFonts w:ascii="Arial" w:hAnsi="Arial"/>
          <w:rtl/>
        </w:rPr>
      </w:pPr>
      <w:r>
        <w:rPr>
          <w:rFonts w:ascii="Arial" w:hAnsi="Arial" w:hint="cs"/>
          <w:rtl/>
        </w:rPr>
        <w:t xml:space="preserve">לזכותו של הנאשם עומדות נסיבותיו האישיות המקלות כפי שפורטו, וכן הודאתו המהירה באשמה. </w:t>
      </w:r>
    </w:p>
    <w:p w14:paraId="5ED149C3" w14:textId="77777777" w:rsidR="00DD260C" w:rsidRDefault="00DD260C" w:rsidP="00DD260C">
      <w:pPr>
        <w:spacing w:line="360" w:lineRule="auto"/>
        <w:jc w:val="both"/>
        <w:rPr>
          <w:rFonts w:ascii="Arial" w:hAnsi="Arial"/>
          <w:rtl/>
        </w:rPr>
      </w:pPr>
    </w:p>
    <w:p w14:paraId="1E07B8A6" w14:textId="77777777" w:rsidR="00DD260C" w:rsidRDefault="00DD260C" w:rsidP="00DD260C">
      <w:pPr>
        <w:spacing w:line="360" w:lineRule="auto"/>
        <w:jc w:val="both"/>
        <w:rPr>
          <w:rFonts w:ascii="Arial" w:hAnsi="Arial"/>
          <w:rtl/>
        </w:rPr>
      </w:pPr>
      <w:r>
        <w:rPr>
          <w:rFonts w:ascii="Arial" w:hAnsi="Arial" w:hint="cs"/>
          <w:rtl/>
        </w:rPr>
        <w:t xml:space="preserve">כן יש להתחשב ברמת הענישה שנקבעה בפרשה, בנוגע לשותף חאתם. </w:t>
      </w:r>
    </w:p>
    <w:p w14:paraId="294386FB" w14:textId="77777777" w:rsidR="00DD260C" w:rsidRDefault="00DD260C" w:rsidP="00DD260C">
      <w:pPr>
        <w:spacing w:line="360" w:lineRule="auto"/>
        <w:jc w:val="both"/>
        <w:rPr>
          <w:rFonts w:ascii="Arial" w:hAnsi="Arial"/>
          <w:rtl/>
        </w:rPr>
      </w:pPr>
    </w:p>
    <w:p w14:paraId="1E9E1A63" w14:textId="77777777" w:rsidR="00DD260C" w:rsidRDefault="00DD260C" w:rsidP="00DD260C">
      <w:pPr>
        <w:spacing w:line="360" w:lineRule="auto"/>
        <w:jc w:val="both"/>
        <w:rPr>
          <w:rFonts w:ascii="Arial" w:hAnsi="Arial"/>
          <w:rtl/>
        </w:rPr>
      </w:pPr>
      <w:r>
        <w:rPr>
          <w:rFonts w:ascii="Arial" w:hAnsi="Arial" w:hint="cs"/>
          <w:rtl/>
        </w:rPr>
        <w:t xml:space="preserve">לצד האמור, לחובת הנאשם העובדה כי ריצה שתי תקופות מאסר, בין היתר בגין עבירות דומות. עבר פלילי זה יוצר אבחנה בין הנאשם לבין חאתם הנ"ל. </w:t>
      </w:r>
    </w:p>
    <w:p w14:paraId="3266FB38" w14:textId="77777777" w:rsidR="00DD260C" w:rsidRDefault="00DD260C" w:rsidP="00DD260C">
      <w:pPr>
        <w:spacing w:line="360" w:lineRule="auto"/>
        <w:jc w:val="both"/>
        <w:rPr>
          <w:rFonts w:ascii="Arial" w:hAnsi="Arial"/>
          <w:rtl/>
        </w:rPr>
      </w:pPr>
    </w:p>
    <w:p w14:paraId="33C0501D" w14:textId="77777777" w:rsidR="00DD260C" w:rsidRDefault="00DD260C" w:rsidP="00DD260C">
      <w:pPr>
        <w:spacing w:line="360" w:lineRule="auto"/>
        <w:jc w:val="both"/>
        <w:rPr>
          <w:rFonts w:ascii="Arial" w:hAnsi="Arial"/>
          <w:rtl/>
        </w:rPr>
      </w:pPr>
      <w:r>
        <w:rPr>
          <w:rFonts w:ascii="Arial" w:hAnsi="Arial" w:hint="cs"/>
          <w:rtl/>
        </w:rPr>
        <w:t>יתרה מזו, נגד הנאשם תלוי ועומד מאסר מותנה בר הפעלה בן 12 חודשים. בעיניי, חסד עשתה המאשימה עם הנאשם כאשר הסכימה כי עונש זה ירוצה מחציתו בחופף. יחד עם זאת, מאחר שההסכמה האמורה היא חלק מהסדר הטיעון שנכרת ומאחר שהיא אינה חורגת באופן בולט מצרכי הענישה הראויים, אני רואה לנכון לכבד את עתירתם המשותפת של הצדדים בעניין זה.</w:t>
      </w:r>
    </w:p>
    <w:p w14:paraId="73CE27EC" w14:textId="77777777" w:rsidR="00DD260C" w:rsidRDefault="00DD260C" w:rsidP="00DD260C">
      <w:pPr>
        <w:spacing w:line="360" w:lineRule="auto"/>
        <w:jc w:val="both"/>
        <w:rPr>
          <w:rFonts w:ascii="Arial" w:hAnsi="Arial"/>
          <w:rtl/>
        </w:rPr>
      </w:pPr>
    </w:p>
    <w:p w14:paraId="46DE7C33" w14:textId="77777777" w:rsidR="00DD260C" w:rsidRDefault="00DD260C" w:rsidP="00DD260C">
      <w:pPr>
        <w:spacing w:line="360" w:lineRule="auto"/>
        <w:jc w:val="both"/>
        <w:rPr>
          <w:rFonts w:ascii="Arial" w:hAnsi="Arial"/>
          <w:sz w:val="26"/>
          <w:szCs w:val="26"/>
          <w:rtl/>
        </w:rPr>
      </w:pPr>
      <w:r>
        <w:rPr>
          <w:rFonts w:ascii="Arial" w:hAnsi="Arial" w:hint="cs"/>
          <w:rtl/>
        </w:rPr>
        <w:t>על רקע כל אלה, הנני גוזר על הנאשם את העונשים הבאים:</w:t>
      </w:r>
    </w:p>
    <w:p w14:paraId="604F86EB" w14:textId="77777777" w:rsidR="00DD260C" w:rsidRPr="000B4B9E" w:rsidRDefault="00DD260C" w:rsidP="00DD260C">
      <w:pPr>
        <w:spacing w:line="360" w:lineRule="auto"/>
        <w:jc w:val="both"/>
        <w:rPr>
          <w:rFonts w:ascii="Arial" w:hAnsi="Arial"/>
          <w:sz w:val="16"/>
          <w:szCs w:val="16"/>
          <w:rtl/>
        </w:rPr>
      </w:pPr>
    </w:p>
    <w:p w14:paraId="65F7CFC4" w14:textId="77777777" w:rsidR="00DD260C" w:rsidRDefault="00DD260C" w:rsidP="00DD260C">
      <w:pPr>
        <w:pStyle w:val="a9"/>
        <w:numPr>
          <w:ilvl w:val="0"/>
          <w:numId w:val="1"/>
        </w:numPr>
        <w:spacing w:line="360" w:lineRule="auto"/>
        <w:jc w:val="both"/>
        <w:rPr>
          <w:rFonts w:ascii="Arial" w:hAnsi="Arial"/>
          <w:b/>
          <w:bCs/>
          <w:rtl/>
        </w:rPr>
      </w:pPr>
      <w:r>
        <w:rPr>
          <w:rFonts w:ascii="Arial" w:hAnsi="Arial"/>
          <w:b/>
          <w:bCs/>
          <w:sz w:val="26"/>
          <w:szCs w:val="26"/>
          <w:rtl/>
        </w:rPr>
        <w:t xml:space="preserve"> </w:t>
      </w:r>
      <w:r>
        <w:rPr>
          <w:rFonts w:ascii="Arial" w:hAnsi="Arial" w:hint="cs"/>
          <w:b/>
          <w:bCs/>
          <w:rtl/>
        </w:rPr>
        <w:t>14</w:t>
      </w:r>
      <w:r>
        <w:rPr>
          <w:rFonts w:ascii="Arial" w:hAnsi="Arial"/>
          <w:b/>
          <w:bCs/>
          <w:rtl/>
        </w:rPr>
        <w:t xml:space="preserve"> חודשי מאסר לריצוי בפועל מיום מעצרו בתיק זה. </w:t>
      </w:r>
    </w:p>
    <w:p w14:paraId="6EEA8FB5" w14:textId="77777777" w:rsidR="00DD260C" w:rsidRPr="005C3766" w:rsidRDefault="00DD260C" w:rsidP="00DD260C">
      <w:pPr>
        <w:pStyle w:val="a9"/>
        <w:numPr>
          <w:ilvl w:val="0"/>
          <w:numId w:val="1"/>
        </w:numPr>
        <w:spacing w:line="360" w:lineRule="auto"/>
        <w:jc w:val="both"/>
        <w:rPr>
          <w:rFonts w:ascii="Arial" w:hAnsi="Arial"/>
          <w:b/>
          <w:bCs/>
        </w:rPr>
      </w:pPr>
      <w:r>
        <w:rPr>
          <w:rFonts w:ascii="Arial" w:hAnsi="Arial"/>
          <w:b/>
          <w:bCs/>
          <w:rtl/>
        </w:rPr>
        <w:t xml:space="preserve">אני מפעיל את עונש המאסר המותנה מת"פ מחוזי חיפה 15678-2-21 (מיום 18.07.2021) </w:t>
      </w:r>
      <w:r>
        <w:rPr>
          <w:rFonts w:ascii="Arial" w:hAnsi="Arial" w:hint="cs"/>
          <w:b/>
          <w:bCs/>
          <w:rtl/>
        </w:rPr>
        <w:t>כך ש-</w:t>
      </w:r>
      <w:r>
        <w:rPr>
          <w:rFonts w:ascii="Arial" w:hAnsi="Arial"/>
          <w:b/>
          <w:bCs/>
          <w:rtl/>
        </w:rPr>
        <w:t xml:space="preserve">6 </w:t>
      </w:r>
      <w:r>
        <w:rPr>
          <w:rFonts w:ascii="Arial" w:hAnsi="Arial" w:hint="cs"/>
          <w:b/>
          <w:bCs/>
          <w:rtl/>
        </w:rPr>
        <w:t>חודשי מאסר ירוצו</w:t>
      </w:r>
      <w:r>
        <w:rPr>
          <w:rFonts w:ascii="Arial" w:hAnsi="Arial"/>
          <w:b/>
          <w:bCs/>
          <w:rtl/>
        </w:rPr>
        <w:t xml:space="preserve"> במצטבר </w:t>
      </w:r>
      <w:r>
        <w:rPr>
          <w:rFonts w:ascii="Arial" w:hAnsi="Arial" w:hint="cs"/>
          <w:b/>
          <w:bCs/>
          <w:rtl/>
        </w:rPr>
        <w:t>לעונש שנגזר בתיק הנוכחי, ו-</w:t>
      </w:r>
      <w:r>
        <w:rPr>
          <w:rFonts w:ascii="Arial" w:hAnsi="Arial"/>
          <w:b/>
          <w:bCs/>
          <w:rtl/>
        </w:rPr>
        <w:t xml:space="preserve">6 </w:t>
      </w:r>
      <w:r>
        <w:rPr>
          <w:rFonts w:ascii="Arial" w:hAnsi="Arial" w:hint="cs"/>
          <w:b/>
          <w:bCs/>
          <w:rtl/>
        </w:rPr>
        <w:t xml:space="preserve">חודשים נוספים ירוצו </w:t>
      </w:r>
      <w:r>
        <w:rPr>
          <w:rFonts w:ascii="Arial" w:hAnsi="Arial"/>
          <w:b/>
          <w:bCs/>
          <w:rtl/>
        </w:rPr>
        <w:t>בחופף</w:t>
      </w:r>
      <w:r>
        <w:rPr>
          <w:rFonts w:ascii="Arial" w:hAnsi="Arial" w:hint="cs"/>
          <w:b/>
          <w:bCs/>
          <w:rtl/>
        </w:rPr>
        <w:t xml:space="preserve">. </w:t>
      </w:r>
      <w:r w:rsidRPr="005C3766">
        <w:rPr>
          <w:rFonts w:ascii="Arial" w:hAnsi="Arial" w:hint="cs"/>
          <w:b/>
          <w:bCs/>
          <w:u w:val="single"/>
          <w:rtl/>
        </w:rPr>
        <w:t>סה"</w:t>
      </w:r>
      <w:r w:rsidRPr="005C3766">
        <w:rPr>
          <w:rFonts w:ascii="Arial" w:hAnsi="Arial"/>
          <w:b/>
          <w:bCs/>
          <w:u w:val="single"/>
          <w:rtl/>
        </w:rPr>
        <w:t>כ</w:t>
      </w:r>
      <w:r w:rsidRPr="005C3766">
        <w:rPr>
          <w:rFonts w:ascii="Arial" w:hAnsi="Arial" w:hint="cs"/>
          <w:b/>
          <w:bCs/>
          <w:u w:val="single"/>
          <w:rtl/>
        </w:rPr>
        <w:t xml:space="preserve"> יהיה על הנאשם לרצות 20 חודשי מאסר </w:t>
      </w:r>
      <w:r w:rsidRPr="005C3766">
        <w:rPr>
          <w:rFonts w:ascii="Arial" w:hAnsi="Arial"/>
          <w:b/>
          <w:bCs/>
          <w:u w:val="single"/>
          <w:rtl/>
        </w:rPr>
        <w:t>בפועל מיום מעצרו בתיק זה.</w:t>
      </w:r>
    </w:p>
    <w:p w14:paraId="3797F61C" w14:textId="77777777" w:rsidR="00DD260C" w:rsidRDefault="00DD260C" w:rsidP="00DD260C">
      <w:pPr>
        <w:pStyle w:val="a9"/>
        <w:numPr>
          <w:ilvl w:val="0"/>
          <w:numId w:val="1"/>
        </w:numPr>
        <w:spacing w:line="360" w:lineRule="auto"/>
        <w:jc w:val="both"/>
        <w:rPr>
          <w:rFonts w:ascii="Arial" w:hAnsi="Arial"/>
          <w:b/>
          <w:bCs/>
        </w:rPr>
      </w:pPr>
      <w:r>
        <w:rPr>
          <w:rFonts w:ascii="Arial" w:hAnsi="Arial"/>
          <w:b/>
          <w:bCs/>
          <w:rtl/>
        </w:rPr>
        <w:t xml:space="preserve">12 חודשי מאסר מותנים והתנאי הוא כי במשך 3 שנים מיום שחרורו ממאסר לא יעבור </w:t>
      </w:r>
      <w:r w:rsidRPr="00E10715">
        <w:rPr>
          <w:rFonts w:ascii="Arial" w:hAnsi="Arial"/>
          <w:b/>
          <w:bCs/>
          <w:rtl/>
        </w:rPr>
        <w:t xml:space="preserve">הנאשם עבירה </w:t>
      </w:r>
      <w:r w:rsidRPr="00E10715">
        <w:rPr>
          <w:rFonts w:ascii="Arial" w:hAnsi="Arial" w:hint="cs"/>
          <w:b/>
          <w:bCs/>
          <w:rtl/>
        </w:rPr>
        <w:t>לפי סעיפים 144(א) או (ב) או (ב2) ל</w:t>
      </w:r>
      <w:hyperlink r:id="rId28" w:history="1">
        <w:r w:rsidR="009D24E4" w:rsidRPr="009D24E4">
          <w:rPr>
            <w:rFonts w:ascii="Arial" w:hAnsi="Arial"/>
            <w:b/>
            <w:bCs/>
            <w:color w:val="0000FF"/>
            <w:u w:val="single"/>
            <w:rtl/>
          </w:rPr>
          <w:t>חוק העונשין</w:t>
        </w:r>
      </w:hyperlink>
      <w:r w:rsidRPr="00E10715">
        <w:rPr>
          <w:rFonts w:ascii="Arial" w:hAnsi="Arial" w:hint="cs"/>
          <w:b/>
          <w:bCs/>
          <w:rtl/>
        </w:rPr>
        <w:t xml:space="preserve"> </w:t>
      </w:r>
      <w:r>
        <w:rPr>
          <w:rFonts w:ascii="Arial" w:hAnsi="Arial"/>
          <w:b/>
          <w:bCs/>
          <w:rtl/>
        </w:rPr>
        <w:t>תשל"ז-1977</w:t>
      </w:r>
      <w:r>
        <w:rPr>
          <w:rFonts w:ascii="Arial" w:hAnsi="Arial" w:hint="cs"/>
          <w:b/>
          <w:bCs/>
          <w:rtl/>
        </w:rPr>
        <w:t xml:space="preserve"> </w:t>
      </w:r>
      <w:r w:rsidRPr="00E10715">
        <w:rPr>
          <w:rFonts w:ascii="Arial" w:hAnsi="Arial" w:hint="cs"/>
          <w:b/>
          <w:bCs/>
          <w:rtl/>
        </w:rPr>
        <w:t>או ניסיון לעבור אחת העבירות האמורות.</w:t>
      </w:r>
    </w:p>
    <w:p w14:paraId="5BC9649D" w14:textId="77777777" w:rsidR="00DD260C" w:rsidRDefault="00DD260C" w:rsidP="00DD260C">
      <w:pPr>
        <w:pStyle w:val="a9"/>
        <w:numPr>
          <w:ilvl w:val="0"/>
          <w:numId w:val="1"/>
        </w:numPr>
        <w:spacing w:line="360" w:lineRule="auto"/>
        <w:jc w:val="both"/>
        <w:rPr>
          <w:rFonts w:ascii="Arial" w:hAnsi="Arial"/>
          <w:b/>
          <w:bCs/>
        </w:rPr>
      </w:pPr>
      <w:r>
        <w:rPr>
          <w:rFonts w:ascii="Arial" w:hAnsi="Arial"/>
          <w:b/>
          <w:bCs/>
          <w:rtl/>
        </w:rPr>
        <w:t xml:space="preserve">6 חודשי מאסר מותנים והתנאי הוא כי במשך 3 שנים מיום שחרורו ממאסר לא יעבור הנאשם עבירה לפי סעיף </w:t>
      </w:r>
      <w:r>
        <w:rPr>
          <w:rFonts w:ascii="Arial" w:hAnsi="Arial" w:hint="cs"/>
          <w:b/>
          <w:bCs/>
          <w:rtl/>
        </w:rPr>
        <w:t xml:space="preserve">413ג </w:t>
      </w:r>
      <w:r>
        <w:rPr>
          <w:rFonts w:ascii="Arial" w:hAnsi="Arial"/>
          <w:b/>
          <w:bCs/>
          <w:rtl/>
        </w:rPr>
        <w:t>ל</w:t>
      </w:r>
      <w:hyperlink r:id="rId29" w:history="1">
        <w:r w:rsidR="009D24E4" w:rsidRPr="009D24E4">
          <w:rPr>
            <w:rFonts w:ascii="Arial" w:hAnsi="Arial"/>
            <w:b/>
            <w:bCs/>
            <w:color w:val="0000FF"/>
            <w:u w:val="single"/>
            <w:rtl/>
          </w:rPr>
          <w:t>חוק העונשין</w:t>
        </w:r>
      </w:hyperlink>
      <w:r>
        <w:rPr>
          <w:rFonts w:ascii="Arial" w:hAnsi="Arial"/>
          <w:b/>
          <w:bCs/>
          <w:rtl/>
        </w:rPr>
        <w:t>, תשל"ז-1977.</w:t>
      </w:r>
    </w:p>
    <w:p w14:paraId="5825D012" w14:textId="77777777" w:rsidR="00DD260C" w:rsidRDefault="00DD260C" w:rsidP="00DD260C">
      <w:pPr>
        <w:pStyle w:val="a9"/>
        <w:numPr>
          <w:ilvl w:val="0"/>
          <w:numId w:val="1"/>
        </w:numPr>
        <w:spacing w:line="360" w:lineRule="auto"/>
        <w:jc w:val="both"/>
        <w:rPr>
          <w:rFonts w:ascii="Arial" w:hAnsi="Arial"/>
          <w:b/>
          <w:bCs/>
        </w:rPr>
      </w:pPr>
      <w:r>
        <w:rPr>
          <w:rFonts w:ascii="Arial" w:hAnsi="Arial"/>
          <w:b/>
          <w:bCs/>
          <w:rtl/>
        </w:rPr>
        <w:t xml:space="preserve">קנס בסך 2,500 ₪ שישולם עד ליום </w:t>
      </w:r>
      <w:r>
        <w:rPr>
          <w:rFonts w:ascii="Arial" w:hAnsi="Arial" w:hint="cs"/>
          <w:b/>
          <w:bCs/>
          <w:rtl/>
        </w:rPr>
        <w:t>31.12.2025</w:t>
      </w:r>
      <w:r>
        <w:rPr>
          <w:rFonts w:ascii="Arial" w:hAnsi="Arial"/>
          <w:b/>
          <w:bCs/>
          <w:rtl/>
        </w:rPr>
        <w:t xml:space="preserve">. לא ישלם הנאשם קנס זה יאסר לתקופה נוספת של </w:t>
      </w:r>
      <w:r>
        <w:rPr>
          <w:rFonts w:ascii="Arial" w:hAnsi="Arial" w:hint="cs"/>
          <w:b/>
          <w:bCs/>
          <w:rtl/>
        </w:rPr>
        <w:t>חודש ימים</w:t>
      </w:r>
      <w:r>
        <w:rPr>
          <w:rFonts w:ascii="Arial" w:hAnsi="Arial"/>
          <w:b/>
          <w:bCs/>
          <w:rtl/>
        </w:rPr>
        <w:t xml:space="preserve">. </w:t>
      </w:r>
    </w:p>
    <w:p w14:paraId="3DAC381A" w14:textId="77777777" w:rsidR="00DD260C" w:rsidRDefault="00DD260C" w:rsidP="00DD260C">
      <w:pPr>
        <w:pStyle w:val="a9"/>
        <w:spacing w:after="160" w:line="360" w:lineRule="auto"/>
        <w:jc w:val="both"/>
        <w:rPr>
          <w:rFonts w:ascii="Arial" w:hAnsi="Arial"/>
          <w:sz w:val="26"/>
          <w:szCs w:val="26"/>
        </w:rPr>
      </w:pPr>
    </w:p>
    <w:p w14:paraId="12F11710" w14:textId="77777777" w:rsidR="00DD260C" w:rsidRDefault="00DD260C" w:rsidP="00DD260C">
      <w:pPr>
        <w:pStyle w:val="a9"/>
        <w:spacing w:line="360" w:lineRule="auto"/>
        <w:jc w:val="both"/>
        <w:rPr>
          <w:rFonts w:ascii="Arial" w:hAnsi="Arial"/>
          <w:b/>
          <w:bCs/>
          <w:rtl/>
        </w:rPr>
      </w:pPr>
      <w:r>
        <w:rPr>
          <w:rFonts w:ascii="Arial" w:hAnsi="Arial"/>
          <w:b/>
          <w:bCs/>
          <w:rtl/>
        </w:rPr>
        <w:t>זכות ערעור לבית המשפט העליון תוך 45 ימים מהיום.</w:t>
      </w:r>
    </w:p>
    <w:p w14:paraId="460E7D94" w14:textId="77777777" w:rsidR="00DD260C" w:rsidRDefault="00DD260C" w:rsidP="00DD260C">
      <w:pPr>
        <w:jc w:val="both"/>
        <w:rPr>
          <w:rFonts w:ascii="Arial" w:hAnsi="Arial"/>
          <w:b/>
          <w:bCs/>
          <w:rtl/>
        </w:rPr>
      </w:pPr>
    </w:p>
    <w:p w14:paraId="34F47C85" w14:textId="77777777" w:rsidR="00DD260C" w:rsidRDefault="009D24E4" w:rsidP="00DD260C">
      <w:pPr>
        <w:spacing w:line="360" w:lineRule="auto"/>
        <w:jc w:val="both"/>
        <w:rPr>
          <w:rFonts w:ascii="Arial" w:hAnsi="Arial"/>
          <w:b/>
          <w:bCs/>
          <w:rtl/>
        </w:rPr>
      </w:pPr>
      <w:bookmarkStart w:id="8" w:name="Nitan"/>
      <w:r>
        <w:rPr>
          <w:rFonts w:ascii="Arial" w:hAnsi="Arial"/>
          <w:b/>
          <w:bCs/>
          <w:rtl/>
        </w:rPr>
        <w:t xml:space="preserve">ניתן היום,  י"ד אב תשפ"ד, 18 אוגוסט 2024, בפומבי ובמעמד הנאשם, בא כוחו ובא כוח </w:t>
      </w:r>
      <w:bookmarkEnd w:id="8"/>
      <w:r w:rsidR="00DD260C">
        <w:rPr>
          <w:rFonts w:ascii="Arial" w:hAnsi="Arial" w:hint="cs"/>
          <w:b/>
          <w:bCs/>
          <w:rtl/>
        </w:rPr>
        <w:t>המאשימה.</w:t>
      </w:r>
    </w:p>
    <w:p w14:paraId="2259C76B" w14:textId="77777777" w:rsidR="00DD260C" w:rsidRDefault="00DD260C" w:rsidP="00DD260C">
      <w:pPr>
        <w:spacing w:line="360" w:lineRule="auto"/>
        <w:jc w:val="both"/>
        <w:rPr>
          <w:rFonts w:ascii="Arial" w:hAnsi="Arial"/>
          <w:b/>
          <w:bCs/>
          <w:rtl/>
        </w:rPr>
      </w:pPr>
      <w:r>
        <w:rPr>
          <w:rFonts w:ascii="Arial" w:hAnsi="Arial" w:hint="cs"/>
          <w:b/>
          <w:bCs/>
          <w:rtl/>
        </w:rPr>
        <w:tab/>
      </w:r>
      <w:r>
        <w:rPr>
          <w:rFonts w:ascii="Arial" w:hAnsi="Arial" w:hint="cs"/>
          <w:b/>
          <w:bCs/>
          <w:rtl/>
        </w:rPr>
        <w:tab/>
      </w:r>
      <w:r>
        <w:rPr>
          <w:rFonts w:ascii="Arial" w:hAnsi="Arial" w:hint="cs"/>
          <w:b/>
          <w:bCs/>
          <w:rtl/>
        </w:rPr>
        <w:tab/>
      </w:r>
      <w:r>
        <w:rPr>
          <w:rFonts w:ascii="Arial" w:hAnsi="Arial" w:hint="cs"/>
          <w:b/>
          <w:bCs/>
          <w:rtl/>
        </w:rPr>
        <w:tab/>
      </w:r>
      <w:r>
        <w:rPr>
          <w:rFonts w:ascii="Arial" w:hAnsi="Arial" w:hint="cs"/>
          <w:b/>
          <w:bCs/>
          <w:rtl/>
        </w:rPr>
        <w:tab/>
      </w:r>
      <w:r>
        <w:rPr>
          <w:rFonts w:ascii="Arial" w:hAnsi="Arial" w:hint="cs"/>
          <w:b/>
          <w:bCs/>
          <w:rtl/>
        </w:rPr>
        <w:tab/>
      </w:r>
      <w:r>
        <w:rPr>
          <w:rFonts w:ascii="Arial" w:hAnsi="Arial" w:hint="cs"/>
          <w:b/>
          <w:bCs/>
          <w:rtl/>
        </w:rPr>
        <w:tab/>
        <w:t xml:space="preserve">         </w:t>
      </w:r>
    </w:p>
    <w:p w14:paraId="69442A30" w14:textId="77777777" w:rsidR="00DD260C" w:rsidRPr="009D24E4" w:rsidRDefault="009D24E4" w:rsidP="00DD260C">
      <w:pPr>
        <w:jc w:val="center"/>
        <w:rPr>
          <w:rFonts w:ascii="Arial" w:hAnsi="Arial"/>
          <w:b/>
          <w:bCs/>
          <w:color w:val="FFFFFF"/>
          <w:sz w:val="2"/>
          <w:szCs w:val="2"/>
          <w:rtl/>
        </w:rPr>
      </w:pPr>
      <w:r w:rsidRPr="009D24E4">
        <w:rPr>
          <w:rFonts w:ascii="Arial" w:hAnsi="Arial"/>
          <w:b/>
          <w:bCs/>
          <w:color w:val="FFFFFF"/>
          <w:sz w:val="2"/>
          <w:szCs w:val="2"/>
          <w:rtl/>
        </w:rPr>
        <w:t>5129371</w:t>
      </w:r>
      <w:r w:rsidR="00DD260C" w:rsidRPr="009D24E4">
        <w:rPr>
          <w:rFonts w:ascii="Arial" w:hAnsi="Arial" w:hint="cs"/>
          <w:b/>
          <w:bCs/>
          <w:color w:val="FFFFFF"/>
          <w:sz w:val="2"/>
          <w:szCs w:val="2"/>
          <w:rtl/>
        </w:rPr>
        <w:t xml:space="preserve">   </w:t>
      </w:r>
      <w:r w:rsidR="00DD260C" w:rsidRPr="009D24E4">
        <w:rPr>
          <w:rFonts w:ascii="Arial" w:hAnsi="Arial" w:hint="cs"/>
          <w:b/>
          <w:bCs/>
          <w:color w:val="FFFFFF"/>
          <w:sz w:val="2"/>
          <w:szCs w:val="2"/>
          <w:rtl/>
        </w:rPr>
        <w:tab/>
      </w:r>
    </w:p>
    <w:p w14:paraId="771356DD" w14:textId="77777777" w:rsidR="00DD260C" w:rsidRPr="009D24E4" w:rsidRDefault="009D24E4" w:rsidP="009D24E4">
      <w:pPr>
        <w:jc w:val="center"/>
        <w:rPr>
          <w:color w:val="FFFFFF"/>
          <w:sz w:val="2"/>
          <w:szCs w:val="2"/>
        </w:rPr>
      </w:pPr>
      <w:r w:rsidRPr="009D24E4">
        <w:rPr>
          <w:rFonts w:ascii="Arial" w:hAnsi="Arial"/>
          <w:b/>
          <w:bCs/>
          <w:color w:val="FFFFFF"/>
          <w:sz w:val="2"/>
          <w:szCs w:val="2"/>
          <w:rtl/>
        </w:rPr>
        <w:t>54678313</w:t>
      </w:r>
      <w:r w:rsidR="00DD260C" w:rsidRPr="009D24E4">
        <w:rPr>
          <w:rFonts w:ascii="Arial" w:hAnsi="Arial" w:hint="cs"/>
          <w:b/>
          <w:bCs/>
          <w:color w:val="FFFFFF"/>
          <w:sz w:val="2"/>
          <w:szCs w:val="2"/>
          <w:rtl/>
        </w:rPr>
        <w:tab/>
      </w:r>
      <w:r w:rsidR="00DD260C" w:rsidRPr="009D24E4">
        <w:rPr>
          <w:rFonts w:ascii="Arial" w:hAnsi="Arial" w:hint="cs"/>
          <w:b/>
          <w:bCs/>
          <w:color w:val="FFFFFF"/>
          <w:sz w:val="2"/>
          <w:szCs w:val="2"/>
          <w:rtl/>
        </w:rPr>
        <w:tab/>
      </w:r>
      <w:r w:rsidR="00DD260C" w:rsidRPr="009D24E4">
        <w:rPr>
          <w:rFonts w:ascii="Arial" w:hAnsi="Arial" w:hint="cs"/>
          <w:b/>
          <w:bCs/>
          <w:color w:val="FFFFFF"/>
          <w:sz w:val="2"/>
          <w:szCs w:val="2"/>
          <w:rtl/>
        </w:rPr>
        <w:tab/>
      </w:r>
      <w:r w:rsidR="00DD260C" w:rsidRPr="009D24E4">
        <w:rPr>
          <w:rFonts w:ascii="Arial" w:hAnsi="Arial" w:hint="cs"/>
          <w:b/>
          <w:bCs/>
          <w:color w:val="FFFFFF"/>
          <w:sz w:val="2"/>
          <w:szCs w:val="2"/>
          <w:rtl/>
        </w:rPr>
        <w:tab/>
      </w:r>
    </w:p>
    <w:p w14:paraId="3BF85DE9" w14:textId="77777777" w:rsidR="00DD260C" w:rsidRDefault="00DD260C" w:rsidP="00DD260C">
      <w:pPr>
        <w:jc w:val="center"/>
        <w:rPr>
          <w:rFonts w:ascii="Arial" w:hAnsi="Arial"/>
          <w:b/>
          <w:bCs/>
          <w:rtl/>
        </w:rPr>
      </w:pPr>
    </w:p>
    <w:p w14:paraId="423796C6" w14:textId="77777777" w:rsidR="00DD260C" w:rsidRDefault="00DD260C" w:rsidP="00DD260C">
      <w:pPr>
        <w:rPr>
          <w:rtl/>
        </w:rPr>
      </w:pPr>
    </w:p>
    <w:p w14:paraId="69A00FAE" w14:textId="77777777" w:rsidR="009D24E4" w:rsidRDefault="009D24E4" w:rsidP="009D24E4">
      <w:pPr>
        <w:rPr>
          <w:rtl/>
        </w:rPr>
      </w:pPr>
    </w:p>
    <w:p w14:paraId="3C8679AD" w14:textId="77777777" w:rsidR="009D24E4" w:rsidRDefault="009D24E4" w:rsidP="009D24E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DF6B82B" w14:textId="77777777" w:rsidR="00DB265A" w:rsidRPr="00DB265A" w:rsidRDefault="00DB265A" w:rsidP="00DB265A">
      <w:pPr>
        <w:keepNext/>
        <w:rPr>
          <w:rFonts w:ascii="David" w:hAnsi="David"/>
          <w:color w:val="000000"/>
          <w:sz w:val="22"/>
          <w:szCs w:val="22"/>
          <w:rtl/>
        </w:rPr>
      </w:pPr>
    </w:p>
    <w:p w14:paraId="4D0406B0" w14:textId="77777777" w:rsidR="00DB265A" w:rsidRPr="00DB265A" w:rsidRDefault="00DB265A" w:rsidP="00DB265A">
      <w:pPr>
        <w:keepNext/>
        <w:rPr>
          <w:rFonts w:ascii="David" w:hAnsi="David"/>
          <w:color w:val="000000"/>
          <w:sz w:val="22"/>
          <w:szCs w:val="22"/>
          <w:rtl/>
        </w:rPr>
      </w:pPr>
      <w:r w:rsidRPr="00DB265A">
        <w:rPr>
          <w:rFonts w:ascii="David" w:hAnsi="David"/>
          <w:color w:val="000000"/>
          <w:sz w:val="22"/>
          <w:szCs w:val="22"/>
          <w:rtl/>
        </w:rPr>
        <w:t>נתנאל בנישו 54678313-/</w:t>
      </w:r>
    </w:p>
    <w:p w14:paraId="2E816934" w14:textId="77777777" w:rsidR="009D24E4" w:rsidRPr="009D24E4" w:rsidRDefault="00DB265A" w:rsidP="00DB265A">
      <w:pPr>
        <w:rPr>
          <w:color w:val="0000FF"/>
          <w:u w:val="single"/>
        </w:rPr>
      </w:pPr>
      <w:r w:rsidRPr="00DB265A">
        <w:rPr>
          <w:color w:val="000000"/>
          <w:u w:val="single"/>
          <w:rtl/>
        </w:rPr>
        <w:t>נוסח מסמך זה כפוף לשינויי ניסוח ועריכה</w:t>
      </w:r>
    </w:p>
    <w:sectPr w:rsidR="009D24E4" w:rsidRPr="009D24E4" w:rsidSect="00DB265A">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ADD5A" w14:textId="77777777" w:rsidR="00134D4F" w:rsidRDefault="00134D4F" w:rsidP="00225EF4">
      <w:r>
        <w:separator/>
      </w:r>
    </w:p>
  </w:endnote>
  <w:endnote w:type="continuationSeparator" w:id="0">
    <w:p w14:paraId="5FA99F37" w14:textId="77777777" w:rsidR="00134D4F" w:rsidRDefault="00134D4F" w:rsidP="0022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5785A" w14:textId="77777777" w:rsidR="00DB265A" w:rsidRDefault="00DB265A" w:rsidP="00DB2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C6DAAD" w14:textId="77777777" w:rsidR="006C6FB8" w:rsidRPr="00DB265A" w:rsidRDefault="00DB265A" w:rsidP="00DB265A">
    <w:pPr>
      <w:pStyle w:val="a5"/>
      <w:pBdr>
        <w:top w:val="single" w:sz="4" w:space="1" w:color="auto"/>
        <w:between w:val="single" w:sz="4" w:space="0" w:color="auto"/>
      </w:pBdr>
      <w:spacing w:after="60"/>
      <w:jc w:val="center"/>
      <w:rPr>
        <w:rFonts w:ascii="FrankRuehl" w:hAnsi="FrankRuehl" w:cs="FrankRuehl"/>
        <w:color w:val="000000"/>
      </w:rPr>
    </w:pPr>
    <w:r w:rsidRPr="00DB26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45E6A" w14:textId="77777777" w:rsidR="00DB265A" w:rsidRDefault="00DB265A" w:rsidP="00DB2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159E">
      <w:rPr>
        <w:rFonts w:ascii="FrankRuehl" w:hAnsi="FrankRuehl" w:cs="FrankRuehl"/>
        <w:noProof/>
        <w:rtl/>
      </w:rPr>
      <w:t>1</w:t>
    </w:r>
    <w:r>
      <w:rPr>
        <w:rFonts w:ascii="FrankRuehl" w:hAnsi="FrankRuehl" w:cs="FrankRuehl"/>
        <w:rtl/>
      </w:rPr>
      <w:fldChar w:fldCharType="end"/>
    </w:r>
  </w:p>
  <w:p w14:paraId="4B56E68B" w14:textId="77777777" w:rsidR="006C6FB8" w:rsidRPr="00DB265A" w:rsidRDefault="00DB265A" w:rsidP="00DB265A">
    <w:pPr>
      <w:pStyle w:val="a5"/>
      <w:pBdr>
        <w:top w:val="single" w:sz="4" w:space="1" w:color="auto"/>
        <w:between w:val="single" w:sz="4" w:space="0" w:color="auto"/>
      </w:pBdr>
      <w:spacing w:after="60"/>
      <w:jc w:val="center"/>
      <w:rPr>
        <w:rFonts w:ascii="FrankRuehl" w:hAnsi="FrankRuehl" w:cs="FrankRuehl"/>
        <w:color w:val="000000"/>
      </w:rPr>
    </w:pPr>
    <w:r w:rsidRPr="00DB265A">
      <w:rPr>
        <w:rFonts w:ascii="FrankRuehl" w:hAnsi="FrankRuehl" w:cs="FrankRuehl"/>
        <w:color w:val="000000"/>
      </w:rPr>
      <w:pict w14:anchorId="6232B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FCF0A" w14:textId="77777777" w:rsidR="00134D4F" w:rsidRDefault="00134D4F" w:rsidP="00225EF4">
      <w:r>
        <w:separator/>
      </w:r>
    </w:p>
  </w:footnote>
  <w:footnote w:type="continuationSeparator" w:id="0">
    <w:p w14:paraId="2B0B152D" w14:textId="77777777" w:rsidR="00134D4F" w:rsidRDefault="00134D4F" w:rsidP="00225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34B48" w14:textId="77777777" w:rsidR="009D24E4" w:rsidRPr="00DB265A" w:rsidRDefault="00DB265A" w:rsidP="00DB26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47452-04-24</w:t>
    </w:r>
    <w:r>
      <w:rPr>
        <w:rFonts w:ascii="David" w:hAnsi="David"/>
        <w:color w:val="000000"/>
        <w:sz w:val="22"/>
        <w:szCs w:val="22"/>
        <w:rtl/>
      </w:rPr>
      <w:tab/>
      <w:t xml:space="preserve"> מדינת ישראל נ' עבד נאסר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0FBDC" w14:textId="77777777" w:rsidR="009D24E4" w:rsidRPr="00DB265A" w:rsidRDefault="00DB265A" w:rsidP="00DB26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47452-04-24</w:t>
    </w:r>
    <w:r>
      <w:rPr>
        <w:rFonts w:ascii="David" w:hAnsi="David"/>
        <w:color w:val="000000"/>
        <w:sz w:val="22"/>
        <w:szCs w:val="22"/>
        <w:rtl/>
      </w:rPr>
      <w:tab/>
      <w:t xml:space="preserve"> מדינת ישראל נ' עבד נאסר אסדי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2546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60C"/>
    <w:rsid w:val="00134D4F"/>
    <w:rsid w:val="001B5A3B"/>
    <w:rsid w:val="00225EF4"/>
    <w:rsid w:val="006C6FB8"/>
    <w:rsid w:val="009D24E4"/>
    <w:rsid w:val="00C56B28"/>
    <w:rsid w:val="00D11DA5"/>
    <w:rsid w:val="00D7159E"/>
    <w:rsid w:val="00DB265A"/>
    <w:rsid w:val="00DD26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C3C672"/>
  <w15:chartTrackingRefBased/>
  <w15:docId w15:val="{73E46482-AA9D-4C83-837E-AB28AB0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6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260C"/>
    <w:pPr>
      <w:tabs>
        <w:tab w:val="center" w:pos="4153"/>
        <w:tab w:val="right" w:pos="8306"/>
      </w:tabs>
    </w:pPr>
  </w:style>
  <w:style w:type="character" w:customStyle="1" w:styleId="a4">
    <w:name w:val="כותרת עליונה תו"/>
    <w:link w:val="a3"/>
    <w:rsid w:val="00DD260C"/>
    <w:rPr>
      <w:rFonts w:ascii="Times New Roman" w:eastAsia="Times New Roman" w:hAnsi="Times New Roman" w:cs="David"/>
      <w:sz w:val="24"/>
      <w:szCs w:val="24"/>
    </w:rPr>
  </w:style>
  <w:style w:type="paragraph" w:styleId="a5">
    <w:name w:val="footer"/>
    <w:basedOn w:val="a"/>
    <w:link w:val="a6"/>
    <w:rsid w:val="00DD260C"/>
    <w:pPr>
      <w:tabs>
        <w:tab w:val="center" w:pos="4153"/>
        <w:tab w:val="right" w:pos="8306"/>
      </w:tabs>
    </w:pPr>
  </w:style>
  <w:style w:type="character" w:customStyle="1" w:styleId="a6">
    <w:name w:val="כותרת תחתונה תו"/>
    <w:link w:val="a5"/>
    <w:rsid w:val="00DD260C"/>
    <w:rPr>
      <w:rFonts w:ascii="Times New Roman" w:eastAsia="Times New Roman" w:hAnsi="Times New Roman" w:cs="David"/>
      <w:sz w:val="24"/>
      <w:szCs w:val="24"/>
    </w:rPr>
  </w:style>
  <w:style w:type="table" w:styleId="a7">
    <w:name w:val="Table Grid"/>
    <w:basedOn w:val="a1"/>
    <w:rsid w:val="00DD26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260C"/>
  </w:style>
  <w:style w:type="character" w:customStyle="1" w:styleId="TimesNewRomanTimesNewRoman">
    <w:name w:val="סגנון (לטיני) Times New Roman (עברית ושפות אחרות) Times New Roman..."/>
    <w:rsid w:val="00DD260C"/>
    <w:rPr>
      <w:rFonts w:ascii="Times New Roman" w:hAnsi="Times New Roman" w:cs="David" w:hint="default"/>
      <w:b/>
      <w:bCs/>
      <w:sz w:val="26"/>
      <w:szCs w:val="26"/>
    </w:rPr>
  </w:style>
  <w:style w:type="paragraph" w:styleId="a9">
    <w:name w:val="List Paragraph"/>
    <w:basedOn w:val="a"/>
    <w:qFormat/>
    <w:rsid w:val="00DD260C"/>
    <w:pPr>
      <w:ind w:left="720"/>
      <w:contextualSpacing/>
    </w:pPr>
  </w:style>
  <w:style w:type="character" w:styleId="Hyperlink">
    <w:name w:val="Hyperlink"/>
    <w:rsid w:val="009D24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28697227" TargetMode="External"/><Relationship Id="rId3" Type="http://schemas.openxmlformats.org/officeDocument/2006/relationships/settings" Target="settings.xml"/><Relationship Id="rId21" Type="http://schemas.openxmlformats.org/officeDocument/2006/relationships/hyperlink" Target="http://www.nevo.co.il/case/17065136"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30257138" TargetMode="External"/><Relationship Id="rId25" Type="http://schemas.openxmlformats.org/officeDocument/2006/relationships/hyperlink" Target="http://www.nevo.co.il/case/2888308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8137376" TargetMode="External"/><Relationship Id="rId20" Type="http://schemas.openxmlformats.org/officeDocument/2006/relationships/hyperlink" Target="http://www.nevo.co.il/case/30168342"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c" TargetMode="External"/><Relationship Id="rId24" Type="http://schemas.openxmlformats.org/officeDocument/2006/relationships/hyperlink" Target="http://www.nevo.co.il/case/2838463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13c" TargetMode="External"/><Relationship Id="rId23" Type="http://schemas.openxmlformats.org/officeDocument/2006/relationships/hyperlink" Target="http://www.nevo.co.il/case/28243273"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2711</Words>
  <Characters>13560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16239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3211383</vt:i4>
      </vt:variant>
      <vt:variant>
        <vt:i4>57</vt:i4>
      </vt:variant>
      <vt:variant>
        <vt:i4>0</vt:i4>
      </vt:variant>
      <vt:variant>
        <vt:i4>5</vt:i4>
      </vt:variant>
      <vt:variant>
        <vt:lpwstr>http://www.nevo.co.il/case/28697227</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3539058</vt:i4>
      </vt:variant>
      <vt:variant>
        <vt:i4>51</vt:i4>
      </vt:variant>
      <vt:variant>
        <vt:i4>0</vt:i4>
      </vt:variant>
      <vt:variant>
        <vt:i4>5</vt:i4>
      </vt:variant>
      <vt:variant>
        <vt:lpwstr>http://www.nevo.co.il/case/28384637</vt:lpwstr>
      </vt:variant>
      <vt:variant>
        <vt:lpwstr/>
      </vt:variant>
      <vt:variant>
        <vt:i4>3407994</vt:i4>
      </vt:variant>
      <vt:variant>
        <vt:i4>48</vt:i4>
      </vt:variant>
      <vt:variant>
        <vt:i4>0</vt:i4>
      </vt:variant>
      <vt:variant>
        <vt:i4>5</vt:i4>
      </vt:variant>
      <vt:variant>
        <vt:lpwstr>http://www.nevo.co.il/case/28243273</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3604596</vt:i4>
      </vt:variant>
      <vt:variant>
        <vt:i4>42</vt:i4>
      </vt:variant>
      <vt:variant>
        <vt:i4>0</vt:i4>
      </vt:variant>
      <vt:variant>
        <vt:i4>5</vt:i4>
      </vt:variant>
      <vt:variant>
        <vt:lpwstr>http://www.nevo.co.il/case/17065136</vt:lpwstr>
      </vt:variant>
      <vt:variant>
        <vt:lpwstr/>
      </vt:variant>
      <vt:variant>
        <vt:i4>4063345</vt:i4>
      </vt:variant>
      <vt:variant>
        <vt:i4>39</vt:i4>
      </vt:variant>
      <vt:variant>
        <vt:i4>0</vt:i4>
      </vt:variant>
      <vt:variant>
        <vt:i4>5</vt:i4>
      </vt:variant>
      <vt:variant>
        <vt:lpwstr>http://www.nevo.co.il/case/30168342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3473520</vt:i4>
      </vt:variant>
      <vt:variant>
        <vt:i4>30</vt:i4>
      </vt:variant>
      <vt:variant>
        <vt:i4>0</vt:i4>
      </vt:variant>
      <vt:variant>
        <vt:i4>5</vt:i4>
      </vt:variant>
      <vt:variant>
        <vt:lpwstr>http://www.nevo.co.il/case/30257138</vt:lpwstr>
      </vt:variant>
      <vt:variant>
        <vt:lpwstr/>
      </vt:variant>
      <vt:variant>
        <vt:i4>3145852</vt:i4>
      </vt:variant>
      <vt:variant>
        <vt:i4>27</vt:i4>
      </vt:variant>
      <vt:variant>
        <vt:i4>0</vt:i4>
      </vt:variant>
      <vt:variant>
        <vt:i4>5</vt:i4>
      </vt:variant>
      <vt:variant>
        <vt:lpwstr>http://www.nevo.co.il/case/18137376</vt:lpwstr>
      </vt:variant>
      <vt:variant>
        <vt:lpwstr/>
      </vt:variant>
      <vt:variant>
        <vt:i4>458834</vt:i4>
      </vt:variant>
      <vt:variant>
        <vt:i4>24</vt:i4>
      </vt:variant>
      <vt:variant>
        <vt:i4>0</vt:i4>
      </vt:variant>
      <vt:variant>
        <vt:i4>5</vt:i4>
      </vt:variant>
      <vt:variant>
        <vt:lpwstr>http://www.nevo.co.il/law/70301/413c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458834</vt:i4>
      </vt:variant>
      <vt:variant>
        <vt:i4>12</vt:i4>
      </vt:variant>
      <vt:variant>
        <vt:i4>0</vt:i4>
      </vt:variant>
      <vt:variant>
        <vt:i4>5</vt:i4>
      </vt:variant>
      <vt:variant>
        <vt:lpwstr>http://www.nevo.co.il/law/70301/413c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47452</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עבד נאסר אסדי</vt:lpwstr>
  </property>
  <property fmtid="{D5CDD505-2E9C-101B-9397-08002B2CF9AE}" pid="10" name="LAWYER">
    <vt:lpwstr>ראיד רחאל;שאדי סרוגי;תמי אולמן</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20240818</vt:lpwstr>
  </property>
  <property fmtid="{D5CDD505-2E9C-101B-9397-08002B2CF9AE}" pid="14" name="TYPE_N_DATE">
    <vt:lpwstr>39020240818</vt:lpwstr>
  </property>
  <property fmtid="{D5CDD505-2E9C-101B-9397-08002B2CF9AE}" pid="15" name="CASESLISTTMP1">
    <vt:lpwstr>18137376;30257138;30168342;17065136;25824863;28243273;28384637;28883087;28697227</vt:lpwstr>
  </property>
  <property fmtid="{D5CDD505-2E9C-101B-9397-08002B2CF9AE}" pid="16" name="CASENOTES1">
    <vt:lpwstr>ProcID=209&amp;PartA=15678&amp;PartB=02&amp;PartC=20</vt:lpwstr>
  </property>
  <property fmtid="{D5CDD505-2E9C-101B-9397-08002B2CF9AE}" pid="17" name="CASENOTES2">
    <vt:lpwstr>ProcID=235&amp;PartA=24&amp;PartC=36</vt:lpwstr>
  </property>
  <property fmtid="{D5CDD505-2E9C-101B-9397-08002B2CF9AE}" pid="18" name="WORDNUMPAGES">
    <vt:lpwstr>10</vt:lpwstr>
  </property>
  <property fmtid="{D5CDD505-2E9C-101B-9397-08002B2CF9AE}" pid="19" name="TYPE_ABS_DATE">
    <vt:lpwstr>390020240818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70301/144.b;031;413c;144</vt:lpwstr>
  </property>
</Properties>
</file>