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C0DAB" w:rsidRPr="001A1ADE" w14:paraId="0EE34223" w14:textId="77777777" w:rsidTr="005F0192">
        <w:trPr>
          <w:trHeight w:hRule="exact" w:val="418"/>
          <w:jc w:val="center"/>
        </w:trPr>
        <w:tc>
          <w:tcPr>
            <w:tcW w:w="8721" w:type="dxa"/>
            <w:gridSpan w:val="2"/>
          </w:tcPr>
          <w:p w14:paraId="275F5241" w14:textId="77777777" w:rsidR="00EC0DAB" w:rsidRPr="001A1ADE" w:rsidRDefault="00EC0DAB" w:rsidP="00E6613A">
            <w:pPr>
              <w:pStyle w:val="a3"/>
              <w:jc w:val="center"/>
              <w:rPr>
                <w:rFonts w:ascii="Tahoma" w:hAnsi="Tahoma" w:cs="Tahoma"/>
                <w:color w:val="000080"/>
                <w:rtl/>
              </w:rPr>
            </w:pPr>
            <w:bookmarkStart w:id="0" w:name="LastJudge"/>
            <w:r w:rsidRPr="001A1ADE">
              <w:rPr>
                <w:rFonts w:ascii="Tahoma" w:hAnsi="Tahoma" w:cs="Tahoma"/>
                <w:b/>
                <w:bCs/>
                <w:color w:val="000080"/>
                <w:rtl/>
              </w:rPr>
              <w:t>בית המשפט המחוזי בחיפה</w:t>
            </w:r>
          </w:p>
        </w:tc>
      </w:tr>
      <w:tr w:rsidR="00EC0DAB" w:rsidRPr="001A1ADE" w14:paraId="3A0CE229" w14:textId="77777777" w:rsidTr="005F0192">
        <w:trPr>
          <w:trHeight w:val="337"/>
          <w:jc w:val="center"/>
        </w:trPr>
        <w:tc>
          <w:tcPr>
            <w:tcW w:w="5057" w:type="dxa"/>
          </w:tcPr>
          <w:p w14:paraId="3F6CE6DF" w14:textId="77777777" w:rsidR="00EC0DAB" w:rsidRPr="001A1ADE" w:rsidRDefault="00EC0DAB" w:rsidP="00E6613A">
            <w:pPr>
              <w:rPr>
                <w:rFonts w:cs="FrankRuehl"/>
                <w:sz w:val="28"/>
                <w:szCs w:val="28"/>
                <w:rtl/>
              </w:rPr>
            </w:pPr>
            <w:r w:rsidRPr="001A1ADE">
              <w:rPr>
                <w:rFonts w:cs="FrankRuehl"/>
                <w:sz w:val="28"/>
                <w:szCs w:val="28"/>
                <w:rtl/>
              </w:rPr>
              <w:t>ת"פ</w:t>
            </w:r>
            <w:r w:rsidRPr="001A1ADE">
              <w:rPr>
                <w:rFonts w:cs="FrankRuehl" w:hint="cs"/>
                <w:sz w:val="28"/>
                <w:szCs w:val="28"/>
                <w:rtl/>
              </w:rPr>
              <w:t xml:space="preserve"> </w:t>
            </w:r>
            <w:r w:rsidRPr="001A1ADE">
              <w:rPr>
                <w:rFonts w:cs="FrankRuehl"/>
                <w:sz w:val="28"/>
                <w:szCs w:val="28"/>
                <w:rtl/>
              </w:rPr>
              <w:t>49405-04-24</w:t>
            </w:r>
            <w:r w:rsidRPr="001A1ADE">
              <w:rPr>
                <w:rFonts w:cs="FrankRuehl" w:hint="cs"/>
                <w:sz w:val="28"/>
                <w:szCs w:val="28"/>
                <w:rtl/>
              </w:rPr>
              <w:t xml:space="preserve"> </w:t>
            </w:r>
            <w:r w:rsidRPr="001A1ADE">
              <w:rPr>
                <w:rFonts w:cs="FrankRuehl"/>
                <w:sz w:val="28"/>
                <w:szCs w:val="28"/>
                <w:rtl/>
              </w:rPr>
              <w:t>מדינת ישראל נ' אמון(עציר)</w:t>
            </w:r>
          </w:p>
          <w:p w14:paraId="4FE1CEA7" w14:textId="77777777" w:rsidR="00EC0DAB" w:rsidRPr="001A1ADE" w:rsidRDefault="00EC0DAB" w:rsidP="00E6613A">
            <w:pPr>
              <w:pStyle w:val="a3"/>
              <w:rPr>
                <w:rFonts w:cs="FrankRuehl"/>
                <w:sz w:val="28"/>
                <w:szCs w:val="28"/>
                <w:rtl/>
              </w:rPr>
            </w:pPr>
          </w:p>
        </w:tc>
        <w:tc>
          <w:tcPr>
            <w:tcW w:w="3664" w:type="dxa"/>
          </w:tcPr>
          <w:p w14:paraId="24C1CE1D" w14:textId="77777777" w:rsidR="00EC0DAB" w:rsidRPr="001A1ADE" w:rsidRDefault="00EC0DAB" w:rsidP="00E6613A">
            <w:pPr>
              <w:pStyle w:val="a3"/>
              <w:jc w:val="right"/>
              <w:rPr>
                <w:rFonts w:cs="FrankRuehl"/>
                <w:sz w:val="28"/>
                <w:szCs w:val="28"/>
                <w:rtl/>
              </w:rPr>
            </w:pPr>
          </w:p>
        </w:tc>
      </w:tr>
    </w:tbl>
    <w:p w14:paraId="1B4D1E81" w14:textId="77777777" w:rsidR="00EC0DAB" w:rsidRPr="001A1ADE" w:rsidRDefault="00EC0DAB" w:rsidP="00EC0DAB">
      <w:pPr>
        <w:pStyle w:val="a3"/>
        <w:rPr>
          <w:rtl/>
        </w:rPr>
      </w:pPr>
      <w:r w:rsidRPr="001A1ADE">
        <w:rPr>
          <w:rFonts w:hint="cs"/>
          <w:rtl/>
        </w:rPr>
        <w:t xml:space="preserve"> </w:t>
      </w:r>
    </w:p>
    <w:tbl>
      <w:tblPr>
        <w:bidiVisual/>
        <w:tblW w:w="0" w:type="auto"/>
        <w:jc w:val="center"/>
        <w:tblLook w:val="04A0" w:firstRow="1" w:lastRow="0" w:firstColumn="1" w:lastColumn="0" w:noHBand="0" w:noVBand="1"/>
      </w:tblPr>
      <w:tblGrid>
        <w:gridCol w:w="1551"/>
        <w:gridCol w:w="6953"/>
      </w:tblGrid>
      <w:tr w:rsidR="00EC0DAB" w:rsidRPr="001A1ADE" w14:paraId="4AE9B709" w14:textId="77777777" w:rsidTr="00E6613A">
        <w:trPr>
          <w:trHeight w:val="337"/>
          <w:jc w:val="center"/>
        </w:trPr>
        <w:tc>
          <w:tcPr>
            <w:tcW w:w="1551" w:type="dxa"/>
          </w:tcPr>
          <w:p w14:paraId="78980C02" w14:textId="77777777" w:rsidR="00EC0DAB" w:rsidRPr="001A1ADE" w:rsidRDefault="00EC0DAB" w:rsidP="00E6613A">
            <w:pPr>
              <w:pStyle w:val="a3"/>
              <w:bidi w:val="0"/>
              <w:spacing w:line="360" w:lineRule="auto"/>
              <w:jc w:val="both"/>
              <w:rPr>
                <w:sz w:val="22"/>
                <w:szCs w:val="22"/>
                <w:rtl/>
              </w:rPr>
            </w:pPr>
          </w:p>
        </w:tc>
        <w:tc>
          <w:tcPr>
            <w:tcW w:w="6953" w:type="dxa"/>
          </w:tcPr>
          <w:p w14:paraId="7C119E10" w14:textId="77777777" w:rsidR="00EC0DAB" w:rsidRPr="001A1ADE" w:rsidRDefault="00EC0DAB" w:rsidP="00E6613A">
            <w:pPr>
              <w:pStyle w:val="a3"/>
              <w:jc w:val="right"/>
              <w:rPr>
                <w:sz w:val="22"/>
                <w:szCs w:val="22"/>
              </w:rPr>
            </w:pPr>
            <w:r w:rsidRPr="001A1ADE">
              <w:rPr>
                <w:sz w:val="22"/>
                <w:szCs w:val="22"/>
                <w:rtl/>
              </w:rPr>
              <w:t xml:space="preserve"> </w:t>
            </w:r>
            <w:r w:rsidRPr="001A1ADE">
              <w:rPr>
                <w:rFonts w:hint="cs"/>
                <w:b/>
                <w:bCs/>
                <w:rtl/>
              </w:rPr>
              <w:t>49401-04-24</w:t>
            </w:r>
          </w:p>
        </w:tc>
      </w:tr>
    </w:tbl>
    <w:p w14:paraId="031FAB6A" w14:textId="77777777" w:rsidR="00EC0DAB" w:rsidRPr="001A1ADE" w:rsidRDefault="00EC0DAB" w:rsidP="00EC0DAB">
      <w:pPr>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EC0DAB" w:rsidRPr="001A1ADE" w14:paraId="7292E691" w14:textId="77777777" w:rsidTr="00EC0DAB">
        <w:trPr>
          <w:gridAfter w:val="1"/>
          <w:wAfter w:w="56" w:type="dxa"/>
          <w:trHeight w:val="876"/>
        </w:trPr>
        <w:tc>
          <w:tcPr>
            <w:tcW w:w="8718" w:type="dxa"/>
            <w:gridSpan w:val="2"/>
            <w:shd w:val="clear" w:color="auto" w:fill="auto"/>
          </w:tcPr>
          <w:p w14:paraId="70FFBE7F" w14:textId="77777777" w:rsidR="00EC0DAB" w:rsidRPr="001A1ADE" w:rsidRDefault="00EC0DAB" w:rsidP="00E6613A">
            <w:pPr>
              <w:rPr>
                <w:b/>
                <w:bCs/>
                <w:rtl/>
              </w:rPr>
            </w:pPr>
          </w:p>
          <w:p w14:paraId="1E3C08CD" w14:textId="77777777" w:rsidR="00EC0DAB" w:rsidRPr="001A1ADE" w:rsidRDefault="00EC0DAB" w:rsidP="00E6613A">
            <w:pPr>
              <w:rPr>
                <w:b/>
                <w:bCs/>
                <w:rtl/>
              </w:rPr>
            </w:pPr>
            <w:r w:rsidRPr="001A1ADE">
              <w:rPr>
                <w:rFonts w:hint="cs"/>
                <w:b/>
                <w:bCs/>
                <w:rtl/>
              </w:rPr>
              <w:t>לפני כבוד השופט נתנאל בנישו</w:t>
            </w:r>
            <w:r w:rsidRPr="001A1ADE">
              <w:rPr>
                <w:rStyle w:val="TimesNewRomanTimesNewRoman"/>
                <w:rtl/>
              </w:rPr>
              <w:t xml:space="preserve"> </w:t>
            </w:r>
          </w:p>
          <w:p w14:paraId="002A51DB" w14:textId="77777777" w:rsidR="00EC0DAB" w:rsidRPr="001A1ADE" w:rsidRDefault="00EC0DAB" w:rsidP="00E6613A">
            <w:pPr>
              <w:rPr>
                <w:b/>
                <w:bCs/>
                <w:rtl/>
              </w:rPr>
            </w:pPr>
          </w:p>
        </w:tc>
      </w:tr>
      <w:tr w:rsidR="00EC0DAB" w:rsidRPr="001A1ADE" w14:paraId="1442A47D" w14:textId="77777777" w:rsidTr="00EC0DAB">
        <w:trPr>
          <w:cantSplit/>
          <w:trHeight w:val="724"/>
        </w:trPr>
        <w:tc>
          <w:tcPr>
            <w:tcW w:w="2880" w:type="dxa"/>
            <w:shd w:val="clear" w:color="auto" w:fill="auto"/>
          </w:tcPr>
          <w:p w14:paraId="08A448BC" w14:textId="77777777" w:rsidR="00EC0DAB" w:rsidRPr="001A1ADE" w:rsidRDefault="00EC0DAB" w:rsidP="00EC0DAB">
            <w:pPr>
              <w:ind w:left="26"/>
              <w:rPr>
                <w:b/>
                <w:bCs/>
                <w:rtl/>
              </w:rPr>
            </w:pPr>
            <w:bookmarkStart w:id="1" w:name="FirstAppellant"/>
            <w:bookmarkStart w:id="2" w:name="FirstLawyer"/>
            <w:r w:rsidRPr="001A1ADE">
              <w:rPr>
                <w:rFonts w:hint="cs"/>
                <w:b/>
                <w:bCs/>
                <w:rtl/>
              </w:rPr>
              <w:t>המאשימה</w:t>
            </w:r>
          </w:p>
        </w:tc>
        <w:tc>
          <w:tcPr>
            <w:tcW w:w="5922" w:type="dxa"/>
            <w:gridSpan w:val="2"/>
            <w:shd w:val="clear" w:color="auto" w:fill="auto"/>
          </w:tcPr>
          <w:p w14:paraId="21870022" w14:textId="77777777" w:rsidR="00EC0DAB" w:rsidRPr="001A1ADE" w:rsidRDefault="00EC0DAB" w:rsidP="00E6613A">
            <w:pPr>
              <w:rPr>
                <w:b/>
                <w:bCs/>
                <w:rtl/>
              </w:rPr>
            </w:pPr>
            <w:r w:rsidRPr="001A1ADE">
              <w:rPr>
                <w:rFonts w:hint="cs"/>
                <w:b/>
                <w:bCs/>
                <w:rtl/>
              </w:rPr>
              <w:t xml:space="preserve">מדינת ישראל  </w:t>
            </w:r>
          </w:p>
          <w:p w14:paraId="531CD5CB" w14:textId="77777777" w:rsidR="00EC0DAB" w:rsidRPr="001A1ADE" w:rsidRDefault="00EC0DAB" w:rsidP="00E6613A">
            <w:pPr>
              <w:rPr>
                <w:rtl/>
              </w:rPr>
            </w:pPr>
            <w:r w:rsidRPr="001A1ADE">
              <w:rPr>
                <w:rFonts w:hint="cs"/>
                <w:rtl/>
              </w:rPr>
              <w:t>ע"י ב"כ עו"ד ראיד רחאל</w:t>
            </w:r>
          </w:p>
        </w:tc>
      </w:tr>
      <w:bookmarkEnd w:id="1"/>
      <w:bookmarkEnd w:id="2"/>
      <w:tr w:rsidR="00EC0DAB" w:rsidRPr="001A1ADE" w14:paraId="6FED1AD3" w14:textId="77777777" w:rsidTr="00EC0DAB">
        <w:tc>
          <w:tcPr>
            <w:tcW w:w="8802" w:type="dxa"/>
            <w:gridSpan w:val="3"/>
            <w:shd w:val="clear" w:color="auto" w:fill="auto"/>
            <w:vAlign w:val="center"/>
          </w:tcPr>
          <w:p w14:paraId="5BAD1DC9" w14:textId="77777777" w:rsidR="00EC0DAB" w:rsidRPr="001A1ADE" w:rsidRDefault="00EC0DAB" w:rsidP="00EC0DAB">
            <w:pPr>
              <w:jc w:val="center"/>
              <w:rPr>
                <w:rFonts w:ascii="Arial" w:hAnsi="Arial"/>
                <w:b/>
                <w:bCs/>
                <w:rtl/>
              </w:rPr>
            </w:pPr>
          </w:p>
          <w:p w14:paraId="1B5C81B6" w14:textId="77777777" w:rsidR="00EC0DAB" w:rsidRPr="001A1ADE" w:rsidRDefault="00EC0DAB" w:rsidP="00EC0DAB">
            <w:pPr>
              <w:jc w:val="center"/>
              <w:rPr>
                <w:rFonts w:ascii="Arial" w:hAnsi="Arial"/>
                <w:b/>
                <w:bCs/>
                <w:rtl/>
              </w:rPr>
            </w:pPr>
            <w:r w:rsidRPr="001A1ADE">
              <w:rPr>
                <w:rFonts w:ascii="Arial" w:hAnsi="Arial" w:hint="cs"/>
                <w:b/>
                <w:bCs/>
                <w:rtl/>
              </w:rPr>
              <w:t>נגד</w:t>
            </w:r>
          </w:p>
          <w:p w14:paraId="46E8E6DA" w14:textId="77777777" w:rsidR="00EC0DAB" w:rsidRPr="001A1ADE" w:rsidRDefault="00EC0DAB" w:rsidP="00E6613A">
            <w:pPr>
              <w:rPr>
                <w:rFonts w:ascii="Arial" w:hAnsi="Arial"/>
                <w:b/>
                <w:bCs/>
                <w:rtl/>
              </w:rPr>
            </w:pPr>
          </w:p>
        </w:tc>
      </w:tr>
      <w:tr w:rsidR="00EC0DAB" w:rsidRPr="001A1ADE" w14:paraId="2F10AA26" w14:textId="77777777" w:rsidTr="00EC0DAB">
        <w:tc>
          <w:tcPr>
            <w:tcW w:w="2880" w:type="dxa"/>
            <w:shd w:val="clear" w:color="auto" w:fill="auto"/>
          </w:tcPr>
          <w:p w14:paraId="762B047D" w14:textId="77777777" w:rsidR="00EC0DAB" w:rsidRPr="001A1ADE" w:rsidRDefault="00EC0DAB" w:rsidP="00EC0DAB">
            <w:pPr>
              <w:ind w:left="26"/>
              <w:rPr>
                <w:b/>
                <w:bCs/>
              </w:rPr>
            </w:pPr>
            <w:r w:rsidRPr="001A1ADE">
              <w:rPr>
                <w:rFonts w:hint="cs"/>
                <w:b/>
                <w:bCs/>
                <w:rtl/>
              </w:rPr>
              <w:t>הנאשם</w:t>
            </w:r>
          </w:p>
        </w:tc>
        <w:tc>
          <w:tcPr>
            <w:tcW w:w="5922" w:type="dxa"/>
            <w:gridSpan w:val="2"/>
            <w:shd w:val="clear" w:color="auto" w:fill="auto"/>
          </w:tcPr>
          <w:p w14:paraId="6B5828B7" w14:textId="77777777" w:rsidR="00EC0DAB" w:rsidRPr="001A1ADE" w:rsidRDefault="00EC0DAB" w:rsidP="00E6613A">
            <w:pPr>
              <w:rPr>
                <w:b/>
                <w:bCs/>
                <w:rtl/>
              </w:rPr>
            </w:pPr>
            <w:r w:rsidRPr="001A1ADE">
              <w:rPr>
                <w:rFonts w:hint="cs"/>
                <w:b/>
                <w:bCs/>
                <w:rtl/>
              </w:rPr>
              <w:t>מופיד אמון (עציר),</w:t>
            </w:r>
            <w:r w:rsidRPr="001A1ADE">
              <w:rPr>
                <w:rtl/>
              </w:rPr>
              <w:t xml:space="preserve"> </w:t>
            </w:r>
            <w:r w:rsidRPr="001A1ADE">
              <w:rPr>
                <w:rFonts w:hint="cs"/>
                <w:b/>
                <w:bCs/>
                <w:rtl/>
              </w:rPr>
              <w:t xml:space="preserve">ת"ז </w:t>
            </w:r>
            <w:r w:rsidR="001A1ADE">
              <w:rPr>
                <w:b/>
                <w:bCs/>
              </w:rPr>
              <w:t>xxxxxxxxxx</w:t>
            </w:r>
          </w:p>
          <w:p w14:paraId="301EF7AE" w14:textId="77777777" w:rsidR="00EC0DAB" w:rsidRPr="001A1ADE" w:rsidRDefault="00EC0DAB" w:rsidP="00E6613A">
            <w:pPr>
              <w:rPr>
                <w:rtl/>
              </w:rPr>
            </w:pPr>
            <w:r w:rsidRPr="001A1ADE">
              <w:rPr>
                <w:rFonts w:hint="cs"/>
                <w:rtl/>
              </w:rPr>
              <w:t>ע"י ב"כ עו"ד שאדי חסן</w:t>
            </w:r>
          </w:p>
        </w:tc>
      </w:tr>
    </w:tbl>
    <w:p w14:paraId="2D5C48C6" w14:textId="77777777" w:rsidR="00EC0DAB" w:rsidRPr="001A1ADE" w:rsidRDefault="00EC0DAB" w:rsidP="005F0192">
      <w:pPr>
        <w:spacing w:line="360" w:lineRule="auto"/>
        <w:jc w:val="both"/>
        <w:rPr>
          <w:rFonts w:hint="cs"/>
          <w:sz w:val="4"/>
          <w:szCs w:val="4"/>
          <w:rtl/>
        </w:rPr>
      </w:pPr>
    </w:p>
    <w:p w14:paraId="4860AD05" w14:textId="77777777" w:rsidR="001A1ADE" w:rsidRPr="001A1ADE" w:rsidRDefault="001A1ADE" w:rsidP="001A1ADE">
      <w:pPr>
        <w:spacing w:before="120" w:after="120" w:line="240" w:lineRule="exact"/>
        <w:ind w:left="283" w:hanging="283"/>
        <w:jc w:val="both"/>
        <w:rPr>
          <w:rFonts w:ascii="FrankRuehl" w:hAnsi="FrankRuehl" w:cs="FrankRuehl"/>
          <w:rtl/>
        </w:rPr>
      </w:pPr>
    </w:p>
    <w:p w14:paraId="3FDA7188" w14:textId="77777777" w:rsidR="001A1ADE" w:rsidRPr="001A1ADE" w:rsidRDefault="001A1ADE" w:rsidP="001A1ADE">
      <w:pPr>
        <w:rPr>
          <w:sz w:val="22"/>
          <w:szCs w:val="22"/>
          <w:rtl/>
        </w:rPr>
      </w:pPr>
    </w:p>
    <w:p w14:paraId="3A424AA5" w14:textId="77777777" w:rsidR="005F0192" w:rsidRPr="005F0192" w:rsidRDefault="005F0192" w:rsidP="005F0192">
      <w:pPr>
        <w:spacing w:before="120" w:after="120" w:line="240" w:lineRule="exact"/>
        <w:ind w:left="283" w:hanging="283"/>
        <w:jc w:val="both"/>
        <w:rPr>
          <w:rFonts w:ascii="FrankRuehl" w:hAnsi="FrankRuehl" w:cs="FrankRuehl"/>
          <w:rtl/>
        </w:rPr>
      </w:pPr>
      <w:bookmarkStart w:id="3" w:name="LawTable"/>
      <w:bookmarkEnd w:id="3"/>
    </w:p>
    <w:p w14:paraId="1C36666C" w14:textId="77777777" w:rsidR="005F0192" w:rsidRPr="005F0192" w:rsidRDefault="005F0192" w:rsidP="005F0192">
      <w:pPr>
        <w:spacing w:before="120" w:after="120" w:line="240" w:lineRule="exact"/>
        <w:ind w:left="283" w:hanging="283"/>
        <w:jc w:val="both"/>
        <w:rPr>
          <w:rFonts w:ascii="FrankRuehl" w:hAnsi="FrankRuehl" w:cs="FrankRuehl"/>
          <w:rtl/>
        </w:rPr>
      </w:pPr>
      <w:r w:rsidRPr="005F0192">
        <w:rPr>
          <w:rFonts w:ascii="FrankRuehl" w:hAnsi="FrankRuehl" w:cs="FrankRuehl"/>
          <w:rtl/>
        </w:rPr>
        <w:t xml:space="preserve">חקיקה שאוזכרה: </w:t>
      </w:r>
    </w:p>
    <w:p w14:paraId="6E0405D6" w14:textId="77777777" w:rsidR="005F0192" w:rsidRPr="005F0192" w:rsidRDefault="005F0192" w:rsidP="005F0192">
      <w:pPr>
        <w:spacing w:before="120" w:after="120" w:line="240" w:lineRule="exact"/>
        <w:ind w:left="283" w:hanging="283"/>
        <w:jc w:val="both"/>
        <w:rPr>
          <w:rFonts w:ascii="FrankRuehl" w:hAnsi="FrankRuehl" w:cs="FrankRuehl"/>
          <w:color w:val="0000FF"/>
          <w:rtl/>
        </w:rPr>
      </w:pPr>
      <w:hyperlink r:id="rId7" w:history="1">
        <w:r w:rsidRPr="005F0192">
          <w:rPr>
            <w:rStyle w:val="Hyperlink"/>
            <w:rFonts w:ascii="FrankRuehl" w:hAnsi="FrankRuehl" w:cs="FrankRuehl"/>
            <w:u w:val="none"/>
            <w:rtl/>
          </w:rPr>
          <w:t>חוק העונשין, תשל"ז-1977</w:t>
        </w:r>
      </w:hyperlink>
      <w:r w:rsidRPr="005F0192">
        <w:rPr>
          <w:rFonts w:ascii="FrankRuehl" w:hAnsi="FrankRuehl" w:cs="FrankRuehl"/>
          <w:color w:val="0000FF"/>
          <w:rtl/>
        </w:rPr>
        <w:t xml:space="preserve">: סע'  </w:t>
      </w:r>
      <w:hyperlink r:id="rId8" w:history="1">
        <w:r w:rsidRPr="005F0192">
          <w:rPr>
            <w:rStyle w:val="Hyperlink"/>
            <w:rFonts w:ascii="FrankRuehl" w:hAnsi="FrankRuehl" w:cs="FrankRuehl"/>
            <w:u w:val="none"/>
          </w:rPr>
          <w:t>144</w:t>
        </w:r>
      </w:hyperlink>
      <w:r w:rsidRPr="005F0192">
        <w:rPr>
          <w:rFonts w:ascii="FrankRuehl" w:hAnsi="FrankRuehl" w:cs="FrankRuehl"/>
          <w:color w:val="0000FF"/>
          <w:rtl/>
        </w:rPr>
        <w:t xml:space="preserve">, </w:t>
      </w:r>
      <w:hyperlink r:id="rId9" w:history="1">
        <w:r w:rsidRPr="005F0192">
          <w:rPr>
            <w:rStyle w:val="Hyperlink"/>
            <w:rFonts w:ascii="FrankRuehl" w:hAnsi="FrankRuehl" w:cs="FrankRuehl"/>
            <w:u w:val="none"/>
          </w:rPr>
          <w:t xml:space="preserve">144 </w:t>
        </w:r>
      </w:hyperlink>
      <w:r w:rsidRPr="005F0192">
        <w:rPr>
          <w:rFonts w:ascii="FrankRuehl" w:hAnsi="FrankRuehl" w:cs="FrankRuehl"/>
          <w:color w:val="0000FF"/>
          <w:rtl/>
        </w:rPr>
        <w:t xml:space="preserve">(א), </w:t>
      </w:r>
      <w:hyperlink r:id="rId10" w:history="1">
        <w:r w:rsidRPr="005F0192">
          <w:rPr>
            <w:rStyle w:val="Hyperlink"/>
            <w:rFonts w:ascii="FrankRuehl" w:hAnsi="FrankRuehl" w:cs="FrankRuehl"/>
            <w:u w:val="none"/>
          </w:rPr>
          <w:t xml:space="preserve">144 </w:t>
        </w:r>
      </w:hyperlink>
      <w:r w:rsidRPr="005F0192">
        <w:rPr>
          <w:rFonts w:ascii="FrankRuehl" w:hAnsi="FrankRuehl" w:cs="FrankRuehl"/>
          <w:color w:val="0000FF"/>
          <w:rtl/>
        </w:rPr>
        <w:t xml:space="preserve">(ב), </w:t>
      </w:r>
      <w:hyperlink r:id="rId11" w:history="1">
        <w:r w:rsidRPr="005F0192">
          <w:rPr>
            <w:rStyle w:val="Hyperlink"/>
            <w:rFonts w:ascii="FrankRuehl" w:hAnsi="FrankRuehl" w:cs="FrankRuehl"/>
            <w:u w:val="none"/>
            <w:rtl/>
          </w:rPr>
          <w:t>ב2</w:t>
        </w:r>
      </w:hyperlink>
      <w:r w:rsidRPr="005F0192">
        <w:rPr>
          <w:rFonts w:ascii="FrankRuehl" w:hAnsi="FrankRuehl" w:cs="FrankRuehl"/>
          <w:color w:val="0000FF"/>
          <w:rtl/>
        </w:rPr>
        <w:t xml:space="preserve">, </w:t>
      </w:r>
      <w:hyperlink r:id="rId12" w:history="1">
        <w:r w:rsidRPr="005F0192">
          <w:rPr>
            <w:rStyle w:val="Hyperlink"/>
            <w:rFonts w:ascii="FrankRuehl" w:hAnsi="FrankRuehl" w:cs="FrankRuehl"/>
            <w:u w:val="none"/>
          </w:rPr>
          <w:t>144</w:t>
        </w:r>
      </w:hyperlink>
      <w:r w:rsidRPr="005F0192">
        <w:rPr>
          <w:rFonts w:ascii="FrankRuehl" w:hAnsi="FrankRuehl" w:cs="FrankRuehl"/>
          <w:color w:val="0000FF"/>
          <w:rtl/>
        </w:rPr>
        <w:t>(ז)</w:t>
      </w:r>
    </w:p>
    <w:p w14:paraId="2B60E352" w14:textId="77777777" w:rsidR="00EC0DAB" w:rsidRDefault="00EC0DAB" w:rsidP="005F0192">
      <w:pPr>
        <w:rPr>
          <w:rFonts w:hint="cs"/>
          <w:sz w:val="22"/>
          <w:szCs w:val="22"/>
          <w:rtl/>
        </w:rPr>
      </w:pPr>
      <w:bookmarkStart w:id="4" w:name="LawTable_End"/>
      <w:bookmarkEnd w:id="4"/>
    </w:p>
    <w:p w14:paraId="3EFD8EF1" w14:textId="77777777" w:rsidR="005F0192" w:rsidRDefault="005F0192" w:rsidP="005F0192">
      <w:pPr>
        <w:rPr>
          <w:rFonts w:hint="cs"/>
          <w:sz w:val="22"/>
          <w:szCs w:val="22"/>
          <w:rtl/>
        </w:rPr>
      </w:pPr>
    </w:p>
    <w:p w14:paraId="20617856" w14:textId="77777777" w:rsidR="005F0192" w:rsidRDefault="005F0192" w:rsidP="005F0192">
      <w:pPr>
        <w:rPr>
          <w:rFonts w:hint="cs"/>
          <w:sz w:val="22"/>
          <w:szCs w:val="22"/>
          <w:rtl/>
        </w:rPr>
      </w:pPr>
    </w:p>
    <w:p w14:paraId="56524B57" w14:textId="77777777" w:rsidR="005F0192" w:rsidRPr="005F0192" w:rsidRDefault="005F0192" w:rsidP="005F0192">
      <w:pPr>
        <w:rPr>
          <w:rFonts w:hint="cs"/>
          <w:sz w:val="22"/>
          <w:szCs w:val="2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0DAB" w:rsidRPr="00363351" w14:paraId="47CF92A7" w14:textId="77777777" w:rsidTr="00EC0DAB">
        <w:trPr>
          <w:trHeight w:val="355"/>
          <w:jc w:val="center"/>
        </w:trPr>
        <w:tc>
          <w:tcPr>
            <w:tcW w:w="8820" w:type="dxa"/>
            <w:tcBorders>
              <w:top w:val="nil"/>
              <w:left w:val="nil"/>
              <w:bottom w:val="nil"/>
              <w:right w:val="nil"/>
            </w:tcBorders>
            <w:shd w:val="clear" w:color="auto" w:fill="auto"/>
          </w:tcPr>
          <w:p w14:paraId="2E21291D" w14:textId="77777777" w:rsidR="001A1ADE" w:rsidRPr="001A1ADE" w:rsidRDefault="001A1ADE" w:rsidP="001A1ADE">
            <w:pPr>
              <w:jc w:val="center"/>
              <w:rPr>
                <w:rFonts w:ascii="David" w:hAnsi="David"/>
                <w:b/>
                <w:bCs/>
                <w:sz w:val="28"/>
                <w:szCs w:val="28"/>
                <w:u w:val="single"/>
                <w:rtl/>
              </w:rPr>
            </w:pPr>
            <w:bookmarkStart w:id="5" w:name="PsakDin" w:colFirst="0" w:colLast="0"/>
            <w:bookmarkEnd w:id="0"/>
            <w:r w:rsidRPr="001A1ADE">
              <w:rPr>
                <w:rFonts w:ascii="David" w:hAnsi="David"/>
                <w:b/>
                <w:bCs/>
                <w:sz w:val="28"/>
                <w:szCs w:val="28"/>
                <w:u w:val="single"/>
                <w:rtl/>
              </w:rPr>
              <w:t>גזר דין</w:t>
            </w:r>
          </w:p>
          <w:p w14:paraId="49331593" w14:textId="77777777" w:rsidR="00EC0DAB" w:rsidRPr="001A1ADE" w:rsidRDefault="00EC0DAB" w:rsidP="001A1ADE">
            <w:pPr>
              <w:jc w:val="center"/>
              <w:rPr>
                <w:rFonts w:ascii="David" w:hAnsi="David"/>
                <w:bCs/>
                <w:sz w:val="30"/>
                <w:szCs w:val="30"/>
                <w:u w:val="single"/>
                <w:rtl/>
              </w:rPr>
            </w:pPr>
          </w:p>
        </w:tc>
      </w:tr>
      <w:bookmarkEnd w:id="5"/>
    </w:tbl>
    <w:p w14:paraId="0139D9E1" w14:textId="77777777" w:rsidR="00EC0DAB" w:rsidRPr="00363351" w:rsidRDefault="00EC0DAB" w:rsidP="00EC0DAB">
      <w:pPr>
        <w:rPr>
          <w:rFonts w:ascii="Arial" w:hAnsi="Arial"/>
          <w:b/>
          <w:bCs/>
          <w:rtl/>
        </w:rPr>
      </w:pPr>
    </w:p>
    <w:p w14:paraId="23682B9C" w14:textId="77777777" w:rsidR="00EC0DAB" w:rsidRDefault="00EC0DAB" w:rsidP="00EC0DAB">
      <w:pPr>
        <w:spacing w:line="360" w:lineRule="auto"/>
        <w:jc w:val="both"/>
        <w:rPr>
          <w:rFonts w:ascii="Arial" w:hAnsi="Arial"/>
          <w:rtl/>
        </w:rPr>
      </w:pPr>
    </w:p>
    <w:p w14:paraId="6E5DD337" w14:textId="77777777" w:rsidR="00EC0DAB" w:rsidRPr="006E4CD8" w:rsidRDefault="00EC0DAB" w:rsidP="00EC0DAB">
      <w:pPr>
        <w:spacing w:line="360" w:lineRule="auto"/>
        <w:jc w:val="both"/>
        <w:rPr>
          <w:rFonts w:ascii="Arial" w:hAnsi="Arial"/>
          <w:b/>
          <w:bCs/>
          <w:u w:val="single"/>
          <w:rtl/>
        </w:rPr>
      </w:pPr>
      <w:r w:rsidRPr="006E4CD8">
        <w:rPr>
          <w:rFonts w:ascii="Arial" w:hAnsi="Arial" w:hint="cs"/>
          <w:b/>
          <w:bCs/>
          <w:u w:val="single"/>
          <w:rtl/>
        </w:rPr>
        <w:t>כתב האישום המתוקן</w:t>
      </w:r>
    </w:p>
    <w:p w14:paraId="207CDEA1" w14:textId="77777777" w:rsidR="00EC0DAB" w:rsidRPr="0071549C" w:rsidRDefault="00EC0DAB" w:rsidP="00EC0DAB">
      <w:pPr>
        <w:spacing w:line="360" w:lineRule="auto"/>
        <w:jc w:val="both"/>
        <w:rPr>
          <w:rFonts w:ascii="Arial" w:hAnsi="Arial"/>
          <w:sz w:val="16"/>
          <w:szCs w:val="16"/>
          <w:rtl/>
        </w:rPr>
      </w:pPr>
    </w:p>
    <w:p w14:paraId="71758919" w14:textId="77777777" w:rsidR="00EC0DAB" w:rsidRDefault="00EC0DAB" w:rsidP="00EC0DAB">
      <w:pPr>
        <w:spacing w:line="360" w:lineRule="auto"/>
        <w:jc w:val="both"/>
        <w:rPr>
          <w:rFonts w:ascii="Arial" w:hAnsi="Arial"/>
          <w:rtl/>
        </w:rPr>
      </w:pPr>
      <w:bookmarkStart w:id="6" w:name="ABSTRACT_START"/>
      <w:bookmarkEnd w:id="6"/>
      <w:r w:rsidRPr="00243CBA">
        <w:rPr>
          <w:rFonts w:ascii="Arial" w:hAnsi="Arial" w:hint="cs"/>
          <w:rtl/>
        </w:rPr>
        <w:t>הנאשם הורשע על פי הודאתו</w:t>
      </w:r>
      <w:r>
        <w:rPr>
          <w:rFonts w:ascii="Arial" w:hAnsi="Arial" w:hint="cs"/>
          <w:rtl/>
        </w:rPr>
        <w:t>,</w:t>
      </w:r>
      <w:r w:rsidRPr="00243CBA">
        <w:rPr>
          <w:rFonts w:ascii="Arial" w:hAnsi="Arial" w:hint="cs"/>
          <w:rtl/>
        </w:rPr>
        <w:t xml:space="preserve"> במסגרת הסדר טיעון</w:t>
      </w:r>
      <w:r>
        <w:rPr>
          <w:rFonts w:ascii="Arial" w:hAnsi="Arial" w:hint="cs"/>
          <w:rtl/>
        </w:rPr>
        <w:t>,</w:t>
      </w:r>
      <w:r w:rsidRPr="00243CBA">
        <w:rPr>
          <w:rFonts w:ascii="Arial" w:hAnsi="Arial" w:hint="cs"/>
          <w:rtl/>
        </w:rPr>
        <w:t xml:space="preserve"> ב</w:t>
      </w:r>
      <w:r w:rsidRPr="009961BC">
        <w:rPr>
          <w:rFonts w:ascii="Arial" w:hAnsi="Arial" w:hint="cs"/>
          <w:b/>
          <w:bCs/>
          <w:rtl/>
        </w:rPr>
        <w:t>עבירה של נשיאת והובלת נשק</w:t>
      </w:r>
      <w:r>
        <w:rPr>
          <w:rFonts w:ascii="Arial" w:hAnsi="Arial" w:hint="cs"/>
          <w:rtl/>
        </w:rPr>
        <w:t xml:space="preserve"> לפי סעיף</w:t>
      </w:r>
      <w:hyperlink r:id="rId13" w:history="1">
        <w:r w:rsidR="005F0192" w:rsidRPr="005F0192">
          <w:rPr>
            <w:rStyle w:val="Hyperlink"/>
            <w:rFonts w:ascii="Arial" w:hAnsi="Arial"/>
            <w:color w:val="0000FF"/>
            <w:rtl/>
          </w:rPr>
          <w:t xml:space="preserve"> 144 (ב)</w:t>
        </w:r>
      </w:hyperlink>
      <w:r>
        <w:rPr>
          <w:rFonts w:ascii="Arial" w:hAnsi="Arial" w:hint="cs"/>
          <w:rtl/>
        </w:rPr>
        <w:t xml:space="preserve"> רישא וסיפא ל</w:t>
      </w:r>
      <w:hyperlink r:id="rId14" w:history="1">
        <w:r w:rsidR="001A1ADE" w:rsidRPr="001A1ADE">
          <w:rPr>
            <w:rFonts w:ascii="Arial" w:hAnsi="Arial"/>
            <w:color w:val="0000FF"/>
            <w:u w:val="single"/>
            <w:rtl/>
          </w:rPr>
          <w:t>חוק העונשין</w:t>
        </w:r>
      </w:hyperlink>
      <w:r>
        <w:rPr>
          <w:rFonts w:ascii="Arial" w:hAnsi="Arial" w:hint="cs"/>
          <w:rtl/>
        </w:rPr>
        <w:t>, תשל"ז-1977</w:t>
      </w:r>
      <w:r w:rsidRPr="00243CBA">
        <w:rPr>
          <w:rFonts w:ascii="Arial" w:hAnsi="Arial" w:hint="cs"/>
          <w:rtl/>
        </w:rPr>
        <w:t>.</w:t>
      </w:r>
    </w:p>
    <w:p w14:paraId="45197047" w14:textId="77777777" w:rsidR="00EC0DAB" w:rsidRPr="00243CBA" w:rsidRDefault="00EC0DAB" w:rsidP="00EC0DAB">
      <w:pPr>
        <w:spacing w:line="360" w:lineRule="auto"/>
        <w:jc w:val="both"/>
        <w:rPr>
          <w:rFonts w:ascii="Arial" w:hAnsi="Arial"/>
          <w:rtl/>
        </w:rPr>
      </w:pPr>
      <w:r w:rsidRPr="00243CBA">
        <w:rPr>
          <w:rFonts w:ascii="Arial" w:hAnsi="Arial" w:hint="cs"/>
          <w:rtl/>
        </w:rPr>
        <w:t xml:space="preserve"> </w:t>
      </w:r>
    </w:p>
    <w:p w14:paraId="7BF538B8" w14:textId="77777777" w:rsidR="00EC0DAB" w:rsidRDefault="00EC0DAB" w:rsidP="00EC0DAB">
      <w:pPr>
        <w:spacing w:line="360" w:lineRule="auto"/>
        <w:jc w:val="both"/>
        <w:rPr>
          <w:rFonts w:ascii="Arial" w:hAnsi="Arial"/>
          <w:rtl/>
        </w:rPr>
      </w:pPr>
      <w:r w:rsidRPr="00243CBA">
        <w:rPr>
          <w:rFonts w:ascii="Arial" w:hAnsi="Arial" w:hint="cs"/>
          <w:rtl/>
        </w:rPr>
        <w:t>על פי המתואר בכתב האישום המתוקן, ביום 4.4.24, בסמוך לשעה 11:00</w:t>
      </w:r>
      <w:r>
        <w:rPr>
          <w:rFonts w:ascii="Arial" w:hAnsi="Arial" w:hint="cs"/>
          <w:rtl/>
        </w:rPr>
        <w:t>,</w:t>
      </w:r>
      <w:r w:rsidRPr="00243CBA">
        <w:rPr>
          <w:rFonts w:ascii="Arial" w:hAnsi="Arial" w:hint="cs"/>
          <w:rtl/>
        </w:rPr>
        <w:t xml:space="preserve"> הגיעו שוטרים למתחם בו מתגוררים הנאשם ובני משפחתו</w:t>
      </w:r>
      <w:r>
        <w:rPr>
          <w:rFonts w:ascii="Arial" w:hAnsi="Arial" w:hint="cs"/>
          <w:rtl/>
        </w:rPr>
        <w:t>, כשבכוונתם לבצע חיפוש. משהבחין הנאשם בהגעת השוטרים, החל במנוסה מהבית, כשהוא מחזיק, נושא ומוביל אקדח מסוג גלוק, ובתוכו מחסנית תואמת המכילה 14 כדורים. הנאשם הסתיר את האקדח בשקית שחורה, אותה אחז בידו.</w:t>
      </w:r>
    </w:p>
    <w:p w14:paraId="098DDE63" w14:textId="77777777" w:rsidR="00EC0DAB" w:rsidRDefault="00EC0DAB" w:rsidP="00EC0DAB">
      <w:pPr>
        <w:spacing w:line="360" w:lineRule="auto"/>
        <w:jc w:val="both"/>
        <w:rPr>
          <w:rFonts w:ascii="Arial" w:hAnsi="Arial"/>
          <w:rtl/>
        </w:rPr>
      </w:pPr>
      <w:r>
        <w:rPr>
          <w:rFonts w:ascii="Arial" w:hAnsi="Arial" w:hint="cs"/>
          <w:rtl/>
        </w:rPr>
        <w:t xml:space="preserve"> </w:t>
      </w:r>
    </w:p>
    <w:p w14:paraId="2299330A" w14:textId="77777777" w:rsidR="00EC0DAB" w:rsidRDefault="00EC0DAB" w:rsidP="00EC0DAB">
      <w:pPr>
        <w:spacing w:line="360" w:lineRule="auto"/>
        <w:jc w:val="both"/>
        <w:rPr>
          <w:rFonts w:ascii="Arial" w:hAnsi="Arial"/>
          <w:rtl/>
        </w:rPr>
      </w:pPr>
      <w:bookmarkStart w:id="7" w:name="ABSTRACT_END"/>
      <w:bookmarkEnd w:id="7"/>
      <w:r>
        <w:rPr>
          <w:rFonts w:ascii="Arial" w:hAnsi="Arial" w:hint="cs"/>
          <w:rtl/>
        </w:rPr>
        <w:lastRenderedPageBreak/>
        <w:t>במהלך מנוסתו, קפץ הנאשם מחומת אבנים הסמוכה לבית, נפל ארצה ונחבל ברגלו. בעודו צולע, המשיך הנאשם להתרחק מהבית, כשהוא נושא בנשק, הטעון במחסנית כאמור. בשלב זה, השליך הנאשם את הנשק לתוך פח אשפה, ומיד לאחר מכן התרחק מהפח ונשכב לצד רכב שחנה בסמוך.</w:t>
      </w:r>
    </w:p>
    <w:p w14:paraId="6A47CD83" w14:textId="77777777" w:rsidR="00EC0DAB" w:rsidRDefault="00EC0DAB" w:rsidP="00EC0DAB">
      <w:pPr>
        <w:spacing w:line="360" w:lineRule="auto"/>
        <w:jc w:val="both"/>
        <w:rPr>
          <w:rFonts w:ascii="Arial" w:hAnsi="Arial"/>
          <w:b/>
          <w:bCs/>
          <w:u w:val="single"/>
          <w:rtl/>
        </w:rPr>
      </w:pPr>
    </w:p>
    <w:p w14:paraId="5FA41459" w14:textId="77777777" w:rsidR="00EC0DAB" w:rsidRPr="006E4CD8" w:rsidRDefault="00EC0DAB" w:rsidP="00EC0DAB">
      <w:pPr>
        <w:spacing w:line="360" w:lineRule="auto"/>
        <w:jc w:val="both"/>
        <w:rPr>
          <w:rFonts w:ascii="Arial" w:hAnsi="Arial"/>
          <w:b/>
          <w:bCs/>
          <w:u w:val="single"/>
          <w:rtl/>
        </w:rPr>
      </w:pPr>
      <w:r w:rsidRPr="006E4CD8">
        <w:rPr>
          <w:rFonts w:ascii="Arial" w:hAnsi="Arial" w:hint="cs"/>
          <w:b/>
          <w:bCs/>
          <w:u w:val="single"/>
          <w:rtl/>
        </w:rPr>
        <w:t xml:space="preserve">טיעוני הצדדים לעונש </w:t>
      </w:r>
    </w:p>
    <w:p w14:paraId="34AD7A8A" w14:textId="77777777" w:rsidR="00EC0DAB" w:rsidRPr="009961BC" w:rsidRDefault="00EC0DAB" w:rsidP="00EC0DAB">
      <w:pPr>
        <w:spacing w:line="360" w:lineRule="auto"/>
        <w:jc w:val="both"/>
        <w:rPr>
          <w:rFonts w:ascii="Arial" w:hAnsi="Arial"/>
          <w:sz w:val="16"/>
          <w:szCs w:val="16"/>
          <w:rtl/>
        </w:rPr>
      </w:pPr>
    </w:p>
    <w:p w14:paraId="7E42E2A9" w14:textId="77777777" w:rsidR="00EC0DAB" w:rsidRPr="00243CBA" w:rsidRDefault="00EC0DAB" w:rsidP="00EC0DAB">
      <w:pPr>
        <w:spacing w:line="360" w:lineRule="auto"/>
        <w:jc w:val="both"/>
        <w:rPr>
          <w:rFonts w:ascii="Arial" w:hAnsi="Arial"/>
          <w:rtl/>
        </w:rPr>
      </w:pPr>
      <w:r>
        <w:rPr>
          <w:rFonts w:ascii="Arial" w:hAnsi="Arial" w:hint="cs"/>
          <w:rtl/>
        </w:rPr>
        <w:t xml:space="preserve">במסגרת </w:t>
      </w:r>
      <w:r w:rsidRPr="007237DA">
        <w:rPr>
          <w:rFonts w:ascii="Arial" w:hAnsi="Arial" w:hint="cs"/>
          <w:b/>
          <w:bCs/>
          <w:rtl/>
        </w:rPr>
        <w:t>הראיות לעונש</w:t>
      </w:r>
      <w:r>
        <w:rPr>
          <w:rFonts w:ascii="Arial" w:hAnsi="Arial" w:hint="cs"/>
          <w:rtl/>
        </w:rPr>
        <w:t>, הוגש הרישום הפלילי של הנאשם, ממנו למדתי כי לחובתו שתי הרשעות. הראשונה משנת 2014, בגין היעדר מהשירות הצבאי שלא ברשות. השנייה, בעבירות סחיטה באיומים, החזקת אגרופן או סכין, נטילת נכסים לשם סחיטה וכליאת שווא, בגין הרשעה זו הוטלו על הנאשם 18 חודשי מאסר בריצוי בפועל, לצד מאסר מותנה (</w:t>
      </w:r>
      <w:hyperlink r:id="rId15" w:history="1">
        <w:r w:rsidR="001A1ADE" w:rsidRPr="001A1ADE">
          <w:rPr>
            <w:rFonts w:ascii="Arial" w:hAnsi="Arial"/>
            <w:color w:val="0000FF"/>
            <w:u w:val="single"/>
            <w:rtl/>
          </w:rPr>
          <w:t>ת"פ 23064-07-20</w:t>
        </w:r>
      </w:hyperlink>
      <w:r>
        <w:rPr>
          <w:rFonts w:ascii="Arial" w:hAnsi="Arial" w:hint="cs"/>
          <w:rtl/>
        </w:rPr>
        <w:t>16).</w:t>
      </w:r>
    </w:p>
    <w:p w14:paraId="66FE6820" w14:textId="77777777" w:rsidR="00EC0DAB" w:rsidRPr="00F64843" w:rsidRDefault="00EC0DAB" w:rsidP="00EC0DAB">
      <w:pPr>
        <w:spacing w:line="360" w:lineRule="auto"/>
        <w:jc w:val="both"/>
        <w:rPr>
          <w:rFonts w:ascii="Arial" w:hAnsi="Arial"/>
          <w:rtl/>
        </w:rPr>
      </w:pPr>
    </w:p>
    <w:p w14:paraId="48ED81D8" w14:textId="77777777" w:rsidR="00EC0DAB" w:rsidRPr="00F64843" w:rsidRDefault="00EC0DAB" w:rsidP="00EC0DAB">
      <w:pPr>
        <w:spacing w:line="360" w:lineRule="auto"/>
        <w:jc w:val="both"/>
        <w:rPr>
          <w:rFonts w:ascii="Arial" w:hAnsi="Arial"/>
          <w:rtl/>
        </w:rPr>
      </w:pPr>
      <w:r w:rsidRPr="00F64843">
        <w:rPr>
          <w:rFonts w:ascii="Arial" w:hAnsi="Arial" w:hint="cs"/>
          <w:rtl/>
        </w:rPr>
        <w:t>כמו כן, העידה אמו של הנאשם, גברת נהלה אמון</w:t>
      </w:r>
      <w:r>
        <w:rPr>
          <w:rFonts w:ascii="Arial" w:hAnsi="Arial" w:hint="cs"/>
          <w:rtl/>
        </w:rPr>
        <w:t>.</w:t>
      </w:r>
      <w:r w:rsidRPr="00F64843">
        <w:rPr>
          <w:rFonts w:ascii="Arial" w:hAnsi="Arial" w:hint="cs"/>
          <w:rtl/>
        </w:rPr>
        <w:t xml:space="preserve"> האם מסרה כי אביו של הנאשם נפטר לפני 4 שנים. האב נרצח, כמו חמישה בני משפחה נוספים. האם אף מסרה כי עברה אירוע מוחי</w:t>
      </w:r>
      <w:r>
        <w:rPr>
          <w:rFonts w:ascii="Arial" w:hAnsi="Arial" w:hint="cs"/>
          <w:rtl/>
        </w:rPr>
        <w:t>,</w:t>
      </w:r>
      <w:r w:rsidRPr="00F64843">
        <w:rPr>
          <w:rFonts w:ascii="Arial" w:hAnsi="Arial" w:hint="cs"/>
          <w:rtl/>
        </w:rPr>
        <w:t xml:space="preserve"> כאשר הנאשם הוא העוזר לה בבית</w:t>
      </w:r>
      <w:r>
        <w:rPr>
          <w:rFonts w:ascii="Arial" w:hAnsi="Arial" w:hint="cs"/>
          <w:rtl/>
        </w:rPr>
        <w:t>.</w:t>
      </w:r>
      <w:r w:rsidRPr="00F64843">
        <w:rPr>
          <w:rFonts w:ascii="Arial" w:hAnsi="Arial" w:hint="cs"/>
          <w:rtl/>
        </w:rPr>
        <w:t xml:space="preserve"> בנוסף סיפרה האם כי הנאשם מסייע לאחותו</w:t>
      </w:r>
      <w:r>
        <w:rPr>
          <w:rFonts w:ascii="Arial" w:hAnsi="Arial" w:hint="cs"/>
          <w:rtl/>
        </w:rPr>
        <w:t>,</w:t>
      </w:r>
      <w:r w:rsidRPr="00F64843">
        <w:rPr>
          <w:rFonts w:ascii="Arial" w:hAnsi="Arial" w:hint="cs"/>
          <w:rtl/>
        </w:rPr>
        <w:t xml:space="preserve"> שבעלה התאבד</w:t>
      </w:r>
      <w:r>
        <w:rPr>
          <w:rFonts w:ascii="Arial" w:hAnsi="Arial" w:hint="cs"/>
          <w:rtl/>
        </w:rPr>
        <w:t xml:space="preserve"> והותיר אותה לבדה, מטופלת בשני ילדים קטנים.</w:t>
      </w:r>
    </w:p>
    <w:p w14:paraId="5A9B1CB9" w14:textId="77777777" w:rsidR="00EC0DAB" w:rsidRDefault="00EC0DAB" w:rsidP="00EC0DAB">
      <w:pPr>
        <w:spacing w:line="360" w:lineRule="auto"/>
        <w:jc w:val="both"/>
        <w:rPr>
          <w:rFonts w:ascii="Arial" w:hAnsi="Arial"/>
          <w:rtl/>
        </w:rPr>
      </w:pPr>
      <w:r w:rsidRPr="00F64843">
        <w:rPr>
          <w:rFonts w:ascii="Arial" w:hAnsi="Arial" w:hint="cs"/>
          <w:rtl/>
        </w:rPr>
        <w:t xml:space="preserve">האם סיימה את דבריה </w:t>
      </w:r>
      <w:r>
        <w:rPr>
          <w:rFonts w:ascii="Arial" w:hAnsi="Arial" w:hint="cs"/>
          <w:rtl/>
        </w:rPr>
        <w:t xml:space="preserve">בציון העובדה כי </w:t>
      </w:r>
      <w:r w:rsidRPr="00F64843">
        <w:rPr>
          <w:rFonts w:ascii="Arial" w:hAnsi="Arial" w:hint="cs"/>
          <w:rtl/>
        </w:rPr>
        <w:t>גם היום כל המשפחה מאוימת, וכי הנאשם הוא העוזר בבית בכל עניין.</w:t>
      </w:r>
    </w:p>
    <w:p w14:paraId="0BA9DC92" w14:textId="77777777" w:rsidR="00EC0DAB" w:rsidRPr="00F64843" w:rsidRDefault="00EC0DAB" w:rsidP="00EC0DAB">
      <w:pPr>
        <w:spacing w:line="360" w:lineRule="auto"/>
        <w:jc w:val="both"/>
        <w:rPr>
          <w:rFonts w:ascii="Arial" w:hAnsi="Arial"/>
          <w:rtl/>
        </w:rPr>
      </w:pPr>
    </w:p>
    <w:p w14:paraId="0E7F8E15" w14:textId="77777777" w:rsidR="00EC0DAB" w:rsidRDefault="00EC0DAB" w:rsidP="00EC0DAB">
      <w:pPr>
        <w:spacing w:line="360" w:lineRule="auto"/>
        <w:jc w:val="both"/>
        <w:rPr>
          <w:rFonts w:ascii="Arial" w:hAnsi="Arial"/>
          <w:rtl/>
        </w:rPr>
      </w:pPr>
      <w:r w:rsidRPr="00F64843">
        <w:rPr>
          <w:rFonts w:ascii="Arial" w:hAnsi="Arial" w:hint="cs"/>
          <w:rtl/>
        </w:rPr>
        <w:t xml:space="preserve">במסגרת </w:t>
      </w:r>
      <w:r w:rsidRPr="007237DA">
        <w:rPr>
          <w:rFonts w:ascii="Arial" w:hAnsi="Arial" w:hint="cs"/>
          <w:b/>
          <w:bCs/>
          <w:rtl/>
        </w:rPr>
        <w:t>טיעוניו לעונש</w:t>
      </w:r>
      <w:r w:rsidRPr="00F64843">
        <w:rPr>
          <w:rFonts w:ascii="Arial" w:hAnsi="Arial" w:hint="cs"/>
          <w:rtl/>
        </w:rPr>
        <w:t xml:space="preserve">, עמד </w:t>
      </w:r>
      <w:r w:rsidRPr="007237DA">
        <w:rPr>
          <w:rFonts w:ascii="Arial" w:hAnsi="Arial" w:hint="cs"/>
          <w:b/>
          <w:bCs/>
          <w:rtl/>
        </w:rPr>
        <w:t>בא כוח המאשימה</w:t>
      </w:r>
      <w:r w:rsidRPr="00F64843">
        <w:rPr>
          <w:rFonts w:ascii="Arial" w:hAnsi="Arial" w:hint="cs"/>
          <w:rtl/>
        </w:rPr>
        <w:t xml:space="preserve"> על הערכים החברתיים המוגנים שנפגעו עקב ביצוע העבירה, קדושת החיים</w:t>
      </w:r>
      <w:r>
        <w:rPr>
          <w:rFonts w:ascii="Arial" w:hAnsi="Arial" w:hint="cs"/>
          <w:rtl/>
        </w:rPr>
        <w:t>;</w:t>
      </w:r>
      <w:r w:rsidRPr="00F64843">
        <w:rPr>
          <w:rFonts w:ascii="Arial" w:hAnsi="Arial" w:hint="cs"/>
          <w:rtl/>
        </w:rPr>
        <w:t xml:space="preserve"> ביטחונו, שלמות גופו וקניינו של האדם ושל הציבור</w:t>
      </w:r>
      <w:r>
        <w:rPr>
          <w:rFonts w:ascii="Arial" w:hAnsi="Arial" w:hint="cs"/>
          <w:rtl/>
        </w:rPr>
        <w:t>;</w:t>
      </w:r>
      <w:r w:rsidRPr="00F64843">
        <w:rPr>
          <w:rFonts w:ascii="Arial" w:hAnsi="Arial" w:hint="cs"/>
          <w:rtl/>
        </w:rPr>
        <w:t xml:space="preserve"> וכן ערך </w:t>
      </w:r>
      <w:r>
        <w:rPr>
          <w:rFonts w:ascii="Arial" w:hAnsi="Arial" w:hint="cs"/>
          <w:rtl/>
        </w:rPr>
        <w:t>ה</w:t>
      </w:r>
      <w:r w:rsidRPr="00F64843">
        <w:rPr>
          <w:rFonts w:ascii="Arial" w:hAnsi="Arial" w:hint="cs"/>
          <w:rtl/>
        </w:rPr>
        <w:t>שמירה על שלטון החוק.</w:t>
      </w:r>
    </w:p>
    <w:p w14:paraId="4E7A6237" w14:textId="77777777" w:rsidR="00EC0DAB" w:rsidRPr="00F64843" w:rsidRDefault="00EC0DAB" w:rsidP="00EC0DAB">
      <w:pPr>
        <w:spacing w:line="360" w:lineRule="auto"/>
        <w:jc w:val="both"/>
        <w:rPr>
          <w:rFonts w:ascii="Arial" w:hAnsi="Arial"/>
          <w:rtl/>
        </w:rPr>
      </w:pPr>
      <w:r w:rsidRPr="00F64843">
        <w:rPr>
          <w:rFonts w:ascii="Arial" w:hAnsi="Arial" w:hint="cs"/>
          <w:rtl/>
        </w:rPr>
        <w:t xml:space="preserve"> </w:t>
      </w:r>
    </w:p>
    <w:p w14:paraId="4816C6B9" w14:textId="77777777" w:rsidR="00EC0DAB" w:rsidRDefault="00EC0DAB" w:rsidP="00EC0DAB">
      <w:pPr>
        <w:spacing w:line="360" w:lineRule="auto"/>
        <w:jc w:val="both"/>
        <w:rPr>
          <w:rFonts w:ascii="Arial" w:hAnsi="Arial"/>
          <w:rtl/>
        </w:rPr>
      </w:pPr>
      <w:r w:rsidRPr="00F64843">
        <w:rPr>
          <w:rFonts w:ascii="Arial" w:hAnsi="Arial" w:hint="cs"/>
          <w:rtl/>
        </w:rPr>
        <w:t xml:space="preserve">בא כוח המאשימה </w:t>
      </w:r>
      <w:r>
        <w:rPr>
          <w:rFonts w:ascii="Arial" w:hAnsi="Arial" w:hint="cs"/>
          <w:rtl/>
        </w:rPr>
        <w:t>התייחס ל</w:t>
      </w:r>
      <w:r w:rsidRPr="00F64843">
        <w:rPr>
          <w:rFonts w:ascii="Arial" w:hAnsi="Arial" w:hint="cs"/>
          <w:rtl/>
        </w:rPr>
        <w:t>חומרה המיוחדת של העביר</w:t>
      </w:r>
      <w:r>
        <w:rPr>
          <w:rFonts w:ascii="Arial" w:hAnsi="Arial" w:hint="cs"/>
          <w:rtl/>
        </w:rPr>
        <w:t>ה,</w:t>
      </w:r>
      <w:r w:rsidRPr="00F64843">
        <w:rPr>
          <w:rFonts w:ascii="Arial" w:hAnsi="Arial" w:hint="cs"/>
          <w:rtl/>
        </w:rPr>
        <w:t xml:space="preserve"> על רקע התרחבות תופעת ההחזקה </w:t>
      </w:r>
      <w:r>
        <w:rPr>
          <w:rFonts w:ascii="Arial" w:hAnsi="Arial" w:hint="cs"/>
          <w:rtl/>
        </w:rPr>
        <w:t>ה</w:t>
      </w:r>
      <w:r w:rsidRPr="00F64843">
        <w:rPr>
          <w:rFonts w:ascii="Arial" w:hAnsi="Arial" w:hint="cs"/>
          <w:rtl/>
        </w:rPr>
        <w:t xml:space="preserve">בלתי חוקית בנשק והשימוש שנעשה בנשק זה לביצוע עבירות אלימות קשות. </w:t>
      </w:r>
    </w:p>
    <w:p w14:paraId="2CD292E1" w14:textId="77777777" w:rsidR="00EC0DAB" w:rsidRDefault="00EC0DAB" w:rsidP="00EC0DAB">
      <w:pPr>
        <w:spacing w:line="360" w:lineRule="auto"/>
        <w:jc w:val="both"/>
        <w:rPr>
          <w:rFonts w:ascii="Arial" w:hAnsi="Arial"/>
          <w:rtl/>
        </w:rPr>
      </w:pPr>
    </w:p>
    <w:p w14:paraId="25599C41" w14:textId="77777777" w:rsidR="00EC0DAB" w:rsidRDefault="00EC0DAB" w:rsidP="00EC0DAB">
      <w:pPr>
        <w:spacing w:line="360" w:lineRule="auto"/>
        <w:jc w:val="both"/>
        <w:rPr>
          <w:rFonts w:ascii="Arial" w:hAnsi="Arial"/>
          <w:rtl/>
        </w:rPr>
      </w:pPr>
      <w:r w:rsidRPr="00F64843">
        <w:rPr>
          <w:rFonts w:ascii="Arial" w:hAnsi="Arial" w:hint="cs"/>
          <w:rtl/>
        </w:rPr>
        <w:t>התובע עמד על פסיקת בית המשפט העליון</w:t>
      </w:r>
      <w:r>
        <w:rPr>
          <w:rFonts w:ascii="Arial" w:hAnsi="Arial" w:hint="cs"/>
          <w:rtl/>
        </w:rPr>
        <w:t>,</w:t>
      </w:r>
      <w:r w:rsidRPr="00F64843">
        <w:rPr>
          <w:rFonts w:ascii="Arial" w:hAnsi="Arial" w:hint="cs"/>
          <w:rtl/>
        </w:rPr>
        <w:t xml:space="preserve"> אשר הדגיש</w:t>
      </w:r>
      <w:r>
        <w:rPr>
          <w:rFonts w:ascii="Arial" w:hAnsi="Arial" w:hint="cs"/>
          <w:rtl/>
        </w:rPr>
        <w:t>ה</w:t>
      </w:r>
      <w:r w:rsidRPr="00F64843">
        <w:rPr>
          <w:rFonts w:ascii="Arial" w:hAnsi="Arial" w:hint="cs"/>
          <w:rtl/>
        </w:rPr>
        <w:t xml:space="preserve"> את הצורך במלחמת חורמה בעבירות אלו, המהוות </w:t>
      </w:r>
      <w:r>
        <w:rPr>
          <w:rFonts w:ascii="Arial" w:hAnsi="Arial" w:hint="cs"/>
          <w:rtl/>
        </w:rPr>
        <w:t>"</w:t>
      </w:r>
      <w:r w:rsidRPr="00F64843">
        <w:rPr>
          <w:rFonts w:ascii="Arial" w:hAnsi="Arial" w:hint="cs"/>
          <w:rtl/>
        </w:rPr>
        <w:t>מכת מדינה</w:t>
      </w:r>
      <w:r>
        <w:rPr>
          <w:rFonts w:ascii="Arial" w:hAnsi="Arial" w:hint="cs"/>
          <w:rtl/>
        </w:rPr>
        <w:t>"</w:t>
      </w:r>
      <w:r w:rsidRPr="00F64843">
        <w:rPr>
          <w:rFonts w:ascii="Arial" w:hAnsi="Arial" w:hint="cs"/>
          <w:rtl/>
        </w:rPr>
        <w:t xml:space="preserve"> של ממש</w:t>
      </w:r>
      <w:r>
        <w:rPr>
          <w:rFonts w:ascii="Arial" w:hAnsi="Arial" w:hint="cs"/>
          <w:rtl/>
        </w:rPr>
        <w:t>,</w:t>
      </w:r>
      <w:r w:rsidRPr="00F64843">
        <w:rPr>
          <w:rFonts w:ascii="Arial" w:hAnsi="Arial" w:hint="cs"/>
          <w:rtl/>
        </w:rPr>
        <w:t xml:space="preserve"> ואת מגמת ההחמרה הנלמדת מפסיקה זו. </w:t>
      </w:r>
    </w:p>
    <w:p w14:paraId="79CC2D45" w14:textId="77777777" w:rsidR="00EC0DAB" w:rsidRDefault="00EC0DAB" w:rsidP="00EC0DAB">
      <w:pPr>
        <w:spacing w:line="360" w:lineRule="auto"/>
        <w:jc w:val="both"/>
        <w:rPr>
          <w:rFonts w:ascii="Arial" w:hAnsi="Arial"/>
          <w:rtl/>
        </w:rPr>
      </w:pPr>
    </w:p>
    <w:p w14:paraId="28F1B118" w14:textId="77777777" w:rsidR="00EC0DAB" w:rsidRDefault="00EC0DAB" w:rsidP="00EC0DAB">
      <w:pPr>
        <w:spacing w:line="360" w:lineRule="auto"/>
        <w:jc w:val="both"/>
        <w:rPr>
          <w:rFonts w:ascii="Arial" w:hAnsi="Arial"/>
          <w:rtl/>
        </w:rPr>
      </w:pPr>
      <w:r w:rsidRPr="00F64843">
        <w:rPr>
          <w:rFonts w:ascii="Arial" w:hAnsi="Arial" w:hint="cs"/>
          <w:rtl/>
        </w:rPr>
        <w:t>באשר לנסיבות העבירה</w:t>
      </w:r>
      <w:r>
        <w:rPr>
          <w:rFonts w:ascii="Arial" w:hAnsi="Arial" w:hint="cs"/>
          <w:rtl/>
        </w:rPr>
        <w:t>,</w:t>
      </w:r>
      <w:r w:rsidRPr="00F64843">
        <w:rPr>
          <w:rFonts w:ascii="Arial" w:hAnsi="Arial" w:hint="cs"/>
          <w:rtl/>
        </w:rPr>
        <w:t xml:space="preserve"> צוין כי הנאשם היה האחראי הבלעדי לביצוע העבירה, כאשר הוא הבין היטב את מהות מעשיו ואת השלכותיהם, אינו קטין ואינו קרוב לשום סייג לאחריות פלילית. כן צוין כי הנאשם החזיק אקדח ובו מחסנית טעונה, המאפשרים ביצוע ירי תוך זמן קצר ביותר. לבסוף, הודגש כי הנאשם ניסה לברוח מביתו ולהסתיר את הנשק. לדעת התובע, התנהגות זו מלמדת על תעוזתו הרבה</w:t>
      </w:r>
      <w:r>
        <w:rPr>
          <w:rFonts w:ascii="Arial" w:hAnsi="Arial" w:hint="cs"/>
          <w:rtl/>
        </w:rPr>
        <w:t xml:space="preserve"> של הנאשם</w:t>
      </w:r>
      <w:r w:rsidRPr="00F64843">
        <w:rPr>
          <w:rFonts w:ascii="Arial" w:hAnsi="Arial" w:hint="cs"/>
          <w:rtl/>
        </w:rPr>
        <w:t xml:space="preserve">, העדר מורא מן החוק והפגנת זלזול ברשויות האכיפה. </w:t>
      </w:r>
    </w:p>
    <w:p w14:paraId="5B23B777" w14:textId="77777777" w:rsidR="00EC0DAB" w:rsidRDefault="00EC0DAB" w:rsidP="00EC0DAB">
      <w:pPr>
        <w:spacing w:line="360" w:lineRule="auto"/>
        <w:jc w:val="both"/>
        <w:rPr>
          <w:rFonts w:ascii="Arial" w:hAnsi="Arial"/>
          <w:rtl/>
        </w:rPr>
      </w:pPr>
    </w:p>
    <w:p w14:paraId="04423098" w14:textId="77777777" w:rsidR="00EC0DAB" w:rsidRDefault="00EC0DAB" w:rsidP="00EC0DAB">
      <w:pPr>
        <w:spacing w:line="360" w:lineRule="auto"/>
        <w:jc w:val="both"/>
        <w:rPr>
          <w:rFonts w:ascii="Arial" w:hAnsi="Arial"/>
          <w:rtl/>
        </w:rPr>
      </w:pPr>
      <w:r>
        <w:rPr>
          <w:rFonts w:ascii="Arial" w:hAnsi="Arial" w:hint="cs"/>
          <w:rtl/>
        </w:rPr>
        <w:lastRenderedPageBreak/>
        <w:t>ב"כ המאשימה אף עמד על הנחיית פרקליט המדינה באשר למדיניות הענישה בעבירות נשק ועל תיקון 140 ל</w:t>
      </w:r>
      <w:hyperlink r:id="rId16" w:history="1">
        <w:r w:rsidR="001A1ADE" w:rsidRPr="001A1ADE">
          <w:rPr>
            <w:rFonts w:ascii="Arial" w:hAnsi="Arial"/>
            <w:color w:val="0000FF"/>
            <w:u w:val="single"/>
            <w:rtl/>
          </w:rPr>
          <w:t>חוק העונשין</w:t>
        </w:r>
      </w:hyperlink>
      <w:r>
        <w:rPr>
          <w:rFonts w:ascii="Arial" w:hAnsi="Arial" w:hint="cs"/>
          <w:rtl/>
        </w:rPr>
        <w:t>, תשל"ז-1977, אשר קבע עונש מזערי של רבע מהעונש ה</w:t>
      </w:r>
      <w:r w:rsidRPr="000D78F8">
        <w:rPr>
          <w:rFonts w:ascii="Arial" w:hAnsi="Arial" w:hint="cs"/>
          <w:rtl/>
        </w:rPr>
        <w:t xml:space="preserve">קבוע בחוק בגין עבירות נשק. </w:t>
      </w:r>
    </w:p>
    <w:p w14:paraId="7A4EDAF5" w14:textId="77777777" w:rsidR="00EC0DAB" w:rsidRDefault="00EC0DAB" w:rsidP="00EC0DAB">
      <w:pPr>
        <w:spacing w:line="360" w:lineRule="auto"/>
        <w:jc w:val="both"/>
        <w:rPr>
          <w:rFonts w:ascii="Arial" w:hAnsi="Arial"/>
          <w:rtl/>
        </w:rPr>
      </w:pPr>
    </w:p>
    <w:p w14:paraId="3E32DB7F" w14:textId="77777777" w:rsidR="00EC0DAB" w:rsidRDefault="00EC0DAB" w:rsidP="00EC0DAB">
      <w:pPr>
        <w:spacing w:line="360" w:lineRule="auto"/>
        <w:jc w:val="both"/>
        <w:rPr>
          <w:rFonts w:ascii="Arial" w:hAnsi="Arial"/>
          <w:rtl/>
        </w:rPr>
      </w:pPr>
      <w:r w:rsidRPr="000D78F8">
        <w:rPr>
          <w:rFonts w:ascii="Arial" w:hAnsi="Arial" w:hint="cs"/>
          <w:rtl/>
        </w:rPr>
        <w:t xml:space="preserve">על רקע האמור, ובשים לב לפסיקה אליה הפנה כחלק מטיעוניו לגבי מדיניות הענישה הנוהגת, עתר התובע לקבוע מתחם ענישה של 30 עד 50 חודשי מאסר לריצוי בפועל. </w:t>
      </w:r>
    </w:p>
    <w:p w14:paraId="401B5F98" w14:textId="77777777" w:rsidR="00EC0DAB" w:rsidRDefault="00EC0DAB" w:rsidP="00EC0DAB">
      <w:pPr>
        <w:spacing w:line="360" w:lineRule="auto"/>
        <w:jc w:val="both"/>
        <w:rPr>
          <w:rFonts w:ascii="Arial" w:hAnsi="Arial"/>
          <w:rtl/>
        </w:rPr>
      </w:pPr>
    </w:p>
    <w:p w14:paraId="752F167E" w14:textId="77777777" w:rsidR="00EC0DAB" w:rsidRDefault="00EC0DAB" w:rsidP="00EC0DAB">
      <w:pPr>
        <w:spacing w:line="360" w:lineRule="auto"/>
        <w:jc w:val="both"/>
        <w:rPr>
          <w:rFonts w:ascii="Arial" w:hAnsi="Arial"/>
          <w:rtl/>
        </w:rPr>
      </w:pPr>
      <w:r>
        <w:rPr>
          <w:rFonts w:ascii="Arial" w:hAnsi="Arial" w:hint="cs"/>
          <w:rtl/>
        </w:rPr>
        <w:t xml:space="preserve">לטעמו, בשל קבלת האחריות המגולמת בהודאת הנאשם בעבירה, ולאור יתר הנסיבות שאינן קשורות בעבירה, בראשן עברו הפלילי של הנאשם, ביקש התובע להעמיד את העונש על חלקו האמצעי של המתחם. </w:t>
      </w:r>
    </w:p>
    <w:p w14:paraId="2A7EDC88" w14:textId="77777777" w:rsidR="00EC0DAB" w:rsidRDefault="00EC0DAB" w:rsidP="00EC0DAB">
      <w:pPr>
        <w:spacing w:line="360" w:lineRule="auto"/>
        <w:jc w:val="both"/>
        <w:rPr>
          <w:rFonts w:ascii="Arial" w:hAnsi="Arial"/>
          <w:rtl/>
        </w:rPr>
      </w:pPr>
    </w:p>
    <w:p w14:paraId="5FDF1184" w14:textId="77777777" w:rsidR="00EC0DAB" w:rsidRDefault="00EC0DAB" w:rsidP="00EC0DAB">
      <w:pPr>
        <w:spacing w:line="360" w:lineRule="auto"/>
        <w:jc w:val="both"/>
        <w:rPr>
          <w:rFonts w:ascii="Arial" w:hAnsi="Arial"/>
          <w:rtl/>
        </w:rPr>
      </w:pPr>
      <w:r w:rsidRPr="007237DA">
        <w:rPr>
          <w:rFonts w:ascii="Arial" w:hAnsi="Arial" w:hint="cs"/>
          <w:b/>
          <w:bCs/>
          <w:rtl/>
        </w:rPr>
        <w:t>ב"כ הנאשם</w:t>
      </w:r>
      <w:r>
        <w:rPr>
          <w:rFonts w:ascii="Arial" w:hAnsi="Arial" w:hint="cs"/>
          <w:rtl/>
        </w:rPr>
        <w:t xml:space="preserve"> סבור כי יש מקום להקל בעונשו. </w:t>
      </w:r>
    </w:p>
    <w:p w14:paraId="0BAFD311" w14:textId="77777777" w:rsidR="00EC0DAB" w:rsidRDefault="00EC0DAB" w:rsidP="00EC0DAB">
      <w:pPr>
        <w:spacing w:line="360" w:lineRule="auto"/>
        <w:jc w:val="both"/>
        <w:rPr>
          <w:rFonts w:ascii="Arial" w:hAnsi="Arial"/>
          <w:rtl/>
        </w:rPr>
      </w:pPr>
    </w:p>
    <w:p w14:paraId="7340EC0B" w14:textId="77777777" w:rsidR="00EC0DAB" w:rsidRDefault="00EC0DAB" w:rsidP="00EC0DAB">
      <w:pPr>
        <w:spacing w:line="360" w:lineRule="auto"/>
        <w:jc w:val="both"/>
        <w:rPr>
          <w:rFonts w:ascii="Arial" w:hAnsi="Arial"/>
          <w:rtl/>
        </w:rPr>
      </w:pPr>
      <w:r>
        <w:rPr>
          <w:rFonts w:ascii="Arial" w:hAnsi="Arial" w:hint="cs"/>
          <w:rtl/>
        </w:rPr>
        <w:t xml:space="preserve">מבלי להתכחש לפגיעה בערכים החברתיים, טען הסנגור כי נסיבות העבירה אינן מהחמורות. הנאשם נשא את הנשק בתוך הבית והמתחם, בהם הוא מתגורר. לאור זאת, נסיבות העבירה דומות יותר לעבירת החזקה, גם אם פורמלית אכן נעברה עבירת נשיאת נשק. מכל מקום, נטען כי אין מדובר בעבירה המלמדת על תחכום. </w:t>
      </w:r>
    </w:p>
    <w:p w14:paraId="1CAC5D08" w14:textId="77777777" w:rsidR="00EC0DAB" w:rsidRDefault="00EC0DAB" w:rsidP="00EC0DAB">
      <w:pPr>
        <w:spacing w:line="360" w:lineRule="auto"/>
        <w:jc w:val="both"/>
        <w:rPr>
          <w:rFonts w:ascii="Arial" w:hAnsi="Arial"/>
          <w:rtl/>
        </w:rPr>
      </w:pPr>
    </w:p>
    <w:p w14:paraId="1B79B946" w14:textId="77777777" w:rsidR="00EC0DAB" w:rsidRDefault="00EC0DAB" w:rsidP="00EC0DAB">
      <w:pPr>
        <w:spacing w:line="360" w:lineRule="auto"/>
        <w:jc w:val="both"/>
        <w:rPr>
          <w:rFonts w:ascii="Arial" w:hAnsi="Arial"/>
          <w:rtl/>
        </w:rPr>
      </w:pPr>
      <w:r>
        <w:rPr>
          <w:rFonts w:ascii="Arial" w:hAnsi="Arial" w:hint="cs"/>
          <w:rtl/>
        </w:rPr>
        <w:t xml:space="preserve">על כך הוסיף הסנגור כי מטרת החזקת הנשק הייתה הגנתית באופן מובהק, כאשר, לדבריו, עקב האיומים על המשפחה, הם אינם יוצאים מביתם מזה שלוש שנים. </w:t>
      </w:r>
    </w:p>
    <w:p w14:paraId="27C58334" w14:textId="77777777" w:rsidR="00EC0DAB" w:rsidRDefault="00EC0DAB" w:rsidP="00EC0DAB">
      <w:pPr>
        <w:spacing w:line="360" w:lineRule="auto"/>
        <w:jc w:val="both"/>
        <w:rPr>
          <w:rFonts w:ascii="Arial" w:hAnsi="Arial"/>
          <w:rtl/>
        </w:rPr>
      </w:pPr>
    </w:p>
    <w:p w14:paraId="5F473463" w14:textId="77777777" w:rsidR="00EC0DAB" w:rsidRDefault="00EC0DAB" w:rsidP="00EC0DAB">
      <w:pPr>
        <w:spacing w:line="360" w:lineRule="auto"/>
        <w:jc w:val="both"/>
        <w:rPr>
          <w:rFonts w:ascii="Arial" w:hAnsi="Arial"/>
          <w:rtl/>
        </w:rPr>
      </w:pPr>
      <w:r>
        <w:rPr>
          <w:rFonts w:ascii="Arial" w:hAnsi="Arial" w:hint="cs"/>
          <w:rtl/>
        </w:rPr>
        <w:t xml:space="preserve">לצד האמור, הדגיש הסנגור כי כתוצאה מנפילתו, הנאשם נפגע קשות ברגלו, עבר שני ניתוחים וצפוי לעבור ניתוח נוסף. בשל כך, בכל תקופת מעצרו שהה במרכז הרפואי של שב"ס. ב"כ הנאשם סבר על כן כי הוא כבר קיבל חלק מעונשו "בידי שמיים", כאשר עקב הפציעה יוותר נכה.   </w:t>
      </w:r>
    </w:p>
    <w:p w14:paraId="49B19347" w14:textId="77777777" w:rsidR="00EC0DAB" w:rsidRDefault="00EC0DAB" w:rsidP="00EC0DAB">
      <w:pPr>
        <w:spacing w:line="360" w:lineRule="auto"/>
        <w:jc w:val="both"/>
        <w:rPr>
          <w:rFonts w:ascii="Arial" w:hAnsi="Arial"/>
          <w:rtl/>
        </w:rPr>
      </w:pPr>
    </w:p>
    <w:p w14:paraId="3C6BF86A" w14:textId="77777777" w:rsidR="00EC0DAB" w:rsidRDefault="00EC0DAB" w:rsidP="00EC0DAB">
      <w:pPr>
        <w:spacing w:line="360" w:lineRule="auto"/>
        <w:jc w:val="both"/>
        <w:rPr>
          <w:rFonts w:ascii="Arial" w:hAnsi="Arial"/>
          <w:rtl/>
        </w:rPr>
      </w:pPr>
      <w:r>
        <w:rPr>
          <w:rFonts w:ascii="Arial" w:hAnsi="Arial" w:hint="cs"/>
          <w:rtl/>
        </w:rPr>
        <w:t>הסנגור ביקש לתת משקל משמעותי לנסיבותיה הקשות של משפחת הנאשם, אשר עד לאחרונה הייתה מעורבת בסכסוך דמים שגבה קורבנות רבים מאוד, אביו של הנאשם ובני משפחתו, שנרצחו רק בשל השתייכותם למשפחה. נטען כי כתוצאה מכך, המשפחה נקלעה לחובות כבדים, כאשר היא חייבת לעירייה ולמועצה המקומית למעלה מחצי מיליון שקל (ראו ס/1).</w:t>
      </w:r>
    </w:p>
    <w:p w14:paraId="1525CA62" w14:textId="77777777" w:rsidR="00EC0DAB" w:rsidRDefault="00EC0DAB" w:rsidP="00EC0DAB">
      <w:pPr>
        <w:spacing w:line="360" w:lineRule="auto"/>
        <w:jc w:val="both"/>
        <w:rPr>
          <w:rFonts w:ascii="Arial" w:hAnsi="Arial"/>
          <w:rtl/>
        </w:rPr>
      </w:pPr>
      <w:r>
        <w:rPr>
          <w:rFonts w:ascii="Arial" w:hAnsi="Arial" w:hint="cs"/>
          <w:rtl/>
        </w:rPr>
        <w:t xml:space="preserve"> </w:t>
      </w:r>
    </w:p>
    <w:p w14:paraId="65D1DD34" w14:textId="77777777" w:rsidR="00EC0DAB" w:rsidRDefault="00EC0DAB" w:rsidP="00EC0DAB">
      <w:pPr>
        <w:spacing w:line="360" w:lineRule="auto"/>
        <w:jc w:val="both"/>
        <w:rPr>
          <w:rFonts w:ascii="Arial" w:hAnsi="Arial"/>
          <w:rtl/>
        </w:rPr>
      </w:pPr>
      <w:r>
        <w:rPr>
          <w:rFonts w:ascii="Arial" w:hAnsi="Arial" w:hint="cs"/>
          <w:rtl/>
        </w:rPr>
        <w:t xml:space="preserve">כן פירט הסנגור על אודות מצבה של אם הנאשם, שעברה אירוע מוחי, וגם כיום הינה במעקב רפואי והוכרה כנכה במאה אחוזים (ס/1). </w:t>
      </w:r>
    </w:p>
    <w:p w14:paraId="3F1FF84B" w14:textId="77777777" w:rsidR="00EC0DAB" w:rsidRDefault="00EC0DAB" w:rsidP="00EC0DAB">
      <w:pPr>
        <w:spacing w:line="360" w:lineRule="auto"/>
        <w:jc w:val="both"/>
        <w:rPr>
          <w:rFonts w:ascii="Arial" w:hAnsi="Arial"/>
          <w:rtl/>
        </w:rPr>
      </w:pPr>
    </w:p>
    <w:p w14:paraId="48853E5F" w14:textId="77777777" w:rsidR="00EC0DAB" w:rsidRPr="001077B3" w:rsidRDefault="00EC0DAB" w:rsidP="00EC0DAB">
      <w:pPr>
        <w:spacing w:line="360" w:lineRule="auto"/>
        <w:jc w:val="both"/>
        <w:rPr>
          <w:rFonts w:ascii="Arial" w:hAnsi="Arial"/>
          <w:rtl/>
        </w:rPr>
      </w:pPr>
      <w:r>
        <w:rPr>
          <w:rFonts w:ascii="Arial" w:hAnsi="Arial" w:hint="cs"/>
          <w:rtl/>
        </w:rPr>
        <w:t xml:space="preserve">לנוכח האמור, נטען כי כלל בני המשפחה תלויים מאוד בנאשם, ובמיוחד אחותו היחידה, שבעלה התאבד ואותיר אותה מטופלת בשני ילדים קטנים (ראה אישור מחלקת הרווחה עיריית ירכא). </w:t>
      </w:r>
    </w:p>
    <w:p w14:paraId="3AB69648" w14:textId="77777777" w:rsidR="00EC0DAB" w:rsidRDefault="00EC0DAB" w:rsidP="00EC0DAB">
      <w:pPr>
        <w:spacing w:line="360" w:lineRule="auto"/>
        <w:jc w:val="both"/>
        <w:rPr>
          <w:rFonts w:ascii="Arial" w:hAnsi="Arial"/>
          <w:rtl/>
        </w:rPr>
      </w:pPr>
    </w:p>
    <w:p w14:paraId="09B024D9" w14:textId="77777777" w:rsidR="00EC0DAB" w:rsidRPr="001077B3" w:rsidRDefault="00EC0DAB" w:rsidP="00EC0DAB">
      <w:pPr>
        <w:spacing w:line="360" w:lineRule="auto"/>
        <w:jc w:val="both"/>
        <w:rPr>
          <w:rFonts w:ascii="Arial" w:hAnsi="Arial"/>
          <w:rtl/>
        </w:rPr>
      </w:pPr>
      <w:r>
        <w:rPr>
          <w:rFonts w:ascii="Arial" w:hAnsi="Arial" w:hint="cs"/>
          <w:rtl/>
        </w:rPr>
        <w:t xml:space="preserve">גם </w:t>
      </w:r>
      <w:r w:rsidRPr="001077B3">
        <w:rPr>
          <w:rFonts w:ascii="Arial" w:hAnsi="Arial" w:hint="cs"/>
          <w:rtl/>
        </w:rPr>
        <w:t>הסנגור סקר פסיקה במקרים דומים</w:t>
      </w:r>
      <w:r>
        <w:rPr>
          <w:rFonts w:ascii="Arial" w:hAnsi="Arial" w:hint="cs"/>
          <w:rtl/>
        </w:rPr>
        <w:t xml:space="preserve"> במהותם</w:t>
      </w:r>
      <w:r w:rsidRPr="001077B3">
        <w:rPr>
          <w:rFonts w:ascii="Arial" w:hAnsi="Arial" w:hint="cs"/>
          <w:rtl/>
        </w:rPr>
        <w:t xml:space="preserve">.           </w:t>
      </w:r>
    </w:p>
    <w:p w14:paraId="45824065" w14:textId="77777777" w:rsidR="00EC0DAB" w:rsidRDefault="00EC0DAB" w:rsidP="00EC0DAB">
      <w:pPr>
        <w:spacing w:line="360" w:lineRule="auto"/>
        <w:jc w:val="both"/>
        <w:rPr>
          <w:rFonts w:ascii="Arial" w:hAnsi="Arial"/>
          <w:rtl/>
        </w:rPr>
      </w:pPr>
    </w:p>
    <w:p w14:paraId="30ED38EF" w14:textId="77777777" w:rsidR="00EC0DAB" w:rsidRPr="001077B3" w:rsidRDefault="00EC0DAB" w:rsidP="00EC0DAB">
      <w:pPr>
        <w:spacing w:line="360" w:lineRule="auto"/>
        <w:jc w:val="both"/>
        <w:rPr>
          <w:rFonts w:ascii="Arial" w:hAnsi="Arial"/>
          <w:rtl/>
        </w:rPr>
      </w:pPr>
      <w:r>
        <w:rPr>
          <w:rFonts w:ascii="Arial" w:hAnsi="Arial" w:hint="cs"/>
          <w:rtl/>
        </w:rPr>
        <w:t>לנוכח האמור</w:t>
      </w:r>
      <w:r w:rsidRPr="001077B3">
        <w:rPr>
          <w:rFonts w:ascii="Arial" w:hAnsi="Arial" w:hint="cs"/>
          <w:rtl/>
        </w:rPr>
        <w:t>, ב</w:t>
      </w:r>
      <w:r>
        <w:rPr>
          <w:rFonts w:ascii="Arial" w:hAnsi="Arial" w:hint="cs"/>
          <w:rtl/>
        </w:rPr>
        <w:t>י</w:t>
      </w:r>
      <w:r w:rsidRPr="001077B3">
        <w:rPr>
          <w:rFonts w:ascii="Arial" w:hAnsi="Arial" w:hint="cs"/>
          <w:rtl/>
        </w:rPr>
        <w:t xml:space="preserve">קש הסנגור לסטות במקרה זה ממתחם הענישה שנקבע על דרך הכלל בעבירות דומות, ולהסתפק במתחם של 12-24 חודשים.  </w:t>
      </w:r>
    </w:p>
    <w:p w14:paraId="17AE054A" w14:textId="77777777" w:rsidR="00EC0DAB" w:rsidRPr="001077B3" w:rsidRDefault="00EC0DAB" w:rsidP="00EC0DAB">
      <w:pPr>
        <w:spacing w:line="360" w:lineRule="auto"/>
        <w:jc w:val="both"/>
        <w:rPr>
          <w:rFonts w:ascii="Arial" w:hAnsi="Arial"/>
          <w:rtl/>
        </w:rPr>
      </w:pPr>
    </w:p>
    <w:p w14:paraId="0A0DA0E8" w14:textId="77777777" w:rsidR="00EC0DAB" w:rsidRPr="001077B3" w:rsidRDefault="00EC0DAB" w:rsidP="00EC0DAB">
      <w:pPr>
        <w:spacing w:line="360" w:lineRule="auto"/>
        <w:jc w:val="both"/>
        <w:rPr>
          <w:rFonts w:ascii="Arial" w:hAnsi="Arial"/>
          <w:rtl/>
        </w:rPr>
      </w:pPr>
      <w:r w:rsidRPr="001077B3">
        <w:rPr>
          <w:rFonts w:ascii="Arial" w:hAnsi="Arial" w:hint="cs"/>
          <w:rtl/>
        </w:rPr>
        <w:t xml:space="preserve">באשר לעברו הפלילי של הנאשם, טען בא כוחו כי הוא מעולם לא הורשע בעבירת נשק. </w:t>
      </w:r>
    </w:p>
    <w:p w14:paraId="47E2A086" w14:textId="77777777" w:rsidR="00EC0DAB" w:rsidRPr="001077B3" w:rsidRDefault="00EC0DAB" w:rsidP="00EC0DAB">
      <w:pPr>
        <w:spacing w:line="360" w:lineRule="auto"/>
        <w:jc w:val="both"/>
        <w:rPr>
          <w:rFonts w:ascii="Arial" w:hAnsi="Arial"/>
          <w:rtl/>
        </w:rPr>
      </w:pPr>
    </w:p>
    <w:p w14:paraId="5C351004" w14:textId="77777777" w:rsidR="00EC0DAB" w:rsidRPr="001077B3" w:rsidRDefault="00EC0DAB" w:rsidP="00EC0DAB">
      <w:pPr>
        <w:spacing w:line="360" w:lineRule="auto"/>
        <w:jc w:val="both"/>
        <w:rPr>
          <w:rFonts w:ascii="Arial" w:hAnsi="Arial"/>
          <w:rtl/>
        </w:rPr>
      </w:pPr>
      <w:r>
        <w:rPr>
          <w:rFonts w:ascii="Arial" w:hAnsi="Arial" w:hint="cs"/>
          <w:rtl/>
        </w:rPr>
        <w:t>לאור כלל האמור</w:t>
      </w:r>
      <w:r w:rsidRPr="001077B3">
        <w:rPr>
          <w:rFonts w:ascii="Arial" w:hAnsi="Arial" w:hint="cs"/>
          <w:rtl/>
        </w:rPr>
        <w:t xml:space="preserve">, </w:t>
      </w:r>
      <w:r>
        <w:rPr>
          <w:rFonts w:ascii="Arial" w:hAnsi="Arial" w:hint="cs"/>
          <w:rtl/>
        </w:rPr>
        <w:t>ביקש</w:t>
      </w:r>
      <w:r w:rsidRPr="001077B3">
        <w:rPr>
          <w:rFonts w:ascii="Arial" w:hAnsi="Arial" w:hint="cs"/>
          <w:rtl/>
        </w:rPr>
        <w:t xml:space="preserve"> </w:t>
      </w:r>
      <w:r>
        <w:rPr>
          <w:rFonts w:ascii="Arial" w:hAnsi="Arial" w:hint="cs"/>
          <w:rtl/>
        </w:rPr>
        <w:t xml:space="preserve">ב"כ הנאשם </w:t>
      </w:r>
      <w:r w:rsidRPr="001077B3">
        <w:rPr>
          <w:rFonts w:ascii="Arial" w:hAnsi="Arial" w:hint="cs"/>
          <w:rtl/>
        </w:rPr>
        <w:t>לתת את הבכורה לנסיבות האישיות והמשפחתיות הקשות מנשוא של הנאשם, שנאלץ לבצע את העבירה</w:t>
      </w:r>
      <w:r>
        <w:rPr>
          <w:rFonts w:ascii="Arial" w:hAnsi="Arial" w:hint="cs"/>
          <w:rtl/>
        </w:rPr>
        <w:t>, וכן לפציעתו שתותיר אותו נכה</w:t>
      </w:r>
      <w:r w:rsidRPr="001077B3">
        <w:rPr>
          <w:rFonts w:ascii="Arial" w:hAnsi="Arial" w:hint="cs"/>
          <w:rtl/>
        </w:rPr>
        <w:t xml:space="preserve">. בהתאם, הוא </w:t>
      </w:r>
      <w:r>
        <w:rPr>
          <w:rFonts w:ascii="Arial" w:hAnsi="Arial" w:hint="cs"/>
          <w:rtl/>
        </w:rPr>
        <w:t>עתר</w:t>
      </w:r>
      <w:r w:rsidRPr="001077B3">
        <w:rPr>
          <w:rFonts w:ascii="Arial" w:hAnsi="Arial" w:hint="cs"/>
          <w:rtl/>
        </w:rPr>
        <w:t xml:space="preserve"> להעמיד את העונש על הצד הנמוך של המתחם. </w:t>
      </w:r>
    </w:p>
    <w:p w14:paraId="7AB45366" w14:textId="77777777" w:rsidR="00EC0DAB" w:rsidRPr="001077B3" w:rsidRDefault="00EC0DAB" w:rsidP="00EC0DAB">
      <w:pPr>
        <w:spacing w:line="360" w:lineRule="auto"/>
        <w:jc w:val="both"/>
        <w:rPr>
          <w:rFonts w:ascii="Arial" w:hAnsi="Arial"/>
          <w:rtl/>
        </w:rPr>
      </w:pPr>
    </w:p>
    <w:p w14:paraId="72F06A1C" w14:textId="77777777" w:rsidR="00EC0DAB" w:rsidRDefault="00EC0DAB" w:rsidP="00EC0DAB">
      <w:pPr>
        <w:spacing w:line="360" w:lineRule="auto"/>
        <w:jc w:val="both"/>
        <w:rPr>
          <w:rFonts w:ascii="Arial" w:hAnsi="Arial"/>
          <w:rtl/>
        </w:rPr>
      </w:pPr>
      <w:r w:rsidRPr="0091747B">
        <w:rPr>
          <w:rFonts w:ascii="Arial" w:hAnsi="Arial" w:hint="cs"/>
          <w:b/>
          <w:bCs/>
          <w:rtl/>
        </w:rPr>
        <w:t>בדברו האחרון</w:t>
      </w:r>
      <w:r>
        <w:rPr>
          <w:rFonts w:ascii="Arial" w:hAnsi="Arial" w:hint="cs"/>
          <w:rtl/>
        </w:rPr>
        <w:t xml:space="preserve"> מסר </w:t>
      </w:r>
      <w:r w:rsidRPr="001077B3">
        <w:rPr>
          <w:rFonts w:ascii="Arial" w:hAnsi="Arial" w:hint="cs"/>
          <w:rtl/>
        </w:rPr>
        <w:t>הנאשם כי הוא מתחרט על מעשיו ולא יחזור עליהם. לדבריו, הבית והמשפחה זקוקים ל</w:t>
      </w:r>
      <w:r>
        <w:rPr>
          <w:rFonts w:ascii="Arial" w:hAnsi="Arial" w:hint="cs"/>
          <w:rtl/>
        </w:rPr>
        <w:t>ו</w:t>
      </w:r>
      <w:r w:rsidRPr="001077B3">
        <w:rPr>
          <w:rFonts w:ascii="Arial" w:hAnsi="Arial" w:hint="cs"/>
          <w:rtl/>
        </w:rPr>
        <w:t xml:space="preserve"> בדחיפות. כן ביקש הנאשם כי אתחשב בעובדה כי אינו יכול לעמוד על רגליו. </w:t>
      </w:r>
    </w:p>
    <w:p w14:paraId="0C23B055" w14:textId="77777777" w:rsidR="00EC0DAB" w:rsidRDefault="00EC0DAB" w:rsidP="00EC0DAB">
      <w:pPr>
        <w:spacing w:line="360" w:lineRule="auto"/>
        <w:jc w:val="both"/>
        <w:rPr>
          <w:rFonts w:ascii="Arial" w:hAnsi="Arial"/>
          <w:rtl/>
        </w:rPr>
      </w:pPr>
    </w:p>
    <w:p w14:paraId="50305F9B" w14:textId="77777777" w:rsidR="00EC0DAB" w:rsidRDefault="00EC0DAB" w:rsidP="00EC0DAB">
      <w:pPr>
        <w:spacing w:line="360" w:lineRule="auto"/>
        <w:jc w:val="both"/>
        <w:rPr>
          <w:rFonts w:ascii="Arial" w:hAnsi="Arial"/>
          <w:b/>
          <w:bCs/>
          <w:u w:val="single"/>
          <w:rtl/>
        </w:rPr>
      </w:pPr>
      <w:r w:rsidRPr="000C7CEA">
        <w:rPr>
          <w:rFonts w:ascii="Arial" w:hAnsi="Arial" w:hint="cs"/>
          <w:b/>
          <w:bCs/>
          <w:u w:val="single"/>
          <w:rtl/>
        </w:rPr>
        <w:t>דיון והכרעה</w:t>
      </w:r>
    </w:p>
    <w:p w14:paraId="6AD09605" w14:textId="77777777" w:rsidR="00EC0DAB" w:rsidRPr="0071549C" w:rsidRDefault="00EC0DAB" w:rsidP="00EC0DAB">
      <w:pPr>
        <w:spacing w:line="360" w:lineRule="auto"/>
        <w:jc w:val="both"/>
        <w:rPr>
          <w:rFonts w:ascii="Arial" w:hAnsi="Arial"/>
          <w:b/>
          <w:bCs/>
          <w:sz w:val="16"/>
          <w:szCs w:val="16"/>
          <w:u w:val="single"/>
          <w:rtl/>
        </w:rPr>
      </w:pPr>
    </w:p>
    <w:p w14:paraId="5F18406A" w14:textId="77777777" w:rsidR="00EC0DAB" w:rsidRPr="009961BC" w:rsidRDefault="00EC0DAB" w:rsidP="00EC0DAB">
      <w:pPr>
        <w:spacing w:line="360" w:lineRule="auto"/>
        <w:jc w:val="both"/>
        <w:rPr>
          <w:rFonts w:ascii="Arial" w:hAnsi="Arial"/>
          <w:b/>
          <w:bCs/>
        </w:rPr>
      </w:pPr>
      <w:r w:rsidRPr="009961BC">
        <w:rPr>
          <w:rFonts w:ascii="Arial" w:hAnsi="Arial"/>
          <w:b/>
          <w:bCs/>
          <w:rtl/>
        </w:rPr>
        <w:t>הערכים החברתיים המוגנים</w:t>
      </w:r>
    </w:p>
    <w:p w14:paraId="406C136D" w14:textId="77777777" w:rsidR="00EC0DAB" w:rsidRPr="009961BC" w:rsidRDefault="005F0192" w:rsidP="00EC0DAB">
      <w:pPr>
        <w:spacing w:line="360" w:lineRule="auto"/>
        <w:jc w:val="both"/>
        <w:rPr>
          <w:rFonts w:ascii="Arial" w:hAnsi="Arial"/>
        </w:rPr>
      </w:pPr>
      <w:hyperlink r:id="rId17" w:history="1">
        <w:r w:rsidRPr="005F0192">
          <w:rPr>
            <w:rStyle w:val="Hyperlink"/>
            <w:rFonts w:ascii="Arial" w:hAnsi="Arial"/>
            <w:color w:val="0000FF"/>
            <w:rtl/>
          </w:rPr>
          <w:t>סעיף 144</w:t>
        </w:r>
      </w:hyperlink>
      <w:r w:rsidR="00EC0DAB" w:rsidRPr="009961BC">
        <w:rPr>
          <w:rFonts w:ascii="Arial" w:hAnsi="Arial"/>
          <w:rtl/>
        </w:rPr>
        <w:t xml:space="preserve"> ל</w:t>
      </w:r>
      <w:hyperlink r:id="rId18" w:history="1">
        <w:r w:rsidR="001A1ADE" w:rsidRPr="001A1ADE">
          <w:rPr>
            <w:rFonts w:ascii="Arial" w:hAnsi="Arial"/>
            <w:color w:val="0000FF"/>
            <w:u w:val="single"/>
            <w:rtl/>
          </w:rPr>
          <w:t>חוק העונשין</w:t>
        </w:r>
      </w:hyperlink>
      <w:r w:rsidR="00EC0DAB" w:rsidRPr="009961BC">
        <w:rPr>
          <w:rFonts w:ascii="Arial" w:hAnsi="Arial"/>
          <w:rtl/>
        </w:rPr>
        <w:t xml:space="preserve"> מגלם בחובו תכליות של הגנה על חיי האדם, שלום הציבור וביטחונו (ראו מיני רבים </w:t>
      </w:r>
      <w:hyperlink r:id="rId19" w:history="1">
        <w:r w:rsidR="001A1ADE" w:rsidRPr="001A1ADE">
          <w:rPr>
            <w:rFonts w:ascii="Arial" w:hAnsi="Arial"/>
            <w:color w:val="0000FF"/>
            <w:u w:val="single"/>
            <w:rtl/>
          </w:rPr>
          <w:t>ע"פ 7971/23</w:t>
        </w:r>
      </w:hyperlink>
      <w:r w:rsidR="00EC0DAB" w:rsidRPr="009961BC">
        <w:rPr>
          <w:rFonts w:ascii="Arial" w:hAnsi="Arial"/>
          <w:rtl/>
        </w:rPr>
        <w:t xml:space="preserve"> </w:t>
      </w:r>
      <w:r w:rsidR="00EC0DAB" w:rsidRPr="009961BC">
        <w:rPr>
          <w:rFonts w:ascii="Arial" w:hAnsi="Arial"/>
          <w:b/>
          <w:bCs/>
          <w:rtl/>
        </w:rPr>
        <w:t>אגבאריה</w:t>
      </w:r>
      <w:r w:rsidR="00EC0DAB" w:rsidRPr="009961BC">
        <w:rPr>
          <w:rFonts w:ascii="Arial" w:hAnsi="Arial"/>
          <w:rtl/>
        </w:rPr>
        <w:t xml:space="preserve"> נ' </w:t>
      </w:r>
      <w:r w:rsidR="00EC0DAB" w:rsidRPr="009961BC">
        <w:rPr>
          <w:rFonts w:ascii="Arial" w:hAnsi="Arial"/>
          <w:b/>
          <w:bCs/>
          <w:rtl/>
        </w:rPr>
        <w:t>מדינת ישראל</w:t>
      </w:r>
      <w:r w:rsidR="00EC0DAB" w:rsidRPr="009961BC">
        <w:rPr>
          <w:rFonts w:ascii="Arial" w:hAnsi="Arial"/>
          <w:rtl/>
        </w:rPr>
        <w:t xml:space="preserve"> (פורסם בנבו, 26.5.24)). </w:t>
      </w:r>
    </w:p>
    <w:p w14:paraId="0D320C2D" w14:textId="77777777" w:rsidR="00EC0DAB" w:rsidRPr="009961BC" w:rsidRDefault="00EC0DAB" w:rsidP="00EC0DAB">
      <w:pPr>
        <w:spacing w:line="360" w:lineRule="auto"/>
        <w:jc w:val="both"/>
        <w:rPr>
          <w:rFonts w:ascii="Arial" w:hAnsi="Arial"/>
          <w:rtl/>
        </w:rPr>
      </w:pPr>
    </w:p>
    <w:p w14:paraId="5409CA13" w14:textId="77777777" w:rsidR="00EC0DAB" w:rsidRPr="009961BC" w:rsidRDefault="00EC0DAB" w:rsidP="00EC0DAB">
      <w:pPr>
        <w:spacing w:line="360" w:lineRule="auto"/>
        <w:jc w:val="both"/>
        <w:rPr>
          <w:rFonts w:ascii="Arial" w:hAnsi="Arial"/>
          <w:rtl/>
        </w:rPr>
      </w:pPr>
      <w:r w:rsidRPr="009961BC">
        <w:rPr>
          <w:rFonts w:ascii="Arial" w:hAnsi="Arial"/>
          <w:rtl/>
        </w:rPr>
        <w:t>הסיכון הכרוך בנשיאת נשק שלא כדין מתבטא בחשש שהנושא נשק יעשה בו שימוש וכן באפשרות כי נשק זה יגיע לידיים אחרות (</w:t>
      </w:r>
      <w:hyperlink r:id="rId20" w:history="1">
        <w:r w:rsidR="001A1ADE" w:rsidRPr="001A1ADE">
          <w:rPr>
            <w:rFonts w:ascii="Arial" w:hAnsi="Arial"/>
            <w:color w:val="0000FF"/>
            <w:u w:val="single"/>
            <w:rtl/>
          </w:rPr>
          <w:t>ע"פ 4945/14</w:t>
        </w:r>
      </w:hyperlink>
      <w:r w:rsidRPr="009961BC">
        <w:rPr>
          <w:rFonts w:ascii="Arial" w:hAnsi="Arial"/>
          <w:rtl/>
        </w:rPr>
        <w:t xml:space="preserve"> </w:t>
      </w:r>
      <w:r w:rsidRPr="009961BC">
        <w:rPr>
          <w:rFonts w:ascii="Arial" w:hAnsi="Arial"/>
          <w:b/>
          <w:bCs/>
          <w:rtl/>
        </w:rPr>
        <w:t>מדינת ישראל</w:t>
      </w:r>
      <w:r w:rsidRPr="009961BC">
        <w:rPr>
          <w:rFonts w:ascii="Arial" w:hAnsi="Arial"/>
          <w:rtl/>
        </w:rPr>
        <w:t xml:space="preserve"> נ' </w:t>
      </w:r>
      <w:r w:rsidRPr="009961BC">
        <w:rPr>
          <w:rFonts w:ascii="Arial" w:hAnsi="Arial"/>
          <w:b/>
          <w:bCs/>
          <w:rtl/>
        </w:rPr>
        <w:t>סלימאן</w:t>
      </w:r>
      <w:r w:rsidRPr="009961BC">
        <w:rPr>
          <w:rFonts w:ascii="Arial" w:hAnsi="Arial"/>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169A2FCB" w14:textId="77777777" w:rsidR="00EC0DAB" w:rsidRDefault="00EC0DAB" w:rsidP="00EC0DAB">
      <w:pPr>
        <w:spacing w:line="360" w:lineRule="auto"/>
        <w:jc w:val="both"/>
        <w:rPr>
          <w:rFonts w:ascii="Arial" w:hAnsi="Arial"/>
          <w:b/>
          <w:bCs/>
          <w:sz w:val="26"/>
          <w:szCs w:val="26"/>
          <w:u w:val="single"/>
          <w:rtl/>
        </w:rPr>
      </w:pPr>
    </w:p>
    <w:p w14:paraId="34284002" w14:textId="77777777" w:rsidR="00EC0DAB" w:rsidRDefault="00EC0DAB" w:rsidP="00EC0DAB">
      <w:pPr>
        <w:spacing w:line="360" w:lineRule="auto"/>
        <w:jc w:val="both"/>
        <w:rPr>
          <w:rFonts w:ascii="Arial" w:hAnsi="Arial"/>
          <w:b/>
          <w:bCs/>
          <w:rtl/>
        </w:rPr>
      </w:pPr>
      <w:r w:rsidRPr="009961BC">
        <w:rPr>
          <w:rFonts w:ascii="Arial" w:hAnsi="Arial"/>
          <w:b/>
          <w:bCs/>
          <w:rtl/>
        </w:rPr>
        <w:t xml:space="preserve">נסיבות ביצוע העבירה </w:t>
      </w:r>
    </w:p>
    <w:p w14:paraId="072C6E96" w14:textId="77777777" w:rsidR="00EC0DAB" w:rsidRPr="0071549C" w:rsidRDefault="00EC0DAB" w:rsidP="00EC0DAB">
      <w:pPr>
        <w:spacing w:line="360" w:lineRule="auto"/>
        <w:jc w:val="both"/>
        <w:rPr>
          <w:rFonts w:ascii="Arial" w:hAnsi="Arial"/>
          <w:b/>
          <w:bCs/>
          <w:sz w:val="16"/>
          <w:szCs w:val="16"/>
        </w:rPr>
      </w:pPr>
    </w:p>
    <w:p w14:paraId="4E9B2C82" w14:textId="77777777" w:rsidR="00EC0DAB" w:rsidRPr="009961BC" w:rsidRDefault="00EC0DAB" w:rsidP="00EC0DAB">
      <w:pPr>
        <w:spacing w:line="360" w:lineRule="auto"/>
        <w:jc w:val="both"/>
        <w:rPr>
          <w:rFonts w:ascii="Arial" w:hAnsi="Arial"/>
          <w:rtl/>
        </w:rPr>
      </w:pPr>
      <w:r w:rsidRPr="009961BC">
        <w:rPr>
          <w:rFonts w:ascii="Arial" w:hAnsi="Arial"/>
          <w:rtl/>
        </w:rPr>
        <w:t xml:space="preserve">במקרה דנן הנאשם נשא אקדח תקני, </w:t>
      </w:r>
      <w:r w:rsidRPr="009961BC">
        <w:rPr>
          <w:rFonts w:ascii="Arial" w:hAnsi="Arial" w:hint="eastAsia"/>
          <w:rtl/>
        </w:rPr>
        <w:t>ובו</w:t>
      </w:r>
      <w:r w:rsidRPr="009961BC">
        <w:rPr>
          <w:rFonts w:ascii="Arial" w:hAnsi="Arial"/>
          <w:rtl/>
        </w:rPr>
        <w:t xml:space="preserve"> </w:t>
      </w:r>
      <w:r w:rsidRPr="009961BC">
        <w:rPr>
          <w:rFonts w:ascii="Arial" w:hAnsi="Arial" w:hint="eastAsia"/>
          <w:rtl/>
        </w:rPr>
        <w:t>מחסנית</w:t>
      </w:r>
      <w:r w:rsidRPr="009961BC">
        <w:rPr>
          <w:rFonts w:ascii="Arial" w:hAnsi="Arial"/>
          <w:rtl/>
        </w:rPr>
        <w:t xml:space="preserve"> </w:t>
      </w:r>
      <w:r w:rsidRPr="009961BC">
        <w:rPr>
          <w:rFonts w:ascii="Arial" w:hAnsi="Arial" w:hint="eastAsia"/>
          <w:rtl/>
        </w:rPr>
        <w:t>טעונה</w:t>
      </w:r>
      <w:r w:rsidRPr="009961BC">
        <w:rPr>
          <w:rFonts w:ascii="Arial" w:hAnsi="Arial"/>
          <w:rtl/>
        </w:rPr>
        <w:t xml:space="preserve"> </w:t>
      </w:r>
      <w:r w:rsidRPr="009961BC">
        <w:rPr>
          <w:rFonts w:ascii="Arial" w:hAnsi="Arial" w:hint="eastAsia"/>
          <w:rtl/>
        </w:rPr>
        <w:t>בכדורים</w:t>
      </w:r>
      <w:r w:rsidRPr="009961BC">
        <w:rPr>
          <w:rFonts w:ascii="Arial" w:hAnsi="Arial"/>
          <w:rtl/>
        </w:rPr>
        <w:t xml:space="preserve">. </w:t>
      </w:r>
      <w:r w:rsidRPr="009961BC">
        <w:rPr>
          <w:rFonts w:ascii="Arial" w:hAnsi="Arial" w:hint="eastAsia"/>
          <w:rtl/>
        </w:rPr>
        <w:t>המדובר</w:t>
      </w:r>
      <w:r w:rsidRPr="009961BC">
        <w:rPr>
          <w:rFonts w:ascii="Arial" w:hAnsi="Arial"/>
          <w:rtl/>
        </w:rPr>
        <w:t xml:space="preserve"> </w:t>
      </w:r>
      <w:r w:rsidRPr="009961BC">
        <w:rPr>
          <w:rFonts w:ascii="Arial" w:hAnsi="Arial" w:hint="eastAsia"/>
          <w:rtl/>
        </w:rPr>
        <w:t>ב</w:t>
      </w:r>
      <w:r w:rsidRPr="009961BC">
        <w:rPr>
          <w:rFonts w:ascii="Arial" w:hAnsi="Arial"/>
          <w:rtl/>
        </w:rPr>
        <w:t xml:space="preserve">כלי נשק אשר בכוחו להמית אדם, ומכאן מסוכנות וחומרת העבירה. </w:t>
      </w:r>
      <w:r w:rsidRPr="009961BC">
        <w:rPr>
          <w:rFonts w:ascii="Arial" w:hAnsi="Arial" w:hint="eastAsia"/>
          <w:rtl/>
        </w:rPr>
        <w:t>העובדה</w:t>
      </w:r>
      <w:r w:rsidRPr="009961BC">
        <w:rPr>
          <w:rFonts w:ascii="Arial" w:hAnsi="Arial"/>
          <w:rtl/>
        </w:rPr>
        <w:t xml:space="preserve"> </w:t>
      </w:r>
      <w:r w:rsidRPr="009961BC">
        <w:rPr>
          <w:rFonts w:ascii="Arial" w:hAnsi="Arial" w:hint="eastAsia"/>
          <w:rtl/>
        </w:rPr>
        <w:t>כי</w:t>
      </w:r>
      <w:r w:rsidRPr="009961BC">
        <w:rPr>
          <w:rFonts w:ascii="Arial" w:hAnsi="Arial"/>
          <w:rtl/>
        </w:rPr>
        <w:t xml:space="preserve"> </w:t>
      </w:r>
      <w:r w:rsidRPr="009961BC">
        <w:rPr>
          <w:rFonts w:ascii="Arial" w:hAnsi="Arial" w:hint="eastAsia"/>
          <w:rtl/>
        </w:rPr>
        <w:t>הנשק</w:t>
      </w:r>
      <w:r w:rsidRPr="009961BC">
        <w:rPr>
          <w:rFonts w:ascii="Arial" w:hAnsi="Arial"/>
          <w:rtl/>
        </w:rPr>
        <w:t xml:space="preserve"> </w:t>
      </w:r>
      <w:r w:rsidRPr="009961BC">
        <w:rPr>
          <w:rFonts w:ascii="Arial" w:hAnsi="Arial" w:hint="eastAsia"/>
          <w:rtl/>
        </w:rPr>
        <w:t>היה</w:t>
      </w:r>
      <w:r w:rsidRPr="009961BC">
        <w:rPr>
          <w:rFonts w:ascii="Arial" w:hAnsi="Arial"/>
          <w:rtl/>
        </w:rPr>
        <w:t xml:space="preserve"> </w:t>
      </w:r>
      <w:r w:rsidRPr="009961BC">
        <w:rPr>
          <w:rFonts w:ascii="Arial" w:hAnsi="Arial" w:hint="eastAsia"/>
          <w:rtl/>
        </w:rPr>
        <w:t>טעון</w:t>
      </w:r>
      <w:r w:rsidRPr="009961BC">
        <w:rPr>
          <w:rFonts w:ascii="Arial" w:hAnsi="Arial"/>
          <w:rtl/>
        </w:rPr>
        <w:t xml:space="preserve"> </w:t>
      </w:r>
      <w:r w:rsidRPr="009961BC">
        <w:rPr>
          <w:rFonts w:ascii="Arial" w:hAnsi="Arial" w:hint="eastAsia"/>
          <w:rtl/>
        </w:rPr>
        <w:t>במחסנית</w:t>
      </w:r>
      <w:r w:rsidRPr="009961BC">
        <w:rPr>
          <w:rFonts w:ascii="Arial" w:hAnsi="Arial"/>
          <w:rtl/>
        </w:rPr>
        <w:t xml:space="preserve"> </w:t>
      </w:r>
      <w:r w:rsidRPr="009961BC">
        <w:rPr>
          <w:rFonts w:ascii="Arial" w:hAnsi="Arial" w:hint="eastAsia"/>
          <w:rtl/>
        </w:rPr>
        <w:t>כאמור</w:t>
      </w:r>
      <w:r>
        <w:rPr>
          <w:rFonts w:ascii="Arial" w:hAnsi="Arial" w:hint="cs"/>
          <w:rtl/>
        </w:rPr>
        <w:t>,</w:t>
      </w:r>
      <w:r w:rsidRPr="009961BC">
        <w:rPr>
          <w:rFonts w:ascii="Arial" w:hAnsi="Arial"/>
          <w:rtl/>
        </w:rPr>
        <w:t xml:space="preserve"> </w:t>
      </w:r>
      <w:r w:rsidRPr="009961BC">
        <w:rPr>
          <w:rFonts w:ascii="Arial" w:hAnsi="Arial" w:hint="eastAsia"/>
          <w:rtl/>
        </w:rPr>
        <w:t>מלמד</w:t>
      </w:r>
      <w:r>
        <w:rPr>
          <w:rFonts w:ascii="Arial" w:hAnsi="Arial" w:hint="cs"/>
          <w:rtl/>
        </w:rPr>
        <w:t>ת</w:t>
      </w:r>
      <w:r w:rsidRPr="009961BC">
        <w:rPr>
          <w:rFonts w:ascii="Arial" w:hAnsi="Arial"/>
          <w:rtl/>
        </w:rPr>
        <w:t xml:space="preserve"> </w:t>
      </w:r>
      <w:r w:rsidRPr="009961BC">
        <w:rPr>
          <w:rFonts w:ascii="Arial" w:hAnsi="Arial" w:hint="eastAsia"/>
          <w:rtl/>
        </w:rPr>
        <w:t>על</w:t>
      </w:r>
      <w:r w:rsidRPr="009961BC">
        <w:rPr>
          <w:rFonts w:ascii="Arial" w:hAnsi="Arial"/>
          <w:rtl/>
        </w:rPr>
        <w:t xml:space="preserve"> </w:t>
      </w:r>
      <w:r w:rsidRPr="009961BC">
        <w:rPr>
          <w:rFonts w:ascii="Arial" w:hAnsi="Arial" w:hint="eastAsia"/>
          <w:rtl/>
        </w:rPr>
        <w:t>היכולת</w:t>
      </w:r>
      <w:r w:rsidRPr="009961BC">
        <w:rPr>
          <w:rFonts w:ascii="Arial" w:hAnsi="Arial"/>
          <w:rtl/>
        </w:rPr>
        <w:t xml:space="preserve"> </w:t>
      </w:r>
      <w:r w:rsidRPr="009961BC">
        <w:rPr>
          <w:rFonts w:ascii="Arial" w:hAnsi="Arial" w:hint="eastAsia"/>
          <w:rtl/>
        </w:rPr>
        <w:t>לעשות</w:t>
      </w:r>
      <w:r w:rsidRPr="009961BC">
        <w:rPr>
          <w:rFonts w:ascii="Arial" w:hAnsi="Arial"/>
          <w:rtl/>
        </w:rPr>
        <w:t xml:space="preserve"> </w:t>
      </w:r>
      <w:r w:rsidRPr="009961BC">
        <w:rPr>
          <w:rFonts w:ascii="Arial" w:hAnsi="Arial" w:hint="eastAsia"/>
          <w:rtl/>
        </w:rPr>
        <w:t>בו</w:t>
      </w:r>
      <w:r w:rsidRPr="009961BC">
        <w:rPr>
          <w:rFonts w:ascii="Arial" w:hAnsi="Arial"/>
          <w:rtl/>
        </w:rPr>
        <w:t xml:space="preserve"> </w:t>
      </w:r>
      <w:r w:rsidRPr="009961BC">
        <w:rPr>
          <w:rFonts w:ascii="Arial" w:hAnsi="Arial" w:hint="eastAsia"/>
          <w:rtl/>
        </w:rPr>
        <w:t>שימוש</w:t>
      </w:r>
      <w:r w:rsidRPr="009961BC">
        <w:rPr>
          <w:rFonts w:ascii="Arial" w:hAnsi="Arial"/>
          <w:rtl/>
        </w:rPr>
        <w:t xml:space="preserve"> </w:t>
      </w:r>
      <w:r w:rsidRPr="009961BC">
        <w:rPr>
          <w:rFonts w:ascii="Arial" w:hAnsi="Arial" w:hint="eastAsia"/>
          <w:rtl/>
        </w:rPr>
        <w:t>כמעט</w:t>
      </w:r>
      <w:r w:rsidRPr="009961BC">
        <w:rPr>
          <w:rFonts w:ascii="Arial" w:hAnsi="Arial"/>
          <w:rtl/>
        </w:rPr>
        <w:t xml:space="preserve"> </w:t>
      </w:r>
      <w:r w:rsidRPr="009961BC">
        <w:rPr>
          <w:rFonts w:ascii="Arial" w:hAnsi="Arial" w:hint="eastAsia"/>
          <w:rtl/>
        </w:rPr>
        <w:t>מידי</w:t>
      </w:r>
      <w:r w:rsidRPr="009961BC">
        <w:rPr>
          <w:rFonts w:ascii="Arial" w:hAnsi="Arial"/>
          <w:rtl/>
        </w:rPr>
        <w:t xml:space="preserve">, </w:t>
      </w:r>
      <w:r w:rsidRPr="009961BC">
        <w:rPr>
          <w:rFonts w:ascii="Arial" w:hAnsi="Arial" w:hint="eastAsia"/>
          <w:rtl/>
        </w:rPr>
        <w:t>ובוודאי</w:t>
      </w:r>
      <w:r w:rsidRPr="009961BC">
        <w:rPr>
          <w:rFonts w:ascii="Arial" w:hAnsi="Arial"/>
          <w:rtl/>
        </w:rPr>
        <w:t xml:space="preserve"> </w:t>
      </w:r>
      <w:r w:rsidRPr="009961BC">
        <w:rPr>
          <w:rFonts w:ascii="Arial" w:hAnsi="Arial" w:hint="eastAsia"/>
          <w:rtl/>
        </w:rPr>
        <w:t>ללא</w:t>
      </w:r>
      <w:r w:rsidRPr="009961BC">
        <w:rPr>
          <w:rFonts w:ascii="Arial" w:hAnsi="Arial"/>
          <w:rtl/>
        </w:rPr>
        <w:t xml:space="preserve"> </w:t>
      </w:r>
      <w:r w:rsidRPr="009961BC">
        <w:rPr>
          <w:rFonts w:ascii="Arial" w:hAnsi="Arial" w:hint="eastAsia"/>
          <w:rtl/>
        </w:rPr>
        <w:t>צורך</w:t>
      </w:r>
      <w:r w:rsidRPr="009961BC">
        <w:rPr>
          <w:rFonts w:ascii="Arial" w:hAnsi="Arial"/>
          <w:rtl/>
        </w:rPr>
        <w:t xml:space="preserve"> </w:t>
      </w:r>
      <w:r w:rsidRPr="009961BC">
        <w:rPr>
          <w:rFonts w:ascii="Arial" w:hAnsi="Arial" w:hint="eastAsia"/>
          <w:rtl/>
        </w:rPr>
        <w:t>בהכנות</w:t>
      </w:r>
      <w:r w:rsidRPr="009961BC">
        <w:rPr>
          <w:rFonts w:ascii="Arial" w:hAnsi="Arial"/>
          <w:rtl/>
        </w:rPr>
        <w:t xml:space="preserve"> </w:t>
      </w:r>
      <w:r w:rsidRPr="009961BC">
        <w:rPr>
          <w:rFonts w:ascii="Arial" w:hAnsi="Arial" w:hint="eastAsia"/>
          <w:rtl/>
        </w:rPr>
        <w:t>ממושכות</w:t>
      </w:r>
      <w:r w:rsidRPr="009961BC">
        <w:rPr>
          <w:rFonts w:ascii="Arial" w:hAnsi="Arial"/>
          <w:rtl/>
        </w:rPr>
        <w:t>.</w:t>
      </w:r>
    </w:p>
    <w:p w14:paraId="32076406" w14:textId="77777777" w:rsidR="00EC0DAB" w:rsidRPr="009961BC" w:rsidRDefault="00EC0DAB" w:rsidP="00EC0DAB">
      <w:pPr>
        <w:spacing w:line="360" w:lineRule="auto"/>
        <w:jc w:val="both"/>
        <w:rPr>
          <w:rFonts w:ascii="Arial" w:hAnsi="Arial"/>
          <w:rtl/>
        </w:rPr>
      </w:pPr>
    </w:p>
    <w:p w14:paraId="60950A20" w14:textId="77777777" w:rsidR="00EC0DAB" w:rsidRPr="009961BC" w:rsidRDefault="00EC0DAB" w:rsidP="00EC0DAB">
      <w:pPr>
        <w:spacing w:line="360" w:lineRule="auto"/>
        <w:jc w:val="both"/>
        <w:rPr>
          <w:rFonts w:ascii="Arial" w:hAnsi="Arial"/>
          <w:rtl/>
        </w:rPr>
      </w:pPr>
      <w:r w:rsidRPr="009961BC">
        <w:rPr>
          <w:rFonts w:ascii="Arial" w:hAnsi="Arial" w:hint="eastAsia"/>
          <w:rtl/>
        </w:rPr>
        <w:t>עצם</w:t>
      </w:r>
      <w:r w:rsidRPr="009961BC">
        <w:rPr>
          <w:rFonts w:ascii="Arial" w:hAnsi="Arial"/>
          <w:rtl/>
        </w:rPr>
        <w:t xml:space="preserve"> </w:t>
      </w:r>
      <w:r w:rsidRPr="009961BC">
        <w:rPr>
          <w:rFonts w:ascii="Arial" w:hAnsi="Arial" w:hint="eastAsia"/>
          <w:rtl/>
        </w:rPr>
        <w:t>החזקתו</w:t>
      </w:r>
      <w:r w:rsidRPr="009961BC">
        <w:rPr>
          <w:rFonts w:ascii="Arial" w:hAnsi="Arial"/>
          <w:rtl/>
        </w:rPr>
        <w:t xml:space="preserve"> </w:t>
      </w:r>
      <w:r w:rsidRPr="009961BC">
        <w:rPr>
          <w:rFonts w:ascii="Arial" w:hAnsi="Arial" w:hint="eastAsia"/>
          <w:rtl/>
        </w:rPr>
        <w:t>של</w:t>
      </w:r>
      <w:r w:rsidRPr="009961BC">
        <w:rPr>
          <w:rFonts w:ascii="Arial" w:hAnsi="Arial"/>
          <w:rtl/>
        </w:rPr>
        <w:t xml:space="preserve"> </w:t>
      </w:r>
      <w:r w:rsidRPr="009961BC">
        <w:rPr>
          <w:rFonts w:ascii="Arial" w:hAnsi="Arial" w:hint="eastAsia"/>
          <w:rtl/>
        </w:rPr>
        <w:t>נשק</w:t>
      </w:r>
      <w:r w:rsidRPr="009961BC">
        <w:rPr>
          <w:rFonts w:ascii="Arial" w:hAnsi="Arial"/>
          <w:rtl/>
        </w:rPr>
        <w:t xml:space="preserve"> </w:t>
      </w:r>
      <w:r w:rsidRPr="009961BC">
        <w:rPr>
          <w:rFonts w:ascii="Arial" w:hAnsi="Arial" w:hint="eastAsia"/>
          <w:rtl/>
        </w:rPr>
        <w:t>כאמור</w:t>
      </w:r>
      <w:r w:rsidRPr="009961BC">
        <w:rPr>
          <w:rFonts w:ascii="Arial" w:hAnsi="Arial"/>
          <w:rtl/>
        </w:rPr>
        <w:t xml:space="preserve">, </w:t>
      </w:r>
      <w:r w:rsidRPr="009961BC">
        <w:rPr>
          <w:rFonts w:ascii="Arial" w:hAnsi="Arial" w:hint="eastAsia"/>
          <w:rtl/>
        </w:rPr>
        <w:t>גם</w:t>
      </w:r>
      <w:r w:rsidRPr="009961BC">
        <w:rPr>
          <w:rFonts w:ascii="Arial" w:hAnsi="Arial"/>
          <w:rtl/>
        </w:rPr>
        <w:t xml:space="preserve"> </w:t>
      </w:r>
      <w:r w:rsidRPr="009961BC">
        <w:rPr>
          <w:rFonts w:ascii="Arial" w:hAnsi="Arial" w:hint="eastAsia"/>
          <w:rtl/>
        </w:rPr>
        <w:t>אם</w:t>
      </w:r>
      <w:r w:rsidRPr="009961BC">
        <w:rPr>
          <w:rFonts w:ascii="Arial" w:hAnsi="Arial"/>
          <w:rtl/>
        </w:rPr>
        <w:t xml:space="preserve"> </w:t>
      </w:r>
      <w:r w:rsidRPr="009961BC">
        <w:rPr>
          <w:rFonts w:ascii="Arial" w:hAnsi="Arial" w:hint="eastAsia"/>
          <w:rtl/>
        </w:rPr>
        <w:t>איננו</w:t>
      </w:r>
      <w:r w:rsidRPr="009961BC">
        <w:rPr>
          <w:rFonts w:ascii="Arial" w:hAnsi="Arial"/>
          <w:rtl/>
        </w:rPr>
        <w:t xml:space="preserve"> </w:t>
      </w:r>
      <w:r w:rsidRPr="009961BC">
        <w:rPr>
          <w:rFonts w:ascii="Arial" w:hAnsi="Arial" w:hint="eastAsia"/>
          <w:rtl/>
        </w:rPr>
        <w:t>יודעים</w:t>
      </w:r>
      <w:r w:rsidRPr="009961BC">
        <w:rPr>
          <w:rFonts w:ascii="Arial" w:hAnsi="Arial"/>
          <w:rtl/>
        </w:rPr>
        <w:t xml:space="preserve"> איך הגיע לידיו של הנאשם, מחייבת תכנון, יוזמה וכוונה</w:t>
      </w:r>
      <w:r>
        <w:rPr>
          <w:rFonts w:ascii="Arial" w:hAnsi="Arial" w:hint="cs"/>
          <w:rtl/>
        </w:rPr>
        <w:t>,</w:t>
      </w:r>
      <w:r w:rsidRPr="009961BC">
        <w:rPr>
          <w:rFonts w:ascii="Arial" w:hAnsi="Arial"/>
          <w:rtl/>
        </w:rPr>
        <w:t xml:space="preserve"> הנזקפים לחובת הנאשם. </w:t>
      </w:r>
    </w:p>
    <w:p w14:paraId="50B2668F" w14:textId="77777777" w:rsidR="00EC0DAB" w:rsidRDefault="00EC0DAB" w:rsidP="00EC0DAB">
      <w:pPr>
        <w:spacing w:line="360" w:lineRule="auto"/>
        <w:jc w:val="both"/>
        <w:rPr>
          <w:rFonts w:ascii="Arial" w:hAnsi="Arial"/>
          <w:sz w:val="26"/>
          <w:szCs w:val="26"/>
          <w:rtl/>
        </w:rPr>
      </w:pPr>
    </w:p>
    <w:p w14:paraId="67155C3B" w14:textId="77777777" w:rsidR="00EC0DAB" w:rsidRPr="009961BC" w:rsidRDefault="00EC0DAB" w:rsidP="00EC0DAB">
      <w:pPr>
        <w:spacing w:line="360" w:lineRule="auto"/>
        <w:jc w:val="both"/>
        <w:rPr>
          <w:rFonts w:ascii="Arial" w:hAnsi="Arial"/>
          <w:rtl/>
        </w:rPr>
      </w:pPr>
      <w:r w:rsidRPr="009961BC">
        <w:rPr>
          <w:rFonts w:ascii="Arial" w:hAnsi="Arial" w:hint="eastAsia"/>
          <w:rtl/>
        </w:rPr>
        <w:t>מאידך</w:t>
      </w:r>
      <w:r w:rsidRPr="009961BC">
        <w:rPr>
          <w:rFonts w:ascii="Arial" w:hAnsi="Arial"/>
          <w:rtl/>
        </w:rPr>
        <w:t xml:space="preserve"> גיסא, האקדח והמחסנית הוחזקו על </w:t>
      </w:r>
      <w:r w:rsidRPr="009961BC">
        <w:rPr>
          <w:rFonts w:ascii="Arial" w:hAnsi="Arial" w:hint="eastAsia"/>
          <w:rtl/>
        </w:rPr>
        <w:t>ידי</w:t>
      </w:r>
      <w:r w:rsidRPr="009961BC">
        <w:rPr>
          <w:rFonts w:ascii="Arial" w:hAnsi="Arial"/>
          <w:rtl/>
        </w:rPr>
        <w:t xml:space="preserve"> </w:t>
      </w:r>
      <w:r w:rsidRPr="009961BC">
        <w:rPr>
          <w:rFonts w:ascii="Arial" w:hAnsi="Arial" w:hint="eastAsia"/>
          <w:rtl/>
        </w:rPr>
        <w:t>הנאשם</w:t>
      </w:r>
      <w:r w:rsidRPr="009961BC">
        <w:rPr>
          <w:rFonts w:ascii="Arial" w:hAnsi="Arial"/>
          <w:rtl/>
        </w:rPr>
        <w:t xml:space="preserve"> </w:t>
      </w:r>
      <w:r w:rsidRPr="009961BC">
        <w:rPr>
          <w:rFonts w:ascii="Arial" w:hAnsi="Arial" w:hint="eastAsia"/>
          <w:rtl/>
        </w:rPr>
        <w:t>במתחם</w:t>
      </w:r>
      <w:r w:rsidRPr="009961BC">
        <w:rPr>
          <w:rFonts w:ascii="Arial" w:hAnsi="Arial"/>
          <w:rtl/>
        </w:rPr>
        <w:t xml:space="preserve"> </w:t>
      </w:r>
      <w:r w:rsidRPr="009961BC">
        <w:rPr>
          <w:rFonts w:ascii="Arial" w:hAnsi="Arial" w:hint="eastAsia"/>
          <w:rtl/>
        </w:rPr>
        <w:t>מגוריו</w:t>
      </w:r>
      <w:r w:rsidRPr="009961BC">
        <w:rPr>
          <w:rFonts w:ascii="Arial" w:hAnsi="Arial"/>
          <w:rtl/>
        </w:rPr>
        <w:t xml:space="preserve">, כשהם מוסתרים בשקית, </w:t>
      </w:r>
      <w:r w:rsidRPr="009961BC">
        <w:rPr>
          <w:rFonts w:ascii="Arial" w:hAnsi="Arial" w:hint="eastAsia"/>
          <w:rtl/>
        </w:rPr>
        <w:t>ואין</w:t>
      </w:r>
      <w:r w:rsidRPr="009961BC">
        <w:rPr>
          <w:rFonts w:ascii="Arial" w:hAnsi="Arial"/>
          <w:rtl/>
        </w:rPr>
        <w:t xml:space="preserve"> </w:t>
      </w:r>
      <w:r w:rsidRPr="009961BC">
        <w:rPr>
          <w:rFonts w:ascii="Arial" w:hAnsi="Arial" w:hint="eastAsia"/>
          <w:rtl/>
        </w:rPr>
        <w:t>בפנינו</w:t>
      </w:r>
      <w:r w:rsidRPr="009961BC">
        <w:rPr>
          <w:rFonts w:ascii="Arial" w:hAnsi="Arial"/>
          <w:rtl/>
        </w:rPr>
        <w:t xml:space="preserve"> </w:t>
      </w:r>
      <w:r w:rsidRPr="009961BC">
        <w:rPr>
          <w:rFonts w:ascii="Arial" w:hAnsi="Arial" w:hint="eastAsia"/>
          <w:rtl/>
        </w:rPr>
        <w:t>כל</w:t>
      </w:r>
      <w:r w:rsidRPr="009961BC">
        <w:rPr>
          <w:rFonts w:ascii="Arial" w:hAnsi="Arial"/>
          <w:rtl/>
        </w:rPr>
        <w:t xml:space="preserve"> </w:t>
      </w:r>
      <w:r w:rsidRPr="009961BC">
        <w:rPr>
          <w:rFonts w:ascii="Arial" w:hAnsi="Arial" w:hint="eastAsia"/>
          <w:rtl/>
        </w:rPr>
        <w:t>ראייה</w:t>
      </w:r>
      <w:r w:rsidRPr="009961BC">
        <w:rPr>
          <w:rFonts w:ascii="Arial" w:hAnsi="Arial"/>
          <w:rtl/>
        </w:rPr>
        <w:t xml:space="preserve"> </w:t>
      </w:r>
      <w:r w:rsidRPr="009961BC">
        <w:rPr>
          <w:rFonts w:ascii="Arial" w:hAnsi="Arial" w:hint="eastAsia"/>
          <w:rtl/>
        </w:rPr>
        <w:t>על</w:t>
      </w:r>
      <w:r w:rsidRPr="009961BC">
        <w:rPr>
          <w:rFonts w:ascii="Arial" w:hAnsi="Arial"/>
          <w:rtl/>
        </w:rPr>
        <w:t xml:space="preserve"> </w:t>
      </w:r>
      <w:r w:rsidRPr="009961BC">
        <w:rPr>
          <w:rFonts w:ascii="Arial" w:hAnsi="Arial" w:hint="eastAsia"/>
          <w:rtl/>
        </w:rPr>
        <w:t>כוונה</w:t>
      </w:r>
      <w:r w:rsidRPr="009961BC">
        <w:rPr>
          <w:rFonts w:ascii="Arial" w:hAnsi="Arial"/>
          <w:rtl/>
        </w:rPr>
        <w:t xml:space="preserve"> </w:t>
      </w:r>
      <w:r w:rsidRPr="009961BC">
        <w:rPr>
          <w:rFonts w:ascii="Arial" w:hAnsi="Arial" w:hint="eastAsia"/>
          <w:rtl/>
        </w:rPr>
        <w:t>מוחשית</w:t>
      </w:r>
      <w:r w:rsidRPr="009961BC">
        <w:rPr>
          <w:rFonts w:ascii="Arial" w:hAnsi="Arial"/>
          <w:rtl/>
        </w:rPr>
        <w:t xml:space="preserve"> </w:t>
      </w:r>
      <w:r w:rsidRPr="009961BC">
        <w:rPr>
          <w:rFonts w:ascii="Arial" w:hAnsi="Arial" w:hint="eastAsia"/>
          <w:rtl/>
        </w:rPr>
        <w:t>של</w:t>
      </w:r>
      <w:r w:rsidRPr="009961BC">
        <w:rPr>
          <w:rFonts w:ascii="Arial" w:hAnsi="Arial"/>
          <w:rtl/>
        </w:rPr>
        <w:t xml:space="preserve"> </w:t>
      </w:r>
      <w:r w:rsidRPr="009961BC">
        <w:rPr>
          <w:rFonts w:ascii="Arial" w:hAnsi="Arial" w:hint="eastAsia"/>
          <w:rtl/>
        </w:rPr>
        <w:t>הנאשם</w:t>
      </w:r>
      <w:r w:rsidRPr="009961BC">
        <w:rPr>
          <w:rFonts w:ascii="Arial" w:hAnsi="Arial"/>
          <w:rtl/>
        </w:rPr>
        <w:t xml:space="preserve"> </w:t>
      </w:r>
      <w:r w:rsidRPr="009961BC">
        <w:rPr>
          <w:rFonts w:ascii="Arial" w:hAnsi="Arial" w:hint="eastAsia"/>
          <w:rtl/>
        </w:rPr>
        <w:t>לעשות</w:t>
      </w:r>
      <w:r w:rsidRPr="009961BC">
        <w:rPr>
          <w:rFonts w:ascii="Arial" w:hAnsi="Arial"/>
          <w:rtl/>
        </w:rPr>
        <w:t xml:space="preserve"> </w:t>
      </w:r>
      <w:r w:rsidRPr="009961BC">
        <w:rPr>
          <w:rFonts w:ascii="Arial" w:hAnsi="Arial" w:hint="eastAsia"/>
          <w:rtl/>
        </w:rPr>
        <w:t>בו</w:t>
      </w:r>
      <w:r w:rsidRPr="009961BC">
        <w:rPr>
          <w:rFonts w:ascii="Arial" w:hAnsi="Arial"/>
          <w:rtl/>
        </w:rPr>
        <w:t xml:space="preserve"> </w:t>
      </w:r>
      <w:r w:rsidRPr="009961BC">
        <w:rPr>
          <w:rFonts w:ascii="Arial" w:hAnsi="Arial" w:hint="eastAsia"/>
          <w:rtl/>
        </w:rPr>
        <w:t>שימוש</w:t>
      </w:r>
      <w:r w:rsidRPr="009961BC">
        <w:rPr>
          <w:rFonts w:ascii="Arial" w:hAnsi="Arial"/>
          <w:rtl/>
        </w:rPr>
        <w:t xml:space="preserve"> </w:t>
      </w:r>
      <w:r w:rsidRPr="009961BC">
        <w:rPr>
          <w:rFonts w:ascii="Arial" w:hAnsi="Arial" w:hint="eastAsia"/>
          <w:rtl/>
        </w:rPr>
        <w:t>יזום</w:t>
      </w:r>
      <w:r w:rsidRPr="009961BC">
        <w:rPr>
          <w:rFonts w:ascii="Arial" w:hAnsi="Arial"/>
          <w:rtl/>
        </w:rPr>
        <w:t>.</w:t>
      </w:r>
      <w:r>
        <w:rPr>
          <w:rFonts w:ascii="Arial" w:hAnsi="Arial" w:hint="cs"/>
          <w:rtl/>
        </w:rPr>
        <w:t xml:space="preserve"> בדומה, אין בפנינו כל ראיה כי הנאשם נשא את הנשק מחוץ למתחם ביתו. בעיניי המדובר בנסיבה אשר, בהיבט מסוים זה, מקרבת את העבירה בה הורשע לעבירת החזקה. </w:t>
      </w:r>
    </w:p>
    <w:p w14:paraId="39802CEF" w14:textId="77777777" w:rsidR="00EC0DAB" w:rsidRPr="009961BC" w:rsidRDefault="00EC0DAB" w:rsidP="00EC0DAB">
      <w:pPr>
        <w:spacing w:line="360" w:lineRule="auto"/>
        <w:jc w:val="both"/>
        <w:rPr>
          <w:rFonts w:ascii="Arial" w:hAnsi="Arial"/>
          <w:rtl/>
        </w:rPr>
      </w:pPr>
    </w:p>
    <w:p w14:paraId="05489D14" w14:textId="77777777" w:rsidR="00EC0DAB" w:rsidRPr="009961BC" w:rsidRDefault="00EC0DAB" w:rsidP="00EC0DAB">
      <w:pPr>
        <w:spacing w:line="360" w:lineRule="auto"/>
        <w:jc w:val="both"/>
        <w:rPr>
          <w:rFonts w:ascii="Arial" w:hAnsi="Arial"/>
          <w:rtl/>
        </w:rPr>
      </w:pPr>
      <w:r w:rsidRPr="009961BC">
        <w:rPr>
          <w:rFonts w:ascii="Arial" w:hAnsi="Arial" w:hint="eastAsia"/>
          <w:rtl/>
        </w:rPr>
        <w:t>לצד</w:t>
      </w:r>
      <w:r w:rsidRPr="009961BC">
        <w:rPr>
          <w:rFonts w:ascii="Arial" w:hAnsi="Arial"/>
          <w:rtl/>
        </w:rPr>
        <w:t xml:space="preserve"> האמור, ניסיונו של הנאשם </w:t>
      </w:r>
      <w:r w:rsidRPr="009961BC">
        <w:rPr>
          <w:rFonts w:ascii="Arial" w:hAnsi="Arial" w:hint="eastAsia"/>
          <w:rtl/>
        </w:rPr>
        <w:t>להעלים</w:t>
      </w:r>
      <w:r w:rsidRPr="009961BC">
        <w:rPr>
          <w:rFonts w:ascii="Arial" w:hAnsi="Arial"/>
          <w:rtl/>
        </w:rPr>
        <w:t xml:space="preserve"> </w:t>
      </w:r>
      <w:r w:rsidRPr="009961BC">
        <w:rPr>
          <w:rFonts w:ascii="Arial" w:hAnsi="Arial" w:hint="eastAsia"/>
          <w:rtl/>
        </w:rPr>
        <w:t>את</w:t>
      </w:r>
      <w:r w:rsidRPr="009961BC">
        <w:rPr>
          <w:rFonts w:ascii="Arial" w:hAnsi="Arial"/>
          <w:rtl/>
        </w:rPr>
        <w:t xml:space="preserve"> האקדח </w:t>
      </w:r>
      <w:r w:rsidRPr="009961BC">
        <w:rPr>
          <w:rFonts w:ascii="Arial" w:hAnsi="Arial" w:hint="eastAsia"/>
          <w:rtl/>
        </w:rPr>
        <w:t>מעיני</w:t>
      </w:r>
      <w:r w:rsidRPr="009961BC">
        <w:rPr>
          <w:rFonts w:ascii="Arial" w:hAnsi="Arial"/>
          <w:rtl/>
        </w:rPr>
        <w:t xml:space="preserve"> </w:t>
      </w:r>
      <w:r w:rsidRPr="009961BC">
        <w:rPr>
          <w:rFonts w:ascii="Arial" w:hAnsi="Arial" w:hint="eastAsia"/>
          <w:rtl/>
        </w:rPr>
        <w:t>השוטרים</w:t>
      </w:r>
      <w:r>
        <w:rPr>
          <w:rFonts w:ascii="Arial" w:hAnsi="Arial" w:hint="cs"/>
          <w:rtl/>
        </w:rPr>
        <w:t>,</w:t>
      </w:r>
      <w:r w:rsidRPr="009961BC">
        <w:rPr>
          <w:rFonts w:ascii="Arial" w:hAnsi="Arial"/>
          <w:rtl/>
        </w:rPr>
        <w:t xml:space="preserve"> </w:t>
      </w:r>
      <w:r w:rsidRPr="009961BC">
        <w:rPr>
          <w:rFonts w:ascii="Arial" w:hAnsi="Arial" w:hint="eastAsia"/>
          <w:rtl/>
        </w:rPr>
        <w:t>שבאו</w:t>
      </w:r>
      <w:r w:rsidRPr="009961BC">
        <w:rPr>
          <w:rFonts w:ascii="Arial" w:hAnsi="Arial"/>
          <w:rtl/>
        </w:rPr>
        <w:t xml:space="preserve"> </w:t>
      </w:r>
      <w:r w:rsidRPr="009961BC">
        <w:rPr>
          <w:rFonts w:ascii="Arial" w:hAnsi="Arial" w:hint="eastAsia"/>
          <w:rtl/>
        </w:rPr>
        <w:t>למקום</w:t>
      </w:r>
      <w:r w:rsidRPr="009961BC">
        <w:rPr>
          <w:rFonts w:ascii="Arial" w:hAnsi="Arial"/>
          <w:rtl/>
        </w:rPr>
        <w:t xml:space="preserve"> </w:t>
      </w:r>
      <w:r w:rsidRPr="009961BC">
        <w:rPr>
          <w:rFonts w:ascii="Arial" w:hAnsi="Arial" w:hint="eastAsia"/>
          <w:rtl/>
        </w:rPr>
        <w:t>על</w:t>
      </w:r>
      <w:r w:rsidRPr="009961BC">
        <w:rPr>
          <w:rFonts w:ascii="Arial" w:hAnsi="Arial"/>
          <w:rtl/>
        </w:rPr>
        <w:t xml:space="preserve"> </w:t>
      </w:r>
      <w:r w:rsidRPr="009961BC">
        <w:rPr>
          <w:rFonts w:ascii="Arial" w:hAnsi="Arial" w:hint="eastAsia"/>
          <w:rtl/>
        </w:rPr>
        <w:t>מנת</w:t>
      </w:r>
      <w:r w:rsidRPr="009961BC">
        <w:rPr>
          <w:rFonts w:ascii="Arial" w:hAnsi="Arial"/>
          <w:rtl/>
        </w:rPr>
        <w:t xml:space="preserve"> </w:t>
      </w:r>
      <w:r w:rsidRPr="009961BC">
        <w:rPr>
          <w:rFonts w:ascii="Arial" w:hAnsi="Arial" w:hint="eastAsia"/>
          <w:rtl/>
        </w:rPr>
        <w:t>לבצע</w:t>
      </w:r>
      <w:r w:rsidRPr="009961BC">
        <w:rPr>
          <w:rFonts w:ascii="Arial" w:hAnsi="Arial"/>
          <w:rtl/>
        </w:rPr>
        <w:t xml:space="preserve"> </w:t>
      </w:r>
      <w:r w:rsidRPr="009961BC">
        <w:rPr>
          <w:rFonts w:ascii="Arial" w:hAnsi="Arial" w:hint="eastAsia"/>
          <w:rtl/>
        </w:rPr>
        <w:t>חיפוש</w:t>
      </w:r>
      <w:r w:rsidRPr="009961BC">
        <w:rPr>
          <w:rFonts w:ascii="Arial" w:hAnsi="Arial"/>
          <w:rtl/>
        </w:rPr>
        <w:t xml:space="preserve"> </w:t>
      </w:r>
      <w:r w:rsidRPr="009961BC">
        <w:rPr>
          <w:rFonts w:ascii="Arial" w:hAnsi="Arial" w:hint="eastAsia"/>
          <w:rtl/>
        </w:rPr>
        <w:t>כדין</w:t>
      </w:r>
      <w:r w:rsidRPr="009961BC">
        <w:rPr>
          <w:rFonts w:ascii="Arial" w:hAnsi="Arial"/>
          <w:rtl/>
        </w:rPr>
        <w:t xml:space="preserve">, מהווה נסיבה מחמירה משמעותית בעיניי. הנאשם התמיד בניסיון זה גם לאחר שמעד ונפצע, כשהשליך את הנשק בפח וניסה להסתתר. העובדה כי פעל כאמור, מלמדת על נחישותו להכשיל את עבודתם של השוטרים. </w:t>
      </w:r>
    </w:p>
    <w:p w14:paraId="4DBEA9FC" w14:textId="77777777" w:rsidR="00EC0DAB" w:rsidRPr="009961BC" w:rsidRDefault="00EC0DAB" w:rsidP="00EC0DAB">
      <w:pPr>
        <w:spacing w:line="360" w:lineRule="auto"/>
        <w:jc w:val="both"/>
        <w:rPr>
          <w:rFonts w:ascii="Arial" w:hAnsi="Arial"/>
          <w:rtl/>
        </w:rPr>
      </w:pPr>
    </w:p>
    <w:p w14:paraId="268BF859" w14:textId="77777777" w:rsidR="00EC0DAB" w:rsidRDefault="00EC0DAB" w:rsidP="00EC0DAB">
      <w:pPr>
        <w:spacing w:line="360" w:lineRule="auto"/>
        <w:jc w:val="both"/>
        <w:rPr>
          <w:rFonts w:ascii="Arial" w:hAnsi="Arial"/>
          <w:rtl/>
        </w:rPr>
      </w:pPr>
      <w:r w:rsidRPr="009961BC">
        <w:rPr>
          <w:rFonts w:ascii="Arial" w:hAnsi="Arial" w:hint="eastAsia"/>
          <w:rtl/>
        </w:rPr>
        <w:t>ב</w:t>
      </w:r>
      <w:r w:rsidRPr="009961BC">
        <w:rPr>
          <w:rFonts w:ascii="Arial" w:hAnsi="Arial"/>
          <w:rtl/>
        </w:rPr>
        <w:t xml:space="preserve">"כ </w:t>
      </w:r>
      <w:r w:rsidRPr="009961BC">
        <w:rPr>
          <w:rFonts w:ascii="Arial" w:hAnsi="Arial" w:hint="eastAsia"/>
          <w:rtl/>
        </w:rPr>
        <w:t>הנאשם</w:t>
      </w:r>
      <w:r w:rsidRPr="009961BC">
        <w:rPr>
          <w:rFonts w:ascii="Arial" w:hAnsi="Arial"/>
          <w:rtl/>
        </w:rPr>
        <w:t xml:space="preserve"> </w:t>
      </w:r>
      <w:r w:rsidRPr="009961BC">
        <w:rPr>
          <w:rFonts w:ascii="Arial" w:hAnsi="Arial" w:hint="eastAsia"/>
          <w:rtl/>
        </w:rPr>
        <w:t>ראה</w:t>
      </w:r>
      <w:r w:rsidRPr="009961BC">
        <w:rPr>
          <w:rFonts w:ascii="Arial" w:hAnsi="Arial"/>
          <w:rtl/>
        </w:rPr>
        <w:t xml:space="preserve"> </w:t>
      </w:r>
      <w:r w:rsidRPr="009961BC">
        <w:rPr>
          <w:rFonts w:ascii="Arial" w:hAnsi="Arial" w:hint="eastAsia"/>
          <w:rtl/>
        </w:rPr>
        <w:t>במניע</w:t>
      </w:r>
      <w:r w:rsidRPr="009961BC">
        <w:rPr>
          <w:rFonts w:ascii="Arial" w:hAnsi="Arial"/>
          <w:rtl/>
        </w:rPr>
        <w:t xml:space="preserve"> ההגנתי של החזקת הנשק נסיבה משמעותית לקולא. דעתי שונה. </w:t>
      </w:r>
    </w:p>
    <w:p w14:paraId="62C332F7" w14:textId="77777777" w:rsidR="00EC0DAB" w:rsidRDefault="00EC0DAB" w:rsidP="00EC0DAB">
      <w:pPr>
        <w:spacing w:line="360" w:lineRule="auto"/>
        <w:jc w:val="both"/>
        <w:rPr>
          <w:rFonts w:ascii="Arial" w:hAnsi="Arial"/>
          <w:rtl/>
        </w:rPr>
      </w:pPr>
    </w:p>
    <w:p w14:paraId="75871641" w14:textId="77777777" w:rsidR="00EC0DAB" w:rsidRPr="009961BC" w:rsidRDefault="00EC0DAB" w:rsidP="00EC0DAB">
      <w:pPr>
        <w:spacing w:line="360" w:lineRule="auto"/>
        <w:jc w:val="both"/>
        <w:rPr>
          <w:rFonts w:ascii="Arial" w:hAnsi="Arial"/>
          <w:rtl/>
        </w:rPr>
      </w:pPr>
      <w:r w:rsidRPr="009961BC">
        <w:rPr>
          <w:rFonts w:ascii="Arial" w:hAnsi="Arial" w:hint="eastAsia"/>
          <w:rtl/>
        </w:rPr>
        <w:t>ואכן</w:t>
      </w:r>
      <w:r w:rsidRPr="009961BC">
        <w:rPr>
          <w:rFonts w:ascii="Arial" w:hAnsi="Arial"/>
          <w:rtl/>
        </w:rPr>
        <w:t xml:space="preserve">, לשיטתי, גם אם המניע להחזקת הנשק היה </w:t>
      </w:r>
      <w:r>
        <w:rPr>
          <w:rFonts w:ascii="Arial" w:hAnsi="Arial" w:hint="cs"/>
          <w:rtl/>
        </w:rPr>
        <w:t>"</w:t>
      </w:r>
      <w:r w:rsidRPr="009961BC">
        <w:rPr>
          <w:rFonts w:ascii="Arial" w:hAnsi="Arial"/>
          <w:rtl/>
        </w:rPr>
        <w:t>הגנתי</w:t>
      </w:r>
      <w:r>
        <w:rPr>
          <w:rFonts w:ascii="Arial" w:hAnsi="Arial" w:hint="cs"/>
          <w:rtl/>
        </w:rPr>
        <w:t>"</w:t>
      </w:r>
      <w:r w:rsidRPr="009961BC">
        <w:rPr>
          <w:rFonts w:ascii="Arial" w:hAnsi="Arial"/>
          <w:rtl/>
        </w:rPr>
        <w:t xml:space="preserve">, אין בכך להקל עם הנאשם. </w:t>
      </w:r>
    </w:p>
    <w:p w14:paraId="5A6DA45D" w14:textId="77777777" w:rsidR="00EC0DAB" w:rsidRDefault="00EC0DAB" w:rsidP="00EC0DAB">
      <w:pPr>
        <w:spacing w:line="360" w:lineRule="auto"/>
        <w:jc w:val="both"/>
        <w:rPr>
          <w:rFonts w:ascii="Arial" w:hAnsi="Arial"/>
          <w:sz w:val="26"/>
          <w:szCs w:val="26"/>
          <w:rtl/>
        </w:rPr>
      </w:pPr>
    </w:p>
    <w:p w14:paraId="3B475B3A" w14:textId="77777777" w:rsidR="00EC0DAB" w:rsidRPr="009961BC" w:rsidRDefault="00EC0DAB" w:rsidP="00EC0DAB">
      <w:pPr>
        <w:spacing w:line="360" w:lineRule="auto"/>
        <w:jc w:val="both"/>
        <w:rPr>
          <w:rFonts w:ascii="Arial" w:hAnsi="Arial"/>
        </w:rPr>
      </w:pPr>
      <w:r w:rsidRPr="009961BC">
        <w:rPr>
          <w:rFonts w:ascii="Arial" w:hAnsi="Arial"/>
          <w:rtl/>
        </w:rPr>
        <w:t xml:space="preserve">הצורך במלחמה שערה נגד תופעת החזקת הנשק הבלתי חוקית אינו מתיישב עם תפיסה סלחנית כלפי התופעה כולה, תהא מטרת ההחזקה אשר תהא. </w:t>
      </w:r>
    </w:p>
    <w:p w14:paraId="3B8398F0" w14:textId="77777777" w:rsidR="00EC0DAB" w:rsidRPr="009961BC" w:rsidRDefault="00EC0DAB" w:rsidP="00EC0DAB">
      <w:pPr>
        <w:spacing w:line="360" w:lineRule="auto"/>
        <w:jc w:val="both"/>
        <w:rPr>
          <w:rFonts w:ascii="Arial" w:hAnsi="Arial"/>
          <w:rtl/>
        </w:rPr>
      </w:pPr>
    </w:p>
    <w:p w14:paraId="428EF2FF" w14:textId="77777777" w:rsidR="00EC0DAB" w:rsidRDefault="00EC0DAB" w:rsidP="00EC0DAB">
      <w:pPr>
        <w:spacing w:line="360" w:lineRule="auto"/>
        <w:jc w:val="both"/>
        <w:rPr>
          <w:rFonts w:ascii="Arial" w:hAnsi="Arial"/>
          <w:rtl/>
        </w:rPr>
      </w:pPr>
      <w:r w:rsidRPr="009961BC">
        <w:rPr>
          <w:rFonts w:ascii="Arial" w:hAnsi="Arial"/>
          <w:rtl/>
        </w:rPr>
        <w:t xml:space="preserve">זאת ועוד, צמצום תופעת החזקת הנשק הבלתי חוקית והשימוש בו, הפושה בחברה הישראלית בכלל ומגזר הערבי בפרט, אינו מתיישב עם עידוד עשיית דין עצמית באמצעות אותו נשק ואף לא עם השלמה לכך. על כן, התחשבות מופרזת לקולא במניע </w:t>
      </w:r>
      <w:r>
        <w:rPr>
          <w:rFonts w:ascii="Arial" w:hAnsi="Arial" w:hint="cs"/>
          <w:rtl/>
        </w:rPr>
        <w:t>"</w:t>
      </w:r>
      <w:r w:rsidRPr="009961BC">
        <w:rPr>
          <w:rFonts w:ascii="Arial" w:hAnsi="Arial"/>
          <w:rtl/>
        </w:rPr>
        <w:t>הגנתי</w:t>
      </w:r>
      <w:r>
        <w:rPr>
          <w:rFonts w:ascii="Arial" w:hAnsi="Arial" w:hint="cs"/>
          <w:rtl/>
        </w:rPr>
        <w:t>"</w:t>
      </w:r>
      <w:r w:rsidRPr="009961BC">
        <w:rPr>
          <w:rFonts w:ascii="Arial" w:hAnsi="Arial"/>
          <w:rtl/>
        </w:rPr>
        <w:t xml:space="preserve"> עלולה לחתור תחת השגת התכלית ההרתעתית של הענישה. </w:t>
      </w:r>
    </w:p>
    <w:p w14:paraId="010D093E" w14:textId="77777777" w:rsidR="00EC0DAB" w:rsidRDefault="00EC0DAB" w:rsidP="00EC0DAB">
      <w:pPr>
        <w:spacing w:line="360" w:lineRule="auto"/>
        <w:jc w:val="both"/>
        <w:rPr>
          <w:rFonts w:ascii="Arial" w:hAnsi="Arial"/>
          <w:rtl/>
        </w:rPr>
      </w:pPr>
    </w:p>
    <w:p w14:paraId="6C283283" w14:textId="77777777" w:rsidR="00EC0DAB" w:rsidRPr="009961BC" w:rsidRDefault="00EC0DAB" w:rsidP="00EC0DAB">
      <w:pPr>
        <w:spacing w:line="360" w:lineRule="auto"/>
        <w:jc w:val="both"/>
        <w:rPr>
          <w:rFonts w:ascii="Arial" w:hAnsi="Arial"/>
          <w:rtl/>
        </w:rPr>
      </w:pPr>
      <w:r w:rsidRPr="009961BC">
        <w:rPr>
          <w:rFonts w:ascii="Arial" w:hAnsi="Arial"/>
          <w:rtl/>
        </w:rPr>
        <w:t xml:space="preserve">בהתאמה לכך, נדרש לחדד בכל עת כי רשויות הביטחון, ובראשן משטרת ישראל, הן המוסמכות הבלעדיות למנוע עבריינות ולהגן על האזרח, ואין להסכים עם מציאות בה, בטענה או בתואנה ל"הגנה עצמית", יוחזק נשק בעל פוטנציאל קטלני על ידי מי שלא הורשה לכך. </w:t>
      </w:r>
    </w:p>
    <w:p w14:paraId="5D26C520" w14:textId="77777777" w:rsidR="00EC0DAB" w:rsidRDefault="00EC0DAB" w:rsidP="00EC0DAB">
      <w:pPr>
        <w:spacing w:line="360" w:lineRule="auto"/>
        <w:jc w:val="both"/>
        <w:rPr>
          <w:rFonts w:ascii="Arial" w:hAnsi="Arial"/>
          <w:sz w:val="26"/>
          <w:szCs w:val="26"/>
          <w:rtl/>
        </w:rPr>
      </w:pPr>
    </w:p>
    <w:p w14:paraId="33653378" w14:textId="77777777" w:rsidR="00EC0DAB" w:rsidRPr="009961BC" w:rsidRDefault="00EC0DAB" w:rsidP="00EC0DAB">
      <w:pPr>
        <w:spacing w:line="360" w:lineRule="auto"/>
        <w:jc w:val="both"/>
        <w:rPr>
          <w:rFonts w:ascii="Arial" w:hAnsi="Arial"/>
          <w:rtl/>
        </w:rPr>
      </w:pPr>
      <w:r w:rsidRPr="009961BC">
        <w:rPr>
          <w:rFonts w:ascii="Arial" w:hAnsi="Arial"/>
          <w:rtl/>
        </w:rPr>
        <w:t xml:space="preserve">הדברים זכו להתייחסות מפורשת של בית המשפט העליון בעניין </w:t>
      </w:r>
      <w:r w:rsidRPr="009961BC">
        <w:rPr>
          <w:rFonts w:ascii="Arial" w:hAnsi="Arial"/>
          <w:b/>
          <w:bCs/>
          <w:rtl/>
        </w:rPr>
        <w:t>סובח</w:t>
      </w:r>
      <w:r w:rsidRPr="009961BC">
        <w:rPr>
          <w:rFonts w:ascii="Arial" w:hAnsi="Arial"/>
          <w:rtl/>
        </w:rPr>
        <w:t>:</w:t>
      </w:r>
    </w:p>
    <w:p w14:paraId="4C744A13" w14:textId="77777777" w:rsidR="00EC0DAB" w:rsidRPr="009961BC" w:rsidRDefault="00EC0DAB" w:rsidP="00EC0DAB">
      <w:pPr>
        <w:spacing w:line="360" w:lineRule="auto"/>
        <w:jc w:val="both"/>
        <w:rPr>
          <w:rFonts w:ascii="Arial" w:hAnsi="Arial"/>
          <w:sz w:val="12"/>
          <w:szCs w:val="12"/>
          <w:rtl/>
        </w:rPr>
      </w:pPr>
    </w:p>
    <w:p w14:paraId="244A9FAF" w14:textId="77777777" w:rsidR="00EC0DAB" w:rsidRPr="009961BC" w:rsidRDefault="00EC0DAB" w:rsidP="00EC0DAB">
      <w:pPr>
        <w:spacing w:line="360" w:lineRule="auto"/>
        <w:ind w:left="708" w:right="851"/>
        <w:jc w:val="both"/>
        <w:rPr>
          <w:rFonts w:ascii="Arial" w:hAnsi="Arial"/>
          <w:rtl/>
        </w:rPr>
      </w:pPr>
      <w:r w:rsidRPr="009961BC">
        <w:rPr>
          <w:rFonts w:ascii="Arial" w:hAnsi="Arial"/>
          <w:b/>
          <w:bCs/>
          <w:i/>
          <w:iCs/>
          <w:rtl/>
        </w:rPr>
        <w:t>"... אף אם הנשק נרכש למטרות "הגנה עצמית", הזמינות של הנשק מעודדת את השימוש בו לביצוע עבירות שונות ולהחרפת תוצאותיהן.."</w:t>
      </w:r>
      <w:r w:rsidRPr="009961BC">
        <w:rPr>
          <w:rFonts w:ascii="Arial" w:hAnsi="Arial"/>
          <w:rtl/>
        </w:rPr>
        <w:t xml:space="preserve"> (</w:t>
      </w:r>
      <w:hyperlink r:id="rId21" w:history="1">
        <w:r w:rsidR="001A1ADE" w:rsidRPr="001A1ADE">
          <w:rPr>
            <w:rFonts w:ascii="Arial" w:hAnsi="Arial"/>
            <w:color w:val="0000FF"/>
            <w:u w:val="single"/>
            <w:rtl/>
          </w:rPr>
          <w:t>ע"פ 4406/19</w:t>
        </w:r>
      </w:hyperlink>
      <w:r w:rsidRPr="009961BC">
        <w:rPr>
          <w:rFonts w:ascii="Arial" w:hAnsi="Arial"/>
          <w:rtl/>
        </w:rPr>
        <w:t xml:space="preserve"> </w:t>
      </w:r>
      <w:r w:rsidRPr="009961BC">
        <w:rPr>
          <w:rFonts w:ascii="Arial" w:hAnsi="Arial"/>
          <w:b/>
          <w:bCs/>
          <w:rtl/>
        </w:rPr>
        <w:t>מדינת ישראל</w:t>
      </w:r>
      <w:r w:rsidRPr="009961BC">
        <w:rPr>
          <w:rFonts w:ascii="Arial" w:hAnsi="Arial"/>
          <w:rtl/>
        </w:rPr>
        <w:t xml:space="preserve"> נ' </w:t>
      </w:r>
      <w:r w:rsidRPr="009961BC">
        <w:rPr>
          <w:rFonts w:ascii="Arial" w:hAnsi="Arial"/>
          <w:b/>
          <w:bCs/>
          <w:rtl/>
        </w:rPr>
        <w:t xml:space="preserve">סובח </w:t>
      </w:r>
      <w:r w:rsidRPr="009961BC">
        <w:rPr>
          <w:rFonts w:ascii="Arial" w:hAnsi="Arial"/>
          <w:rtl/>
        </w:rPr>
        <w:t>(פורסם בנבו, 5.11.19)</w:t>
      </w:r>
    </w:p>
    <w:p w14:paraId="5DDCBBD0" w14:textId="77777777" w:rsidR="00EC0DAB" w:rsidRPr="009961BC" w:rsidRDefault="00EC0DAB" w:rsidP="00EC0DAB">
      <w:pPr>
        <w:spacing w:line="360" w:lineRule="auto"/>
        <w:jc w:val="both"/>
        <w:rPr>
          <w:rFonts w:ascii="Arial" w:hAnsi="Arial"/>
          <w:sz w:val="14"/>
          <w:szCs w:val="14"/>
          <w:rtl/>
        </w:rPr>
      </w:pPr>
    </w:p>
    <w:p w14:paraId="781E0016" w14:textId="77777777" w:rsidR="00EC0DAB" w:rsidRPr="009961BC" w:rsidRDefault="00EC0DAB" w:rsidP="00EC0DAB">
      <w:pPr>
        <w:spacing w:line="360" w:lineRule="auto"/>
        <w:jc w:val="both"/>
        <w:rPr>
          <w:rFonts w:ascii="Arial" w:hAnsi="Arial"/>
          <w:rtl/>
        </w:rPr>
      </w:pPr>
      <w:r w:rsidRPr="009961BC">
        <w:rPr>
          <w:rFonts w:ascii="Arial" w:hAnsi="Arial"/>
          <w:rtl/>
        </w:rPr>
        <w:t xml:space="preserve">אשר על כן, בעוד מניע ברור לשימוש בנשק למטרות פליליות או ביטחוניות ישמש כנסיבה משמעותית להחמרה בעונש, אין במניע "הגנתי" בלבד כדי להקל </w:t>
      </w:r>
      <w:r w:rsidRPr="009961BC">
        <w:rPr>
          <w:rFonts w:ascii="Arial" w:hAnsi="Arial" w:hint="eastAsia"/>
          <w:rtl/>
        </w:rPr>
        <w:t>במידה</w:t>
      </w:r>
      <w:r w:rsidRPr="009961BC">
        <w:rPr>
          <w:rFonts w:ascii="Arial" w:hAnsi="Arial"/>
          <w:rtl/>
        </w:rPr>
        <w:t xml:space="preserve"> רבה עם הנאשם.  </w:t>
      </w:r>
    </w:p>
    <w:p w14:paraId="31F650EB" w14:textId="77777777" w:rsidR="00EC0DAB" w:rsidRPr="009961BC" w:rsidRDefault="00EC0DAB" w:rsidP="00EC0DAB">
      <w:pPr>
        <w:spacing w:line="360" w:lineRule="auto"/>
        <w:jc w:val="both"/>
        <w:rPr>
          <w:rFonts w:ascii="Arial" w:hAnsi="Arial"/>
          <w:rtl/>
        </w:rPr>
      </w:pPr>
    </w:p>
    <w:p w14:paraId="518B03D6" w14:textId="77777777" w:rsidR="00EC0DAB" w:rsidRPr="009961BC" w:rsidRDefault="00EC0DAB" w:rsidP="00EC0DAB">
      <w:pPr>
        <w:spacing w:line="360" w:lineRule="auto"/>
        <w:jc w:val="both"/>
        <w:rPr>
          <w:rFonts w:ascii="Arial" w:hAnsi="Arial"/>
          <w:rtl/>
        </w:rPr>
      </w:pPr>
      <w:r w:rsidRPr="009961BC">
        <w:rPr>
          <w:rFonts w:ascii="Arial" w:hAnsi="Arial" w:hint="eastAsia"/>
          <w:rtl/>
        </w:rPr>
        <w:t>לבסוף</w:t>
      </w:r>
      <w:r w:rsidRPr="009961BC">
        <w:rPr>
          <w:rFonts w:ascii="Arial" w:hAnsi="Arial"/>
          <w:rtl/>
        </w:rPr>
        <w:t xml:space="preserve">, </w:t>
      </w:r>
      <w:r>
        <w:rPr>
          <w:rFonts w:ascii="Arial" w:hAnsi="Arial" w:hint="cs"/>
          <w:rtl/>
        </w:rPr>
        <w:t xml:space="preserve">במקרה דנן, </w:t>
      </w:r>
      <w:r w:rsidRPr="009961BC">
        <w:rPr>
          <w:rFonts w:ascii="Arial" w:hAnsi="Arial"/>
          <w:rtl/>
        </w:rPr>
        <w:t>תפיסת כלי הנשק מצמצמת את פוטנציאל הנזק העתידי, נסיבה העומדת לזכות הנאשם, גם אם לא נוצרה בע</w:t>
      </w:r>
      <w:r w:rsidRPr="009961BC">
        <w:rPr>
          <w:rFonts w:ascii="Arial" w:hAnsi="Arial" w:hint="eastAsia"/>
          <w:rtl/>
        </w:rPr>
        <w:t>ט</w:t>
      </w:r>
      <w:r w:rsidRPr="009961BC">
        <w:rPr>
          <w:rFonts w:ascii="Arial" w:hAnsi="Arial"/>
          <w:rtl/>
        </w:rPr>
        <w:t>יו.</w:t>
      </w:r>
    </w:p>
    <w:p w14:paraId="5D1F18FC" w14:textId="77777777" w:rsidR="00EC0DAB" w:rsidRDefault="00EC0DAB" w:rsidP="00EC0DAB">
      <w:pPr>
        <w:spacing w:line="360" w:lineRule="auto"/>
        <w:jc w:val="both"/>
        <w:rPr>
          <w:rFonts w:ascii="Arial" w:hAnsi="Arial"/>
          <w:sz w:val="26"/>
          <w:szCs w:val="26"/>
          <w:rtl/>
        </w:rPr>
      </w:pPr>
    </w:p>
    <w:p w14:paraId="0D0E5923" w14:textId="77777777" w:rsidR="00EC0DAB" w:rsidRDefault="00EC0DAB" w:rsidP="00EC0DAB">
      <w:pPr>
        <w:spacing w:line="360" w:lineRule="auto"/>
        <w:jc w:val="both"/>
        <w:rPr>
          <w:rFonts w:ascii="Arial" w:hAnsi="Arial"/>
          <w:b/>
          <w:bCs/>
          <w:rtl/>
        </w:rPr>
      </w:pPr>
      <w:r w:rsidRPr="009961BC">
        <w:rPr>
          <w:rFonts w:ascii="Arial" w:hAnsi="Arial"/>
          <w:b/>
          <w:bCs/>
          <w:rtl/>
        </w:rPr>
        <w:t xml:space="preserve">מדיניות הענישה </w:t>
      </w:r>
    </w:p>
    <w:p w14:paraId="7A7E422B" w14:textId="77777777" w:rsidR="00EC0DAB" w:rsidRPr="0071549C" w:rsidRDefault="00EC0DAB" w:rsidP="00EC0DAB">
      <w:pPr>
        <w:spacing w:line="360" w:lineRule="auto"/>
        <w:jc w:val="both"/>
        <w:rPr>
          <w:rFonts w:ascii="Arial" w:hAnsi="Arial"/>
          <w:b/>
          <w:bCs/>
          <w:sz w:val="16"/>
          <w:szCs w:val="16"/>
        </w:rPr>
      </w:pPr>
    </w:p>
    <w:p w14:paraId="58BD5D23" w14:textId="77777777" w:rsidR="00EC0DAB" w:rsidRDefault="00EC0DAB" w:rsidP="00EC0DAB">
      <w:pPr>
        <w:spacing w:line="360" w:lineRule="auto"/>
        <w:jc w:val="both"/>
        <w:rPr>
          <w:rFonts w:ascii="Arial" w:hAnsi="Arial"/>
          <w:b/>
          <w:bCs/>
          <w:rtl/>
        </w:rPr>
      </w:pPr>
      <w:r w:rsidRPr="009961BC">
        <w:rPr>
          <w:rFonts w:ascii="Arial" w:hAnsi="Arial"/>
          <w:rtl/>
        </w:rPr>
        <w:t xml:space="preserve">על רקע פגיעתן הקשה של עבירות הנשק בערכים מרכזיים כהגנה על חי האדם, הביטחון, הסדר הציבורי והמשילות השלטונית, ולאור נפוצות עבירות הקשורות להחזקת נשק שלא כדין ונשיאתו, שהוגדרה כ"מכת מדינה" (ראו </w:t>
      </w:r>
      <w:hyperlink r:id="rId22" w:history="1">
        <w:r w:rsidR="001A1ADE" w:rsidRPr="001A1ADE">
          <w:rPr>
            <w:rFonts w:ascii="Arial" w:hAnsi="Arial"/>
            <w:color w:val="0000FF"/>
            <w:u w:val="single"/>
            <w:rtl/>
          </w:rPr>
          <w:t>ע"פ 2482/22</w:t>
        </w:r>
      </w:hyperlink>
      <w:r w:rsidRPr="009961BC">
        <w:rPr>
          <w:rFonts w:ascii="Arial" w:hAnsi="Arial"/>
          <w:rtl/>
        </w:rPr>
        <w:t xml:space="preserve"> </w:t>
      </w:r>
      <w:r w:rsidRPr="009961BC">
        <w:rPr>
          <w:rFonts w:ascii="Arial" w:hAnsi="Arial"/>
          <w:b/>
          <w:bCs/>
          <w:rtl/>
        </w:rPr>
        <w:t>מדינת ישראל</w:t>
      </w:r>
      <w:r w:rsidRPr="009961BC">
        <w:rPr>
          <w:rFonts w:ascii="Arial" w:hAnsi="Arial"/>
          <w:rtl/>
        </w:rPr>
        <w:t xml:space="preserve"> נ' </w:t>
      </w:r>
      <w:r w:rsidRPr="009961BC">
        <w:rPr>
          <w:rFonts w:ascii="Arial" w:hAnsi="Arial"/>
          <w:b/>
          <w:bCs/>
          <w:rtl/>
        </w:rPr>
        <w:t>קדורה</w:t>
      </w:r>
      <w:r w:rsidRPr="009961BC">
        <w:rPr>
          <w:rFonts w:ascii="Arial" w:hAnsi="Arial"/>
          <w:rtl/>
        </w:rPr>
        <w:t xml:space="preserve"> (פורסם בנבו, 14.4.22) וכ"מצב חירום לאומי" (ראו עניין </w:t>
      </w:r>
      <w:r w:rsidRPr="009961BC">
        <w:rPr>
          <w:rFonts w:ascii="Arial" w:hAnsi="Arial"/>
          <w:b/>
          <w:bCs/>
          <w:rtl/>
        </w:rPr>
        <w:t>אגבאריה</w:t>
      </w:r>
      <w:r w:rsidRPr="009961BC">
        <w:rPr>
          <w:rFonts w:ascii="Arial" w:hAnsi="Arial"/>
          <w:rtl/>
        </w:rPr>
        <w:t xml:space="preserve"> הנ"ל), ניכרת החמרה בענישה והודגש הצורך בהטלת עונשי מאסר משמעותיים</w:t>
      </w:r>
      <w:r>
        <w:rPr>
          <w:rFonts w:ascii="Arial" w:hAnsi="Arial"/>
          <w:sz w:val="26"/>
          <w:szCs w:val="26"/>
          <w:rtl/>
        </w:rPr>
        <w:t>.</w:t>
      </w:r>
    </w:p>
    <w:p w14:paraId="73AAE8BF" w14:textId="77777777" w:rsidR="00EC0DAB" w:rsidRDefault="00EC0DAB" w:rsidP="00EC0DAB">
      <w:pPr>
        <w:spacing w:line="360" w:lineRule="auto"/>
        <w:jc w:val="both"/>
        <w:rPr>
          <w:rFonts w:ascii="Arial" w:hAnsi="Arial"/>
          <w:b/>
          <w:bCs/>
          <w:rtl/>
        </w:rPr>
      </w:pPr>
    </w:p>
    <w:p w14:paraId="7EAFC9D7" w14:textId="77777777" w:rsidR="00EC0DAB" w:rsidRDefault="00EC0DAB" w:rsidP="00EC0DAB">
      <w:pPr>
        <w:spacing w:line="360" w:lineRule="auto"/>
        <w:jc w:val="both"/>
        <w:rPr>
          <w:rFonts w:ascii="Arial" w:hAnsi="Arial"/>
          <w:rtl/>
        </w:rPr>
      </w:pPr>
      <w:r w:rsidRPr="007A17C2">
        <w:rPr>
          <w:rFonts w:ascii="Arial" w:hAnsi="Arial" w:hint="cs"/>
          <w:rtl/>
        </w:rPr>
        <w:t xml:space="preserve">הדברים באו לידי ביטוי חוזר ונשנה בפסיקת בית המשפט העליון בשנים האחרונות. </w:t>
      </w:r>
    </w:p>
    <w:p w14:paraId="38DF3105" w14:textId="77777777" w:rsidR="00EC0DAB" w:rsidRDefault="00EC0DAB" w:rsidP="00EC0DAB">
      <w:pPr>
        <w:spacing w:line="360" w:lineRule="auto"/>
        <w:jc w:val="both"/>
        <w:rPr>
          <w:rFonts w:ascii="Arial" w:hAnsi="Arial"/>
          <w:rtl/>
        </w:rPr>
      </w:pPr>
      <w:r>
        <w:rPr>
          <w:rFonts w:ascii="Arial" w:hAnsi="Arial" w:hint="cs"/>
          <w:rtl/>
        </w:rPr>
        <w:t xml:space="preserve">כך נקבע לדוגמא בעניין </w:t>
      </w:r>
      <w:r w:rsidRPr="007A17C2">
        <w:rPr>
          <w:rFonts w:ascii="Arial" w:hAnsi="Arial" w:hint="cs"/>
          <w:b/>
          <w:bCs/>
          <w:rtl/>
        </w:rPr>
        <w:t>קריף</w:t>
      </w:r>
      <w:r>
        <w:rPr>
          <w:rFonts w:ascii="Arial" w:hAnsi="Arial" w:hint="cs"/>
          <w:rtl/>
        </w:rPr>
        <w:t>:</w:t>
      </w:r>
    </w:p>
    <w:p w14:paraId="656866A7" w14:textId="77777777" w:rsidR="00EC0DAB" w:rsidRDefault="00EC0DAB" w:rsidP="00EC0DAB">
      <w:pPr>
        <w:pStyle w:val="1"/>
        <w:bidi/>
        <w:spacing w:line="360" w:lineRule="auto"/>
        <w:ind w:left="850" w:right="851"/>
        <w:jc w:val="both"/>
        <w:rPr>
          <w:rFonts w:ascii="Arial" w:hAnsi="Arial" w:cs="David"/>
          <w:rtl/>
        </w:rPr>
      </w:pPr>
      <w:r w:rsidRPr="005014B9">
        <w:rPr>
          <w:rFonts w:ascii="Arial" w:hAnsi="Arial" w:cs="David" w:hint="cs"/>
          <w:b/>
          <w:bCs/>
          <w:i/>
          <w:iCs/>
          <w:rtl/>
        </w:rPr>
        <w:t>"</w:t>
      </w:r>
      <w:r w:rsidRPr="005014B9">
        <w:rPr>
          <w:rFonts w:ascii="Arial" w:hAnsi="Arial" w:cs="David"/>
          <w:b/>
          <w:bCs/>
          <w:i/>
          <w:iCs/>
          <w:rtl/>
        </w:rPr>
        <w:t>לעיתים נכון להחמיר בענישה בגין סוגים מסוימים של עבירות בשל אופיין, ויש שנכון להחמיר בענישה בגין ביצוע עבירות מסוימות הואיל ובתקופה הרלוונטית הן</w:t>
      </w:r>
      <w:r>
        <w:rPr>
          <w:rFonts w:ascii="Arial" w:hAnsi="Arial" w:cs="David" w:hint="cs"/>
          <w:b/>
          <w:bCs/>
          <w:i/>
          <w:iCs/>
          <w:rtl/>
        </w:rPr>
        <w:t xml:space="preserve"> </w:t>
      </w:r>
      <w:r w:rsidRPr="005014B9">
        <w:rPr>
          <w:rFonts w:ascii="Arial" w:hAnsi="Arial" w:cs="David"/>
          <w:b/>
          <w:bCs/>
          <w:i/>
          <w:iCs/>
          <w:rtl/>
        </w:rPr>
        <w:t>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w:t>
      </w:r>
      <w:r w:rsidR="001A1ADE">
        <w:rPr>
          <w:rFonts w:ascii="Arial" w:hAnsi="Arial" w:cs="David"/>
          <w:b/>
          <w:bCs/>
          <w:i/>
          <w:iCs/>
          <w:rtl/>
        </w:rPr>
        <w:t xml:space="preserve"> </w:t>
      </w:r>
      <w:r w:rsidRPr="005014B9">
        <w:rPr>
          <w:rFonts w:ascii="Arial" w:hAnsi="Arial" w:cs="David"/>
          <w:b/>
          <w:bCs/>
          <w:i/>
          <w:iCs/>
          <w:rtl/>
        </w:rPr>
        <w:t>ענישה מחמירה, מעבר לזו שהייתה נקוטה בעבר.</w:t>
      </w:r>
      <w:r w:rsidR="001A1ADE">
        <w:rPr>
          <w:rFonts w:ascii="Arial" w:hAnsi="Arial" w:cs="David"/>
          <w:b/>
          <w:bCs/>
          <w:i/>
          <w:iCs/>
          <w:rtl/>
        </w:rPr>
        <w:t xml:space="preserve"> </w:t>
      </w:r>
      <w:r w:rsidRPr="005014B9">
        <w:rPr>
          <w:rFonts w:ascii="Arial" w:hAnsi="Arial" w:cs="David"/>
          <w:b/>
          <w:bCs/>
          <w:i/>
          <w:iCs/>
          <w:rtl/>
        </w:rPr>
        <w:t>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w:t>
      </w:r>
      <w:r w:rsidR="001A1ADE">
        <w:rPr>
          <w:rFonts w:ascii="Arial" w:hAnsi="Arial" w:cs="David"/>
          <w:b/>
          <w:bCs/>
          <w:i/>
          <w:iCs/>
          <w:rtl/>
        </w:rPr>
        <w:t xml:space="preserve"> </w:t>
      </w:r>
      <w:r w:rsidRPr="005014B9">
        <w:rPr>
          <w:rFonts w:ascii="Arial" w:hAnsi="Arial" w:cs="David"/>
          <w:b/>
          <w:bCs/>
          <w:i/>
          <w:iCs/>
          <w:rtl/>
        </w:rPr>
        <w:t>לא פעם נפגעי העבירה נקלעים למקום במקרה, ואינם קשורים למעגל עברייני כלשהו. כל חטאו של נפגע עבירה, לפעמים, הוא בכך שיצא מביתו ובחר להסתובב ברשות הרבים.</w:t>
      </w:r>
      <w:r>
        <w:rPr>
          <w:rFonts w:ascii="Arial" w:hAnsi="Arial" w:cs="David" w:hint="cs"/>
          <w:b/>
          <w:bCs/>
          <w:i/>
          <w:iCs/>
          <w:rtl/>
        </w:rPr>
        <w:t>"</w:t>
      </w:r>
      <w:r w:rsidRPr="005014B9">
        <w:rPr>
          <w:rFonts w:ascii="Arial" w:hAnsi="Arial" w:cs="David" w:hint="cs"/>
          <w:rtl/>
        </w:rPr>
        <w:t xml:space="preserve"> (</w:t>
      </w:r>
      <w:hyperlink r:id="rId23" w:history="1">
        <w:r w:rsidR="001A1ADE" w:rsidRPr="001A1ADE">
          <w:rPr>
            <w:rFonts w:ascii="Arial" w:hAnsi="Arial" w:cs="David"/>
            <w:color w:val="0000FF"/>
            <w:u w:val="single"/>
            <w:rtl/>
          </w:rPr>
          <w:t>ע"פ 6383/21</w:t>
        </w:r>
      </w:hyperlink>
      <w:r w:rsidRPr="005014B9">
        <w:rPr>
          <w:rFonts w:ascii="Arial" w:hAnsi="Arial" w:cs="David" w:hint="cs"/>
          <w:rtl/>
        </w:rPr>
        <w:t xml:space="preserve"> </w:t>
      </w:r>
      <w:r w:rsidRPr="005014B9">
        <w:rPr>
          <w:rFonts w:ascii="Arial" w:hAnsi="Arial" w:cs="David" w:hint="cs"/>
          <w:b/>
          <w:bCs/>
          <w:rtl/>
        </w:rPr>
        <w:t>קריף</w:t>
      </w:r>
      <w:r w:rsidRPr="005014B9">
        <w:rPr>
          <w:rFonts w:ascii="Arial" w:hAnsi="Arial" w:cs="David" w:hint="cs"/>
          <w:rtl/>
        </w:rPr>
        <w:t xml:space="preserve"> נ' </w:t>
      </w:r>
      <w:r w:rsidRPr="005014B9">
        <w:rPr>
          <w:rFonts w:ascii="Arial" w:hAnsi="Arial" w:cs="David" w:hint="cs"/>
          <w:b/>
          <w:bCs/>
          <w:rtl/>
        </w:rPr>
        <w:t>מדינת ישראל</w:t>
      </w:r>
      <w:r w:rsidRPr="005014B9">
        <w:rPr>
          <w:rFonts w:ascii="Arial" w:hAnsi="Arial" w:cs="David" w:hint="cs"/>
          <w:rtl/>
        </w:rPr>
        <w:t xml:space="preserve"> (פורסם בנבו, 13.2.22)</w:t>
      </w:r>
      <w:r>
        <w:rPr>
          <w:rFonts w:ascii="Arial" w:hAnsi="Arial" w:cs="David" w:hint="cs"/>
          <w:rtl/>
        </w:rPr>
        <w:t>.</w:t>
      </w:r>
    </w:p>
    <w:p w14:paraId="71370CB3" w14:textId="77777777" w:rsidR="00EC0DAB" w:rsidRPr="009961BC" w:rsidRDefault="00EC0DAB" w:rsidP="00EC0DAB">
      <w:pPr>
        <w:pStyle w:val="ruller5"/>
        <w:bidi/>
        <w:spacing w:before="0" w:beforeAutospacing="0" w:after="0" w:afterAutospacing="0" w:line="360" w:lineRule="auto"/>
        <w:jc w:val="both"/>
        <w:rPr>
          <w:rFonts w:ascii="Arial" w:hAnsi="Arial" w:cs="David"/>
          <w:rtl/>
        </w:rPr>
      </w:pPr>
      <w:r w:rsidRPr="009961BC">
        <w:rPr>
          <w:rFonts w:ascii="Arial" w:hAnsi="Arial" w:cs="David"/>
          <w:rtl/>
        </w:rPr>
        <w:t>יתרה מזו, מעבר לפוטנציאל הנזק הישיר הטמון בנשיאת נשק בלתי חוקית ובשימוש בו, נדרש לתת את הדעת להשפעות החברתיות הרוחביות וההרסניות, הנגרמות מהתפשטות תופעת נשיאת נשק לא חוקי וההחזקה בו. זו מייצרת אווירה ציבורית בה "כל דאלים גבר", בעקבותיה נדחק מקומם של גורמי האכיפה והביטחון, ונוצרת "תרבות" כללית אלימה ועבריינית, הרואה בחיוב החזקת נשק, נשיאתו והשימוש בו.</w:t>
      </w:r>
    </w:p>
    <w:p w14:paraId="67EF2EC7" w14:textId="77777777" w:rsidR="00EC0DAB" w:rsidRPr="009961BC" w:rsidRDefault="00EC0DAB" w:rsidP="00EC0DAB">
      <w:pPr>
        <w:pStyle w:val="ruller5"/>
        <w:bidi/>
        <w:spacing w:before="0" w:beforeAutospacing="0" w:after="0" w:afterAutospacing="0" w:line="360" w:lineRule="auto"/>
        <w:jc w:val="both"/>
        <w:rPr>
          <w:rFonts w:ascii="Arial" w:hAnsi="Arial" w:cs="David"/>
          <w:rtl/>
        </w:rPr>
      </w:pPr>
    </w:p>
    <w:p w14:paraId="5DE27CF4" w14:textId="77777777" w:rsidR="00EC0DAB" w:rsidRPr="009961BC" w:rsidRDefault="00EC0DAB" w:rsidP="00EC0DAB">
      <w:pPr>
        <w:pStyle w:val="ruller5"/>
        <w:bidi/>
        <w:spacing w:before="0" w:beforeAutospacing="0" w:after="0" w:afterAutospacing="0" w:line="360" w:lineRule="auto"/>
        <w:jc w:val="both"/>
        <w:rPr>
          <w:rFonts w:ascii="Arial" w:hAnsi="Arial" w:cs="David"/>
          <w:rtl/>
        </w:rPr>
      </w:pPr>
      <w:r w:rsidRPr="009961BC">
        <w:rPr>
          <w:rFonts w:ascii="Arial" w:hAnsi="Arial" w:cs="David" w:hint="eastAsia"/>
          <w:rtl/>
        </w:rPr>
        <w:t>גם</w:t>
      </w:r>
      <w:r w:rsidRPr="009961BC">
        <w:rPr>
          <w:rFonts w:ascii="Arial" w:hAnsi="Arial" w:cs="David"/>
          <w:rtl/>
        </w:rPr>
        <w:t xml:space="preserve"> אל היבטים אלה התייחס בית המשפט העליון בעניין </w:t>
      </w:r>
      <w:r w:rsidRPr="009961BC">
        <w:rPr>
          <w:rFonts w:ascii="Arial" w:hAnsi="Arial" w:cs="David" w:hint="eastAsia"/>
          <w:b/>
          <w:bCs/>
          <w:rtl/>
        </w:rPr>
        <w:t>קריף</w:t>
      </w:r>
      <w:r w:rsidRPr="009961BC">
        <w:rPr>
          <w:rFonts w:ascii="Arial" w:hAnsi="Arial" w:cs="David"/>
          <w:rtl/>
        </w:rPr>
        <w:t xml:space="preserve"> הנ"ל, בקובעו:</w:t>
      </w:r>
    </w:p>
    <w:p w14:paraId="54E095B9" w14:textId="77777777" w:rsidR="00EC0DAB" w:rsidRDefault="00EC0DAB" w:rsidP="00EC0DAB">
      <w:pPr>
        <w:pStyle w:val="ruller5"/>
        <w:bidi/>
        <w:spacing w:before="0" w:beforeAutospacing="0" w:after="0" w:afterAutospacing="0" w:line="360" w:lineRule="auto"/>
        <w:jc w:val="both"/>
        <w:rPr>
          <w:rFonts w:ascii="Arial" w:hAnsi="Arial" w:cs="David"/>
          <w:sz w:val="26"/>
          <w:szCs w:val="26"/>
          <w:rtl/>
        </w:rPr>
      </w:pPr>
    </w:p>
    <w:p w14:paraId="46DCC86D" w14:textId="77777777" w:rsidR="00EC0DAB" w:rsidRDefault="00EC0DAB" w:rsidP="00EC0DAB">
      <w:pPr>
        <w:pStyle w:val="ruller5"/>
        <w:bidi/>
        <w:spacing w:before="0" w:beforeAutospacing="0" w:after="0" w:afterAutospacing="0" w:line="360" w:lineRule="auto"/>
        <w:ind w:left="850" w:right="851"/>
        <w:jc w:val="both"/>
        <w:rPr>
          <w:rFonts w:ascii="Arial" w:hAnsi="Arial" w:cs="David"/>
          <w:b/>
          <w:bCs/>
          <w:i/>
          <w:iCs/>
          <w:rtl/>
        </w:rPr>
      </w:pPr>
      <w:r>
        <w:rPr>
          <w:rFonts w:ascii="Arial" w:hAnsi="Arial" w:cs="David" w:hint="cs"/>
          <w:b/>
          <w:bCs/>
          <w:i/>
          <w:iCs/>
          <w:rtl/>
        </w:rPr>
        <w:t>"</w:t>
      </w:r>
      <w:r w:rsidRPr="005014B9">
        <w:rPr>
          <w:rFonts w:ascii="Arial" w:hAnsi="Arial" w:cs="David"/>
          <w:b/>
          <w:bCs/>
          <w:i/>
          <w:i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w:t>
      </w:r>
      <w:r>
        <w:rPr>
          <w:rFonts w:ascii="Arial" w:hAnsi="Arial" w:cs="David"/>
          <w:b/>
          <w:bCs/>
          <w:i/>
          <w:iCs/>
          <w:rtl/>
        </w:rPr>
        <w:t>פתה לשלוט בתחומים רחבים ושונים.</w:t>
      </w:r>
      <w:r>
        <w:rPr>
          <w:rFonts w:ascii="Arial" w:hAnsi="Arial" w:cs="David" w:hint="cs"/>
          <w:b/>
          <w:bCs/>
          <w:i/>
          <w:iCs/>
          <w:rtl/>
        </w:rPr>
        <w:t>..</w:t>
      </w:r>
      <w:r w:rsidRPr="005014B9">
        <w:rPr>
          <w:rFonts w:ascii="Arial" w:hAnsi="Arial" w:cs="David"/>
          <w:b/>
          <w:bCs/>
          <w:i/>
          <w:iCs/>
          <w:rtl/>
        </w:rPr>
        <w:t xml:space="preserve">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w:t>
      </w:r>
      <w:r>
        <w:rPr>
          <w:rFonts w:ascii="Arial" w:hAnsi="Arial" w:cs="David" w:hint="cs"/>
          <w:b/>
          <w:bCs/>
          <w:i/>
          <w:iCs/>
          <w:rtl/>
        </w:rPr>
        <w:t>"</w:t>
      </w:r>
      <w:r w:rsidRPr="005014B9">
        <w:rPr>
          <w:rFonts w:ascii="Arial" w:hAnsi="Arial" w:cs="David"/>
          <w:b/>
          <w:bCs/>
          <w:i/>
          <w:iCs/>
          <w:rtl/>
        </w:rPr>
        <w:t xml:space="preserve"> </w:t>
      </w:r>
    </w:p>
    <w:p w14:paraId="1F01DEDB" w14:textId="77777777" w:rsidR="00EC0DAB" w:rsidRDefault="00EC0DAB" w:rsidP="00EC0DAB">
      <w:pPr>
        <w:pStyle w:val="ruller5"/>
        <w:bidi/>
        <w:spacing w:before="0" w:beforeAutospacing="0" w:after="0" w:afterAutospacing="0" w:line="360" w:lineRule="auto"/>
        <w:jc w:val="both"/>
        <w:rPr>
          <w:rFonts w:ascii="Arial" w:hAnsi="Arial" w:cs="David"/>
          <w:rtl/>
        </w:rPr>
      </w:pPr>
    </w:p>
    <w:p w14:paraId="25CF488F" w14:textId="77777777" w:rsidR="00EC0DAB" w:rsidRDefault="00EC0DAB" w:rsidP="00EC0DAB">
      <w:pPr>
        <w:pStyle w:val="ruller5"/>
        <w:bidi/>
        <w:spacing w:before="0" w:beforeAutospacing="0" w:after="0" w:afterAutospacing="0" w:line="360" w:lineRule="auto"/>
        <w:jc w:val="both"/>
        <w:rPr>
          <w:rFonts w:ascii="Arial" w:hAnsi="Arial" w:cs="David"/>
          <w:rtl/>
        </w:rPr>
      </w:pPr>
      <w:r w:rsidRPr="00B313EF">
        <w:rPr>
          <w:rFonts w:ascii="Arial" w:hAnsi="Arial" w:cs="David" w:hint="cs"/>
          <w:rtl/>
        </w:rPr>
        <w:t>מסקנת בית המשפט הייתה על כן</w:t>
      </w:r>
      <w:r>
        <w:rPr>
          <w:rFonts w:ascii="Arial" w:hAnsi="Arial" w:cs="David" w:hint="cs"/>
          <w:rtl/>
        </w:rPr>
        <w:t xml:space="preserve"> כי</w:t>
      </w:r>
      <w:r w:rsidRPr="00B313EF">
        <w:rPr>
          <w:rFonts w:ascii="Arial" w:hAnsi="Arial" w:cs="David" w:hint="cs"/>
          <w:rtl/>
        </w:rPr>
        <w:t xml:space="preserve">: </w:t>
      </w:r>
    </w:p>
    <w:p w14:paraId="1C1F56FD" w14:textId="77777777" w:rsidR="00EC0DAB" w:rsidRPr="009961BC" w:rsidRDefault="00EC0DAB" w:rsidP="00EC0DAB">
      <w:pPr>
        <w:pStyle w:val="ruller5"/>
        <w:bidi/>
        <w:spacing w:before="0" w:beforeAutospacing="0" w:after="0" w:afterAutospacing="0" w:line="360" w:lineRule="auto"/>
        <w:jc w:val="both"/>
        <w:rPr>
          <w:rFonts w:ascii="Arial" w:hAnsi="Arial" w:cs="David"/>
          <w:sz w:val="14"/>
          <w:szCs w:val="14"/>
          <w:rtl/>
        </w:rPr>
      </w:pPr>
    </w:p>
    <w:p w14:paraId="7958F4DC" w14:textId="77777777" w:rsidR="00EC0DAB" w:rsidRPr="009961BC" w:rsidRDefault="00EC0DAB" w:rsidP="00EC0DAB">
      <w:pPr>
        <w:spacing w:line="360" w:lineRule="auto"/>
        <w:ind w:left="708" w:right="851"/>
        <w:jc w:val="both"/>
        <w:rPr>
          <w:rFonts w:ascii="Arial" w:hAnsi="Arial"/>
          <w:rtl/>
        </w:rPr>
      </w:pPr>
      <w:r>
        <w:rPr>
          <w:rFonts w:ascii="Arial" w:hAnsi="Arial" w:hint="cs"/>
          <w:b/>
          <w:bCs/>
          <w:i/>
          <w:iCs/>
          <w:rtl/>
        </w:rPr>
        <w:t>"</w:t>
      </w:r>
      <w:r w:rsidRPr="005014B9">
        <w:rPr>
          <w:rFonts w:ascii="Arial" w:hAnsi="Arial"/>
          <w:b/>
          <w:bCs/>
          <w:i/>
          <w:iCs/>
          <w:rtl/>
        </w:rPr>
        <w:t>יש לקשור</w:t>
      </w:r>
      <w:r w:rsidR="001A1ADE">
        <w:rPr>
          <w:rFonts w:ascii="Arial" w:hAnsi="Arial"/>
          <w:b/>
          <w:bCs/>
          <w:i/>
          <w:iCs/>
          <w:rtl/>
        </w:rPr>
        <w:t xml:space="preserve"> </w:t>
      </w:r>
      <w:r w:rsidRPr="005014B9">
        <w:rPr>
          <w:rFonts w:ascii="Arial" w:hAnsi="Arial"/>
          <w:b/>
          <w:bCs/>
          <w:i/>
          <w:iCs/>
          <w:rtl/>
        </w:rPr>
        <w:t>אפוא מלחמת חורמה על עבירות הנשק למיניהן, וגם על בית המשפט לתרום את חלקו למלחמה זו באמצעות ענישה הולמת ומרתיעה</w:t>
      </w:r>
      <w:r>
        <w:rPr>
          <w:rFonts w:ascii="Arial" w:hAnsi="Arial" w:hint="cs"/>
          <w:sz w:val="26"/>
          <w:szCs w:val="26"/>
          <w:rtl/>
        </w:rPr>
        <w:t>.</w:t>
      </w:r>
      <w:r w:rsidRPr="00821664">
        <w:rPr>
          <w:rFonts w:ascii="Arial" w:hAnsi="Arial" w:hint="cs"/>
          <w:sz w:val="26"/>
          <w:szCs w:val="26"/>
          <w:rtl/>
        </w:rPr>
        <w:t>"</w:t>
      </w:r>
      <w:r>
        <w:rPr>
          <w:rFonts w:ascii="Arial" w:hAnsi="Arial"/>
          <w:sz w:val="26"/>
          <w:szCs w:val="26"/>
          <w:rtl/>
        </w:rPr>
        <w:t xml:space="preserve"> </w:t>
      </w:r>
      <w:r w:rsidRPr="009961BC">
        <w:rPr>
          <w:rFonts w:ascii="Arial" w:hAnsi="Arial"/>
          <w:rtl/>
        </w:rPr>
        <w:t>(</w:t>
      </w:r>
      <w:r w:rsidRPr="009961BC">
        <w:rPr>
          <w:rFonts w:ascii="Arial" w:hAnsi="Arial" w:hint="eastAsia"/>
          <w:rtl/>
        </w:rPr>
        <w:t>ו</w:t>
      </w:r>
      <w:r w:rsidRPr="009961BC">
        <w:rPr>
          <w:rFonts w:ascii="Arial" w:hAnsi="Arial"/>
          <w:rtl/>
        </w:rPr>
        <w:t xml:space="preserve">ראו </w:t>
      </w:r>
      <w:r w:rsidRPr="009961BC">
        <w:rPr>
          <w:rFonts w:ascii="Arial" w:hAnsi="Arial" w:hint="eastAsia"/>
          <w:rtl/>
        </w:rPr>
        <w:t>עוד</w:t>
      </w:r>
      <w:r w:rsidRPr="009961BC">
        <w:rPr>
          <w:rFonts w:ascii="Arial" w:hAnsi="Arial"/>
          <w:rtl/>
        </w:rPr>
        <w:t xml:space="preserve"> באופן דומה, </w:t>
      </w:r>
      <w:hyperlink r:id="rId24" w:history="1">
        <w:r w:rsidR="001A1ADE" w:rsidRPr="001A1ADE">
          <w:rPr>
            <w:rFonts w:ascii="Arial" w:hAnsi="Arial"/>
            <w:color w:val="0000FF"/>
            <w:u w:val="single"/>
            <w:rtl/>
          </w:rPr>
          <w:t>ע"פ 4406/19</w:t>
        </w:r>
      </w:hyperlink>
      <w:r w:rsidRPr="009961BC">
        <w:rPr>
          <w:rFonts w:ascii="Arial" w:hAnsi="Arial"/>
          <w:rtl/>
        </w:rPr>
        <w:t xml:space="preserve"> </w:t>
      </w:r>
      <w:r w:rsidRPr="009961BC">
        <w:rPr>
          <w:rFonts w:ascii="Arial" w:hAnsi="Arial"/>
          <w:b/>
          <w:bCs/>
          <w:rtl/>
        </w:rPr>
        <w:t>מדינת ישראל</w:t>
      </w:r>
      <w:r w:rsidRPr="009961BC">
        <w:rPr>
          <w:rFonts w:ascii="Arial" w:hAnsi="Arial"/>
          <w:rtl/>
        </w:rPr>
        <w:t xml:space="preserve"> נ' </w:t>
      </w:r>
      <w:r w:rsidRPr="009961BC">
        <w:rPr>
          <w:rFonts w:ascii="Arial" w:hAnsi="Arial"/>
          <w:b/>
          <w:bCs/>
          <w:rtl/>
        </w:rPr>
        <w:t xml:space="preserve">סובח </w:t>
      </w:r>
      <w:r w:rsidRPr="009961BC">
        <w:rPr>
          <w:rFonts w:ascii="Arial" w:hAnsi="Arial"/>
          <w:rtl/>
        </w:rPr>
        <w:t xml:space="preserve">(פורסם בנבו, 5.11.19), </w:t>
      </w:r>
      <w:hyperlink r:id="rId25" w:history="1">
        <w:r w:rsidR="001A1ADE" w:rsidRPr="001A1ADE">
          <w:rPr>
            <w:rFonts w:ascii="Arial" w:hAnsi="Arial"/>
            <w:color w:val="0000FF"/>
            <w:u w:val="single"/>
            <w:rtl/>
          </w:rPr>
          <w:t>ע"פ 309/22</w:t>
        </w:r>
      </w:hyperlink>
      <w:r w:rsidRPr="009961BC">
        <w:rPr>
          <w:rFonts w:ascii="Arial" w:hAnsi="Arial"/>
          <w:rtl/>
        </w:rPr>
        <w:t xml:space="preserve"> </w:t>
      </w:r>
      <w:r w:rsidRPr="009961BC">
        <w:rPr>
          <w:rFonts w:ascii="Arial" w:hAnsi="Arial"/>
          <w:b/>
          <w:bCs/>
          <w:rtl/>
        </w:rPr>
        <w:t xml:space="preserve">מדינת ישראל </w:t>
      </w:r>
      <w:r w:rsidRPr="009961BC">
        <w:rPr>
          <w:rFonts w:ascii="Arial" w:hAnsi="Arial"/>
          <w:rtl/>
        </w:rPr>
        <w:t xml:space="preserve">נ' </w:t>
      </w:r>
      <w:r w:rsidRPr="009961BC">
        <w:rPr>
          <w:rFonts w:ascii="Arial" w:hAnsi="Arial"/>
          <w:b/>
          <w:bCs/>
          <w:rtl/>
        </w:rPr>
        <w:t>ביאדסה</w:t>
      </w:r>
      <w:r w:rsidRPr="009961BC">
        <w:rPr>
          <w:rFonts w:ascii="Arial" w:hAnsi="Arial"/>
          <w:rtl/>
        </w:rPr>
        <w:t xml:space="preserve"> (פורסם בנבו, 10.5.22) </w:t>
      </w:r>
      <w:r w:rsidRPr="009961BC">
        <w:rPr>
          <w:rFonts w:ascii="Arial" w:hAnsi="Arial" w:hint="eastAsia"/>
          <w:rtl/>
        </w:rPr>
        <w:t>וכן</w:t>
      </w:r>
      <w:r w:rsidRPr="009961BC">
        <w:rPr>
          <w:rFonts w:ascii="Arial" w:hAnsi="Arial"/>
          <w:rtl/>
        </w:rPr>
        <w:t xml:space="preserve"> </w:t>
      </w:r>
      <w:hyperlink r:id="rId26" w:history="1">
        <w:r w:rsidR="001A1ADE" w:rsidRPr="001A1ADE">
          <w:rPr>
            <w:rFonts w:ascii="Arial" w:hAnsi="Arial"/>
            <w:color w:val="0000FF"/>
            <w:u w:val="single"/>
            <w:rtl/>
          </w:rPr>
          <w:t>ע"פ 1695/22</w:t>
        </w:r>
      </w:hyperlink>
      <w:r w:rsidRPr="009961BC">
        <w:rPr>
          <w:rFonts w:ascii="Arial" w:hAnsi="Arial"/>
          <w:rtl/>
        </w:rPr>
        <w:t xml:space="preserve"> </w:t>
      </w:r>
      <w:r w:rsidRPr="009961BC">
        <w:rPr>
          <w:rFonts w:ascii="Arial" w:hAnsi="Arial"/>
          <w:b/>
          <w:bCs/>
          <w:rtl/>
        </w:rPr>
        <w:t xml:space="preserve">מדינת ישראל </w:t>
      </w:r>
      <w:r w:rsidRPr="009961BC">
        <w:rPr>
          <w:rFonts w:ascii="Arial" w:hAnsi="Arial"/>
          <w:rtl/>
        </w:rPr>
        <w:t xml:space="preserve">נ' </w:t>
      </w:r>
      <w:r w:rsidRPr="009961BC">
        <w:rPr>
          <w:rFonts w:ascii="Arial" w:hAnsi="Arial"/>
          <w:b/>
          <w:bCs/>
          <w:rtl/>
        </w:rPr>
        <w:t>גאנים</w:t>
      </w:r>
      <w:r w:rsidRPr="009961BC">
        <w:rPr>
          <w:rFonts w:ascii="Arial" w:hAnsi="Arial"/>
          <w:rtl/>
        </w:rPr>
        <w:t xml:space="preserve"> (פורסם בנבו, 29.3.22)). </w:t>
      </w:r>
    </w:p>
    <w:p w14:paraId="64B68AAA" w14:textId="77777777" w:rsidR="00EC0DAB" w:rsidRDefault="00EC0DAB" w:rsidP="00EC0DAB">
      <w:pPr>
        <w:spacing w:line="360" w:lineRule="auto"/>
        <w:jc w:val="both"/>
        <w:rPr>
          <w:rFonts w:ascii="Arial" w:hAnsi="Arial"/>
          <w:sz w:val="26"/>
          <w:szCs w:val="26"/>
          <w:rtl/>
        </w:rPr>
      </w:pPr>
    </w:p>
    <w:p w14:paraId="49F28794" w14:textId="77777777" w:rsidR="00EC0DAB" w:rsidRPr="009961BC" w:rsidRDefault="00EC0DAB" w:rsidP="00EC0DAB">
      <w:pPr>
        <w:spacing w:line="360" w:lineRule="auto"/>
        <w:jc w:val="both"/>
        <w:rPr>
          <w:rFonts w:ascii="Arial" w:hAnsi="Arial"/>
          <w:rtl/>
        </w:rPr>
      </w:pPr>
      <w:r w:rsidRPr="009961BC">
        <w:rPr>
          <w:rFonts w:ascii="Arial" w:hAnsi="Arial"/>
          <w:rtl/>
        </w:rPr>
        <w:t xml:space="preserve">לנוכח כלל האמור, קבע בית המשפט העליון מתחמי ענישה מפורשים בנוגע לעבירת </w:t>
      </w:r>
      <w:r w:rsidRPr="009961BC">
        <w:rPr>
          <w:rFonts w:ascii="Arial" w:hAnsi="Arial" w:hint="eastAsia"/>
          <w:rtl/>
        </w:rPr>
        <w:t>נשיאת</w:t>
      </w:r>
      <w:r w:rsidRPr="009961BC">
        <w:rPr>
          <w:rFonts w:ascii="Arial" w:hAnsi="Arial"/>
          <w:rtl/>
        </w:rPr>
        <w:t xml:space="preserve"> </w:t>
      </w:r>
      <w:r w:rsidRPr="009961BC">
        <w:rPr>
          <w:rFonts w:ascii="Arial" w:hAnsi="Arial" w:hint="eastAsia"/>
          <w:rtl/>
        </w:rPr>
        <w:t>והובלת</w:t>
      </w:r>
      <w:r w:rsidRPr="009961BC">
        <w:rPr>
          <w:rFonts w:ascii="Arial" w:hAnsi="Arial"/>
          <w:rtl/>
        </w:rPr>
        <w:t xml:space="preserve"> </w:t>
      </w:r>
      <w:r w:rsidRPr="009961BC">
        <w:rPr>
          <w:rFonts w:ascii="Arial" w:hAnsi="Arial" w:hint="eastAsia"/>
          <w:rtl/>
        </w:rPr>
        <w:t>נשק</w:t>
      </w:r>
      <w:r w:rsidRPr="009961BC">
        <w:rPr>
          <w:rFonts w:ascii="Arial" w:hAnsi="Arial"/>
          <w:rtl/>
        </w:rPr>
        <w:t xml:space="preserve"> </w:t>
      </w:r>
      <w:r w:rsidRPr="009961BC">
        <w:rPr>
          <w:rFonts w:ascii="Arial" w:hAnsi="Arial" w:hint="eastAsia"/>
          <w:rtl/>
        </w:rPr>
        <w:t>בה</w:t>
      </w:r>
      <w:r w:rsidRPr="009961BC">
        <w:rPr>
          <w:rFonts w:ascii="Arial" w:hAnsi="Arial"/>
          <w:rtl/>
        </w:rPr>
        <w:t xml:space="preserve"> </w:t>
      </w:r>
      <w:r w:rsidRPr="009961BC">
        <w:rPr>
          <w:rFonts w:ascii="Arial" w:hAnsi="Arial" w:hint="eastAsia"/>
          <w:rtl/>
        </w:rPr>
        <w:t>הורשע</w:t>
      </w:r>
      <w:r w:rsidRPr="009961BC">
        <w:rPr>
          <w:rFonts w:ascii="Arial" w:hAnsi="Arial"/>
          <w:rtl/>
        </w:rPr>
        <w:t xml:space="preserve"> </w:t>
      </w:r>
      <w:r w:rsidRPr="009961BC">
        <w:rPr>
          <w:rFonts w:ascii="Arial" w:hAnsi="Arial" w:hint="eastAsia"/>
          <w:rtl/>
        </w:rPr>
        <w:t>הנאשם</w:t>
      </w:r>
      <w:r w:rsidRPr="009961BC">
        <w:rPr>
          <w:rFonts w:ascii="Arial" w:hAnsi="Arial"/>
          <w:rtl/>
        </w:rPr>
        <w:t xml:space="preserve">. </w:t>
      </w:r>
    </w:p>
    <w:p w14:paraId="78482136" w14:textId="77777777" w:rsidR="00EC0DAB" w:rsidRPr="009961BC" w:rsidRDefault="00EC0DAB" w:rsidP="00EC0DAB">
      <w:pPr>
        <w:spacing w:line="360" w:lineRule="auto"/>
        <w:jc w:val="both"/>
        <w:rPr>
          <w:rFonts w:ascii="Arial" w:hAnsi="Arial"/>
          <w:rtl/>
        </w:rPr>
      </w:pPr>
    </w:p>
    <w:p w14:paraId="022F1CC4" w14:textId="77777777" w:rsidR="00EC0DAB" w:rsidRPr="009961BC" w:rsidRDefault="00EC0DAB" w:rsidP="00EC0DAB">
      <w:pPr>
        <w:spacing w:line="360" w:lineRule="auto"/>
        <w:jc w:val="both"/>
        <w:rPr>
          <w:rFonts w:ascii="Arial" w:hAnsi="Arial"/>
          <w:rtl/>
        </w:rPr>
      </w:pPr>
      <w:r w:rsidRPr="009961BC">
        <w:rPr>
          <w:rFonts w:ascii="Arial" w:hAnsi="Arial"/>
          <w:rtl/>
        </w:rPr>
        <w:t xml:space="preserve">כך נקבע לאחרונה בעניין </w:t>
      </w:r>
      <w:r w:rsidRPr="009961BC">
        <w:rPr>
          <w:rFonts w:ascii="Arial" w:hAnsi="Arial"/>
          <w:b/>
          <w:bCs/>
          <w:rtl/>
        </w:rPr>
        <w:t>אגבאריה</w:t>
      </w:r>
      <w:r w:rsidRPr="009961BC">
        <w:rPr>
          <w:rFonts w:ascii="Arial" w:hAnsi="Arial"/>
          <w:rtl/>
        </w:rPr>
        <w:t xml:space="preserve">: </w:t>
      </w:r>
    </w:p>
    <w:p w14:paraId="646F4053" w14:textId="77777777" w:rsidR="00EC0DAB" w:rsidRPr="009961BC" w:rsidRDefault="00EC0DAB" w:rsidP="00EC0DAB">
      <w:pPr>
        <w:spacing w:line="360" w:lineRule="auto"/>
        <w:jc w:val="both"/>
        <w:rPr>
          <w:rFonts w:ascii="Arial" w:hAnsi="Arial"/>
          <w:sz w:val="16"/>
          <w:szCs w:val="16"/>
          <w:rtl/>
        </w:rPr>
      </w:pPr>
    </w:p>
    <w:p w14:paraId="1B03A80B" w14:textId="77777777" w:rsidR="00EC0DAB" w:rsidRPr="009961BC" w:rsidRDefault="00EC0DAB" w:rsidP="00EC0DAB">
      <w:pPr>
        <w:spacing w:line="360" w:lineRule="auto"/>
        <w:ind w:left="850" w:right="851" w:hanging="23"/>
        <w:jc w:val="both"/>
        <w:rPr>
          <w:rFonts w:ascii="Arial" w:hAnsi="Arial"/>
          <w:rtl/>
        </w:rPr>
      </w:pPr>
      <w:r w:rsidRPr="009961BC">
        <w:rPr>
          <w:rFonts w:ascii="Arial" w:hAnsi="Arial"/>
          <w:b/>
          <w:bCs/>
          <w:i/>
          <w:iCs/>
          <w:rtl/>
        </w:rPr>
        <w:t>"... ככלל מתחם ענישה ראוי לנאשם בגיר בגין עבירה של נשיאת נשק חם במרחב הציבורי, נע בין 30 ל- 42 חודשי מאסר בפועל"</w:t>
      </w:r>
      <w:r w:rsidRPr="00A335DC">
        <w:rPr>
          <w:rFonts w:ascii="Arial" w:hAnsi="Arial"/>
          <w:rtl/>
        </w:rPr>
        <w:t xml:space="preserve"> </w:t>
      </w:r>
      <w:r w:rsidRPr="009961BC">
        <w:rPr>
          <w:rFonts w:ascii="Arial" w:hAnsi="Arial"/>
          <w:rtl/>
        </w:rPr>
        <w:t>(</w:t>
      </w:r>
      <w:hyperlink r:id="rId27" w:history="1">
        <w:r w:rsidR="001A1ADE" w:rsidRPr="001A1ADE">
          <w:rPr>
            <w:rFonts w:ascii="Arial" w:hAnsi="Arial"/>
            <w:color w:val="0000FF"/>
            <w:u w:val="single"/>
            <w:rtl/>
          </w:rPr>
          <w:t>ע"פ 7971/21</w:t>
        </w:r>
      </w:hyperlink>
      <w:r w:rsidRPr="009961BC">
        <w:rPr>
          <w:rFonts w:ascii="Arial" w:hAnsi="Arial"/>
          <w:rtl/>
        </w:rPr>
        <w:t xml:space="preserve"> </w:t>
      </w:r>
      <w:r w:rsidRPr="009961BC">
        <w:rPr>
          <w:rFonts w:ascii="Arial" w:hAnsi="Arial"/>
          <w:b/>
          <w:bCs/>
          <w:rtl/>
        </w:rPr>
        <w:t xml:space="preserve">אגבאריה </w:t>
      </w:r>
      <w:r w:rsidRPr="009961BC">
        <w:rPr>
          <w:rFonts w:ascii="Arial" w:hAnsi="Arial"/>
          <w:rtl/>
        </w:rPr>
        <w:t>נ'</w:t>
      </w:r>
      <w:r w:rsidRPr="009961BC">
        <w:rPr>
          <w:rFonts w:ascii="Arial" w:hAnsi="Arial"/>
          <w:b/>
          <w:bCs/>
          <w:rtl/>
        </w:rPr>
        <w:t xml:space="preserve"> מדינת ישראל</w:t>
      </w:r>
      <w:r w:rsidRPr="009961BC">
        <w:rPr>
          <w:rFonts w:ascii="Arial" w:hAnsi="Arial"/>
          <w:rtl/>
        </w:rPr>
        <w:t xml:space="preserve"> (פורסם בנבו, 26.5.2024) באותו עניין הוטלו על אחד הנאשמים 32 חודשי מאסר לריצוי בפועל, מבלי למצות את הדין, בגין נשיאת תת מקלע מאולתר, טעון במחסנית ובה עשרה כדורים). </w:t>
      </w:r>
    </w:p>
    <w:p w14:paraId="76526A16" w14:textId="77777777" w:rsidR="00EC0DAB" w:rsidRPr="009961BC" w:rsidRDefault="00EC0DAB" w:rsidP="00EC0DAB">
      <w:pPr>
        <w:spacing w:line="360" w:lineRule="auto"/>
        <w:ind w:left="850" w:right="851"/>
        <w:rPr>
          <w:rFonts w:ascii="Arial" w:hAnsi="Arial"/>
          <w:sz w:val="16"/>
          <w:szCs w:val="16"/>
          <w:rtl/>
        </w:rPr>
      </w:pPr>
    </w:p>
    <w:p w14:paraId="52BCC1C1" w14:textId="77777777" w:rsidR="00EC0DAB" w:rsidRPr="009961BC" w:rsidRDefault="00EC0DAB" w:rsidP="00EC0DAB">
      <w:pPr>
        <w:spacing w:line="360" w:lineRule="auto"/>
        <w:rPr>
          <w:rFonts w:ascii="Arial" w:hAnsi="Arial"/>
          <w:rtl/>
        </w:rPr>
      </w:pPr>
      <w:r w:rsidRPr="009961BC">
        <w:rPr>
          <w:rFonts w:ascii="Arial" w:hAnsi="Arial"/>
          <w:rtl/>
        </w:rPr>
        <w:t xml:space="preserve">וכן: </w:t>
      </w:r>
    </w:p>
    <w:p w14:paraId="2E61FB61" w14:textId="77777777" w:rsidR="00EC0DAB" w:rsidRPr="009961BC" w:rsidRDefault="00EC0DAB" w:rsidP="00EC0DAB">
      <w:pPr>
        <w:tabs>
          <w:tab w:val="left" w:pos="7654"/>
        </w:tabs>
        <w:spacing w:line="360" w:lineRule="auto"/>
        <w:ind w:left="850" w:right="851"/>
        <w:jc w:val="both"/>
        <w:rPr>
          <w:rFonts w:ascii="Arial" w:hAnsi="Arial"/>
          <w:rtl/>
        </w:rPr>
      </w:pPr>
      <w:r w:rsidRPr="009961BC">
        <w:rPr>
          <w:rFonts w:ascii="Arial" w:hAnsi="Arial"/>
          <w:b/>
          <w:bCs/>
          <w:i/>
          <w:iCs/>
          <w:rtl/>
        </w:rPr>
        <w:t>"באין נסיבות מיוחדות לחומרא או לקולא, יהא זה בהחלט סביר אם בית משפט יטיל על נאשם כאמור עונש של 36 חודשי מאסר לריצוי בפועל"</w:t>
      </w:r>
      <w:r w:rsidRPr="009961BC">
        <w:rPr>
          <w:rFonts w:ascii="Arial" w:hAnsi="Arial"/>
          <w:rtl/>
        </w:rPr>
        <w:t xml:space="preserve"> (</w:t>
      </w:r>
      <w:hyperlink r:id="rId28" w:history="1">
        <w:r w:rsidR="001A1ADE" w:rsidRPr="001A1ADE">
          <w:rPr>
            <w:rFonts w:ascii="Arial" w:hAnsi="Arial"/>
            <w:color w:val="0000FF"/>
            <w:u w:val="single"/>
            <w:rtl/>
          </w:rPr>
          <w:t>ע"פ 5602/22</w:t>
        </w:r>
      </w:hyperlink>
      <w:r w:rsidRPr="009961BC">
        <w:rPr>
          <w:rFonts w:ascii="Arial" w:hAnsi="Arial"/>
          <w:rtl/>
        </w:rPr>
        <w:t xml:space="preserve"> </w:t>
      </w:r>
      <w:r w:rsidRPr="009961BC">
        <w:rPr>
          <w:rFonts w:ascii="Arial" w:hAnsi="Arial"/>
          <w:b/>
          <w:bCs/>
          <w:rtl/>
        </w:rPr>
        <w:t xml:space="preserve">מדינת ישראל </w:t>
      </w:r>
      <w:r w:rsidRPr="009961BC">
        <w:rPr>
          <w:rFonts w:ascii="Arial" w:hAnsi="Arial"/>
          <w:rtl/>
        </w:rPr>
        <w:t>נ'</w:t>
      </w:r>
      <w:r w:rsidRPr="009961BC">
        <w:rPr>
          <w:rFonts w:ascii="Arial" w:hAnsi="Arial"/>
          <w:b/>
          <w:bCs/>
          <w:rtl/>
        </w:rPr>
        <w:t xml:space="preserve"> פלוני</w:t>
      </w:r>
      <w:r w:rsidRPr="009961BC">
        <w:rPr>
          <w:rFonts w:ascii="Arial" w:hAnsi="Arial"/>
          <w:rtl/>
        </w:rPr>
        <w:t xml:space="preserve"> (פורסם בנבו, 14.9.2022. באותו עניין הורשע הנאשם בנשיאת אקדח עת נסע ברכב, בהפרעה לשוטר ובכניסה ושהייה בישראל ללא היתר). באופן דומה נקבע גם ב</w:t>
      </w:r>
      <w:hyperlink r:id="rId29" w:history="1">
        <w:r w:rsidR="001A1ADE" w:rsidRPr="001A1ADE">
          <w:rPr>
            <w:rFonts w:ascii="Arial" w:hAnsi="Arial"/>
            <w:color w:val="0000FF"/>
            <w:u w:val="single"/>
            <w:rtl/>
          </w:rPr>
          <w:t>ע"פ 4077/22</w:t>
        </w:r>
      </w:hyperlink>
      <w:r w:rsidRPr="009961BC">
        <w:rPr>
          <w:rFonts w:ascii="Arial" w:hAnsi="Arial"/>
          <w:rtl/>
        </w:rPr>
        <w:t xml:space="preserve"> </w:t>
      </w:r>
      <w:r w:rsidRPr="009961BC">
        <w:rPr>
          <w:rFonts w:ascii="Arial" w:hAnsi="Arial"/>
          <w:b/>
          <w:bCs/>
          <w:rtl/>
        </w:rPr>
        <w:t xml:space="preserve">פלוני </w:t>
      </w:r>
      <w:r w:rsidRPr="009961BC">
        <w:rPr>
          <w:rFonts w:ascii="Arial" w:hAnsi="Arial"/>
          <w:rtl/>
        </w:rPr>
        <w:t>נ'</w:t>
      </w:r>
      <w:r w:rsidRPr="009961BC">
        <w:rPr>
          <w:rFonts w:ascii="Arial" w:hAnsi="Arial"/>
          <w:b/>
          <w:bCs/>
          <w:rtl/>
        </w:rPr>
        <w:t xml:space="preserve"> מדינת ישראל </w:t>
      </w:r>
      <w:r w:rsidRPr="009961BC">
        <w:rPr>
          <w:rFonts w:ascii="Arial" w:hAnsi="Arial"/>
          <w:rtl/>
        </w:rPr>
        <w:t xml:space="preserve">(פורסם בנבו, 28.7.2022)). </w:t>
      </w:r>
    </w:p>
    <w:p w14:paraId="7FF59226" w14:textId="77777777" w:rsidR="00EC0DAB" w:rsidRDefault="00EC0DAB" w:rsidP="00EC0DAB">
      <w:pPr>
        <w:tabs>
          <w:tab w:val="left" w:pos="7654"/>
        </w:tabs>
        <w:spacing w:line="360" w:lineRule="auto"/>
        <w:ind w:left="850" w:right="851"/>
        <w:jc w:val="both"/>
        <w:rPr>
          <w:rFonts w:ascii="Arial" w:hAnsi="Arial"/>
          <w:sz w:val="26"/>
          <w:szCs w:val="26"/>
          <w:rtl/>
        </w:rPr>
      </w:pPr>
    </w:p>
    <w:p w14:paraId="0AF4BAD0" w14:textId="77777777" w:rsidR="00EC0DAB" w:rsidRDefault="00EC0DAB" w:rsidP="00EC0DAB">
      <w:pPr>
        <w:tabs>
          <w:tab w:val="left" w:pos="8505"/>
        </w:tabs>
        <w:spacing w:line="360" w:lineRule="auto"/>
        <w:jc w:val="both"/>
        <w:rPr>
          <w:rFonts w:ascii="Arial" w:hAnsi="Arial"/>
          <w:rtl/>
        </w:rPr>
      </w:pPr>
      <w:r w:rsidRPr="009961BC">
        <w:rPr>
          <w:rFonts w:ascii="Arial" w:hAnsi="Arial"/>
          <w:rtl/>
        </w:rPr>
        <w:t xml:space="preserve">מדיניות ענישה עקבית זו נלמדת משורה ארוכה של פסקי דין שניתנו על ידי בית המשפט העליון בשנים האחרונות (ראו </w:t>
      </w:r>
      <w:hyperlink r:id="rId30" w:history="1">
        <w:r w:rsidR="001A1ADE" w:rsidRPr="001A1ADE">
          <w:rPr>
            <w:rFonts w:ascii="Arial" w:hAnsi="Arial"/>
            <w:color w:val="0000FF"/>
            <w:u w:val="single"/>
            <w:rtl/>
          </w:rPr>
          <w:t>ע"פ 3877/16</w:t>
        </w:r>
      </w:hyperlink>
      <w:r w:rsidRPr="009961BC">
        <w:rPr>
          <w:rFonts w:ascii="Arial" w:hAnsi="Arial"/>
          <w:rtl/>
        </w:rPr>
        <w:t xml:space="preserve"> </w:t>
      </w:r>
      <w:r w:rsidRPr="009961BC">
        <w:rPr>
          <w:rFonts w:ascii="Arial" w:hAnsi="Arial"/>
          <w:b/>
          <w:bCs/>
          <w:rtl/>
        </w:rPr>
        <w:t>ג'אבלי</w:t>
      </w:r>
      <w:r w:rsidRPr="009961BC">
        <w:rPr>
          <w:rFonts w:ascii="Arial" w:hAnsi="Arial"/>
          <w:rtl/>
        </w:rPr>
        <w:t xml:space="preserve"> נ' </w:t>
      </w:r>
      <w:r w:rsidRPr="009961BC">
        <w:rPr>
          <w:rFonts w:ascii="Arial" w:hAnsi="Arial"/>
          <w:b/>
          <w:bCs/>
          <w:rtl/>
        </w:rPr>
        <w:t>מדינת ישראל</w:t>
      </w:r>
      <w:r w:rsidRPr="009961BC">
        <w:rPr>
          <w:rFonts w:ascii="Arial" w:hAnsi="Arial"/>
          <w:rtl/>
        </w:rPr>
        <w:t xml:space="preserve"> (פורסם בנבו, 17.11.17) בו נדחה ערעור נאשם בנשיאת אקדח טעון, שנדון ל-34 חודשי מאסר לריצוי בפועל; </w:t>
      </w:r>
      <w:hyperlink r:id="rId31" w:history="1">
        <w:r w:rsidR="001A1ADE" w:rsidRPr="001A1ADE">
          <w:rPr>
            <w:rFonts w:ascii="Arial" w:hAnsi="Arial"/>
            <w:color w:val="0000FF"/>
            <w:u w:val="single"/>
            <w:rtl/>
          </w:rPr>
          <w:t>ע"פ 2101/21</w:t>
        </w:r>
      </w:hyperlink>
      <w:r w:rsidRPr="009961BC">
        <w:rPr>
          <w:rFonts w:ascii="Arial" w:hAnsi="Arial"/>
          <w:rtl/>
        </w:rPr>
        <w:t xml:space="preserve"> </w:t>
      </w:r>
      <w:r w:rsidRPr="009961BC">
        <w:rPr>
          <w:rFonts w:ascii="Arial" w:hAnsi="Arial" w:hint="eastAsia"/>
          <w:b/>
          <w:bCs/>
          <w:rtl/>
        </w:rPr>
        <w:t>טוביה</w:t>
      </w:r>
      <w:r w:rsidRPr="009961BC">
        <w:rPr>
          <w:rFonts w:ascii="Arial" w:hAnsi="Arial"/>
          <w:rtl/>
        </w:rPr>
        <w:t xml:space="preserve"> נ' </w:t>
      </w:r>
      <w:r w:rsidRPr="009961BC">
        <w:rPr>
          <w:rFonts w:ascii="Arial" w:hAnsi="Arial" w:hint="eastAsia"/>
          <w:b/>
          <w:bCs/>
          <w:rtl/>
        </w:rPr>
        <w:t>מדינת</w:t>
      </w:r>
      <w:r w:rsidRPr="009961BC">
        <w:rPr>
          <w:rFonts w:ascii="Arial" w:hAnsi="Arial"/>
          <w:b/>
          <w:bCs/>
          <w:rtl/>
        </w:rPr>
        <w:t xml:space="preserve"> </w:t>
      </w:r>
      <w:r w:rsidRPr="009961BC">
        <w:rPr>
          <w:rFonts w:ascii="Arial" w:hAnsi="Arial" w:hint="eastAsia"/>
          <w:b/>
          <w:bCs/>
          <w:rtl/>
        </w:rPr>
        <w:t>ישראל</w:t>
      </w:r>
      <w:r w:rsidRPr="009961BC">
        <w:rPr>
          <w:rFonts w:ascii="Arial" w:hAnsi="Arial"/>
          <w:rtl/>
        </w:rPr>
        <w:t xml:space="preserve"> ((פורסם בנבו, 29.7.21) בו נדחה ערעור על חומרת העונש, 30 חודשי מאסר לריצוי בפועל, שהוטלו על נאשם בנשיאת אקדח, מחסנית וכדורים; </w:t>
      </w:r>
      <w:hyperlink r:id="rId32" w:history="1">
        <w:r w:rsidR="001A1ADE" w:rsidRPr="001A1ADE">
          <w:rPr>
            <w:rFonts w:ascii="Arial" w:hAnsi="Arial"/>
            <w:color w:val="0000FF"/>
            <w:u w:val="single"/>
            <w:rtl/>
          </w:rPr>
          <w:t>ע"פ 6021/21</w:t>
        </w:r>
      </w:hyperlink>
      <w:r w:rsidRPr="009961BC">
        <w:rPr>
          <w:rFonts w:ascii="Arial" w:hAnsi="Arial"/>
          <w:rtl/>
        </w:rPr>
        <w:t xml:space="preserve"> </w:t>
      </w:r>
      <w:r w:rsidRPr="009961BC">
        <w:rPr>
          <w:rFonts w:ascii="Arial" w:hAnsi="Arial"/>
          <w:b/>
          <w:bCs/>
          <w:rtl/>
        </w:rPr>
        <w:t>עבוד</w:t>
      </w:r>
      <w:r w:rsidRPr="009961BC">
        <w:rPr>
          <w:rFonts w:ascii="Arial" w:hAnsi="Arial"/>
          <w:rtl/>
        </w:rPr>
        <w:t xml:space="preserve"> נ' </w:t>
      </w:r>
      <w:r w:rsidRPr="009961BC">
        <w:rPr>
          <w:rFonts w:ascii="Arial" w:hAnsi="Arial"/>
          <w:b/>
          <w:bCs/>
          <w:rtl/>
        </w:rPr>
        <w:t>מדינת ישראל</w:t>
      </w:r>
      <w:r w:rsidRPr="009961BC">
        <w:rPr>
          <w:rFonts w:ascii="Arial" w:hAnsi="Arial"/>
          <w:rtl/>
        </w:rPr>
        <w:t xml:space="preserve"> (פורסם בנבו, 19.12.21), בו נדחה ערעור נאשם בעבירה של נשיאת והובלת רוס"ר </w:t>
      </w:r>
      <w:r w:rsidRPr="009961BC">
        <w:rPr>
          <w:rFonts w:ascii="Arial" w:hAnsi="Arial"/>
        </w:rPr>
        <w:t>M</w:t>
      </w:r>
      <w:r w:rsidRPr="009961BC">
        <w:rPr>
          <w:rFonts w:ascii="Arial" w:hAnsi="Arial"/>
          <w:rtl/>
        </w:rPr>
        <w:t>-16 והפרעה לשוטר, עליו נגזרו 30 חודשי מאסר</w:t>
      </w:r>
      <w:r w:rsidRPr="009961BC">
        <w:rPr>
          <w:rFonts w:ascii="Arial" w:hAnsi="Arial"/>
        </w:rPr>
        <w:t>;</w:t>
      </w:r>
      <w:r w:rsidRPr="009961BC">
        <w:rPr>
          <w:rFonts w:ascii="Arial" w:hAnsi="Arial"/>
          <w:rtl/>
        </w:rPr>
        <w:t xml:space="preserve"> </w:t>
      </w:r>
      <w:hyperlink r:id="rId33" w:history="1">
        <w:r w:rsidR="001A1ADE" w:rsidRPr="001A1ADE">
          <w:rPr>
            <w:rFonts w:ascii="Arial" w:hAnsi="Arial"/>
            <w:color w:val="0000FF"/>
            <w:u w:val="single"/>
            <w:rtl/>
          </w:rPr>
          <w:t>ע"פ 166/22</w:t>
        </w:r>
      </w:hyperlink>
      <w:r w:rsidRPr="009961BC">
        <w:rPr>
          <w:rFonts w:ascii="Arial" w:hAnsi="Arial"/>
          <w:rtl/>
        </w:rPr>
        <w:t xml:space="preserve"> </w:t>
      </w:r>
      <w:r w:rsidRPr="009961BC">
        <w:rPr>
          <w:rFonts w:ascii="Arial" w:hAnsi="Arial"/>
          <w:b/>
          <w:bCs/>
          <w:rtl/>
        </w:rPr>
        <w:t>טאהא</w:t>
      </w:r>
      <w:r w:rsidRPr="009961BC">
        <w:rPr>
          <w:rFonts w:ascii="Arial" w:hAnsi="Arial"/>
          <w:rtl/>
        </w:rPr>
        <w:t xml:space="preserve"> נ' </w:t>
      </w:r>
      <w:r w:rsidRPr="009961BC">
        <w:rPr>
          <w:rFonts w:ascii="Arial" w:hAnsi="Arial"/>
          <w:b/>
          <w:bCs/>
          <w:rtl/>
        </w:rPr>
        <w:t>מדינת ישראל</w:t>
      </w:r>
      <w:r w:rsidRPr="009961BC">
        <w:rPr>
          <w:rFonts w:ascii="Arial" w:hAnsi="Arial"/>
          <w:rtl/>
        </w:rPr>
        <w:t xml:space="preserve"> (פורסם בנבו, 1.6.22) - 22 חודשי מאסר לריצוי בפועל בגין החזקת נשק מאולתר, כאשר הנאשם הביע נכונות להשתלב בהליך טיפולי).</w:t>
      </w:r>
    </w:p>
    <w:p w14:paraId="69AF6C8A" w14:textId="77777777" w:rsidR="00EC0DAB" w:rsidRDefault="00EC0DAB" w:rsidP="00EC0DAB">
      <w:pPr>
        <w:spacing w:line="360" w:lineRule="auto"/>
        <w:jc w:val="both"/>
        <w:rPr>
          <w:rFonts w:ascii="Arial" w:hAnsi="Arial"/>
          <w:rtl/>
        </w:rPr>
      </w:pPr>
    </w:p>
    <w:p w14:paraId="09E3E611" w14:textId="77777777" w:rsidR="00EC0DAB" w:rsidRPr="009961BC" w:rsidRDefault="00EC0DAB" w:rsidP="00EC0DAB">
      <w:pPr>
        <w:spacing w:line="360" w:lineRule="auto"/>
        <w:jc w:val="both"/>
        <w:rPr>
          <w:rFonts w:ascii="Arial" w:hAnsi="Arial"/>
          <w:rtl/>
        </w:rPr>
      </w:pPr>
      <w:r w:rsidRPr="009961BC">
        <w:rPr>
          <w:rFonts w:ascii="Arial" w:hAnsi="Arial"/>
          <w:rtl/>
        </w:rPr>
        <w:t>מגמת ההחמרה האמורה אינה נחלתו הבלעדית של בית המשפט. היא אף מצאה ביטוי בתיקון 140 ל</w:t>
      </w:r>
      <w:hyperlink r:id="rId34" w:history="1">
        <w:r w:rsidR="001A1ADE" w:rsidRPr="001A1ADE">
          <w:rPr>
            <w:rFonts w:ascii="Arial" w:hAnsi="Arial"/>
            <w:color w:val="0000FF"/>
            <w:u w:val="single"/>
            <w:rtl/>
          </w:rPr>
          <w:t>חוק העונשין</w:t>
        </w:r>
      </w:hyperlink>
      <w:r w:rsidRPr="009961BC">
        <w:rPr>
          <w:rFonts w:ascii="Arial" w:hAnsi="Arial"/>
          <w:rtl/>
        </w:rPr>
        <w:t xml:space="preserve">, תשל"ז- 1977, אשר קבע עונש מזערי בעבירה זו, ממנו מוסמך לחרוג בית המשפט אך בהתקיים "טעמים מיוחדים שיירשמו" (ראו </w:t>
      </w:r>
      <w:hyperlink r:id="rId35" w:history="1">
        <w:r w:rsidR="005F0192" w:rsidRPr="005F0192">
          <w:rPr>
            <w:rStyle w:val="Hyperlink"/>
            <w:rFonts w:ascii="Arial" w:hAnsi="Arial"/>
            <w:color w:val="0000FF"/>
            <w:rtl/>
          </w:rPr>
          <w:t>סעיף 144(ז)</w:t>
        </w:r>
      </w:hyperlink>
      <w:r w:rsidRPr="009961BC">
        <w:rPr>
          <w:rFonts w:ascii="Arial" w:hAnsi="Arial"/>
          <w:rtl/>
        </w:rPr>
        <w:t xml:space="preserve"> לחוק). בהתאם לתיקון, בענייננו העונש המזערי לעבירה עומד על 30 חודשים</w:t>
      </w:r>
      <w:r>
        <w:rPr>
          <w:rFonts w:ascii="Arial" w:hAnsi="Arial" w:hint="cs"/>
          <w:rtl/>
        </w:rPr>
        <w:t xml:space="preserve"> (כאשר עונש זה אינו יכול להיות כולו על תנאי)</w:t>
      </w:r>
      <w:r w:rsidRPr="009961BC">
        <w:rPr>
          <w:rFonts w:ascii="Arial" w:hAnsi="Arial"/>
          <w:rtl/>
        </w:rPr>
        <w:t>.</w:t>
      </w:r>
    </w:p>
    <w:p w14:paraId="06FDDE4A" w14:textId="77777777" w:rsidR="00EC0DAB" w:rsidRDefault="00EC0DAB" w:rsidP="00EC0DAB">
      <w:pPr>
        <w:spacing w:line="360" w:lineRule="auto"/>
        <w:jc w:val="both"/>
        <w:rPr>
          <w:rFonts w:ascii="Arial" w:hAnsi="Arial"/>
          <w:sz w:val="16"/>
          <w:szCs w:val="16"/>
          <w:rtl/>
        </w:rPr>
      </w:pPr>
      <w:r>
        <w:rPr>
          <w:rFonts w:ascii="Arial" w:hAnsi="Arial"/>
          <w:sz w:val="16"/>
          <w:szCs w:val="16"/>
          <w:rtl/>
        </w:rPr>
        <w:t xml:space="preserve"> </w:t>
      </w:r>
    </w:p>
    <w:p w14:paraId="544574A1" w14:textId="77777777" w:rsidR="00EC0DAB" w:rsidRDefault="00EC0DAB" w:rsidP="00EC0DAB">
      <w:pPr>
        <w:spacing w:line="360" w:lineRule="auto"/>
        <w:jc w:val="both"/>
        <w:rPr>
          <w:rFonts w:ascii="Arial" w:hAnsi="Arial"/>
          <w:rtl/>
        </w:rPr>
      </w:pPr>
      <w:r>
        <w:rPr>
          <w:rFonts w:ascii="Arial" w:hAnsi="Arial" w:hint="cs"/>
          <w:rtl/>
        </w:rPr>
        <w:t xml:space="preserve">יחד עם זאת, כפי שצוין לעיל, בחלק ממאפייניה דומה יותר עבירת הנאשם לעבירת החזקה. משכך, ולנוכח יתר הנסיבות שפורטו לעיל, מצאתי לקבוע מתחם עונשי קל במקצת מזה שנקבע בפסיקת בית המשפט העליון כאמור. </w:t>
      </w:r>
    </w:p>
    <w:p w14:paraId="079823BA" w14:textId="77777777" w:rsidR="00EC0DAB" w:rsidRDefault="00EC0DAB" w:rsidP="00EC0DAB">
      <w:pPr>
        <w:spacing w:line="360" w:lineRule="auto"/>
        <w:jc w:val="both"/>
        <w:rPr>
          <w:rFonts w:ascii="Arial" w:hAnsi="Arial"/>
          <w:rtl/>
        </w:rPr>
      </w:pPr>
    </w:p>
    <w:p w14:paraId="729F44E0" w14:textId="77777777" w:rsidR="00EC0DAB" w:rsidRPr="009961BC" w:rsidRDefault="00EC0DAB" w:rsidP="00EC0DAB">
      <w:pPr>
        <w:spacing w:line="360" w:lineRule="auto"/>
        <w:jc w:val="both"/>
        <w:rPr>
          <w:rFonts w:ascii="Arial" w:hAnsi="Arial"/>
          <w:rtl/>
        </w:rPr>
      </w:pPr>
      <w:r w:rsidRPr="009961BC">
        <w:rPr>
          <w:rFonts w:ascii="Arial" w:hAnsi="Arial"/>
          <w:rtl/>
        </w:rPr>
        <w:t xml:space="preserve">בשים לב לכלל האמור, לנוכח הערכים המוגנים עליהם עמדנו, חומרת העבירה ונסיבותיה וכן לאור מדיניות הענישה הנוהגת, הגעתי למסקנה כי במקרה דנן יש לקבוע מתחם עונשי העומד על </w:t>
      </w:r>
      <w:r>
        <w:rPr>
          <w:rFonts w:ascii="Arial" w:hAnsi="Arial" w:hint="cs"/>
          <w:rtl/>
        </w:rPr>
        <w:t>24</w:t>
      </w:r>
      <w:r w:rsidRPr="009961BC">
        <w:rPr>
          <w:rFonts w:ascii="Arial" w:hAnsi="Arial"/>
          <w:rtl/>
        </w:rPr>
        <w:t xml:space="preserve"> - </w:t>
      </w:r>
      <w:r>
        <w:rPr>
          <w:rFonts w:ascii="Arial" w:hAnsi="Arial" w:hint="cs"/>
          <w:rtl/>
        </w:rPr>
        <w:t>40</w:t>
      </w:r>
      <w:r w:rsidRPr="009961BC">
        <w:rPr>
          <w:rFonts w:ascii="Arial" w:hAnsi="Arial"/>
          <w:rtl/>
        </w:rPr>
        <w:t xml:space="preserve"> חודשי מאסר לריצוי בפועל, </w:t>
      </w:r>
      <w:r w:rsidRPr="009961BC">
        <w:rPr>
          <w:rFonts w:ascii="Arial" w:hAnsi="Arial" w:hint="eastAsia"/>
          <w:rtl/>
        </w:rPr>
        <w:t>לצד</w:t>
      </w:r>
      <w:r w:rsidRPr="009961BC">
        <w:rPr>
          <w:rFonts w:ascii="Arial" w:hAnsi="Arial"/>
          <w:rtl/>
        </w:rPr>
        <w:t xml:space="preserve"> </w:t>
      </w:r>
      <w:r w:rsidRPr="009961BC">
        <w:rPr>
          <w:rFonts w:ascii="Arial" w:hAnsi="Arial" w:hint="eastAsia"/>
          <w:rtl/>
        </w:rPr>
        <w:t>מאסר</w:t>
      </w:r>
      <w:r w:rsidRPr="009961BC">
        <w:rPr>
          <w:rFonts w:ascii="Arial" w:hAnsi="Arial"/>
          <w:rtl/>
        </w:rPr>
        <w:t xml:space="preserve"> </w:t>
      </w:r>
      <w:r w:rsidRPr="009961BC">
        <w:rPr>
          <w:rFonts w:ascii="Arial" w:hAnsi="Arial" w:hint="eastAsia"/>
          <w:rtl/>
        </w:rPr>
        <w:t>מותנה</w:t>
      </w:r>
      <w:r w:rsidRPr="009961BC">
        <w:rPr>
          <w:rFonts w:ascii="Arial" w:hAnsi="Arial"/>
          <w:rtl/>
        </w:rPr>
        <w:t xml:space="preserve"> </w:t>
      </w:r>
      <w:r w:rsidRPr="009961BC">
        <w:rPr>
          <w:rFonts w:ascii="Arial" w:hAnsi="Arial" w:hint="eastAsia"/>
          <w:rtl/>
        </w:rPr>
        <w:t>וקנס</w:t>
      </w:r>
      <w:r w:rsidRPr="009961BC">
        <w:rPr>
          <w:rFonts w:ascii="Arial" w:hAnsi="Arial"/>
          <w:rtl/>
        </w:rPr>
        <w:t xml:space="preserve"> במקרים הראויים לכך.</w:t>
      </w:r>
    </w:p>
    <w:p w14:paraId="632228F4" w14:textId="77777777" w:rsidR="00EC0DAB" w:rsidRDefault="00EC0DAB" w:rsidP="00EC0DAB">
      <w:pPr>
        <w:spacing w:line="360" w:lineRule="auto"/>
        <w:jc w:val="both"/>
        <w:rPr>
          <w:rFonts w:ascii="Arial" w:hAnsi="Arial"/>
          <w:b/>
          <w:bCs/>
          <w:rtl/>
        </w:rPr>
      </w:pPr>
    </w:p>
    <w:p w14:paraId="308A01EB" w14:textId="77777777" w:rsidR="00EC0DAB" w:rsidRPr="005D2AFF" w:rsidRDefault="00EC0DAB" w:rsidP="00EC0DAB">
      <w:pPr>
        <w:spacing w:line="360" w:lineRule="auto"/>
        <w:jc w:val="both"/>
        <w:rPr>
          <w:rFonts w:ascii="Arial" w:hAnsi="Arial"/>
          <w:b/>
          <w:bCs/>
          <w:rtl/>
        </w:rPr>
      </w:pPr>
      <w:r w:rsidRPr="005D2AFF">
        <w:rPr>
          <w:rFonts w:ascii="Arial" w:hAnsi="Arial" w:hint="cs"/>
          <w:b/>
          <w:bCs/>
          <w:rtl/>
        </w:rPr>
        <w:t>נסיבות שאינן קשורות בעבירה</w:t>
      </w:r>
    </w:p>
    <w:p w14:paraId="39784FB7" w14:textId="77777777" w:rsidR="00EC0DAB" w:rsidRPr="0071549C" w:rsidRDefault="00EC0DAB" w:rsidP="00EC0DAB">
      <w:pPr>
        <w:spacing w:line="360" w:lineRule="auto"/>
        <w:jc w:val="both"/>
        <w:rPr>
          <w:rFonts w:ascii="Arial" w:hAnsi="Arial"/>
          <w:b/>
          <w:bCs/>
          <w:sz w:val="16"/>
          <w:szCs w:val="16"/>
          <w:rtl/>
        </w:rPr>
      </w:pPr>
    </w:p>
    <w:p w14:paraId="5796F3EC" w14:textId="77777777" w:rsidR="00EC0DAB" w:rsidRDefault="00EC0DAB" w:rsidP="00EC0DAB">
      <w:pPr>
        <w:spacing w:line="360" w:lineRule="auto"/>
        <w:jc w:val="both"/>
        <w:rPr>
          <w:rFonts w:ascii="Arial" w:hAnsi="Arial"/>
          <w:rtl/>
        </w:rPr>
      </w:pPr>
      <w:r w:rsidRPr="0071549C">
        <w:rPr>
          <w:rFonts w:ascii="Arial" w:hAnsi="Arial" w:hint="cs"/>
          <w:rtl/>
        </w:rPr>
        <w:t>הנאשם</w:t>
      </w:r>
      <w:r>
        <w:rPr>
          <w:rFonts w:ascii="Arial" w:hAnsi="Arial" w:hint="cs"/>
          <w:rtl/>
        </w:rPr>
        <w:t xml:space="preserve"> כבן 23, רווק המתגורר עם משפחתו המורחבת. </w:t>
      </w:r>
    </w:p>
    <w:p w14:paraId="551899C5" w14:textId="77777777" w:rsidR="00EC0DAB" w:rsidRDefault="00EC0DAB" w:rsidP="00EC0DAB">
      <w:pPr>
        <w:spacing w:line="360" w:lineRule="auto"/>
        <w:jc w:val="both"/>
        <w:rPr>
          <w:rFonts w:ascii="Arial" w:hAnsi="Arial"/>
          <w:rtl/>
        </w:rPr>
      </w:pPr>
    </w:p>
    <w:p w14:paraId="2BD01021" w14:textId="77777777" w:rsidR="00EC0DAB" w:rsidRDefault="00EC0DAB" w:rsidP="00EC0DAB">
      <w:pPr>
        <w:spacing w:line="360" w:lineRule="auto"/>
        <w:jc w:val="both"/>
        <w:rPr>
          <w:rFonts w:ascii="Arial" w:hAnsi="Arial"/>
          <w:rtl/>
        </w:rPr>
      </w:pPr>
      <w:r>
        <w:rPr>
          <w:rFonts w:ascii="Arial" w:hAnsi="Arial" w:hint="cs"/>
          <w:rtl/>
        </w:rPr>
        <w:t xml:space="preserve">מעבר לנסיבות ביצוע העבירה שפורטו לעיל, </w:t>
      </w:r>
      <w:r w:rsidRPr="005D2AFF">
        <w:rPr>
          <w:rFonts w:ascii="Arial" w:hAnsi="Arial" w:hint="cs"/>
          <w:rtl/>
        </w:rPr>
        <w:t xml:space="preserve">לחובת הנאשם עומד עברו הפלילי המוכתם. </w:t>
      </w:r>
      <w:r>
        <w:rPr>
          <w:rFonts w:ascii="Arial" w:hAnsi="Arial" w:hint="cs"/>
          <w:rtl/>
        </w:rPr>
        <w:t xml:space="preserve">ואכן, גם אם לא הייתי זוקף לחובתו את הרשעתו בהעדר מן השירות, שלעיתים נובעת יותר מנסיבות חייו של הנאשם מאשר רצונו העצמי, לא ניתן להתעלם מהרשעתו השנייה. זאת אמנם אינה עוסקת באופן ישיר בנשק, ובכך הצדק עם הסנגור, ברם עניינה מעשים אלימים של כליאת שווא וסחיטה באיומים, המאירים באור שונה במקצת את הסיכון הטמון בהחזקת הנשק על ידי הנאשם. </w:t>
      </w:r>
    </w:p>
    <w:p w14:paraId="68079B9A" w14:textId="77777777" w:rsidR="00EC0DAB" w:rsidRDefault="00EC0DAB" w:rsidP="00EC0DAB">
      <w:pPr>
        <w:spacing w:line="360" w:lineRule="auto"/>
        <w:jc w:val="both"/>
        <w:rPr>
          <w:rFonts w:ascii="Arial" w:hAnsi="Arial"/>
          <w:rtl/>
        </w:rPr>
      </w:pPr>
    </w:p>
    <w:p w14:paraId="06E94614" w14:textId="77777777" w:rsidR="00EC0DAB" w:rsidRDefault="00EC0DAB" w:rsidP="00EC0DAB">
      <w:pPr>
        <w:spacing w:line="360" w:lineRule="auto"/>
        <w:jc w:val="both"/>
        <w:rPr>
          <w:rFonts w:ascii="Arial" w:hAnsi="Arial"/>
          <w:rtl/>
        </w:rPr>
      </w:pPr>
      <w:r>
        <w:rPr>
          <w:rFonts w:ascii="Arial" w:hAnsi="Arial" w:hint="cs"/>
          <w:rtl/>
        </w:rPr>
        <w:t>יתרה מזו, עצם העובדה כי הנאשם ראה לנכון לשוב ולבצע עבירה, למרות הרשעתו ומאסרו הקודמים, מחייבת תגובה עונשית תואמת, אשר יהא בה להעביר לו מסר ברור כי עליו לחדול לחלוטין מלעבור על החוק.</w:t>
      </w:r>
    </w:p>
    <w:p w14:paraId="3E322CA8" w14:textId="77777777" w:rsidR="00EC0DAB" w:rsidRDefault="00EC0DAB" w:rsidP="00EC0DAB">
      <w:pPr>
        <w:spacing w:line="360" w:lineRule="auto"/>
        <w:jc w:val="both"/>
        <w:rPr>
          <w:rFonts w:ascii="Arial" w:hAnsi="Arial"/>
          <w:rtl/>
        </w:rPr>
      </w:pPr>
    </w:p>
    <w:p w14:paraId="25E7F622" w14:textId="77777777" w:rsidR="00EC0DAB" w:rsidRDefault="00EC0DAB" w:rsidP="00EC0DAB">
      <w:pPr>
        <w:spacing w:line="360" w:lineRule="auto"/>
        <w:jc w:val="both"/>
        <w:rPr>
          <w:rFonts w:ascii="Arial" w:hAnsi="Arial"/>
          <w:rtl/>
        </w:rPr>
      </w:pPr>
      <w:r>
        <w:rPr>
          <w:rFonts w:ascii="Arial" w:hAnsi="Arial" w:hint="cs"/>
          <w:rtl/>
        </w:rPr>
        <w:t xml:space="preserve">לצד האמור, עומדת לזכות הנאשם הודאתו המהירה באשמה, אשר בעיניי מצמצמת במקצת את החומרה שראיתי בניסיון הנאשם להסתיר את הנשק מהשוטרים כאמור. הנאשם קיבל אחריות על מעשיו ואף הביע חרטה עליהם. </w:t>
      </w:r>
    </w:p>
    <w:p w14:paraId="4EDA4CAB" w14:textId="77777777" w:rsidR="00EC0DAB" w:rsidRDefault="00EC0DAB" w:rsidP="00EC0DAB">
      <w:pPr>
        <w:spacing w:line="360" w:lineRule="auto"/>
        <w:jc w:val="both"/>
        <w:rPr>
          <w:rFonts w:ascii="Arial" w:hAnsi="Arial"/>
          <w:rtl/>
        </w:rPr>
      </w:pPr>
    </w:p>
    <w:p w14:paraId="27BC1F8E" w14:textId="77777777" w:rsidR="00EC0DAB" w:rsidRDefault="00EC0DAB" w:rsidP="00EC0DAB">
      <w:pPr>
        <w:spacing w:line="360" w:lineRule="auto"/>
        <w:jc w:val="both"/>
        <w:rPr>
          <w:rFonts w:ascii="Arial" w:hAnsi="Arial"/>
          <w:rtl/>
        </w:rPr>
      </w:pPr>
      <w:r>
        <w:rPr>
          <w:rFonts w:ascii="Arial" w:hAnsi="Arial" w:hint="cs"/>
          <w:rtl/>
        </w:rPr>
        <w:t xml:space="preserve">זאת ועוד, גם אם אינני מוכן לחרוג מהצורך בענישה מרתיעה בשים לב למניע "ההגנתי" שנטען כי עמד בבסיס החזקת הנשק, לא אוכל להתעלם מנסיבותיו האישיות והמשפחתיות של הנאשם. </w:t>
      </w:r>
    </w:p>
    <w:p w14:paraId="77133F7B" w14:textId="77777777" w:rsidR="00EC0DAB" w:rsidRDefault="00EC0DAB" w:rsidP="00EC0DAB">
      <w:pPr>
        <w:spacing w:line="360" w:lineRule="auto"/>
        <w:jc w:val="both"/>
        <w:rPr>
          <w:rFonts w:ascii="Arial" w:hAnsi="Arial"/>
          <w:rtl/>
        </w:rPr>
      </w:pPr>
    </w:p>
    <w:p w14:paraId="38775B07" w14:textId="77777777" w:rsidR="00EC0DAB" w:rsidRDefault="00EC0DAB" w:rsidP="00EC0DAB">
      <w:pPr>
        <w:spacing w:line="360" w:lineRule="auto"/>
        <w:jc w:val="both"/>
        <w:rPr>
          <w:rFonts w:ascii="Arial" w:hAnsi="Arial"/>
          <w:rtl/>
        </w:rPr>
      </w:pPr>
      <w:r>
        <w:rPr>
          <w:rFonts w:ascii="Arial" w:hAnsi="Arial" w:hint="cs"/>
          <w:rtl/>
        </w:rPr>
        <w:t xml:space="preserve">ראשית, גם אם במידה מועטה, פציעתו של הנאשם. אמנם, זו נגרמה כל כולה באשמתו, אך נראה כי תוצאותיה ימשיכו ללוותו לפרק זמן לא מבוטל. </w:t>
      </w:r>
    </w:p>
    <w:p w14:paraId="55EBF36F" w14:textId="77777777" w:rsidR="00EC0DAB" w:rsidRDefault="00EC0DAB" w:rsidP="00EC0DAB">
      <w:pPr>
        <w:spacing w:line="360" w:lineRule="auto"/>
        <w:jc w:val="both"/>
        <w:rPr>
          <w:rFonts w:ascii="Arial" w:hAnsi="Arial"/>
          <w:rtl/>
        </w:rPr>
      </w:pPr>
    </w:p>
    <w:p w14:paraId="57E6C5A2" w14:textId="77777777" w:rsidR="00EC0DAB" w:rsidRDefault="00EC0DAB" w:rsidP="00EC0DAB">
      <w:pPr>
        <w:spacing w:line="360" w:lineRule="auto"/>
        <w:jc w:val="both"/>
        <w:rPr>
          <w:rFonts w:ascii="Arial" w:hAnsi="Arial"/>
          <w:rtl/>
        </w:rPr>
      </w:pPr>
      <w:r>
        <w:rPr>
          <w:rFonts w:ascii="Arial" w:hAnsi="Arial" w:hint="cs"/>
          <w:rtl/>
        </w:rPr>
        <w:t xml:space="preserve">שנית, מצב בני משפחתו, בראשם אמו ואחותו, שפקדו אותן אסונות קשים, כפי שפורט ברגישות על ידי הסנגור. האובדן של בעל ואב, בנסיבות טרגיות, השפעתו על בריאות האם, על תפקוד יתר בני המשפחה ועל מצבה הכלכלי של המשפחה כולה, נוגעים ללב וממחישים היטב את ההשפעות ההרסניות של אורחותיה האלימות של החברה ושל הסיכון הרב הטמון בתפוצה נרחבת של הנשק הבלתי חוקי. </w:t>
      </w:r>
    </w:p>
    <w:p w14:paraId="4B38CFA9" w14:textId="77777777" w:rsidR="00EC0DAB" w:rsidRDefault="00EC0DAB" w:rsidP="00EC0DAB">
      <w:pPr>
        <w:spacing w:line="360" w:lineRule="auto"/>
        <w:jc w:val="both"/>
        <w:rPr>
          <w:rFonts w:ascii="Arial" w:hAnsi="Arial"/>
          <w:rtl/>
        </w:rPr>
      </w:pPr>
    </w:p>
    <w:p w14:paraId="5D83713E" w14:textId="77777777" w:rsidR="00EC0DAB" w:rsidRDefault="00EC0DAB" w:rsidP="00EC0DAB">
      <w:pPr>
        <w:spacing w:line="360" w:lineRule="auto"/>
        <w:jc w:val="both"/>
        <w:rPr>
          <w:rFonts w:ascii="Arial" w:hAnsi="Arial"/>
          <w:rtl/>
        </w:rPr>
      </w:pPr>
      <w:r>
        <w:rPr>
          <w:rFonts w:ascii="Arial" w:hAnsi="Arial" w:hint="cs"/>
          <w:rtl/>
        </w:rPr>
        <w:t>על כן, גם אם אין בנסיבות אלה להצדיק את ביצוע עבירה, מן הראוי כי יינתן להן משקל בהיבט הפגיעה המיוחדת שתגרם לנאשם ובעיקר לבני משפחתו עקב כליאתו הארוכה.</w:t>
      </w:r>
    </w:p>
    <w:p w14:paraId="169C321D" w14:textId="77777777" w:rsidR="00EC0DAB" w:rsidRDefault="00EC0DAB" w:rsidP="00EC0DAB">
      <w:pPr>
        <w:spacing w:line="360" w:lineRule="auto"/>
        <w:jc w:val="both"/>
        <w:rPr>
          <w:rFonts w:ascii="Arial" w:hAnsi="Arial"/>
          <w:rtl/>
        </w:rPr>
      </w:pPr>
    </w:p>
    <w:p w14:paraId="013B4D2B" w14:textId="77777777" w:rsidR="00EC0DAB" w:rsidRPr="00894E5B" w:rsidRDefault="00EC0DAB" w:rsidP="00EC0DAB">
      <w:pPr>
        <w:spacing w:line="360" w:lineRule="auto"/>
        <w:jc w:val="both"/>
        <w:rPr>
          <w:rFonts w:ascii="Arial" w:hAnsi="Arial"/>
          <w:b/>
          <w:bCs/>
          <w:u w:val="single"/>
          <w:rtl/>
        </w:rPr>
      </w:pPr>
      <w:r w:rsidRPr="00894E5B">
        <w:rPr>
          <w:rFonts w:ascii="Arial" w:hAnsi="Arial"/>
          <w:b/>
          <w:bCs/>
          <w:u w:val="single"/>
          <w:rtl/>
        </w:rPr>
        <w:t>סוף דבר</w:t>
      </w:r>
    </w:p>
    <w:p w14:paraId="5B0C1ACC" w14:textId="77777777" w:rsidR="00EC0DAB" w:rsidRPr="0071549C" w:rsidRDefault="00EC0DAB" w:rsidP="00EC0DAB">
      <w:pPr>
        <w:spacing w:line="360" w:lineRule="auto"/>
        <w:jc w:val="both"/>
        <w:rPr>
          <w:rFonts w:ascii="Arial" w:hAnsi="Arial"/>
          <w:b/>
          <w:bCs/>
          <w:sz w:val="16"/>
          <w:szCs w:val="16"/>
          <w:rtl/>
        </w:rPr>
      </w:pPr>
    </w:p>
    <w:p w14:paraId="7A6CFC71" w14:textId="77777777" w:rsidR="00EC0DAB" w:rsidRPr="009961BC" w:rsidRDefault="00EC0DAB" w:rsidP="00EC0DAB">
      <w:pPr>
        <w:spacing w:line="360" w:lineRule="auto"/>
        <w:jc w:val="both"/>
        <w:rPr>
          <w:rFonts w:ascii="Arial" w:hAnsi="Arial"/>
          <w:rtl/>
        </w:rPr>
      </w:pPr>
      <w:r w:rsidRPr="0071549C">
        <w:rPr>
          <w:rFonts w:ascii="Arial" w:hAnsi="Arial"/>
          <w:rtl/>
        </w:rPr>
        <w:t>העולה</w:t>
      </w:r>
      <w:r w:rsidRPr="009961BC">
        <w:rPr>
          <w:rFonts w:ascii="Arial" w:hAnsi="Arial"/>
          <w:rtl/>
        </w:rPr>
        <w:t xml:space="preserve"> מדברנו עד כה, כי הנאשם עירב עצמו בביצוע עבירה חמורה, כאשר נשא </w:t>
      </w:r>
      <w:r w:rsidRPr="009961BC">
        <w:rPr>
          <w:rFonts w:ascii="Arial" w:hAnsi="Arial" w:hint="eastAsia"/>
          <w:rtl/>
        </w:rPr>
        <w:t>והוביל</w:t>
      </w:r>
      <w:r w:rsidRPr="009961BC">
        <w:rPr>
          <w:rFonts w:ascii="Arial" w:hAnsi="Arial"/>
          <w:rtl/>
        </w:rPr>
        <w:t xml:space="preserve"> אקדח ובו מחסנית </w:t>
      </w:r>
      <w:r w:rsidRPr="009961BC">
        <w:rPr>
          <w:rFonts w:ascii="Arial" w:hAnsi="Arial" w:hint="eastAsia"/>
          <w:rtl/>
        </w:rPr>
        <w:t>טעונה</w:t>
      </w:r>
      <w:r w:rsidRPr="009961BC">
        <w:rPr>
          <w:rFonts w:ascii="Arial" w:hAnsi="Arial"/>
          <w:rtl/>
        </w:rPr>
        <w:t xml:space="preserve"> </w:t>
      </w:r>
      <w:r w:rsidRPr="009961BC">
        <w:rPr>
          <w:rFonts w:ascii="Arial" w:hAnsi="Arial" w:hint="eastAsia"/>
          <w:rtl/>
        </w:rPr>
        <w:t>בכדורים</w:t>
      </w:r>
      <w:r>
        <w:rPr>
          <w:rFonts w:ascii="Arial" w:hAnsi="Arial" w:hint="cs"/>
          <w:rtl/>
        </w:rPr>
        <w:t>, במתחם ביתו,</w:t>
      </w:r>
      <w:r w:rsidRPr="009961BC">
        <w:rPr>
          <w:rFonts w:ascii="Arial" w:hAnsi="Arial"/>
          <w:rtl/>
        </w:rPr>
        <w:t xml:space="preserve"> </w:t>
      </w:r>
      <w:r w:rsidRPr="009961BC">
        <w:rPr>
          <w:rFonts w:ascii="Arial" w:hAnsi="Arial" w:hint="eastAsia"/>
          <w:rtl/>
        </w:rPr>
        <w:t>וניסה</w:t>
      </w:r>
      <w:r w:rsidRPr="009961BC">
        <w:rPr>
          <w:rFonts w:ascii="Arial" w:hAnsi="Arial"/>
          <w:rtl/>
        </w:rPr>
        <w:t xml:space="preserve"> </w:t>
      </w:r>
      <w:r w:rsidRPr="009961BC">
        <w:rPr>
          <w:rFonts w:ascii="Arial" w:hAnsi="Arial" w:hint="eastAsia"/>
          <w:rtl/>
        </w:rPr>
        <w:t>להסתירם</w:t>
      </w:r>
      <w:r w:rsidRPr="009961BC">
        <w:rPr>
          <w:rFonts w:ascii="Arial" w:hAnsi="Arial"/>
          <w:rtl/>
        </w:rPr>
        <w:t xml:space="preserve"> </w:t>
      </w:r>
      <w:r w:rsidRPr="009961BC">
        <w:rPr>
          <w:rFonts w:ascii="Arial" w:hAnsi="Arial" w:hint="eastAsia"/>
          <w:rtl/>
        </w:rPr>
        <w:t>מהשוטרים</w:t>
      </w:r>
      <w:r w:rsidRPr="009961BC">
        <w:rPr>
          <w:rFonts w:ascii="Arial" w:hAnsi="Arial"/>
          <w:rtl/>
        </w:rPr>
        <w:t xml:space="preserve"> </w:t>
      </w:r>
      <w:r w:rsidRPr="009961BC">
        <w:rPr>
          <w:rFonts w:ascii="Arial" w:hAnsi="Arial" w:hint="eastAsia"/>
          <w:rtl/>
        </w:rPr>
        <w:t>שביצעו</w:t>
      </w:r>
      <w:r w:rsidRPr="009961BC">
        <w:rPr>
          <w:rFonts w:ascii="Arial" w:hAnsi="Arial"/>
          <w:rtl/>
        </w:rPr>
        <w:t xml:space="preserve"> </w:t>
      </w:r>
      <w:r w:rsidRPr="009961BC">
        <w:rPr>
          <w:rFonts w:ascii="Arial" w:hAnsi="Arial" w:hint="eastAsia"/>
          <w:rtl/>
        </w:rPr>
        <w:t>חיפוש</w:t>
      </w:r>
      <w:r w:rsidRPr="009961BC">
        <w:rPr>
          <w:rFonts w:ascii="Arial" w:hAnsi="Arial"/>
          <w:rtl/>
        </w:rPr>
        <w:t xml:space="preserve">. </w:t>
      </w:r>
      <w:r w:rsidRPr="009961BC">
        <w:rPr>
          <w:rFonts w:ascii="Arial" w:hAnsi="Arial" w:hint="eastAsia"/>
          <w:rtl/>
        </w:rPr>
        <w:t>כפי</w:t>
      </w:r>
      <w:r w:rsidRPr="009961BC">
        <w:rPr>
          <w:rFonts w:ascii="Arial" w:hAnsi="Arial"/>
          <w:rtl/>
        </w:rPr>
        <w:t xml:space="preserve"> שהובהר, עבירה זו פוגעת בערכים חברתיים ראשונים במעלה ולה פוטנציאל נזק משמעותי. </w:t>
      </w:r>
      <w:r>
        <w:rPr>
          <w:rFonts w:ascii="Arial" w:hAnsi="Arial" w:hint="cs"/>
          <w:rtl/>
        </w:rPr>
        <w:t xml:space="preserve">עם זאת, יש להתחשב בעובדה כי הנשק נישא במתחם ביתו של הנאשם בלבד, ואף נתפס במהלך האירוע. </w:t>
      </w:r>
    </w:p>
    <w:p w14:paraId="421D7BC7" w14:textId="77777777" w:rsidR="00EC0DAB" w:rsidRPr="009961BC" w:rsidRDefault="00EC0DAB" w:rsidP="00EC0DAB">
      <w:pPr>
        <w:spacing w:line="360" w:lineRule="auto"/>
        <w:jc w:val="both"/>
        <w:rPr>
          <w:rFonts w:ascii="Arial" w:hAnsi="Arial"/>
          <w:rtl/>
        </w:rPr>
      </w:pPr>
    </w:p>
    <w:p w14:paraId="00225D89" w14:textId="77777777" w:rsidR="00EC0DAB" w:rsidRPr="009961BC" w:rsidRDefault="00EC0DAB" w:rsidP="00EC0DAB">
      <w:pPr>
        <w:spacing w:line="360" w:lineRule="auto"/>
        <w:jc w:val="both"/>
        <w:rPr>
          <w:rFonts w:ascii="Arial" w:hAnsi="Arial"/>
          <w:rtl/>
        </w:rPr>
      </w:pPr>
      <w:r w:rsidRPr="009961BC">
        <w:rPr>
          <w:rFonts w:ascii="Arial" w:hAnsi="Arial"/>
          <w:rtl/>
        </w:rPr>
        <w:t>אי לכך, בהתאם ל</w:t>
      </w:r>
      <w:r w:rsidRPr="009961BC">
        <w:rPr>
          <w:rFonts w:ascii="Arial" w:hAnsi="Arial" w:hint="eastAsia"/>
          <w:rtl/>
        </w:rPr>
        <w:t>חוק</w:t>
      </w:r>
      <w:r w:rsidRPr="009961BC">
        <w:rPr>
          <w:rFonts w:ascii="Arial" w:hAnsi="Arial"/>
          <w:rtl/>
        </w:rPr>
        <w:t xml:space="preserve">, </w:t>
      </w:r>
      <w:r w:rsidRPr="009961BC">
        <w:rPr>
          <w:rFonts w:ascii="Arial" w:hAnsi="Arial" w:hint="eastAsia"/>
          <w:rtl/>
        </w:rPr>
        <w:t>ל</w:t>
      </w:r>
      <w:r w:rsidRPr="009961BC">
        <w:rPr>
          <w:rFonts w:ascii="Arial" w:hAnsi="Arial"/>
          <w:rtl/>
        </w:rPr>
        <w:t>מדיניות הענישה הנוהגת ולהוראתו המפורשת של בית המשפט העליון, נדרש להטיל עליו עונש מאסר משמעותי, אשר יהלום את מהות מעשיו ויבטא כראוי את שיקולי הענישה השונים.</w:t>
      </w:r>
    </w:p>
    <w:p w14:paraId="416AF4E3" w14:textId="77777777" w:rsidR="00EC0DAB" w:rsidRPr="009961BC" w:rsidRDefault="00EC0DAB" w:rsidP="00EC0DAB">
      <w:pPr>
        <w:spacing w:line="360" w:lineRule="auto"/>
        <w:jc w:val="both"/>
        <w:rPr>
          <w:rFonts w:ascii="Arial" w:hAnsi="Arial"/>
          <w:rtl/>
        </w:rPr>
      </w:pPr>
    </w:p>
    <w:p w14:paraId="3F417112" w14:textId="77777777" w:rsidR="00EC0DAB" w:rsidRPr="009961BC" w:rsidRDefault="00EC0DAB" w:rsidP="00EC0DAB">
      <w:pPr>
        <w:spacing w:line="360" w:lineRule="auto"/>
        <w:jc w:val="both"/>
        <w:rPr>
          <w:rFonts w:ascii="Arial" w:hAnsi="Arial"/>
          <w:rtl/>
        </w:rPr>
      </w:pPr>
      <w:r>
        <w:rPr>
          <w:rFonts w:ascii="Arial" w:hAnsi="Arial" w:hint="cs"/>
          <w:rtl/>
        </w:rPr>
        <w:t>ה</w:t>
      </w:r>
      <w:r w:rsidRPr="009961BC">
        <w:rPr>
          <w:rFonts w:ascii="Arial" w:hAnsi="Arial" w:hint="eastAsia"/>
          <w:rtl/>
        </w:rPr>
        <w:t>צורך</w:t>
      </w:r>
      <w:r w:rsidRPr="009961BC">
        <w:rPr>
          <w:rFonts w:ascii="Arial" w:hAnsi="Arial"/>
          <w:rtl/>
        </w:rPr>
        <w:t xml:space="preserve"> בענישה הולמת ומרתיעה גובר לאור עברו של הנאשם.  </w:t>
      </w:r>
    </w:p>
    <w:p w14:paraId="4C9BA823" w14:textId="77777777" w:rsidR="00EC0DAB" w:rsidRPr="009961BC" w:rsidRDefault="00EC0DAB" w:rsidP="00EC0DAB">
      <w:pPr>
        <w:spacing w:line="360" w:lineRule="auto"/>
        <w:jc w:val="both"/>
        <w:rPr>
          <w:rFonts w:ascii="Arial" w:hAnsi="Arial"/>
          <w:rtl/>
        </w:rPr>
      </w:pPr>
    </w:p>
    <w:p w14:paraId="0A8E3670" w14:textId="77777777" w:rsidR="00EC0DAB" w:rsidRPr="009961BC" w:rsidRDefault="00EC0DAB" w:rsidP="00EC0DAB">
      <w:pPr>
        <w:spacing w:line="360" w:lineRule="auto"/>
        <w:jc w:val="both"/>
        <w:rPr>
          <w:rFonts w:ascii="Arial" w:hAnsi="Arial"/>
          <w:rtl/>
        </w:rPr>
      </w:pPr>
      <w:r w:rsidRPr="009961BC">
        <w:rPr>
          <w:rFonts w:ascii="Arial" w:hAnsi="Arial" w:hint="eastAsia"/>
          <w:rtl/>
        </w:rPr>
        <w:t>מאידך</w:t>
      </w:r>
      <w:r w:rsidRPr="009961BC">
        <w:rPr>
          <w:rFonts w:ascii="Arial" w:hAnsi="Arial"/>
          <w:rtl/>
        </w:rPr>
        <w:t xml:space="preserve"> </w:t>
      </w:r>
      <w:r w:rsidRPr="009961BC">
        <w:rPr>
          <w:rFonts w:ascii="Arial" w:hAnsi="Arial" w:hint="eastAsia"/>
          <w:rtl/>
        </w:rPr>
        <w:t>גיסא</w:t>
      </w:r>
      <w:r w:rsidRPr="009961BC">
        <w:rPr>
          <w:rFonts w:ascii="Arial" w:hAnsi="Arial"/>
          <w:rtl/>
        </w:rPr>
        <w:t xml:space="preserve">, עומדות לזכותו הנסיבות האישיות </w:t>
      </w:r>
      <w:r w:rsidRPr="009961BC">
        <w:rPr>
          <w:rFonts w:ascii="Arial" w:hAnsi="Arial" w:hint="eastAsia"/>
          <w:rtl/>
        </w:rPr>
        <w:t>והמשפחתיות</w:t>
      </w:r>
      <w:r w:rsidRPr="009961BC">
        <w:rPr>
          <w:rFonts w:ascii="Arial" w:hAnsi="Arial"/>
          <w:rtl/>
        </w:rPr>
        <w:t xml:space="preserve"> </w:t>
      </w:r>
      <w:r>
        <w:rPr>
          <w:rFonts w:ascii="Arial" w:hAnsi="Arial" w:hint="cs"/>
          <w:rtl/>
        </w:rPr>
        <w:t>הקשות עליהן עמדתי, שיש בהן לאזן במקצת את החומרה שבעבירה,</w:t>
      </w:r>
      <w:r w:rsidRPr="009961BC">
        <w:rPr>
          <w:rFonts w:ascii="Arial" w:hAnsi="Arial"/>
          <w:rtl/>
        </w:rPr>
        <w:t xml:space="preserve"> וכן הודאתו באשמה. </w:t>
      </w:r>
    </w:p>
    <w:p w14:paraId="0CCB1380" w14:textId="77777777" w:rsidR="00EC0DAB" w:rsidRPr="009961BC" w:rsidRDefault="00EC0DAB" w:rsidP="00EC0DAB">
      <w:pPr>
        <w:spacing w:line="360" w:lineRule="auto"/>
        <w:jc w:val="both"/>
        <w:rPr>
          <w:rFonts w:ascii="Arial" w:hAnsi="Arial"/>
          <w:rtl/>
        </w:rPr>
      </w:pPr>
    </w:p>
    <w:p w14:paraId="65B7BA70" w14:textId="77777777" w:rsidR="00EC0DAB" w:rsidRPr="009961BC" w:rsidRDefault="00EC0DAB" w:rsidP="00EC0DAB">
      <w:pPr>
        <w:spacing w:line="360" w:lineRule="auto"/>
        <w:jc w:val="both"/>
        <w:rPr>
          <w:rFonts w:ascii="Arial" w:hAnsi="Arial"/>
          <w:rtl/>
        </w:rPr>
      </w:pPr>
      <w:r w:rsidRPr="009961BC">
        <w:rPr>
          <w:rFonts w:ascii="Arial" w:hAnsi="Arial" w:hint="eastAsia"/>
          <w:rtl/>
        </w:rPr>
        <w:t>לאור</w:t>
      </w:r>
      <w:r w:rsidRPr="009961BC">
        <w:rPr>
          <w:rFonts w:ascii="Arial" w:hAnsi="Arial"/>
          <w:rtl/>
        </w:rPr>
        <w:t xml:space="preserve"> </w:t>
      </w:r>
      <w:r w:rsidRPr="009961BC">
        <w:rPr>
          <w:rFonts w:ascii="Arial" w:hAnsi="Arial" w:hint="eastAsia"/>
          <w:rtl/>
        </w:rPr>
        <w:t>כל</w:t>
      </w:r>
      <w:r w:rsidRPr="009961BC">
        <w:rPr>
          <w:rFonts w:ascii="Arial" w:hAnsi="Arial"/>
          <w:rtl/>
        </w:rPr>
        <w:t xml:space="preserve"> </w:t>
      </w:r>
      <w:r w:rsidRPr="009961BC">
        <w:rPr>
          <w:rFonts w:ascii="Arial" w:hAnsi="Arial" w:hint="eastAsia"/>
          <w:rtl/>
        </w:rPr>
        <w:t>אלה</w:t>
      </w:r>
      <w:r w:rsidRPr="009961BC">
        <w:rPr>
          <w:rFonts w:ascii="Arial" w:hAnsi="Arial"/>
          <w:rtl/>
        </w:rPr>
        <w:t xml:space="preserve">, אני סבור שיש לגזור על הנאשם עונש מאסר בפועל </w:t>
      </w:r>
      <w:r w:rsidRPr="009961BC">
        <w:rPr>
          <w:rFonts w:ascii="Arial" w:hAnsi="Arial" w:hint="eastAsia"/>
          <w:rtl/>
        </w:rPr>
        <w:t>ב</w:t>
      </w:r>
      <w:r w:rsidRPr="009961BC">
        <w:rPr>
          <w:rFonts w:ascii="Arial" w:hAnsi="Arial"/>
          <w:rtl/>
        </w:rPr>
        <w:t>רף ה</w:t>
      </w:r>
      <w:r w:rsidRPr="009961BC">
        <w:rPr>
          <w:rFonts w:ascii="Arial" w:hAnsi="Arial" w:hint="eastAsia"/>
          <w:rtl/>
        </w:rPr>
        <w:t>בינוני</w:t>
      </w:r>
      <w:r w:rsidRPr="009961BC">
        <w:rPr>
          <w:rFonts w:ascii="Arial" w:hAnsi="Arial"/>
          <w:rtl/>
        </w:rPr>
        <w:t xml:space="preserve">-תחתון של מתחם העונש ההולם שנקבע כאמור. </w:t>
      </w:r>
    </w:p>
    <w:p w14:paraId="54784995" w14:textId="77777777" w:rsidR="00EC0DAB" w:rsidRPr="009961BC" w:rsidRDefault="00EC0DAB" w:rsidP="00EC0DAB">
      <w:pPr>
        <w:spacing w:line="360" w:lineRule="auto"/>
        <w:jc w:val="both"/>
        <w:rPr>
          <w:rFonts w:ascii="Arial" w:hAnsi="Arial"/>
          <w:rtl/>
        </w:rPr>
      </w:pPr>
    </w:p>
    <w:p w14:paraId="25ABAC60" w14:textId="77777777" w:rsidR="00EC0DAB" w:rsidRPr="009961BC" w:rsidRDefault="00EC0DAB" w:rsidP="00EC0DAB">
      <w:pPr>
        <w:spacing w:line="360" w:lineRule="auto"/>
        <w:jc w:val="both"/>
        <w:rPr>
          <w:rFonts w:ascii="Arial" w:hAnsi="Arial"/>
          <w:rtl/>
        </w:rPr>
      </w:pPr>
      <w:r w:rsidRPr="009961BC">
        <w:rPr>
          <w:rFonts w:ascii="Arial" w:hAnsi="Arial"/>
          <w:rtl/>
        </w:rPr>
        <w:t>בהתאם לאמור, הנני גוזר על הנאשם את העונשים הבאים:</w:t>
      </w:r>
    </w:p>
    <w:p w14:paraId="4600B125" w14:textId="77777777" w:rsidR="00EC0DAB" w:rsidRPr="0071549C" w:rsidRDefault="00EC0DAB" w:rsidP="00EC0DAB">
      <w:pPr>
        <w:spacing w:line="360" w:lineRule="auto"/>
        <w:jc w:val="both"/>
        <w:rPr>
          <w:rFonts w:ascii="Arial" w:hAnsi="Arial"/>
          <w:sz w:val="16"/>
          <w:szCs w:val="16"/>
          <w:rtl/>
        </w:rPr>
      </w:pPr>
    </w:p>
    <w:p w14:paraId="2398C337" w14:textId="77777777" w:rsidR="00EC0DAB" w:rsidRPr="009961BC" w:rsidRDefault="00EC0DAB" w:rsidP="00EC0DAB">
      <w:pPr>
        <w:pStyle w:val="a9"/>
        <w:numPr>
          <w:ilvl w:val="0"/>
          <w:numId w:val="1"/>
        </w:numPr>
        <w:spacing w:line="360" w:lineRule="auto"/>
        <w:jc w:val="both"/>
        <w:rPr>
          <w:rFonts w:ascii="Arial" w:hAnsi="Arial"/>
          <w:b/>
          <w:bCs/>
          <w:rtl/>
        </w:rPr>
      </w:pPr>
      <w:r>
        <w:rPr>
          <w:rFonts w:ascii="Arial" w:hAnsi="Arial" w:hint="cs"/>
          <w:b/>
          <w:bCs/>
          <w:rtl/>
        </w:rPr>
        <w:t>28</w:t>
      </w:r>
      <w:r w:rsidRPr="009961BC">
        <w:rPr>
          <w:rFonts w:ascii="Arial" w:hAnsi="Arial"/>
          <w:b/>
          <w:bCs/>
          <w:rtl/>
        </w:rPr>
        <w:t xml:space="preserve"> חודשי מאסר לריצוי בפועל מיום מעצרו בתיק זה. </w:t>
      </w:r>
    </w:p>
    <w:p w14:paraId="3685E89A" w14:textId="77777777" w:rsidR="00EC0DAB" w:rsidRPr="009961BC" w:rsidRDefault="00EC0DAB" w:rsidP="00EC0DAB">
      <w:pPr>
        <w:pStyle w:val="a9"/>
        <w:numPr>
          <w:ilvl w:val="0"/>
          <w:numId w:val="1"/>
        </w:numPr>
        <w:spacing w:line="360" w:lineRule="auto"/>
        <w:jc w:val="both"/>
        <w:rPr>
          <w:rFonts w:ascii="Arial" w:hAnsi="Arial"/>
          <w:rtl/>
        </w:rPr>
      </w:pPr>
      <w:r w:rsidRPr="009961BC">
        <w:rPr>
          <w:rFonts w:ascii="Arial" w:hAnsi="Arial"/>
          <w:b/>
          <w:bCs/>
          <w:rtl/>
        </w:rPr>
        <w:t xml:space="preserve">12 חודשי מאסר מותנים והתנאי הוא כי במשך 3 שנים מיום שחרורו ממאסר לא יעבור הנאשם עבירה בה הורשע או עבירה לפי סעיפים </w:t>
      </w:r>
      <w:hyperlink r:id="rId36" w:history="1">
        <w:r w:rsidR="005F0192" w:rsidRPr="005F0192">
          <w:rPr>
            <w:rStyle w:val="Hyperlink"/>
            <w:rFonts w:ascii="Arial" w:hAnsi="Arial"/>
            <w:b/>
            <w:bCs/>
            <w:color w:val="0000FF"/>
            <w:rtl/>
          </w:rPr>
          <w:t>144 (א)</w:t>
        </w:r>
      </w:hyperlink>
      <w:r w:rsidRPr="009961BC">
        <w:rPr>
          <w:rFonts w:ascii="Arial" w:hAnsi="Arial"/>
          <w:b/>
          <w:bCs/>
          <w:rtl/>
        </w:rPr>
        <w:t xml:space="preserve"> או (</w:t>
      </w:r>
      <w:hyperlink r:id="rId37" w:history="1">
        <w:r w:rsidR="005F0192" w:rsidRPr="005F0192">
          <w:rPr>
            <w:rStyle w:val="Hyperlink"/>
            <w:rFonts w:ascii="Arial" w:hAnsi="Arial"/>
            <w:b/>
            <w:bCs/>
            <w:color w:val="0000FF"/>
            <w:rtl/>
          </w:rPr>
          <w:t>ב2</w:t>
        </w:r>
      </w:hyperlink>
      <w:r w:rsidRPr="009961BC">
        <w:rPr>
          <w:rFonts w:ascii="Arial" w:hAnsi="Arial"/>
          <w:b/>
          <w:bCs/>
          <w:rtl/>
        </w:rPr>
        <w:t>) ל</w:t>
      </w:r>
      <w:hyperlink r:id="rId38" w:history="1">
        <w:r w:rsidR="001A1ADE" w:rsidRPr="001A1ADE">
          <w:rPr>
            <w:rFonts w:ascii="Arial" w:hAnsi="Arial"/>
            <w:b/>
            <w:bCs/>
            <w:color w:val="0000FF"/>
            <w:u w:val="single"/>
            <w:rtl/>
          </w:rPr>
          <w:t>חוק העונשין</w:t>
        </w:r>
      </w:hyperlink>
      <w:r w:rsidRPr="009961BC">
        <w:rPr>
          <w:rFonts w:ascii="Arial" w:hAnsi="Arial"/>
          <w:b/>
          <w:bCs/>
          <w:rtl/>
        </w:rPr>
        <w:t>, תשל"ז-1977.</w:t>
      </w:r>
    </w:p>
    <w:p w14:paraId="4A392AB2" w14:textId="77777777" w:rsidR="00EC0DAB" w:rsidRPr="009961BC" w:rsidRDefault="00EC0DAB" w:rsidP="00EC0DAB">
      <w:pPr>
        <w:spacing w:line="360" w:lineRule="auto"/>
        <w:jc w:val="both"/>
        <w:rPr>
          <w:rFonts w:ascii="Arial" w:hAnsi="Arial"/>
          <w:rtl/>
        </w:rPr>
      </w:pPr>
    </w:p>
    <w:p w14:paraId="0E27C4D6" w14:textId="77777777" w:rsidR="00EC0DAB" w:rsidRPr="009961BC" w:rsidRDefault="00EC0DAB" w:rsidP="00EC0DAB">
      <w:pPr>
        <w:spacing w:line="360" w:lineRule="auto"/>
        <w:jc w:val="both"/>
        <w:rPr>
          <w:rFonts w:ascii="Arial" w:hAnsi="Arial"/>
          <w:rtl/>
        </w:rPr>
      </w:pPr>
      <w:r w:rsidRPr="009961BC">
        <w:rPr>
          <w:rFonts w:ascii="Arial" w:hAnsi="Arial" w:hint="eastAsia"/>
          <w:rtl/>
        </w:rPr>
        <w:t>אוסיף</w:t>
      </w:r>
      <w:r w:rsidRPr="009961BC">
        <w:rPr>
          <w:rFonts w:ascii="Arial" w:hAnsi="Arial"/>
          <w:rtl/>
        </w:rPr>
        <w:t xml:space="preserve"> כי לנוכח הנסיבות </w:t>
      </w:r>
      <w:r>
        <w:rPr>
          <w:rFonts w:ascii="Arial" w:hAnsi="Arial" w:hint="cs"/>
          <w:rtl/>
        </w:rPr>
        <w:t>הכלכליות של הנאשם ומשפחתו</w:t>
      </w:r>
      <w:r w:rsidRPr="009961BC">
        <w:rPr>
          <w:rFonts w:ascii="Arial" w:hAnsi="Arial"/>
          <w:rtl/>
        </w:rPr>
        <w:t xml:space="preserve">, מצאתי להימנע מהטלת רכיב ענישה כספי. </w:t>
      </w:r>
    </w:p>
    <w:p w14:paraId="26B6F4E0" w14:textId="77777777" w:rsidR="00EC0DAB" w:rsidRDefault="00EC0DAB" w:rsidP="00EC0DAB">
      <w:pPr>
        <w:spacing w:line="360" w:lineRule="auto"/>
        <w:jc w:val="both"/>
        <w:rPr>
          <w:rFonts w:ascii="Arial" w:hAnsi="Arial"/>
          <w:sz w:val="26"/>
          <w:szCs w:val="26"/>
          <w:rtl/>
        </w:rPr>
      </w:pPr>
    </w:p>
    <w:p w14:paraId="53DCF284" w14:textId="77777777" w:rsidR="00EC0DAB" w:rsidRPr="009961BC" w:rsidRDefault="001A1ADE" w:rsidP="00EC0DAB">
      <w:pPr>
        <w:spacing w:line="360" w:lineRule="auto"/>
        <w:jc w:val="both"/>
        <w:rPr>
          <w:rFonts w:ascii="Arial" w:hAnsi="Arial"/>
          <w:rtl/>
        </w:rPr>
      </w:pPr>
      <w:r w:rsidRPr="001A1ADE">
        <w:rPr>
          <w:rFonts w:ascii="Arial" w:hAnsi="Arial"/>
          <w:color w:val="FFFFFF"/>
          <w:sz w:val="2"/>
          <w:szCs w:val="2"/>
          <w:rtl/>
        </w:rPr>
        <w:t>5129371</w:t>
      </w:r>
      <w:r w:rsidR="00EC0DAB" w:rsidRPr="009961BC">
        <w:rPr>
          <w:rFonts w:ascii="Arial" w:hAnsi="Arial" w:hint="eastAsia"/>
          <w:rtl/>
        </w:rPr>
        <w:t>האקדח</w:t>
      </w:r>
      <w:r w:rsidR="00EC0DAB">
        <w:rPr>
          <w:rFonts w:ascii="Arial" w:hAnsi="Arial" w:hint="cs"/>
          <w:rtl/>
        </w:rPr>
        <w:t>,</w:t>
      </w:r>
      <w:r w:rsidR="00EC0DAB" w:rsidRPr="009961BC">
        <w:rPr>
          <w:rFonts w:ascii="Arial" w:hAnsi="Arial"/>
          <w:rtl/>
        </w:rPr>
        <w:t xml:space="preserve"> המחסנית והכדורים שנתפס</w:t>
      </w:r>
      <w:r w:rsidR="00EC0DAB">
        <w:rPr>
          <w:rFonts w:ascii="Arial" w:hAnsi="Arial" w:hint="cs"/>
          <w:rtl/>
        </w:rPr>
        <w:t>ו</w:t>
      </w:r>
      <w:r w:rsidR="00EC0DAB" w:rsidRPr="009961BC">
        <w:rPr>
          <w:rFonts w:ascii="Arial" w:hAnsi="Arial"/>
          <w:rtl/>
        </w:rPr>
        <w:t xml:space="preserve"> יחולטו לטובת משטרת ישראל. </w:t>
      </w:r>
    </w:p>
    <w:p w14:paraId="5E50942F" w14:textId="77777777" w:rsidR="00EC0DAB" w:rsidRPr="001A1ADE" w:rsidRDefault="001A1ADE" w:rsidP="00EC0DAB">
      <w:pPr>
        <w:spacing w:line="360" w:lineRule="auto"/>
        <w:jc w:val="both"/>
        <w:rPr>
          <w:rFonts w:ascii="Arial" w:hAnsi="Arial"/>
          <w:b/>
          <w:bCs/>
          <w:color w:val="FFFFFF"/>
          <w:sz w:val="2"/>
          <w:szCs w:val="2"/>
        </w:rPr>
      </w:pPr>
      <w:r w:rsidRPr="001A1ADE">
        <w:rPr>
          <w:rFonts w:ascii="Arial" w:hAnsi="Arial"/>
          <w:b/>
          <w:bCs/>
          <w:color w:val="FFFFFF"/>
          <w:sz w:val="2"/>
          <w:szCs w:val="2"/>
          <w:rtl/>
        </w:rPr>
        <w:t>54678313</w:t>
      </w:r>
      <w:r w:rsidR="00EC0DAB" w:rsidRPr="001A1ADE">
        <w:rPr>
          <w:rFonts w:ascii="Arial" w:hAnsi="Arial" w:hint="cs"/>
          <w:b/>
          <w:bCs/>
          <w:color w:val="FFFFFF"/>
          <w:sz w:val="2"/>
          <w:szCs w:val="2"/>
          <w:rtl/>
        </w:rPr>
        <w:t xml:space="preserve"> </w:t>
      </w:r>
    </w:p>
    <w:p w14:paraId="5451ADEF" w14:textId="77777777" w:rsidR="00EC0DAB" w:rsidRPr="00363351" w:rsidRDefault="00EC0DAB" w:rsidP="00EC0DAB">
      <w:pPr>
        <w:rPr>
          <w:rFonts w:ascii="Arial" w:hAnsi="Arial"/>
          <w:b/>
          <w:bCs/>
          <w:rtl/>
        </w:rPr>
      </w:pPr>
    </w:p>
    <w:p w14:paraId="5C8A8203" w14:textId="77777777" w:rsidR="00EC0DAB" w:rsidRPr="00363351" w:rsidRDefault="001A1ADE" w:rsidP="00EC0DAB">
      <w:pPr>
        <w:spacing w:line="360" w:lineRule="auto"/>
        <w:jc w:val="both"/>
        <w:rPr>
          <w:rFonts w:ascii="Arial" w:hAnsi="Arial"/>
          <w:b/>
          <w:bCs/>
          <w:rtl/>
        </w:rPr>
      </w:pPr>
      <w:bookmarkStart w:id="8" w:name="Nitan"/>
      <w:r>
        <w:rPr>
          <w:rFonts w:ascii="Arial" w:hAnsi="Arial"/>
          <w:b/>
          <w:bCs/>
          <w:rtl/>
        </w:rPr>
        <w:t xml:space="preserve">ניתן היום,  י"ד אב תשפ"ד, 18 אוגוסט 2024, בפומבי ובנוכחות הנאשם, בא כוחו וב"כ המאשימה.  </w:t>
      </w:r>
      <w:bookmarkEnd w:id="8"/>
      <w:r w:rsidR="00EC0DAB" w:rsidRPr="00363351">
        <w:rPr>
          <w:rFonts w:ascii="Arial" w:hAnsi="Arial"/>
          <w:b/>
          <w:bCs/>
          <w:rtl/>
        </w:rPr>
        <w:tab/>
      </w:r>
      <w:r w:rsidR="00EC0DAB" w:rsidRPr="00363351">
        <w:rPr>
          <w:rFonts w:ascii="Arial" w:hAnsi="Arial"/>
          <w:b/>
          <w:bCs/>
          <w:rtl/>
        </w:rPr>
        <w:tab/>
      </w:r>
      <w:r w:rsidR="00EC0DAB" w:rsidRPr="00363351">
        <w:rPr>
          <w:rFonts w:ascii="Arial" w:hAnsi="Arial"/>
          <w:b/>
          <w:bCs/>
          <w:rtl/>
        </w:rPr>
        <w:tab/>
      </w:r>
      <w:r w:rsidR="00EC0DAB" w:rsidRPr="00363351">
        <w:rPr>
          <w:rFonts w:ascii="Arial" w:hAnsi="Arial"/>
          <w:b/>
          <w:bCs/>
          <w:rtl/>
        </w:rPr>
        <w:tab/>
      </w:r>
      <w:r w:rsidR="00EC0DAB" w:rsidRPr="00363351">
        <w:rPr>
          <w:rFonts w:ascii="Arial" w:hAnsi="Arial"/>
          <w:b/>
          <w:bCs/>
          <w:rtl/>
        </w:rPr>
        <w:tab/>
      </w:r>
      <w:r w:rsidR="00EC0DAB" w:rsidRPr="00363351">
        <w:rPr>
          <w:rFonts w:ascii="Arial" w:hAnsi="Arial"/>
          <w:b/>
          <w:bCs/>
          <w:rtl/>
        </w:rPr>
        <w:tab/>
      </w:r>
      <w:r w:rsidR="00EC0DAB" w:rsidRPr="00363351">
        <w:rPr>
          <w:rFonts w:ascii="Arial" w:hAnsi="Arial"/>
          <w:b/>
          <w:bCs/>
          <w:rtl/>
        </w:rPr>
        <w:tab/>
      </w:r>
      <w:r w:rsidR="00EC0DAB" w:rsidRPr="00363351">
        <w:rPr>
          <w:rFonts w:ascii="Arial" w:hAnsi="Arial" w:hint="cs"/>
          <w:b/>
          <w:bCs/>
          <w:rtl/>
        </w:rPr>
        <w:t xml:space="preserve">         </w:t>
      </w:r>
    </w:p>
    <w:p w14:paraId="48AAA546" w14:textId="77777777" w:rsidR="00EC0DAB" w:rsidRPr="00363351" w:rsidRDefault="00EC0DAB" w:rsidP="001A1ADE">
      <w:pPr>
        <w:jc w:val="center"/>
      </w:pPr>
      <w:r w:rsidRPr="00363351">
        <w:rPr>
          <w:rFonts w:ascii="Arial" w:hAnsi="Arial"/>
          <w:b/>
          <w:bCs/>
          <w:rtl/>
        </w:rPr>
        <w:t xml:space="preserve">   </w:t>
      </w:r>
      <w:r w:rsidRPr="00363351">
        <w:rPr>
          <w:rFonts w:ascii="Arial" w:hAnsi="Arial"/>
          <w:b/>
          <w:bCs/>
          <w:rtl/>
        </w:rPr>
        <w:tab/>
      </w:r>
      <w:r w:rsidRPr="00363351">
        <w:rPr>
          <w:rFonts w:ascii="Arial" w:hAnsi="Arial"/>
          <w:b/>
          <w:bCs/>
          <w:rtl/>
        </w:rPr>
        <w:tab/>
      </w:r>
      <w:r w:rsidRPr="00363351">
        <w:rPr>
          <w:rFonts w:ascii="Arial" w:hAnsi="Arial"/>
          <w:b/>
          <w:bCs/>
          <w:rtl/>
        </w:rPr>
        <w:tab/>
      </w:r>
      <w:r w:rsidRPr="00363351">
        <w:rPr>
          <w:rFonts w:ascii="Arial" w:hAnsi="Arial"/>
          <w:b/>
          <w:bCs/>
          <w:rtl/>
        </w:rPr>
        <w:tab/>
      </w:r>
      <w:r w:rsidRPr="00363351">
        <w:rPr>
          <w:rFonts w:ascii="Arial" w:hAnsi="Arial"/>
          <w:b/>
          <w:bCs/>
          <w:rtl/>
        </w:rPr>
        <w:tab/>
      </w:r>
    </w:p>
    <w:p w14:paraId="559355C1" w14:textId="77777777" w:rsidR="00EC0DAB" w:rsidRPr="00363351" w:rsidRDefault="00EC0DAB" w:rsidP="00EC0DAB">
      <w:pPr>
        <w:jc w:val="center"/>
        <w:rPr>
          <w:rFonts w:ascii="Arial" w:hAnsi="Arial"/>
          <w:b/>
          <w:bCs/>
          <w:rtl/>
        </w:rPr>
      </w:pPr>
    </w:p>
    <w:p w14:paraId="104DB976" w14:textId="77777777" w:rsidR="00BA154E" w:rsidRPr="001A1ADE" w:rsidRDefault="00BA154E" w:rsidP="001A1ADE">
      <w:pPr>
        <w:keepNext/>
        <w:rPr>
          <w:rFonts w:ascii="David" w:hAnsi="David"/>
          <w:color w:val="000000"/>
          <w:sz w:val="22"/>
          <w:szCs w:val="22"/>
          <w:rtl/>
        </w:rPr>
      </w:pPr>
    </w:p>
    <w:p w14:paraId="10D0B05F" w14:textId="77777777" w:rsidR="001A1ADE" w:rsidRPr="001A1ADE" w:rsidRDefault="001A1ADE" w:rsidP="001A1ADE">
      <w:pPr>
        <w:keepNext/>
        <w:rPr>
          <w:rFonts w:ascii="David" w:hAnsi="David"/>
          <w:color w:val="000000"/>
          <w:sz w:val="22"/>
          <w:szCs w:val="22"/>
          <w:rtl/>
        </w:rPr>
      </w:pPr>
      <w:r w:rsidRPr="001A1ADE">
        <w:rPr>
          <w:rFonts w:ascii="David" w:hAnsi="David"/>
          <w:color w:val="000000"/>
          <w:sz w:val="22"/>
          <w:szCs w:val="22"/>
          <w:rtl/>
        </w:rPr>
        <w:t>נתנאל בנישו 54678313</w:t>
      </w:r>
    </w:p>
    <w:p w14:paraId="310AF172" w14:textId="77777777" w:rsidR="001A1ADE" w:rsidRDefault="001A1ADE" w:rsidP="001A1ADE">
      <w:r w:rsidRPr="001A1ADE">
        <w:rPr>
          <w:color w:val="000000"/>
          <w:rtl/>
        </w:rPr>
        <w:t>נוסח מסמך זה כפוף לשינויי ניסוח ועריכה</w:t>
      </w:r>
    </w:p>
    <w:p w14:paraId="0BDD8074" w14:textId="77777777" w:rsidR="001A1ADE" w:rsidRDefault="001A1ADE" w:rsidP="001A1ADE">
      <w:pPr>
        <w:rPr>
          <w:rtl/>
        </w:rPr>
      </w:pPr>
    </w:p>
    <w:p w14:paraId="4B95940B" w14:textId="77777777" w:rsidR="001A1ADE" w:rsidRDefault="001A1ADE" w:rsidP="001A1AD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45D42C9" w14:textId="77777777" w:rsidR="001A1ADE" w:rsidRPr="001A1ADE" w:rsidRDefault="001A1ADE" w:rsidP="001A1ADE">
      <w:pPr>
        <w:jc w:val="center"/>
        <w:rPr>
          <w:color w:val="0000FF"/>
          <w:u w:val="single"/>
        </w:rPr>
      </w:pPr>
    </w:p>
    <w:sectPr w:rsidR="001A1ADE" w:rsidRPr="001A1ADE" w:rsidSect="001A1ADE">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805FC" w14:textId="77777777" w:rsidR="00271175" w:rsidRDefault="00271175" w:rsidP="00907C59">
      <w:r>
        <w:separator/>
      </w:r>
    </w:p>
  </w:endnote>
  <w:endnote w:type="continuationSeparator" w:id="0">
    <w:p w14:paraId="48406CD7" w14:textId="77777777" w:rsidR="00271175" w:rsidRDefault="00271175" w:rsidP="0090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23B98" w14:textId="77777777" w:rsidR="001A1ADE" w:rsidRDefault="001A1ADE" w:rsidP="001A1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55147A" w14:textId="77777777" w:rsidR="00E6613A" w:rsidRPr="001A1ADE" w:rsidRDefault="001A1ADE" w:rsidP="001A1A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4A346" w14:textId="77777777" w:rsidR="001A1ADE" w:rsidRDefault="001A1ADE" w:rsidP="001A1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07BF">
      <w:rPr>
        <w:rFonts w:ascii="FrankRuehl" w:hAnsi="FrankRuehl" w:cs="FrankRuehl"/>
        <w:noProof/>
        <w:rtl/>
      </w:rPr>
      <w:t>1</w:t>
    </w:r>
    <w:r>
      <w:rPr>
        <w:rFonts w:ascii="FrankRuehl" w:hAnsi="FrankRuehl" w:cs="FrankRuehl"/>
        <w:rtl/>
      </w:rPr>
      <w:fldChar w:fldCharType="end"/>
    </w:r>
  </w:p>
  <w:p w14:paraId="61589FBA" w14:textId="77777777" w:rsidR="00E6613A" w:rsidRPr="001A1ADE" w:rsidRDefault="001A1ADE" w:rsidP="001A1A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61E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4036E" w14:textId="77777777" w:rsidR="00271175" w:rsidRDefault="00271175" w:rsidP="00907C59">
      <w:r>
        <w:separator/>
      </w:r>
    </w:p>
  </w:footnote>
  <w:footnote w:type="continuationSeparator" w:id="0">
    <w:p w14:paraId="0FB8033F" w14:textId="77777777" w:rsidR="00271175" w:rsidRDefault="00271175" w:rsidP="0090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96187" w14:textId="77777777" w:rsidR="001A1ADE" w:rsidRPr="001A1ADE" w:rsidRDefault="001A1ADE" w:rsidP="001A1A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49405-04-24</w:t>
    </w:r>
    <w:r>
      <w:rPr>
        <w:rFonts w:ascii="David" w:hAnsi="David"/>
        <w:color w:val="000000"/>
        <w:sz w:val="22"/>
        <w:szCs w:val="22"/>
        <w:rtl/>
      </w:rPr>
      <w:tab/>
      <w:t xml:space="preserve"> מדינת ישראל נ' מופיד אמון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175CE" w14:textId="77777777" w:rsidR="001A1ADE" w:rsidRPr="001A1ADE" w:rsidRDefault="001A1ADE" w:rsidP="001A1A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49405-04-24</w:t>
    </w:r>
    <w:r>
      <w:rPr>
        <w:rFonts w:ascii="David" w:hAnsi="David"/>
        <w:color w:val="000000"/>
        <w:sz w:val="22"/>
        <w:szCs w:val="22"/>
        <w:rtl/>
      </w:rPr>
      <w:tab/>
      <w:t xml:space="preserve"> מדינת ישראל נ' מופיד אמון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4642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0DAB"/>
    <w:rsid w:val="001A1ADE"/>
    <w:rsid w:val="00271175"/>
    <w:rsid w:val="00322869"/>
    <w:rsid w:val="005F0192"/>
    <w:rsid w:val="00907C59"/>
    <w:rsid w:val="00A007BF"/>
    <w:rsid w:val="00BA154E"/>
    <w:rsid w:val="00E6613A"/>
    <w:rsid w:val="00E85D1F"/>
    <w:rsid w:val="00EC0D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CB532A"/>
  <w15:chartTrackingRefBased/>
  <w15:docId w15:val="{69798785-6AB4-4228-81C8-7B0BC407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0D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0DAB"/>
    <w:pPr>
      <w:tabs>
        <w:tab w:val="center" w:pos="4153"/>
        <w:tab w:val="right" w:pos="8306"/>
      </w:tabs>
    </w:pPr>
  </w:style>
  <w:style w:type="character" w:customStyle="1" w:styleId="a4">
    <w:name w:val="כותרת עליונה תו"/>
    <w:link w:val="a3"/>
    <w:rsid w:val="00EC0DAB"/>
    <w:rPr>
      <w:rFonts w:ascii="Times New Roman" w:eastAsia="Times New Roman" w:hAnsi="Times New Roman" w:cs="David"/>
      <w:sz w:val="24"/>
      <w:szCs w:val="24"/>
    </w:rPr>
  </w:style>
  <w:style w:type="paragraph" w:styleId="a5">
    <w:name w:val="footer"/>
    <w:basedOn w:val="a"/>
    <w:link w:val="a6"/>
    <w:rsid w:val="00EC0DAB"/>
    <w:pPr>
      <w:tabs>
        <w:tab w:val="center" w:pos="4153"/>
        <w:tab w:val="right" w:pos="8306"/>
      </w:tabs>
    </w:pPr>
  </w:style>
  <w:style w:type="character" w:customStyle="1" w:styleId="a6">
    <w:name w:val="כותרת תחתונה תו"/>
    <w:link w:val="a5"/>
    <w:rsid w:val="00EC0DAB"/>
    <w:rPr>
      <w:rFonts w:ascii="Times New Roman" w:eastAsia="Times New Roman" w:hAnsi="Times New Roman" w:cs="David"/>
      <w:sz w:val="24"/>
      <w:szCs w:val="24"/>
    </w:rPr>
  </w:style>
  <w:style w:type="table" w:styleId="a7">
    <w:name w:val="Table Grid"/>
    <w:basedOn w:val="a1"/>
    <w:rsid w:val="00EC0D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0DAB"/>
  </w:style>
  <w:style w:type="character" w:customStyle="1" w:styleId="TimesNewRomanTimesNewRoman">
    <w:name w:val="סגנון (לטיני) Times New Roman (עברית ושפות אחרות) Times New Roman..."/>
    <w:rsid w:val="00EC0DAB"/>
    <w:rPr>
      <w:rFonts w:ascii="Times New Roman" w:hAnsi="Times New Roman" w:cs="David" w:hint="default"/>
      <w:b/>
      <w:bCs/>
      <w:sz w:val="26"/>
      <w:szCs w:val="26"/>
    </w:rPr>
  </w:style>
  <w:style w:type="paragraph" w:customStyle="1" w:styleId="1">
    <w:name w:val="1"/>
    <w:basedOn w:val="a"/>
    <w:rsid w:val="00EC0DAB"/>
    <w:pPr>
      <w:bidi w:val="0"/>
      <w:spacing w:before="100" w:beforeAutospacing="1" w:after="100" w:afterAutospacing="1"/>
    </w:pPr>
    <w:rPr>
      <w:rFonts w:cs="Times New Roman"/>
    </w:rPr>
  </w:style>
  <w:style w:type="paragraph" w:customStyle="1" w:styleId="ruller5">
    <w:name w:val="ruller5"/>
    <w:basedOn w:val="a"/>
    <w:rsid w:val="00EC0DAB"/>
    <w:pPr>
      <w:bidi w:val="0"/>
      <w:spacing w:before="100" w:beforeAutospacing="1" w:after="100" w:afterAutospacing="1"/>
    </w:pPr>
    <w:rPr>
      <w:rFonts w:cs="Times New Roman"/>
    </w:rPr>
  </w:style>
  <w:style w:type="paragraph" w:styleId="a9">
    <w:name w:val="List Paragraph"/>
    <w:basedOn w:val="a"/>
    <w:qFormat/>
    <w:rsid w:val="00EC0DAB"/>
    <w:pPr>
      <w:ind w:left="720"/>
      <w:contextualSpacing/>
    </w:pPr>
  </w:style>
  <w:style w:type="character" w:styleId="Hyperlink">
    <w:name w:val="Hyperlink"/>
    <w:rsid w:val="001A1AD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38463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6972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7911655" TargetMode="External"/><Relationship Id="rId37" Type="http://schemas.openxmlformats.org/officeDocument/2006/relationships/hyperlink" Target="http://www.nevo.co.il/law/70301/144.b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835174" TargetMode="External"/><Relationship Id="rId23" Type="http://schemas.openxmlformats.org/officeDocument/2006/relationships/hyperlink" Target="http://www.nevo.co.il/case/27925239"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30168342" TargetMode="External"/><Relationship Id="rId31" Type="http://schemas.openxmlformats.org/officeDocument/2006/relationships/hyperlink" Target="http://www.nevo.co.il/case/2749924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8113030" TargetMode="External"/><Relationship Id="rId30" Type="http://schemas.openxmlformats.org/officeDocument/2006/relationships/hyperlink" Target="http://www.nevo.co.il/case/21474168" TargetMode="External"/><Relationship Id="rId35" Type="http://schemas.openxmlformats.org/officeDocument/2006/relationships/hyperlink" Target="http://www.nevo.co.il/law/70301/144.g"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 TargetMode="External"/><Relationship Id="rId25" Type="http://schemas.openxmlformats.org/officeDocument/2006/relationships/hyperlink" Target="http://www.nevo.co.il/case/28243273" TargetMode="External"/><Relationship Id="rId33" Type="http://schemas.openxmlformats.org/officeDocument/2006/relationships/hyperlink" Target="http://www.nevo.co.il/case/28229995"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1706513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17420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5177424</vt:i4>
      </vt:variant>
      <vt:variant>
        <vt:i4>84</vt:i4>
      </vt:variant>
      <vt:variant>
        <vt:i4>0</vt:i4>
      </vt:variant>
      <vt:variant>
        <vt:i4>5</vt:i4>
      </vt:variant>
      <vt:variant>
        <vt:lpwstr>http://www.nevo.co.il/law/70301/144.g</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3145847</vt:i4>
      </vt:variant>
      <vt:variant>
        <vt:i4>78</vt:i4>
      </vt:variant>
      <vt:variant>
        <vt:i4>0</vt:i4>
      </vt:variant>
      <vt:variant>
        <vt:i4>5</vt:i4>
      </vt:variant>
      <vt:variant>
        <vt:lpwstr>http://www.nevo.co.il/case/28229995</vt:lpwstr>
      </vt:variant>
      <vt:variant>
        <vt:lpwstr/>
      </vt:variant>
      <vt:variant>
        <vt:i4>4128884</vt:i4>
      </vt:variant>
      <vt:variant>
        <vt:i4>75</vt:i4>
      </vt:variant>
      <vt:variant>
        <vt:i4>0</vt:i4>
      </vt:variant>
      <vt:variant>
        <vt:i4>5</vt:i4>
      </vt:variant>
      <vt:variant>
        <vt:lpwstr>http://www.nevo.co.il/case/27911655</vt:lpwstr>
      </vt:variant>
      <vt:variant>
        <vt:lpwstr/>
      </vt:variant>
      <vt:variant>
        <vt:i4>3866744</vt:i4>
      </vt:variant>
      <vt:variant>
        <vt:i4>72</vt:i4>
      </vt:variant>
      <vt:variant>
        <vt:i4>0</vt:i4>
      </vt:variant>
      <vt:variant>
        <vt:i4>5</vt:i4>
      </vt:variant>
      <vt:variant>
        <vt:lpwstr>http://www.nevo.co.il/case/27499246</vt:lpwstr>
      </vt:variant>
      <vt:variant>
        <vt:lpwstr/>
      </vt:variant>
      <vt:variant>
        <vt:i4>3407987</vt:i4>
      </vt:variant>
      <vt:variant>
        <vt:i4>69</vt:i4>
      </vt:variant>
      <vt:variant>
        <vt:i4>0</vt:i4>
      </vt:variant>
      <vt:variant>
        <vt:i4>5</vt:i4>
      </vt:variant>
      <vt:variant>
        <vt:lpwstr>http://www.nevo.co.il/case/21474168</vt:lpwstr>
      </vt:variant>
      <vt:variant>
        <vt:lpwstr/>
      </vt:variant>
      <vt:variant>
        <vt:i4>3211383</vt:i4>
      </vt:variant>
      <vt:variant>
        <vt:i4>66</vt:i4>
      </vt:variant>
      <vt:variant>
        <vt:i4>0</vt:i4>
      </vt:variant>
      <vt:variant>
        <vt:i4>5</vt:i4>
      </vt:variant>
      <vt:variant>
        <vt:lpwstr>http://www.nevo.co.il/case/28697227</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3342461</vt:i4>
      </vt:variant>
      <vt:variant>
        <vt:i4>60</vt:i4>
      </vt:variant>
      <vt:variant>
        <vt:i4>0</vt:i4>
      </vt:variant>
      <vt:variant>
        <vt:i4>5</vt:i4>
      </vt:variant>
      <vt:variant>
        <vt:lpwstr>http://www.nevo.co.il/case/28113030</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3407994</vt:i4>
      </vt:variant>
      <vt:variant>
        <vt:i4>54</vt:i4>
      </vt:variant>
      <vt:variant>
        <vt:i4>0</vt:i4>
      </vt:variant>
      <vt:variant>
        <vt:i4>5</vt:i4>
      </vt:variant>
      <vt:variant>
        <vt:lpwstr>http://www.nevo.co.il/case/28243273</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3997811</vt:i4>
      </vt:variant>
      <vt:variant>
        <vt:i4>48</vt:i4>
      </vt:variant>
      <vt:variant>
        <vt:i4>0</vt:i4>
      </vt:variant>
      <vt:variant>
        <vt:i4>5</vt:i4>
      </vt:variant>
      <vt:variant>
        <vt:lpwstr>http://www.nevo.co.il/case/27925239</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3604596</vt:i4>
      </vt:variant>
      <vt:variant>
        <vt:i4>39</vt:i4>
      </vt:variant>
      <vt:variant>
        <vt:i4>0</vt:i4>
      </vt:variant>
      <vt:variant>
        <vt:i4>5</vt:i4>
      </vt:variant>
      <vt:variant>
        <vt:lpwstr>http://www.nevo.co.il/case/17065136</vt:lpwstr>
      </vt:variant>
      <vt:variant>
        <vt:lpwstr/>
      </vt:variant>
      <vt:variant>
        <vt:i4>4063345</vt:i4>
      </vt:variant>
      <vt:variant>
        <vt:i4>36</vt:i4>
      </vt:variant>
      <vt:variant>
        <vt:i4>0</vt:i4>
      </vt:variant>
      <vt:variant>
        <vt:i4>5</vt:i4>
      </vt:variant>
      <vt:variant>
        <vt:lpwstr>http://www.nevo.co.il/case/30168342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3670128</vt:i4>
      </vt:variant>
      <vt:variant>
        <vt:i4>24</vt:i4>
      </vt:variant>
      <vt:variant>
        <vt:i4>0</vt:i4>
      </vt:variant>
      <vt:variant>
        <vt:i4>5</vt:i4>
      </vt:variant>
      <vt:variant>
        <vt:lpwstr>http://www.nevo.co.il/case/26835174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49405</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מופיד אמון</vt:lpwstr>
  </property>
  <property fmtid="{D5CDD505-2E9C-101B-9397-08002B2CF9AE}" pid="10" name="LAWYER">
    <vt:lpwstr>ראיד רחאל;שאדי חסן</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20240818</vt:lpwstr>
  </property>
  <property fmtid="{D5CDD505-2E9C-101B-9397-08002B2CF9AE}" pid="14" name="TYPE_N_DATE">
    <vt:lpwstr>39020240818</vt:lpwstr>
  </property>
  <property fmtid="{D5CDD505-2E9C-101B-9397-08002B2CF9AE}" pid="15" name="CASESLISTTMP1">
    <vt:lpwstr>26835174;30168342;17065136;25824863:2;28513828;27925239;28243273;28384637;28113030;28883087;28697227;21474168;27499246;27911655;28229995</vt:lpwstr>
  </property>
  <property fmtid="{D5CDD505-2E9C-101B-9397-08002B2CF9AE}" pid="16" name="CASENOTES1">
    <vt:lpwstr>ProcID=235&amp;PartA=24&amp;PartC=40</vt:lpwstr>
  </property>
  <property fmtid="{D5CDD505-2E9C-101B-9397-08002B2CF9AE}" pid="17" name="WORDNUMPAGES">
    <vt:lpwstr>10</vt:lpwstr>
  </property>
  <property fmtid="{D5CDD505-2E9C-101B-9397-08002B2CF9AE}" pid="18" name="TYPE_ABS_DATE">
    <vt:lpwstr>390020240818</vt:lpwstr>
  </property>
  <property fmtid="{D5CDD505-2E9C-101B-9397-08002B2CF9AE}" pid="19" name="ISABSTRACT">
    <vt:lpwstr>Y</vt:lpwstr>
  </property>
  <property fmtid="{D5CDD505-2E9C-101B-9397-08002B2CF9AE}" pid="20" name="LAWLISTTMP1">
    <vt:lpwstr>70301/144.b;144;144.g;144.a;144.b2</vt:lpwstr>
  </property>
</Properties>
</file>