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4F1512" w:rsidRPr="00AF5B9E" w14:paraId="508674A6" w14:textId="77777777" w:rsidTr="007F5016">
        <w:trPr>
          <w:trHeight w:hRule="exact" w:val="418"/>
          <w:jc w:val="center"/>
        </w:trPr>
        <w:tc>
          <w:tcPr>
            <w:tcW w:w="8721" w:type="dxa"/>
            <w:gridSpan w:val="2"/>
          </w:tcPr>
          <w:p w14:paraId="3325E9C8" w14:textId="77777777" w:rsidR="004F1512" w:rsidRPr="00AF5B9E" w:rsidRDefault="004F1512" w:rsidP="00395BF4">
            <w:pPr>
              <w:pStyle w:val="a3"/>
              <w:jc w:val="center"/>
              <w:rPr>
                <w:rFonts w:ascii="Tahoma" w:hAnsi="Tahoma" w:cs="Tahoma"/>
                <w:color w:val="000080"/>
                <w:rtl/>
              </w:rPr>
            </w:pPr>
            <w:r w:rsidRPr="00AF5B9E">
              <w:rPr>
                <w:rFonts w:ascii="Tahoma" w:hAnsi="Tahoma" w:cs="Tahoma"/>
                <w:b/>
                <w:bCs/>
                <w:color w:val="000080"/>
                <w:rtl/>
              </w:rPr>
              <w:t>בית המשפט המחוזי בחיפה</w:t>
            </w:r>
          </w:p>
        </w:tc>
      </w:tr>
      <w:tr w:rsidR="004F1512" w:rsidRPr="00AF5B9E" w14:paraId="6A81E160" w14:textId="77777777" w:rsidTr="007F5016">
        <w:trPr>
          <w:trHeight w:val="337"/>
          <w:jc w:val="center"/>
        </w:trPr>
        <w:tc>
          <w:tcPr>
            <w:tcW w:w="5058" w:type="dxa"/>
          </w:tcPr>
          <w:p w14:paraId="5135D9B9" w14:textId="77777777" w:rsidR="004F1512" w:rsidRPr="00AF5B9E" w:rsidRDefault="004F1512" w:rsidP="00395BF4">
            <w:pPr>
              <w:rPr>
                <w:rFonts w:cs="FrankRuehl"/>
                <w:sz w:val="28"/>
                <w:szCs w:val="28"/>
                <w:rtl/>
              </w:rPr>
            </w:pPr>
            <w:r w:rsidRPr="00AF5B9E">
              <w:rPr>
                <w:b/>
                <w:bCs/>
                <w:sz w:val="26"/>
                <w:szCs w:val="26"/>
                <w:rtl/>
              </w:rPr>
              <w:t>ת"פ</w:t>
            </w:r>
            <w:r w:rsidRPr="00AF5B9E">
              <w:rPr>
                <w:rFonts w:cs="FrankRuehl" w:hint="cs"/>
                <w:sz w:val="28"/>
                <w:szCs w:val="28"/>
                <w:rtl/>
              </w:rPr>
              <w:t xml:space="preserve"> </w:t>
            </w:r>
            <w:r w:rsidRPr="00AF5B9E">
              <w:rPr>
                <w:b/>
                <w:bCs/>
                <w:sz w:val="26"/>
                <w:szCs w:val="26"/>
                <w:rtl/>
              </w:rPr>
              <w:t>52041-04-24</w:t>
            </w:r>
            <w:r w:rsidRPr="00AF5B9E">
              <w:rPr>
                <w:rFonts w:cs="FrankRuehl" w:hint="cs"/>
                <w:sz w:val="28"/>
                <w:szCs w:val="28"/>
                <w:rtl/>
              </w:rPr>
              <w:t xml:space="preserve"> </w:t>
            </w:r>
            <w:r w:rsidRPr="00AF5B9E">
              <w:rPr>
                <w:b/>
                <w:bCs/>
                <w:sz w:val="26"/>
                <w:szCs w:val="26"/>
                <w:rtl/>
              </w:rPr>
              <w:t>מדינת ישראל נ' נסאר(עציר)</w:t>
            </w:r>
          </w:p>
        </w:tc>
        <w:tc>
          <w:tcPr>
            <w:tcW w:w="3663" w:type="dxa"/>
          </w:tcPr>
          <w:p w14:paraId="19EE6ABF" w14:textId="77777777" w:rsidR="004F1512" w:rsidRPr="00AF5B9E" w:rsidRDefault="004F1512" w:rsidP="00395BF4">
            <w:pPr>
              <w:pStyle w:val="a3"/>
              <w:jc w:val="right"/>
              <w:rPr>
                <w:rFonts w:cs="FrankRuehl"/>
                <w:sz w:val="28"/>
                <w:szCs w:val="28"/>
                <w:rtl/>
              </w:rPr>
            </w:pPr>
          </w:p>
        </w:tc>
      </w:tr>
    </w:tbl>
    <w:p w14:paraId="13AFFE5D" w14:textId="77777777" w:rsidR="004F1512" w:rsidRPr="00AF5B9E" w:rsidRDefault="004F1512" w:rsidP="007F5016">
      <w:pPr>
        <w:pStyle w:val="a3"/>
        <w:rPr>
          <w:rFonts w:ascii="David" w:hAnsi="David"/>
          <w:sz w:val="26"/>
          <w:szCs w:val="26"/>
          <w:rtl/>
        </w:rPr>
      </w:pPr>
      <w:r w:rsidRPr="00AF5B9E">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4F1512" w:rsidRPr="00AF5B9E" w14:paraId="660480BE" w14:textId="77777777" w:rsidTr="004F1512">
        <w:trPr>
          <w:trHeight w:val="295"/>
          <w:jc w:val="center"/>
        </w:trPr>
        <w:tc>
          <w:tcPr>
            <w:tcW w:w="923" w:type="dxa"/>
            <w:tcBorders>
              <w:top w:val="nil"/>
              <w:left w:val="nil"/>
              <w:bottom w:val="nil"/>
              <w:right w:val="nil"/>
            </w:tcBorders>
            <w:shd w:val="clear" w:color="auto" w:fill="auto"/>
          </w:tcPr>
          <w:p w14:paraId="61BDEB22" w14:textId="77777777" w:rsidR="004F1512" w:rsidRPr="00AF5B9E" w:rsidRDefault="004F1512" w:rsidP="004F1512">
            <w:pPr>
              <w:jc w:val="both"/>
              <w:rPr>
                <w:rFonts w:ascii="David" w:hAnsi="David"/>
                <w:b/>
                <w:bCs/>
                <w:sz w:val="26"/>
                <w:szCs w:val="26"/>
              </w:rPr>
            </w:pPr>
            <w:r w:rsidRPr="00AF5B9E">
              <w:rPr>
                <w:rFonts w:ascii="David" w:hAnsi="David"/>
                <w:b/>
                <w:bCs/>
                <w:sz w:val="26"/>
                <w:szCs w:val="26"/>
                <w:rtl/>
              </w:rPr>
              <w:t>לפני</w:t>
            </w:r>
          </w:p>
        </w:tc>
        <w:tc>
          <w:tcPr>
            <w:tcW w:w="7897" w:type="dxa"/>
            <w:gridSpan w:val="2"/>
            <w:tcBorders>
              <w:top w:val="nil"/>
              <w:left w:val="nil"/>
              <w:bottom w:val="nil"/>
              <w:right w:val="nil"/>
            </w:tcBorders>
            <w:shd w:val="clear" w:color="auto" w:fill="auto"/>
          </w:tcPr>
          <w:p w14:paraId="4DF25DC7" w14:textId="77777777" w:rsidR="004F1512" w:rsidRPr="00AF5B9E" w:rsidRDefault="004F1512" w:rsidP="004F1512">
            <w:pPr>
              <w:jc w:val="both"/>
              <w:rPr>
                <w:rFonts w:ascii="David" w:hAnsi="David"/>
                <w:b/>
                <w:bCs/>
                <w:sz w:val="26"/>
                <w:szCs w:val="26"/>
              </w:rPr>
            </w:pPr>
            <w:r w:rsidRPr="00AF5B9E">
              <w:rPr>
                <w:rFonts w:ascii="David" w:hAnsi="David"/>
                <w:b/>
                <w:bCs/>
                <w:sz w:val="26"/>
                <w:szCs w:val="26"/>
                <w:rtl/>
              </w:rPr>
              <w:t>כב' הנשיא, השופט אבי לוי</w:t>
            </w:r>
          </w:p>
        </w:tc>
      </w:tr>
      <w:tr w:rsidR="004F1512" w:rsidRPr="00AF5B9E" w14:paraId="1DBB03A7" w14:textId="77777777" w:rsidTr="004F1512">
        <w:trPr>
          <w:trHeight w:val="355"/>
          <w:jc w:val="center"/>
        </w:trPr>
        <w:tc>
          <w:tcPr>
            <w:tcW w:w="923" w:type="dxa"/>
            <w:tcBorders>
              <w:top w:val="nil"/>
              <w:left w:val="nil"/>
              <w:bottom w:val="nil"/>
              <w:right w:val="nil"/>
            </w:tcBorders>
            <w:shd w:val="clear" w:color="auto" w:fill="auto"/>
          </w:tcPr>
          <w:p w14:paraId="55CBF6FA" w14:textId="77777777" w:rsidR="004F1512" w:rsidRPr="00AF5B9E" w:rsidRDefault="004F1512" w:rsidP="004F1512">
            <w:pPr>
              <w:jc w:val="both"/>
              <w:rPr>
                <w:rFonts w:ascii="David" w:hAnsi="David"/>
                <w:b/>
                <w:bCs/>
                <w:sz w:val="26"/>
                <w:szCs w:val="26"/>
              </w:rPr>
            </w:pPr>
            <w:bookmarkStart w:id="0" w:name="FirstAppellant"/>
            <w:bookmarkStart w:id="1" w:name="LastJudge"/>
            <w:bookmarkEnd w:id="1"/>
            <w:r w:rsidRPr="00AF5B9E">
              <w:rPr>
                <w:rFonts w:ascii="David" w:hAnsi="David" w:hint="cs"/>
                <w:b/>
                <w:bCs/>
                <w:sz w:val="26"/>
                <w:szCs w:val="26"/>
                <w:rtl/>
              </w:rPr>
              <w:t>בעניין:</w:t>
            </w:r>
          </w:p>
        </w:tc>
        <w:tc>
          <w:tcPr>
            <w:tcW w:w="4126" w:type="dxa"/>
            <w:tcBorders>
              <w:top w:val="nil"/>
              <w:left w:val="nil"/>
              <w:bottom w:val="nil"/>
              <w:right w:val="nil"/>
            </w:tcBorders>
            <w:shd w:val="clear" w:color="auto" w:fill="auto"/>
          </w:tcPr>
          <w:p w14:paraId="0CCEBBA0" w14:textId="77777777" w:rsidR="004F1512" w:rsidRPr="00AF5B9E" w:rsidRDefault="004F1512" w:rsidP="004F1512">
            <w:pPr>
              <w:jc w:val="both"/>
              <w:rPr>
                <w:rFonts w:ascii="David" w:hAnsi="David"/>
                <w:b/>
                <w:bCs/>
                <w:sz w:val="26"/>
                <w:szCs w:val="26"/>
              </w:rPr>
            </w:pPr>
            <w:r w:rsidRPr="00AF5B9E">
              <w:rPr>
                <w:rFonts w:ascii="David" w:hAnsi="David" w:hint="cs"/>
                <w:b/>
                <w:bCs/>
                <w:sz w:val="26"/>
                <w:szCs w:val="26"/>
                <w:rtl/>
              </w:rPr>
              <w:t xml:space="preserve">המאשימה </w:t>
            </w:r>
          </w:p>
        </w:tc>
        <w:tc>
          <w:tcPr>
            <w:tcW w:w="3771" w:type="dxa"/>
            <w:tcBorders>
              <w:top w:val="nil"/>
              <w:left w:val="nil"/>
              <w:bottom w:val="nil"/>
              <w:right w:val="nil"/>
            </w:tcBorders>
            <w:shd w:val="clear" w:color="auto" w:fill="auto"/>
          </w:tcPr>
          <w:p w14:paraId="7200A4B1" w14:textId="77777777" w:rsidR="004F1512" w:rsidRPr="00AF5B9E" w:rsidRDefault="004F1512" w:rsidP="004F1512">
            <w:pPr>
              <w:jc w:val="both"/>
              <w:rPr>
                <w:rFonts w:ascii="David" w:hAnsi="David"/>
                <w:b/>
                <w:bCs/>
                <w:sz w:val="26"/>
                <w:szCs w:val="26"/>
              </w:rPr>
            </w:pPr>
            <w:r w:rsidRPr="00AF5B9E">
              <w:rPr>
                <w:rFonts w:ascii="David" w:hAnsi="David"/>
                <w:b/>
                <w:bCs/>
                <w:sz w:val="26"/>
                <w:szCs w:val="26"/>
                <w:rtl/>
              </w:rPr>
              <w:t>מדינת ישראל</w:t>
            </w:r>
          </w:p>
        </w:tc>
      </w:tr>
      <w:bookmarkEnd w:id="0"/>
      <w:tr w:rsidR="004F1512" w:rsidRPr="00AF5B9E" w14:paraId="5B2432B4" w14:textId="77777777" w:rsidTr="004F1512">
        <w:trPr>
          <w:trHeight w:val="355"/>
          <w:jc w:val="center"/>
        </w:trPr>
        <w:tc>
          <w:tcPr>
            <w:tcW w:w="923" w:type="dxa"/>
            <w:tcBorders>
              <w:top w:val="nil"/>
              <w:left w:val="nil"/>
              <w:bottom w:val="nil"/>
              <w:right w:val="nil"/>
            </w:tcBorders>
            <w:shd w:val="clear" w:color="auto" w:fill="auto"/>
          </w:tcPr>
          <w:p w14:paraId="2A87E022" w14:textId="77777777" w:rsidR="004F1512" w:rsidRPr="00AF5B9E" w:rsidRDefault="004F1512" w:rsidP="004F1512">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39AE3040" w14:textId="77777777" w:rsidR="004F1512" w:rsidRPr="00AF5B9E" w:rsidRDefault="004F1512" w:rsidP="004F1512">
            <w:pPr>
              <w:jc w:val="both"/>
              <w:rPr>
                <w:rFonts w:ascii="David" w:hAnsi="David"/>
                <w:b/>
                <w:bCs/>
                <w:sz w:val="26"/>
                <w:szCs w:val="26"/>
                <w:rtl/>
              </w:rPr>
            </w:pPr>
          </w:p>
          <w:p w14:paraId="6A7DCE0E" w14:textId="77777777" w:rsidR="004F1512" w:rsidRPr="00AF5B9E" w:rsidRDefault="004F1512" w:rsidP="004F1512">
            <w:pPr>
              <w:jc w:val="center"/>
              <w:rPr>
                <w:rFonts w:ascii="David" w:hAnsi="David"/>
                <w:b/>
                <w:bCs/>
                <w:sz w:val="26"/>
                <w:szCs w:val="26"/>
                <w:rtl/>
              </w:rPr>
            </w:pPr>
            <w:r w:rsidRPr="00AF5B9E">
              <w:rPr>
                <w:rFonts w:ascii="David" w:hAnsi="David"/>
                <w:b/>
                <w:bCs/>
                <w:sz w:val="26"/>
                <w:szCs w:val="26"/>
                <w:rtl/>
              </w:rPr>
              <w:t>נגד</w:t>
            </w:r>
          </w:p>
          <w:p w14:paraId="7756E1DF" w14:textId="77777777" w:rsidR="004F1512" w:rsidRPr="00AF5B9E" w:rsidRDefault="004F1512" w:rsidP="004F1512">
            <w:pPr>
              <w:jc w:val="both"/>
              <w:rPr>
                <w:rFonts w:ascii="David" w:hAnsi="David"/>
                <w:b/>
                <w:bCs/>
                <w:sz w:val="26"/>
                <w:szCs w:val="26"/>
              </w:rPr>
            </w:pPr>
          </w:p>
        </w:tc>
      </w:tr>
      <w:tr w:rsidR="004F1512" w:rsidRPr="00AF5B9E" w14:paraId="02A95C8B" w14:textId="77777777" w:rsidTr="004F1512">
        <w:trPr>
          <w:trHeight w:val="355"/>
          <w:jc w:val="center"/>
        </w:trPr>
        <w:tc>
          <w:tcPr>
            <w:tcW w:w="923" w:type="dxa"/>
            <w:tcBorders>
              <w:top w:val="nil"/>
              <w:left w:val="nil"/>
              <w:bottom w:val="nil"/>
              <w:right w:val="nil"/>
            </w:tcBorders>
            <w:shd w:val="clear" w:color="auto" w:fill="auto"/>
          </w:tcPr>
          <w:p w14:paraId="16BA05A0" w14:textId="77777777" w:rsidR="004F1512" w:rsidRPr="00AF5B9E" w:rsidRDefault="004F1512" w:rsidP="004F1512">
            <w:pPr>
              <w:jc w:val="both"/>
              <w:rPr>
                <w:rFonts w:ascii="David" w:hAnsi="David"/>
                <w:b/>
                <w:bCs/>
                <w:sz w:val="26"/>
                <w:szCs w:val="26"/>
                <w:rtl/>
              </w:rPr>
            </w:pPr>
          </w:p>
        </w:tc>
        <w:tc>
          <w:tcPr>
            <w:tcW w:w="4126" w:type="dxa"/>
            <w:tcBorders>
              <w:top w:val="nil"/>
              <w:left w:val="nil"/>
              <w:bottom w:val="nil"/>
              <w:right w:val="nil"/>
            </w:tcBorders>
            <w:shd w:val="clear" w:color="auto" w:fill="auto"/>
          </w:tcPr>
          <w:p w14:paraId="7976839E" w14:textId="77777777" w:rsidR="004F1512" w:rsidRPr="00AF5B9E" w:rsidRDefault="004F1512" w:rsidP="004F1512">
            <w:pPr>
              <w:jc w:val="both"/>
              <w:rPr>
                <w:rFonts w:ascii="David" w:hAnsi="David"/>
                <w:b/>
                <w:bCs/>
                <w:sz w:val="26"/>
                <w:szCs w:val="26"/>
                <w:rtl/>
              </w:rPr>
            </w:pPr>
            <w:r w:rsidRPr="00AF5B9E">
              <w:rPr>
                <w:rFonts w:ascii="David" w:hAnsi="David" w:hint="cs"/>
                <w:b/>
                <w:bCs/>
                <w:sz w:val="26"/>
                <w:szCs w:val="26"/>
                <w:rtl/>
              </w:rPr>
              <w:t xml:space="preserve">הנאשם </w:t>
            </w:r>
          </w:p>
        </w:tc>
        <w:tc>
          <w:tcPr>
            <w:tcW w:w="3771" w:type="dxa"/>
            <w:tcBorders>
              <w:top w:val="nil"/>
              <w:left w:val="nil"/>
              <w:bottom w:val="nil"/>
              <w:right w:val="nil"/>
            </w:tcBorders>
            <w:shd w:val="clear" w:color="auto" w:fill="auto"/>
          </w:tcPr>
          <w:p w14:paraId="52A442F4" w14:textId="77777777" w:rsidR="004F1512" w:rsidRPr="00AF5B9E" w:rsidRDefault="004F1512" w:rsidP="004F1512">
            <w:pPr>
              <w:jc w:val="both"/>
              <w:rPr>
                <w:rFonts w:ascii="David" w:hAnsi="David"/>
                <w:b/>
                <w:bCs/>
                <w:sz w:val="26"/>
                <w:szCs w:val="26"/>
              </w:rPr>
            </w:pPr>
            <w:r w:rsidRPr="00AF5B9E">
              <w:rPr>
                <w:rFonts w:ascii="David" w:hAnsi="David"/>
                <w:b/>
                <w:bCs/>
                <w:sz w:val="26"/>
                <w:szCs w:val="26"/>
                <w:rtl/>
              </w:rPr>
              <w:t>חוסיין נסאר (עציר)</w:t>
            </w:r>
          </w:p>
        </w:tc>
      </w:tr>
    </w:tbl>
    <w:p w14:paraId="364FE211" w14:textId="77777777" w:rsidR="004F1512" w:rsidRPr="00AF5B9E" w:rsidRDefault="004F1512" w:rsidP="004F1512">
      <w:pPr>
        <w:jc w:val="both"/>
        <w:rPr>
          <w:rFonts w:ascii="David" w:hAnsi="David"/>
          <w:b/>
          <w:bCs/>
          <w:sz w:val="26"/>
          <w:szCs w:val="26"/>
        </w:rPr>
      </w:pPr>
    </w:p>
    <w:p w14:paraId="31A0680B" w14:textId="77777777" w:rsidR="00AF5B9E" w:rsidRPr="00AF5B9E" w:rsidRDefault="00AF5B9E" w:rsidP="00AF5B9E">
      <w:pPr>
        <w:spacing w:before="120" w:after="120" w:line="240" w:lineRule="exact"/>
        <w:ind w:left="283" w:hanging="283"/>
        <w:jc w:val="both"/>
        <w:rPr>
          <w:rFonts w:ascii="FrankRuehl" w:hAnsi="FrankRuehl" w:cs="FrankRuehl"/>
          <w:rtl/>
        </w:rPr>
      </w:pPr>
    </w:p>
    <w:p w14:paraId="71C42B82" w14:textId="77777777" w:rsidR="00AF5B9E" w:rsidRPr="00AF5B9E" w:rsidRDefault="00AF5B9E" w:rsidP="00AF5B9E">
      <w:pPr>
        <w:spacing w:line="360" w:lineRule="auto"/>
        <w:jc w:val="both"/>
        <w:rPr>
          <w:rFonts w:ascii="Arial" w:hAnsi="Arial"/>
          <w:rtl/>
        </w:rPr>
      </w:pPr>
    </w:p>
    <w:p w14:paraId="0DC61F4D" w14:textId="77777777" w:rsidR="007F5016" w:rsidRPr="007F5016" w:rsidRDefault="007F5016" w:rsidP="007F5016">
      <w:pPr>
        <w:spacing w:before="120" w:after="120" w:line="240" w:lineRule="exact"/>
        <w:ind w:left="283" w:hanging="283"/>
        <w:jc w:val="both"/>
        <w:rPr>
          <w:rFonts w:ascii="FrankRuehl" w:hAnsi="FrankRuehl" w:cs="FrankRuehl"/>
          <w:rtl/>
        </w:rPr>
      </w:pPr>
      <w:bookmarkStart w:id="2" w:name="LawTable"/>
      <w:bookmarkEnd w:id="2"/>
    </w:p>
    <w:p w14:paraId="04AB973B" w14:textId="77777777" w:rsidR="007F5016" w:rsidRPr="007F5016" w:rsidRDefault="007F5016" w:rsidP="007F5016">
      <w:pPr>
        <w:spacing w:before="120" w:after="120" w:line="240" w:lineRule="exact"/>
        <w:ind w:left="283" w:hanging="283"/>
        <w:jc w:val="both"/>
        <w:rPr>
          <w:rFonts w:ascii="FrankRuehl" w:hAnsi="FrankRuehl" w:cs="FrankRuehl"/>
          <w:rtl/>
        </w:rPr>
      </w:pPr>
      <w:r w:rsidRPr="007F5016">
        <w:rPr>
          <w:rFonts w:ascii="FrankRuehl" w:hAnsi="FrankRuehl" w:cs="FrankRuehl"/>
          <w:rtl/>
        </w:rPr>
        <w:t xml:space="preserve">חקיקה שאוזכרה: </w:t>
      </w:r>
    </w:p>
    <w:p w14:paraId="45D56622" w14:textId="77777777" w:rsidR="007F5016" w:rsidRPr="007F5016" w:rsidRDefault="007F5016" w:rsidP="007F5016">
      <w:pPr>
        <w:spacing w:before="120" w:after="120" w:line="240" w:lineRule="exact"/>
        <w:ind w:left="283" w:hanging="283"/>
        <w:jc w:val="both"/>
        <w:rPr>
          <w:rFonts w:ascii="FrankRuehl" w:hAnsi="FrankRuehl" w:cs="FrankRuehl"/>
          <w:color w:val="0000FF"/>
          <w:rtl/>
        </w:rPr>
      </w:pPr>
      <w:hyperlink r:id="rId7" w:history="1">
        <w:r w:rsidRPr="007F5016">
          <w:rPr>
            <w:rStyle w:val="Hyperlink"/>
            <w:rFonts w:ascii="FrankRuehl" w:hAnsi="FrankRuehl" w:cs="FrankRuehl"/>
            <w:u w:val="none"/>
            <w:rtl/>
          </w:rPr>
          <w:t>חוק העונשין, תשל"ז-1977</w:t>
        </w:r>
      </w:hyperlink>
      <w:r w:rsidRPr="007F5016">
        <w:rPr>
          <w:rFonts w:ascii="FrankRuehl" w:hAnsi="FrankRuehl" w:cs="FrankRuehl"/>
          <w:color w:val="0000FF"/>
          <w:rtl/>
        </w:rPr>
        <w:t xml:space="preserve">: סע'  </w:t>
      </w:r>
      <w:hyperlink r:id="rId8" w:history="1">
        <w:r w:rsidRPr="007F5016">
          <w:rPr>
            <w:rStyle w:val="Hyperlink"/>
            <w:rFonts w:ascii="FrankRuehl" w:hAnsi="FrankRuehl" w:cs="FrankRuehl"/>
            <w:u w:val="none"/>
          </w:rPr>
          <w:t>29</w:t>
        </w:r>
      </w:hyperlink>
      <w:r w:rsidRPr="007F5016">
        <w:rPr>
          <w:rFonts w:ascii="FrankRuehl" w:hAnsi="FrankRuehl" w:cs="FrankRuehl"/>
          <w:color w:val="0000FF"/>
          <w:rtl/>
        </w:rPr>
        <w:t xml:space="preserve">, </w:t>
      </w:r>
      <w:hyperlink r:id="rId9" w:history="1">
        <w:r w:rsidRPr="007F5016">
          <w:rPr>
            <w:rStyle w:val="Hyperlink"/>
            <w:rFonts w:ascii="FrankRuehl" w:hAnsi="FrankRuehl" w:cs="FrankRuehl"/>
            <w:u w:val="none"/>
          </w:rPr>
          <w:t>40</w:t>
        </w:r>
        <w:r w:rsidRPr="007F5016">
          <w:rPr>
            <w:rStyle w:val="Hyperlink"/>
            <w:rFonts w:ascii="FrankRuehl" w:hAnsi="FrankRuehl" w:cs="FrankRuehl"/>
            <w:u w:val="none"/>
            <w:rtl/>
          </w:rPr>
          <w:t>ז</w:t>
        </w:r>
      </w:hyperlink>
      <w:r w:rsidRPr="007F5016">
        <w:rPr>
          <w:rFonts w:ascii="FrankRuehl" w:hAnsi="FrankRuehl" w:cs="FrankRuehl"/>
          <w:color w:val="0000FF"/>
          <w:rtl/>
        </w:rPr>
        <w:t xml:space="preserve">, </w:t>
      </w:r>
      <w:hyperlink r:id="rId10" w:history="1">
        <w:r w:rsidRPr="007F5016">
          <w:rPr>
            <w:rStyle w:val="Hyperlink"/>
            <w:rFonts w:ascii="FrankRuehl" w:hAnsi="FrankRuehl" w:cs="FrankRuehl"/>
            <w:u w:val="none"/>
          </w:rPr>
          <w:t>40</w:t>
        </w:r>
        <w:r w:rsidRPr="007F5016">
          <w:rPr>
            <w:rStyle w:val="Hyperlink"/>
            <w:rFonts w:ascii="FrankRuehl" w:hAnsi="FrankRuehl" w:cs="FrankRuehl"/>
            <w:u w:val="none"/>
            <w:rtl/>
          </w:rPr>
          <w:t>ט</w:t>
        </w:r>
      </w:hyperlink>
      <w:r w:rsidRPr="007F5016">
        <w:rPr>
          <w:rFonts w:ascii="FrankRuehl" w:hAnsi="FrankRuehl" w:cs="FrankRuehl"/>
          <w:color w:val="0000FF"/>
          <w:rtl/>
        </w:rPr>
        <w:t xml:space="preserve">, </w:t>
      </w:r>
      <w:hyperlink r:id="rId11" w:history="1">
        <w:r w:rsidRPr="007F5016">
          <w:rPr>
            <w:rStyle w:val="Hyperlink"/>
            <w:rFonts w:ascii="FrankRuehl" w:hAnsi="FrankRuehl" w:cs="FrankRuehl"/>
            <w:u w:val="none"/>
          </w:rPr>
          <w:t>144</w:t>
        </w:r>
      </w:hyperlink>
      <w:r w:rsidRPr="007F5016">
        <w:rPr>
          <w:rFonts w:ascii="FrankRuehl" w:hAnsi="FrankRuehl" w:cs="FrankRuehl"/>
          <w:color w:val="0000FF"/>
          <w:rtl/>
        </w:rPr>
        <w:t xml:space="preserve">, </w:t>
      </w:r>
      <w:hyperlink r:id="rId12" w:history="1">
        <w:r w:rsidRPr="007F5016">
          <w:rPr>
            <w:rStyle w:val="Hyperlink"/>
            <w:rFonts w:ascii="FrankRuehl" w:hAnsi="FrankRuehl" w:cs="FrankRuehl"/>
            <w:u w:val="none"/>
          </w:rPr>
          <w:t>144</w:t>
        </w:r>
      </w:hyperlink>
      <w:r w:rsidRPr="007F5016">
        <w:rPr>
          <w:rFonts w:ascii="FrankRuehl" w:hAnsi="FrankRuehl" w:cs="FrankRuehl"/>
          <w:color w:val="0000FF"/>
          <w:rtl/>
        </w:rPr>
        <w:t xml:space="preserve">(ב), </w:t>
      </w:r>
      <w:hyperlink r:id="rId13" w:history="1">
        <w:r w:rsidRPr="007F5016">
          <w:rPr>
            <w:rStyle w:val="Hyperlink"/>
            <w:rFonts w:ascii="FrankRuehl" w:hAnsi="FrankRuehl" w:cs="FrankRuehl"/>
            <w:u w:val="none"/>
          </w:rPr>
          <w:t>144</w:t>
        </w:r>
      </w:hyperlink>
      <w:r w:rsidRPr="007F5016">
        <w:rPr>
          <w:rFonts w:ascii="FrankRuehl" w:hAnsi="FrankRuehl" w:cs="FrankRuehl"/>
          <w:color w:val="0000FF"/>
          <w:rtl/>
        </w:rPr>
        <w:t xml:space="preserve">(ז), </w:t>
      </w:r>
      <w:hyperlink r:id="rId14" w:history="1">
        <w:r w:rsidRPr="007F5016">
          <w:rPr>
            <w:rStyle w:val="Hyperlink"/>
            <w:rFonts w:ascii="FrankRuehl" w:hAnsi="FrankRuehl" w:cs="FrankRuehl"/>
            <w:u w:val="none"/>
          </w:rPr>
          <w:t>340</w:t>
        </w:r>
        <w:r w:rsidRPr="007F5016">
          <w:rPr>
            <w:rStyle w:val="Hyperlink"/>
            <w:rFonts w:ascii="FrankRuehl" w:hAnsi="FrankRuehl" w:cs="FrankRuehl"/>
            <w:u w:val="none"/>
            <w:rtl/>
          </w:rPr>
          <w:t>א</w:t>
        </w:r>
      </w:hyperlink>
      <w:r w:rsidRPr="007F5016">
        <w:rPr>
          <w:rFonts w:ascii="FrankRuehl" w:hAnsi="FrankRuehl" w:cs="FrankRuehl"/>
          <w:color w:val="0000FF"/>
          <w:rtl/>
        </w:rPr>
        <w:t xml:space="preserve">(ב)1, </w:t>
      </w:r>
      <w:hyperlink r:id="rId15" w:history="1">
        <w:r w:rsidRPr="007F5016">
          <w:rPr>
            <w:rStyle w:val="Hyperlink"/>
            <w:rFonts w:ascii="FrankRuehl" w:hAnsi="FrankRuehl" w:cs="FrankRuehl"/>
            <w:u w:val="none"/>
          </w:rPr>
          <w:t>2</w:t>
        </w:r>
      </w:hyperlink>
      <w:r w:rsidRPr="007F5016">
        <w:rPr>
          <w:rFonts w:ascii="FrankRuehl" w:hAnsi="FrankRuehl" w:cs="FrankRuehl"/>
          <w:color w:val="0000FF"/>
          <w:rtl/>
        </w:rPr>
        <w:t xml:space="preserve">, </w:t>
      </w:r>
      <w:hyperlink r:id="rId16" w:history="1">
        <w:r w:rsidRPr="007F5016">
          <w:rPr>
            <w:rStyle w:val="Hyperlink"/>
            <w:rFonts w:ascii="FrankRuehl" w:hAnsi="FrankRuehl" w:cs="FrankRuehl"/>
            <w:u w:val="none"/>
          </w:rPr>
          <w:t>40</w:t>
        </w:r>
        <w:r w:rsidRPr="007F5016">
          <w:rPr>
            <w:rStyle w:val="Hyperlink"/>
            <w:rFonts w:ascii="FrankRuehl" w:hAnsi="FrankRuehl" w:cs="FrankRuehl"/>
            <w:u w:val="none"/>
            <w:rtl/>
          </w:rPr>
          <w:t>יא</w:t>
        </w:r>
      </w:hyperlink>
      <w:r w:rsidRPr="007F5016">
        <w:rPr>
          <w:rFonts w:ascii="FrankRuehl" w:hAnsi="FrankRuehl" w:cs="FrankRuehl"/>
          <w:color w:val="0000FF"/>
          <w:rtl/>
        </w:rPr>
        <w:t xml:space="preserve">, </w:t>
      </w:r>
      <w:hyperlink r:id="rId17" w:history="1">
        <w:r w:rsidRPr="007F5016">
          <w:rPr>
            <w:rStyle w:val="Hyperlink"/>
            <w:rFonts w:ascii="FrankRuehl" w:hAnsi="FrankRuehl" w:cs="FrankRuehl"/>
            <w:u w:val="none"/>
          </w:rPr>
          <w:t>40</w:t>
        </w:r>
        <w:r w:rsidRPr="007F5016">
          <w:rPr>
            <w:rStyle w:val="Hyperlink"/>
            <w:rFonts w:ascii="FrankRuehl" w:hAnsi="FrankRuehl" w:cs="FrankRuehl"/>
            <w:u w:val="none"/>
            <w:rtl/>
          </w:rPr>
          <w:t>יא</w:t>
        </w:r>
      </w:hyperlink>
      <w:r w:rsidRPr="007F5016">
        <w:rPr>
          <w:rFonts w:ascii="FrankRuehl" w:hAnsi="FrankRuehl" w:cs="FrankRuehl"/>
          <w:color w:val="0000FF"/>
          <w:rtl/>
        </w:rPr>
        <w:t xml:space="preserve">(3), </w:t>
      </w:r>
      <w:hyperlink r:id="rId18" w:history="1">
        <w:r w:rsidRPr="007F5016">
          <w:rPr>
            <w:rStyle w:val="Hyperlink"/>
            <w:rFonts w:ascii="FrankRuehl" w:hAnsi="FrankRuehl" w:cs="FrankRuehl"/>
            <w:u w:val="none"/>
          </w:rPr>
          <w:t>40</w:t>
        </w:r>
        <w:r w:rsidRPr="007F5016">
          <w:rPr>
            <w:rStyle w:val="Hyperlink"/>
            <w:rFonts w:ascii="FrankRuehl" w:hAnsi="FrankRuehl" w:cs="FrankRuehl"/>
            <w:u w:val="none"/>
            <w:rtl/>
          </w:rPr>
          <w:t>יג</w:t>
        </w:r>
      </w:hyperlink>
      <w:r w:rsidRPr="007F5016">
        <w:rPr>
          <w:rFonts w:ascii="FrankRuehl" w:hAnsi="FrankRuehl" w:cs="FrankRuehl"/>
          <w:color w:val="0000FF"/>
          <w:rtl/>
        </w:rPr>
        <w:t xml:space="preserve">(א), </w:t>
      </w:r>
      <w:hyperlink r:id="rId19" w:history="1">
        <w:r w:rsidRPr="007F5016">
          <w:rPr>
            <w:rStyle w:val="Hyperlink"/>
            <w:rFonts w:ascii="FrankRuehl" w:hAnsi="FrankRuehl" w:cs="FrankRuehl"/>
            <w:u w:val="none"/>
          </w:rPr>
          <w:t>40</w:t>
        </w:r>
        <w:r w:rsidRPr="007F5016">
          <w:rPr>
            <w:rStyle w:val="Hyperlink"/>
            <w:rFonts w:ascii="FrankRuehl" w:hAnsi="FrankRuehl" w:cs="FrankRuehl"/>
            <w:u w:val="none"/>
            <w:rtl/>
          </w:rPr>
          <w:t>יג</w:t>
        </w:r>
      </w:hyperlink>
      <w:r w:rsidRPr="007F5016">
        <w:rPr>
          <w:rFonts w:ascii="FrankRuehl" w:hAnsi="FrankRuehl" w:cs="FrankRuehl"/>
          <w:color w:val="0000FF"/>
          <w:rtl/>
        </w:rPr>
        <w:t>(ג)</w:t>
      </w:r>
    </w:p>
    <w:p w14:paraId="26BC0CEE" w14:textId="77777777" w:rsidR="004F1512" w:rsidRPr="007F5016" w:rsidRDefault="004F1512" w:rsidP="007F5016">
      <w:pPr>
        <w:spacing w:line="360" w:lineRule="auto"/>
        <w:jc w:val="both"/>
        <w:rPr>
          <w:rFonts w:ascii="Arial" w:hAnsi="Arial"/>
          <w:rtl/>
        </w:rPr>
      </w:pPr>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F1512" w14:paraId="1D0FC708" w14:textId="77777777" w:rsidTr="004F1512">
        <w:trPr>
          <w:trHeight w:val="355"/>
          <w:jc w:val="center"/>
        </w:trPr>
        <w:tc>
          <w:tcPr>
            <w:tcW w:w="8820" w:type="dxa"/>
            <w:tcBorders>
              <w:top w:val="nil"/>
              <w:left w:val="nil"/>
              <w:bottom w:val="nil"/>
              <w:right w:val="nil"/>
            </w:tcBorders>
            <w:shd w:val="clear" w:color="auto" w:fill="auto"/>
          </w:tcPr>
          <w:p w14:paraId="1748D37D" w14:textId="77777777" w:rsidR="00AF5B9E" w:rsidRPr="00AF5B9E" w:rsidRDefault="00AF5B9E" w:rsidP="00AF5B9E">
            <w:pPr>
              <w:jc w:val="center"/>
              <w:rPr>
                <w:rFonts w:ascii="Arial" w:hAnsi="Arial"/>
                <w:b/>
                <w:bCs/>
                <w:sz w:val="28"/>
                <w:szCs w:val="28"/>
                <w:u w:val="single"/>
                <w:rtl/>
              </w:rPr>
            </w:pPr>
            <w:bookmarkStart w:id="4" w:name="PsakDin" w:colFirst="0" w:colLast="0"/>
            <w:r w:rsidRPr="00AF5B9E">
              <w:rPr>
                <w:rFonts w:ascii="Arial" w:hAnsi="Arial"/>
                <w:b/>
                <w:bCs/>
                <w:sz w:val="28"/>
                <w:szCs w:val="28"/>
                <w:u w:val="single"/>
                <w:rtl/>
              </w:rPr>
              <w:t>גזר דין</w:t>
            </w:r>
          </w:p>
          <w:p w14:paraId="5FE631C2" w14:textId="77777777" w:rsidR="004F1512" w:rsidRPr="00AF5B9E" w:rsidRDefault="004F1512" w:rsidP="00AF5B9E">
            <w:pPr>
              <w:jc w:val="center"/>
              <w:rPr>
                <w:rFonts w:ascii="Arial" w:hAnsi="Arial"/>
                <w:bCs/>
                <w:sz w:val="28"/>
                <w:szCs w:val="28"/>
                <w:u w:val="single"/>
                <w:rtl/>
              </w:rPr>
            </w:pPr>
          </w:p>
        </w:tc>
      </w:tr>
    </w:tbl>
    <w:p w14:paraId="0153326F" w14:textId="77777777" w:rsidR="004F1512" w:rsidRPr="00B05847" w:rsidRDefault="004F1512" w:rsidP="004F1512">
      <w:pPr>
        <w:spacing w:line="360" w:lineRule="auto"/>
        <w:jc w:val="both"/>
        <w:rPr>
          <w:rFonts w:ascii="Arial" w:hAnsi="Arial"/>
          <w:rtl/>
        </w:rPr>
      </w:pPr>
      <w:bookmarkStart w:id="5" w:name="ABSTRACT_START"/>
      <w:bookmarkEnd w:id="4"/>
      <w:bookmarkEnd w:id="5"/>
    </w:p>
    <w:p w14:paraId="6FC28C76" w14:textId="77777777" w:rsidR="004F1512" w:rsidRPr="00683E78" w:rsidRDefault="004F1512" w:rsidP="004F1512">
      <w:pPr>
        <w:spacing w:line="360" w:lineRule="auto"/>
        <w:jc w:val="both"/>
        <w:rPr>
          <w:rFonts w:ascii="David" w:eastAsia="Calibri" w:hAnsi="David"/>
          <w:rtl/>
        </w:rPr>
      </w:pPr>
      <w:r w:rsidRPr="00683E78">
        <w:rPr>
          <w:rFonts w:ascii="David" w:eastAsia="Calibri" w:hAnsi="David"/>
          <w:rtl/>
        </w:rPr>
        <w:t xml:space="preserve">הנאשם, </w:t>
      </w:r>
      <w:r w:rsidRPr="00683E78">
        <w:rPr>
          <w:rFonts w:ascii="David" w:eastAsia="Calibri" w:hAnsi="David"/>
          <w:b/>
          <w:bCs/>
          <w:rtl/>
        </w:rPr>
        <w:t>חוסיין נאסר</w:t>
      </w:r>
      <w:r w:rsidRPr="00683E78">
        <w:rPr>
          <w:rFonts w:ascii="David" w:eastAsia="Calibri" w:hAnsi="David"/>
          <w:rtl/>
        </w:rPr>
        <w:t xml:space="preserve">, הורשע ביום 23.12.24 - בהתאם להודאתו במסגרת הסדר טיעון - בעבירות שנכללו בכתב אישום מתוקן אשר הוגש נגדו, ואשר עניינן </w:t>
      </w:r>
      <w:r w:rsidRPr="00683E78">
        <w:rPr>
          <w:rFonts w:ascii="David" w:eastAsia="Calibri" w:hAnsi="David"/>
          <w:b/>
          <w:bCs/>
          <w:rtl/>
        </w:rPr>
        <w:t>נשיאת נשק והובלתו</w:t>
      </w:r>
      <w:r w:rsidRPr="00683E78">
        <w:rPr>
          <w:rFonts w:ascii="David" w:eastAsia="Calibri" w:hAnsi="David"/>
          <w:rtl/>
        </w:rPr>
        <w:t xml:space="preserve"> לפי </w:t>
      </w:r>
      <w:hyperlink r:id="rId20" w:history="1">
        <w:r w:rsidR="007F5016" w:rsidRPr="007F5016">
          <w:rPr>
            <w:rStyle w:val="Hyperlink"/>
            <w:rFonts w:ascii="David" w:eastAsia="Calibri" w:hAnsi="David"/>
            <w:color w:val="0000FF"/>
            <w:rtl/>
          </w:rPr>
          <w:t>סעיפים 144(ב)</w:t>
        </w:r>
      </w:hyperlink>
      <w:r w:rsidRPr="00683E78">
        <w:rPr>
          <w:rFonts w:ascii="David" w:eastAsia="Calibri" w:hAnsi="David"/>
          <w:rtl/>
        </w:rPr>
        <w:t xml:space="preserve"> רישה וסיפה ו-</w:t>
      </w:r>
      <w:hyperlink r:id="rId21" w:history="1">
        <w:r w:rsidR="007F5016" w:rsidRPr="007F5016">
          <w:rPr>
            <w:rStyle w:val="Hyperlink"/>
            <w:rFonts w:ascii="David" w:eastAsia="Calibri" w:hAnsi="David"/>
            <w:color w:val="0000FF"/>
            <w:rtl/>
          </w:rPr>
          <w:t>29</w:t>
        </w:r>
      </w:hyperlink>
      <w:r w:rsidRPr="00683E78">
        <w:rPr>
          <w:rFonts w:ascii="David" w:eastAsia="Calibri" w:hAnsi="David"/>
          <w:rtl/>
        </w:rPr>
        <w:t xml:space="preserve"> ל</w:t>
      </w:r>
      <w:hyperlink r:id="rId22" w:history="1">
        <w:r w:rsidR="00AF5B9E" w:rsidRPr="00AF5B9E">
          <w:rPr>
            <w:rFonts w:ascii="David" w:eastAsia="Calibri" w:hAnsi="David"/>
            <w:color w:val="0000FF"/>
            <w:u w:val="single"/>
            <w:rtl/>
          </w:rPr>
          <w:t>חוק העונשין</w:t>
        </w:r>
      </w:hyperlink>
      <w:r w:rsidRPr="00683E78">
        <w:rPr>
          <w:rFonts w:ascii="David" w:eastAsia="Calibri" w:hAnsi="David"/>
          <w:rtl/>
        </w:rPr>
        <w:t>, התשל"ז - 1977 (להלן: "</w:t>
      </w:r>
      <w:r w:rsidRPr="00683E78">
        <w:rPr>
          <w:rFonts w:ascii="David" w:eastAsia="Calibri" w:hAnsi="David"/>
          <w:b/>
          <w:bCs/>
          <w:rtl/>
        </w:rPr>
        <w:t>חוק העונשין</w:t>
      </w:r>
      <w:r w:rsidRPr="00683E78">
        <w:rPr>
          <w:rFonts w:ascii="David" w:eastAsia="Calibri" w:hAnsi="David"/>
          <w:rtl/>
        </w:rPr>
        <w:t>" או "</w:t>
      </w:r>
      <w:r w:rsidRPr="00683E78">
        <w:rPr>
          <w:rFonts w:ascii="David" w:eastAsia="Calibri" w:hAnsi="David"/>
          <w:b/>
          <w:bCs/>
          <w:rtl/>
        </w:rPr>
        <w:t>החוק"</w:t>
      </w:r>
      <w:r w:rsidRPr="00683E78">
        <w:rPr>
          <w:rFonts w:ascii="David" w:eastAsia="Calibri" w:hAnsi="David"/>
          <w:rtl/>
        </w:rPr>
        <w:t xml:space="preserve">), וכן </w:t>
      </w:r>
      <w:r w:rsidRPr="00683E78">
        <w:rPr>
          <w:rFonts w:ascii="David" w:eastAsia="Calibri" w:hAnsi="David"/>
          <w:b/>
          <w:bCs/>
          <w:rtl/>
        </w:rPr>
        <w:t>ירי מנשק חם</w:t>
      </w:r>
      <w:r w:rsidRPr="00683E78">
        <w:rPr>
          <w:rFonts w:ascii="David" w:eastAsia="Calibri" w:hAnsi="David"/>
          <w:rtl/>
        </w:rPr>
        <w:t xml:space="preserve"> לפי סעיפים </w:t>
      </w:r>
      <w:hyperlink r:id="rId23" w:history="1">
        <w:r w:rsidR="007F5016" w:rsidRPr="007F5016">
          <w:rPr>
            <w:rStyle w:val="Hyperlink"/>
            <w:rFonts w:ascii="David" w:eastAsia="Calibri" w:hAnsi="David"/>
            <w:color w:val="0000FF"/>
            <w:rtl/>
          </w:rPr>
          <w:t>340א(ב)1</w:t>
        </w:r>
      </w:hyperlink>
      <w:r w:rsidRPr="00683E78">
        <w:rPr>
          <w:rFonts w:ascii="David" w:eastAsia="Calibri" w:hAnsi="David"/>
          <w:rtl/>
        </w:rPr>
        <w:t xml:space="preserve"> ו-</w:t>
      </w:r>
      <w:hyperlink r:id="rId24" w:history="1">
        <w:r w:rsidR="007F5016" w:rsidRPr="007F5016">
          <w:rPr>
            <w:rStyle w:val="Hyperlink"/>
            <w:rFonts w:ascii="David" w:eastAsia="Calibri" w:hAnsi="David"/>
            <w:color w:val="0000FF"/>
            <w:rtl/>
          </w:rPr>
          <w:t>2</w:t>
        </w:r>
      </w:hyperlink>
      <w:r w:rsidRPr="00683E78">
        <w:rPr>
          <w:rFonts w:ascii="David" w:eastAsia="Calibri" w:hAnsi="David"/>
          <w:rtl/>
        </w:rPr>
        <w:t xml:space="preserve"> בצירוף לסעיף </w:t>
      </w:r>
      <w:hyperlink r:id="rId25" w:history="1">
        <w:r w:rsidR="007F5016" w:rsidRPr="007F5016">
          <w:rPr>
            <w:rStyle w:val="Hyperlink"/>
            <w:rFonts w:ascii="David" w:eastAsia="Calibri" w:hAnsi="David"/>
            <w:color w:val="0000FF"/>
            <w:rtl/>
          </w:rPr>
          <w:t>29</w:t>
        </w:r>
      </w:hyperlink>
      <w:r w:rsidRPr="00683E78">
        <w:rPr>
          <w:rFonts w:ascii="David" w:eastAsia="Calibri" w:hAnsi="David"/>
          <w:rtl/>
        </w:rPr>
        <w:t xml:space="preserve"> לחוק. </w:t>
      </w:r>
    </w:p>
    <w:p w14:paraId="1593774B" w14:textId="77777777" w:rsidR="004F1512" w:rsidRPr="00683E78" w:rsidRDefault="004F1512" w:rsidP="004F1512">
      <w:pPr>
        <w:spacing w:line="360" w:lineRule="auto"/>
        <w:jc w:val="both"/>
        <w:rPr>
          <w:rFonts w:ascii="David" w:eastAsia="Calibri" w:hAnsi="David"/>
          <w:rtl/>
        </w:rPr>
      </w:pPr>
      <w:bookmarkStart w:id="6" w:name="ABSTRACT_END"/>
      <w:bookmarkEnd w:id="6"/>
    </w:p>
    <w:p w14:paraId="555430F7" w14:textId="77777777" w:rsidR="004F1512" w:rsidRPr="00683E78" w:rsidRDefault="004F1512" w:rsidP="004F1512">
      <w:pPr>
        <w:spacing w:line="360" w:lineRule="auto"/>
        <w:jc w:val="both"/>
        <w:rPr>
          <w:rFonts w:ascii="David" w:eastAsia="Calibri" w:hAnsi="David"/>
          <w:rtl/>
        </w:rPr>
      </w:pPr>
      <w:r w:rsidRPr="00683E78">
        <w:rPr>
          <w:rFonts w:ascii="David" w:eastAsia="Calibri" w:hAnsi="David"/>
          <w:rtl/>
        </w:rPr>
        <w:t xml:space="preserve">במסגרת ההסדר הנ"ל הוסכם, בהיבט העונשי, כי המאשימה תעתור לפניי לקביעת מתחם ענישה הנע בין 42 לבין 60 חודשי מאסר לריצוי בפועל, בעוד ההגנה תטען למתחם הנע בין 18 לבין 24 חודשי מאסר לריצוי בפועל.  </w:t>
      </w:r>
    </w:p>
    <w:p w14:paraId="19E760D4" w14:textId="77777777" w:rsidR="004F1512" w:rsidRPr="00683E78" w:rsidRDefault="004F1512" w:rsidP="004F1512">
      <w:pPr>
        <w:spacing w:line="360" w:lineRule="auto"/>
        <w:jc w:val="both"/>
        <w:rPr>
          <w:rFonts w:ascii="David" w:eastAsia="Calibri" w:hAnsi="David"/>
          <w:rtl/>
        </w:rPr>
      </w:pPr>
      <w:r w:rsidRPr="00683E78">
        <w:rPr>
          <w:rFonts w:ascii="David" w:eastAsia="Calibri" w:hAnsi="David"/>
          <w:rtl/>
        </w:rPr>
        <w:t xml:space="preserve"> </w:t>
      </w:r>
    </w:p>
    <w:p w14:paraId="5C7A6A79" w14:textId="77777777" w:rsidR="004F1512" w:rsidRPr="00683E78" w:rsidRDefault="004F1512" w:rsidP="004F1512">
      <w:pPr>
        <w:spacing w:line="360" w:lineRule="auto"/>
        <w:jc w:val="both"/>
        <w:rPr>
          <w:rFonts w:ascii="David" w:eastAsia="Calibri" w:hAnsi="David"/>
          <w:u w:val="single"/>
          <w:rtl/>
        </w:rPr>
      </w:pPr>
      <w:r w:rsidRPr="00683E78">
        <w:rPr>
          <w:rFonts w:ascii="David" w:eastAsia="Calibri" w:hAnsi="David"/>
          <w:u w:val="single"/>
          <w:rtl/>
        </w:rPr>
        <w:t>עובדות כתב האישום המתוקן</w:t>
      </w:r>
    </w:p>
    <w:p w14:paraId="5F538C68" w14:textId="77777777" w:rsidR="004F1512" w:rsidRPr="00683E78" w:rsidRDefault="004F1512" w:rsidP="004F1512">
      <w:pPr>
        <w:spacing w:line="360" w:lineRule="auto"/>
        <w:jc w:val="both"/>
        <w:rPr>
          <w:rFonts w:ascii="David" w:eastAsia="Calibri" w:hAnsi="David"/>
          <w:rtl/>
        </w:rPr>
      </w:pPr>
      <w:r w:rsidRPr="00683E78">
        <w:rPr>
          <w:rFonts w:ascii="David" w:eastAsia="Calibri" w:hAnsi="David"/>
          <w:rtl/>
        </w:rPr>
        <w:t>פאדי חלאילה הוא בנו של ג'מאל חלאילה. השניים (להלן – המתלוננים) מתגוררים עם בני משפחתם בביתם שבסכנין. במועד הרלוונטי לכתב האישום השתמש פאדי ברכב מסוג מרצדס. כאן עוד המקום לציין, כי בין הנאשם לבין המתלוננים לא הייתה היכרות מוקדמת.</w:t>
      </w:r>
    </w:p>
    <w:p w14:paraId="233E5391" w14:textId="77777777" w:rsidR="004F1512" w:rsidRPr="00683E78" w:rsidRDefault="004F1512" w:rsidP="004F1512">
      <w:pPr>
        <w:spacing w:line="360" w:lineRule="auto"/>
        <w:jc w:val="both"/>
        <w:rPr>
          <w:rFonts w:ascii="David" w:eastAsia="Calibri" w:hAnsi="David"/>
          <w:rtl/>
        </w:rPr>
      </w:pPr>
    </w:p>
    <w:p w14:paraId="291896BA" w14:textId="77777777" w:rsidR="004F1512" w:rsidRPr="00683E78" w:rsidRDefault="004F1512" w:rsidP="004F1512">
      <w:pPr>
        <w:spacing w:line="360" w:lineRule="auto"/>
        <w:jc w:val="both"/>
        <w:rPr>
          <w:rFonts w:ascii="David" w:eastAsia="Calibri" w:hAnsi="David"/>
          <w:rtl/>
        </w:rPr>
      </w:pPr>
      <w:r w:rsidRPr="00683E78">
        <w:rPr>
          <w:rFonts w:ascii="David" w:eastAsia="Calibri" w:hAnsi="David"/>
          <w:rtl/>
        </w:rPr>
        <w:t xml:space="preserve">במועד שאינו יודע במדויק למאשימה, ביום 9.4.24 או עובר לכך, קשרו הנאשם ואחר שזהותו אינה ידועה למאשימה קשר לירות על הבית שבו שכנו המתלוננים. במסגרת הקשר ולשם קידומו הצטיידו הנאשם והאדם הנוסף ברכב מסוג מזדה הנושא לוחית זיהוי אשר שייכת במקור לרכב אחר . כן הצטיידו באקדח שסוגל לירות כדור שבכוחו להמית אדם ובמחסנית תואמת ותחמושת. </w:t>
      </w:r>
    </w:p>
    <w:p w14:paraId="2F5B2820" w14:textId="77777777" w:rsidR="004F1512" w:rsidRPr="00683E78" w:rsidRDefault="004F1512" w:rsidP="004F1512">
      <w:pPr>
        <w:spacing w:line="360" w:lineRule="auto"/>
        <w:jc w:val="both"/>
        <w:rPr>
          <w:rFonts w:ascii="David" w:eastAsia="Calibri" w:hAnsi="David"/>
          <w:rtl/>
        </w:rPr>
      </w:pPr>
    </w:p>
    <w:p w14:paraId="571F2333" w14:textId="77777777" w:rsidR="004F1512" w:rsidRPr="00683E78" w:rsidRDefault="004F1512" w:rsidP="004F1512">
      <w:pPr>
        <w:spacing w:line="360" w:lineRule="auto"/>
        <w:jc w:val="both"/>
        <w:rPr>
          <w:rFonts w:ascii="David" w:eastAsia="Calibri" w:hAnsi="David"/>
          <w:rtl/>
        </w:rPr>
      </w:pPr>
      <w:r w:rsidRPr="00683E78">
        <w:rPr>
          <w:rFonts w:ascii="David" w:eastAsia="Calibri" w:hAnsi="David"/>
          <w:rtl/>
        </w:rPr>
        <w:lastRenderedPageBreak/>
        <w:t xml:space="preserve">ביום 9.4.24, סמוך לשעה 19:23, נסעו הנאשם והאחר ברכב מכיוון עראבה לכיוון הבית כאשר האחר נוהג ברכב והנאשם יושב במושב האחורי, כשהם נושאים ומובילים, בצוותא חדא ובלא רשות על פי דין את האקדח. </w:t>
      </w:r>
    </w:p>
    <w:p w14:paraId="6096319E" w14:textId="77777777" w:rsidR="004F1512" w:rsidRPr="00683E78" w:rsidRDefault="004F1512" w:rsidP="004F1512">
      <w:pPr>
        <w:spacing w:line="360" w:lineRule="auto"/>
        <w:jc w:val="both"/>
        <w:rPr>
          <w:rFonts w:ascii="David" w:eastAsia="Calibri" w:hAnsi="David"/>
          <w:rtl/>
        </w:rPr>
      </w:pPr>
    </w:p>
    <w:p w14:paraId="7CFA6F48" w14:textId="77777777" w:rsidR="004F1512" w:rsidRPr="00683E78" w:rsidRDefault="004F1512" w:rsidP="004F1512">
      <w:pPr>
        <w:spacing w:line="360" w:lineRule="auto"/>
        <w:jc w:val="both"/>
        <w:rPr>
          <w:rFonts w:ascii="David" w:eastAsia="Calibri" w:hAnsi="David"/>
          <w:rtl/>
        </w:rPr>
      </w:pPr>
      <w:r w:rsidRPr="00683E78">
        <w:rPr>
          <w:rFonts w:ascii="David" w:eastAsia="Calibri" w:hAnsi="David"/>
          <w:rtl/>
        </w:rPr>
        <w:t xml:space="preserve">סמוך לשעה 19:30, הגיע הנאשם והאחר לקרבת הבית בו שהו באותה עת בני משפחת המתלוננים. הנאשם יצא מן הרכב כשהוא נושא ומוביל על גופו את האקדח, בזמן שהאחר ממתין ברכב. הנאשם התקרב לבית וירה באמצעות האקדח שלוש יריות לעבר הבית, באופן שיש בו כדי לסכן חיי אדם, כאשר שתי יריות פגעו ברכב המרצדס שחנה אותה עת בחצר הבית. הנאשם והאחר, נמלטו מן המקום בריצה, לאחר שניסו להניע את הרכב ללא הצלחה, זאת כשהנאשם נושא ומוביל על גופו את האקדח. </w:t>
      </w:r>
    </w:p>
    <w:p w14:paraId="2E8C2B26" w14:textId="77777777" w:rsidR="004F1512" w:rsidRPr="00683E78" w:rsidRDefault="004F1512" w:rsidP="004F1512">
      <w:pPr>
        <w:spacing w:line="360" w:lineRule="auto"/>
        <w:jc w:val="both"/>
        <w:rPr>
          <w:rFonts w:ascii="David" w:eastAsia="Calibri" w:hAnsi="David"/>
          <w:rtl/>
        </w:rPr>
      </w:pPr>
    </w:p>
    <w:p w14:paraId="52600C5F" w14:textId="77777777" w:rsidR="004F1512" w:rsidRPr="00683E78" w:rsidRDefault="004F1512" w:rsidP="004F1512">
      <w:pPr>
        <w:spacing w:line="360" w:lineRule="auto"/>
        <w:jc w:val="both"/>
        <w:rPr>
          <w:rFonts w:ascii="David" w:eastAsia="Calibri" w:hAnsi="David"/>
          <w:rtl/>
        </w:rPr>
      </w:pPr>
      <w:r w:rsidRPr="00683E78">
        <w:rPr>
          <w:rFonts w:ascii="David" w:eastAsia="Calibri" w:hAnsi="David"/>
          <w:rtl/>
        </w:rPr>
        <w:t xml:space="preserve">לאחר מספר דקות עוכב הנאשם על ידי תושבי השכונה. </w:t>
      </w:r>
    </w:p>
    <w:p w14:paraId="49C781DC" w14:textId="77777777" w:rsidR="004F1512" w:rsidRPr="00683E78" w:rsidRDefault="004F1512" w:rsidP="004F1512">
      <w:pPr>
        <w:spacing w:line="360" w:lineRule="auto"/>
        <w:jc w:val="both"/>
        <w:rPr>
          <w:rFonts w:ascii="David" w:eastAsia="Calibri" w:hAnsi="David"/>
          <w:rtl/>
        </w:rPr>
      </w:pPr>
    </w:p>
    <w:p w14:paraId="05CDBD9A" w14:textId="77777777" w:rsidR="004F1512" w:rsidRPr="00683E78" w:rsidRDefault="004F1512" w:rsidP="004F1512">
      <w:pPr>
        <w:spacing w:line="360" w:lineRule="auto"/>
        <w:jc w:val="both"/>
        <w:rPr>
          <w:rFonts w:ascii="David" w:eastAsia="Calibri" w:hAnsi="David"/>
          <w:u w:val="single"/>
          <w:rtl/>
        </w:rPr>
      </w:pPr>
      <w:r w:rsidRPr="00683E78">
        <w:rPr>
          <w:rFonts w:ascii="David" w:eastAsia="Calibri" w:hAnsi="David"/>
          <w:u w:val="single"/>
          <w:rtl/>
        </w:rPr>
        <w:t xml:space="preserve">תסקיר לעניין העונש </w:t>
      </w:r>
    </w:p>
    <w:p w14:paraId="40EF66E8" w14:textId="77777777" w:rsidR="004F1512" w:rsidRPr="00683E78" w:rsidRDefault="004F1512" w:rsidP="004F1512">
      <w:pPr>
        <w:spacing w:line="360" w:lineRule="auto"/>
        <w:jc w:val="both"/>
        <w:rPr>
          <w:rFonts w:ascii="David" w:eastAsia="Calibri" w:hAnsi="David"/>
          <w:u w:val="single"/>
          <w:rtl/>
        </w:rPr>
      </w:pPr>
    </w:p>
    <w:p w14:paraId="3B4BA155" w14:textId="77777777" w:rsidR="004F1512" w:rsidRPr="00683E78" w:rsidRDefault="004F1512" w:rsidP="004F1512">
      <w:pPr>
        <w:spacing w:line="360" w:lineRule="auto"/>
        <w:jc w:val="both"/>
        <w:rPr>
          <w:rFonts w:ascii="David" w:eastAsia="Calibri" w:hAnsi="David"/>
          <w:rtl/>
        </w:rPr>
      </w:pPr>
      <w:r w:rsidRPr="00683E78">
        <w:rPr>
          <w:rFonts w:ascii="David" w:eastAsia="Calibri" w:hAnsi="David"/>
          <w:rtl/>
        </w:rPr>
        <w:t xml:space="preserve">ביום 23.2.25 הגיש שירות המבחן לתיק בית המשפט תסקיר לעניין עונשו של הנאשם. פורט, כי הנאשם הוא בן 22, רווק. בהתייחסו לעבירות שביצע, פירט הנאשם, כי התחבר לחברה שולית ומכאן החליט "לסייע" לאותם גורמים עבריינים. קצינת המבחן התרשמה מן הנאשם ככזה המתקשה להבין לעומק את חומרת מעשיו. הוער, כי הנאשם מתייחס לביצוען של העבירות כחריגה בחייו, בציינו שאינו רואה באלימות כלי לפתרון סכסוכים. עוד צוין, כי הנאשם אינו מגלה תבונה באשר לצורך בהליך טיפולי שיכול לסייע בידו. שירות המבחן זיהה מספר מוקדים מרכזיים - מקדמי סיכון - לעבריינות בעניינו של הנאשם,  לצד מספר גורמים היכולים לשמש כגורמים לסיכויי שיקום.  </w:t>
      </w:r>
    </w:p>
    <w:p w14:paraId="5F79058E" w14:textId="77777777" w:rsidR="004F1512" w:rsidRPr="00683E78" w:rsidRDefault="004F1512" w:rsidP="004F1512">
      <w:pPr>
        <w:spacing w:line="360" w:lineRule="auto"/>
        <w:jc w:val="both"/>
        <w:rPr>
          <w:rFonts w:ascii="David" w:eastAsia="Calibri" w:hAnsi="David"/>
          <w:rtl/>
        </w:rPr>
      </w:pPr>
      <w:r w:rsidRPr="00683E78">
        <w:rPr>
          <w:rFonts w:ascii="David" w:eastAsia="Calibri" w:hAnsi="David"/>
          <w:rtl/>
        </w:rPr>
        <w:t>פורט, כי הנאשם מצוי במתח שבין רצונו להתפתחות אישית לבין הצורך שלו בהשתייכות ועמדת כוח; וניכר</w:t>
      </w:r>
      <w:r w:rsidRPr="00683E78">
        <w:rPr>
          <w:rFonts w:ascii="David" w:eastAsia="Calibri" w:hAnsi="David"/>
        </w:rPr>
        <w:t xml:space="preserve"> </w:t>
      </w:r>
      <w:r w:rsidRPr="00683E78">
        <w:rPr>
          <w:rFonts w:ascii="David" w:eastAsia="Calibri" w:hAnsi="David"/>
          <w:rtl/>
        </w:rPr>
        <w:t xml:space="preserve">כי מעשיו העבריינים מבטאים העדר בשלות רגשית והעדר הבנה מעמיקה על אודות מעשיו. </w:t>
      </w:r>
    </w:p>
    <w:p w14:paraId="40D703F5" w14:textId="77777777" w:rsidR="004F1512" w:rsidRPr="00683E78" w:rsidRDefault="004F1512" w:rsidP="004F1512">
      <w:pPr>
        <w:spacing w:line="360" w:lineRule="auto"/>
        <w:jc w:val="both"/>
        <w:rPr>
          <w:rFonts w:ascii="David" w:eastAsia="Calibri" w:hAnsi="David"/>
          <w:rtl/>
        </w:rPr>
      </w:pPr>
      <w:r w:rsidRPr="00683E78">
        <w:rPr>
          <w:rFonts w:ascii="David" w:eastAsia="Calibri" w:hAnsi="David"/>
          <w:rtl/>
        </w:rPr>
        <w:t xml:space="preserve">לסיכום, בהעדר מוטיבציה מצדו להשתלב בהליך טיפולי כגורם מפחית סיכון להישנות מקרים דומים, התרשם שירות המבחן מגורמי סיכון שאינם מבוטלים. משאלה הם פני הדברים, לא בא שירות המבחן בהמלצה על אודות חלופת ענישה או שיקום במסגרת הקהילה, העשויה להפחית סיכון עתידי.  </w:t>
      </w:r>
    </w:p>
    <w:p w14:paraId="13BFB303" w14:textId="77777777" w:rsidR="004F1512" w:rsidRPr="00683E78" w:rsidRDefault="004F1512" w:rsidP="004F1512">
      <w:pPr>
        <w:spacing w:line="360" w:lineRule="auto"/>
        <w:jc w:val="both"/>
        <w:rPr>
          <w:rFonts w:ascii="David" w:eastAsia="Calibri" w:hAnsi="David"/>
          <w:rtl/>
        </w:rPr>
      </w:pPr>
    </w:p>
    <w:p w14:paraId="3C4327DF" w14:textId="77777777" w:rsidR="004F1512" w:rsidRPr="00683E78" w:rsidRDefault="004F1512" w:rsidP="004F1512">
      <w:pPr>
        <w:spacing w:line="360" w:lineRule="auto"/>
        <w:jc w:val="both"/>
        <w:rPr>
          <w:rFonts w:ascii="David" w:eastAsia="Calibri" w:hAnsi="David"/>
          <w:u w:val="single"/>
          <w:rtl/>
        </w:rPr>
      </w:pPr>
      <w:r w:rsidRPr="00683E78">
        <w:rPr>
          <w:rFonts w:ascii="David" w:eastAsia="Calibri" w:hAnsi="David"/>
          <w:u w:val="single"/>
          <w:rtl/>
        </w:rPr>
        <w:t>ראיות לעניין העונש</w:t>
      </w:r>
    </w:p>
    <w:p w14:paraId="775D6F2C" w14:textId="77777777" w:rsidR="004F1512" w:rsidRPr="00683E78" w:rsidRDefault="004F1512" w:rsidP="004F1512">
      <w:pPr>
        <w:spacing w:line="360" w:lineRule="auto"/>
        <w:jc w:val="both"/>
        <w:rPr>
          <w:rFonts w:ascii="David" w:eastAsia="Calibri" w:hAnsi="David"/>
          <w:rtl/>
        </w:rPr>
      </w:pPr>
      <w:r w:rsidRPr="00683E78">
        <w:rPr>
          <w:rFonts w:ascii="David" w:eastAsia="Calibri" w:hAnsi="David"/>
          <w:rtl/>
        </w:rPr>
        <w:t>המאשימה לא הציגה ראיות לעניין העונש בעניינו של הנאשם.</w:t>
      </w:r>
    </w:p>
    <w:p w14:paraId="567EF108" w14:textId="77777777" w:rsidR="004F1512" w:rsidRPr="00683E78" w:rsidRDefault="004F1512" w:rsidP="004F1512">
      <w:pPr>
        <w:spacing w:line="360" w:lineRule="auto"/>
        <w:jc w:val="both"/>
        <w:rPr>
          <w:rFonts w:ascii="David" w:eastAsia="Calibri" w:hAnsi="David"/>
          <w:rtl/>
        </w:rPr>
      </w:pPr>
      <w:r w:rsidRPr="00683E78">
        <w:rPr>
          <w:rFonts w:ascii="David" w:eastAsia="Calibri" w:hAnsi="David"/>
          <w:rtl/>
        </w:rPr>
        <w:t>ההגנה הגישה מצדה מספר תמונות (</w:t>
      </w:r>
      <w:r w:rsidRPr="00683E78">
        <w:rPr>
          <w:rFonts w:ascii="David" w:eastAsia="Calibri" w:hAnsi="David"/>
          <w:b/>
          <w:bCs/>
          <w:rtl/>
        </w:rPr>
        <w:t>סומנו טעה/א1 ו- טעה/ב1</w:t>
      </w:r>
      <w:r w:rsidRPr="00683E78">
        <w:rPr>
          <w:rFonts w:ascii="David" w:eastAsia="Calibri" w:hAnsi="David"/>
          <w:rtl/>
        </w:rPr>
        <w:t xml:space="preserve">). פורט כי בתמונות אלו נראה הנאשם בעת מעצרו שותת דם, כפועל יוצא מתפיסתו והכאתו בידי תושבי השכונה לאחר ביצוע מעשיו.   </w:t>
      </w:r>
    </w:p>
    <w:p w14:paraId="5EF19818" w14:textId="77777777" w:rsidR="004F1512" w:rsidRPr="00683E78" w:rsidRDefault="004F1512" w:rsidP="004F1512">
      <w:pPr>
        <w:spacing w:line="360" w:lineRule="auto"/>
        <w:jc w:val="both"/>
        <w:rPr>
          <w:rFonts w:ascii="David" w:eastAsia="Calibri" w:hAnsi="David"/>
          <w:u w:val="single"/>
          <w:rtl/>
        </w:rPr>
      </w:pPr>
    </w:p>
    <w:p w14:paraId="7564C8E7" w14:textId="77777777" w:rsidR="004F1512" w:rsidRPr="00683E78" w:rsidRDefault="004F1512" w:rsidP="004F1512">
      <w:pPr>
        <w:spacing w:line="360" w:lineRule="auto"/>
        <w:jc w:val="both"/>
        <w:rPr>
          <w:rFonts w:ascii="David" w:eastAsia="Calibri" w:hAnsi="David"/>
          <w:rtl/>
        </w:rPr>
      </w:pPr>
      <w:r w:rsidRPr="00683E78">
        <w:rPr>
          <w:rFonts w:ascii="David" w:eastAsia="Calibri" w:hAnsi="David"/>
          <w:u w:val="single"/>
          <w:rtl/>
        </w:rPr>
        <w:t xml:space="preserve">טיעוני הצדדים לעניין העונש </w:t>
      </w:r>
    </w:p>
    <w:p w14:paraId="367C2D3F" w14:textId="77777777" w:rsidR="004F1512" w:rsidRPr="00683E78" w:rsidRDefault="004F1512" w:rsidP="004F1512">
      <w:pPr>
        <w:spacing w:line="360" w:lineRule="auto"/>
        <w:jc w:val="both"/>
        <w:rPr>
          <w:rFonts w:ascii="David" w:eastAsia="Calibri" w:hAnsi="David"/>
          <w:u w:val="single"/>
          <w:rtl/>
        </w:rPr>
      </w:pPr>
    </w:p>
    <w:p w14:paraId="54E08FF2" w14:textId="77777777" w:rsidR="004F1512" w:rsidRPr="00683E78" w:rsidRDefault="004F1512" w:rsidP="004F1512">
      <w:pPr>
        <w:spacing w:line="360" w:lineRule="auto"/>
        <w:jc w:val="both"/>
        <w:rPr>
          <w:rFonts w:ascii="David" w:eastAsia="Calibri" w:hAnsi="David"/>
          <w:i/>
          <w:iCs/>
          <w:rtl/>
        </w:rPr>
      </w:pPr>
      <w:r w:rsidRPr="00683E78">
        <w:rPr>
          <w:rFonts w:ascii="David" w:eastAsia="Calibri" w:hAnsi="David"/>
          <w:i/>
          <w:iCs/>
          <w:rtl/>
        </w:rPr>
        <w:t>המאשימה</w:t>
      </w:r>
    </w:p>
    <w:p w14:paraId="45FF0A62" w14:textId="77777777" w:rsidR="004F1512" w:rsidRPr="00683E78" w:rsidRDefault="004F1512" w:rsidP="004F1512">
      <w:pPr>
        <w:spacing w:line="360" w:lineRule="auto"/>
        <w:jc w:val="both"/>
        <w:rPr>
          <w:rFonts w:ascii="David" w:eastAsia="Calibri" w:hAnsi="David"/>
          <w:i/>
          <w:iCs/>
          <w:rtl/>
        </w:rPr>
      </w:pPr>
      <w:r w:rsidRPr="00683E78">
        <w:rPr>
          <w:rFonts w:ascii="David" w:eastAsia="Calibri" w:hAnsi="David"/>
          <w:i/>
          <w:iCs/>
          <w:rtl/>
        </w:rPr>
        <w:lastRenderedPageBreak/>
        <w:t xml:space="preserve"> </w:t>
      </w:r>
    </w:p>
    <w:p w14:paraId="643E38C7" w14:textId="77777777" w:rsidR="004F1512" w:rsidRPr="00683E78" w:rsidRDefault="004F1512" w:rsidP="004F1512">
      <w:pPr>
        <w:spacing w:line="360" w:lineRule="auto"/>
        <w:jc w:val="both"/>
        <w:rPr>
          <w:rFonts w:ascii="David" w:eastAsia="Calibri" w:hAnsi="David"/>
          <w:rtl/>
        </w:rPr>
      </w:pPr>
      <w:r w:rsidRPr="00683E78">
        <w:rPr>
          <w:rFonts w:ascii="David" w:eastAsia="Calibri" w:hAnsi="David"/>
          <w:rtl/>
        </w:rPr>
        <w:t xml:space="preserve">ב"כ המאשימה המלומדת, עו"ד אביבית קבדה, עמדה על המסוכנות הניבטת מן העבירות שביצע הנאשם, ועל הצורך העז למגרן. הפרקליטה הפנתה לפסיקה מתאימה והזכירה, כי לצד עבירות בנשק קבוע עונש מזערי שהוא חובה. הודגש, כי ירי בסביבת מגורים לעבר בית הומה אדם מהווה סיכון משמעותי ליצירת נזק הרה אסון. לשיטתה של המאשימה יש לשרטט מתחם ענישה הנע בין 42 לבין 60 חודשי מאסר לריצוי בפועל.  באשר לנסיבות שאינן קשורות בביצוען של העבירות הוזכר, כי תסקיר שירות המבחן לא בא בסופו של יום בהמלצה שיקומית בעניינו של הנאשם, כפי שפורט לעיל. הפרקליטה התייחסה להודאתו של הנאשם ולהיעדר עבר הפלילי, לצד הצורך בהרתעת הרבים נוכח מעשיו, וסברה כי יש למקם את עונשו של הנאשם ברף הבינוני - תחתון של מתחם הענישה שהוצע.  </w:t>
      </w:r>
    </w:p>
    <w:p w14:paraId="421508B4" w14:textId="77777777" w:rsidR="004F1512" w:rsidRDefault="004F1512" w:rsidP="004F1512">
      <w:pPr>
        <w:spacing w:line="360" w:lineRule="auto"/>
        <w:jc w:val="both"/>
        <w:rPr>
          <w:rFonts w:ascii="David" w:eastAsia="Calibri" w:hAnsi="David"/>
          <w:rtl/>
        </w:rPr>
      </w:pPr>
      <w:r w:rsidRPr="00683E78">
        <w:rPr>
          <w:rFonts w:ascii="David" w:eastAsia="Calibri" w:hAnsi="David"/>
          <w:rtl/>
        </w:rPr>
        <w:t xml:space="preserve">  </w:t>
      </w:r>
    </w:p>
    <w:p w14:paraId="3BFBB623" w14:textId="77777777" w:rsidR="004F1512" w:rsidRDefault="004F1512" w:rsidP="004F1512">
      <w:pPr>
        <w:spacing w:line="360" w:lineRule="auto"/>
        <w:jc w:val="both"/>
        <w:rPr>
          <w:rFonts w:ascii="David" w:eastAsia="Calibri" w:hAnsi="David"/>
          <w:rtl/>
        </w:rPr>
      </w:pPr>
    </w:p>
    <w:p w14:paraId="428720E6" w14:textId="77777777" w:rsidR="004F1512" w:rsidRPr="00683E78" w:rsidRDefault="004F1512" w:rsidP="004F1512">
      <w:pPr>
        <w:spacing w:line="360" w:lineRule="auto"/>
        <w:jc w:val="both"/>
        <w:rPr>
          <w:rFonts w:ascii="David" w:eastAsia="Calibri" w:hAnsi="David"/>
          <w:rtl/>
        </w:rPr>
      </w:pPr>
    </w:p>
    <w:p w14:paraId="5505FCA2" w14:textId="77777777" w:rsidR="004F1512" w:rsidRPr="00683E78" w:rsidRDefault="004F1512" w:rsidP="004F1512">
      <w:pPr>
        <w:spacing w:line="360" w:lineRule="auto"/>
        <w:jc w:val="both"/>
        <w:rPr>
          <w:rFonts w:ascii="David" w:eastAsia="Calibri" w:hAnsi="David"/>
          <w:i/>
          <w:iCs/>
          <w:rtl/>
        </w:rPr>
      </w:pPr>
      <w:r w:rsidRPr="00683E78">
        <w:rPr>
          <w:rFonts w:ascii="David" w:eastAsia="Calibri" w:hAnsi="David"/>
          <w:i/>
          <w:iCs/>
          <w:rtl/>
        </w:rPr>
        <w:t>ההגנה</w:t>
      </w:r>
    </w:p>
    <w:p w14:paraId="61B9ADF6" w14:textId="77777777" w:rsidR="004F1512" w:rsidRPr="00683E78" w:rsidRDefault="004F1512" w:rsidP="004F1512">
      <w:pPr>
        <w:spacing w:line="360" w:lineRule="auto"/>
        <w:jc w:val="both"/>
        <w:rPr>
          <w:rFonts w:ascii="David" w:eastAsia="Calibri" w:hAnsi="David"/>
          <w:i/>
          <w:iCs/>
          <w:rtl/>
        </w:rPr>
      </w:pPr>
    </w:p>
    <w:p w14:paraId="2B53B1C7" w14:textId="77777777" w:rsidR="004F1512" w:rsidRPr="00683E78" w:rsidRDefault="004F1512" w:rsidP="004F1512">
      <w:pPr>
        <w:spacing w:line="360" w:lineRule="auto"/>
        <w:jc w:val="both"/>
        <w:rPr>
          <w:rFonts w:ascii="David" w:eastAsia="Calibri" w:hAnsi="David"/>
          <w:rtl/>
        </w:rPr>
      </w:pPr>
      <w:r w:rsidRPr="00683E78">
        <w:rPr>
          <w:rFonts w:ascii="David" w:eastAsia="Calibri" w:hAnsi="David"/>
          <w:rtl/>
        </w:rPr>
        <w:t xml:space="preserve">באי כוחו המלומדים של הנאשם, עוה"ד תמי אולמן ושאדי סרוג'י, עמדו על נטילת האחריות המלאה שביצע הנאשם בתיק זה, והחיסכון בזמן שיפוטי יקר ובהעדת עדים, כחלק מניהול הליך הוכחות. צוות ההגנה הדגיש, כי לא ניתן להתעלם מכך שהנאשם "בא על עונשו", כך שנתפס לאחר מעשיו על ידי תושבי השכונה שהפליאו בו מכותיהם עד שדימם ונחבל מכף רגל ועד ראש. לשיטתה של ההגנה, יש ליתן לנתון זה משקל בגזירת עונשו של הנאשם. הסנגורים הפנו לפסיקה המתאימה לשיטתם לנסיבות המקרה, וציינו כי מתחם הענישה ההולם לתיק זה צריך לנוע בין 18 לבין 24 חודשי מאסר לריצוי בפועל. הוסף, כי עסקינן בנאשם צעיר המעוניין להתמיד בלימודיו, ועל כן יש להותיר לו אופק שיקומי, חרף קביעותיו של שירות המבחן בעניין זה. הוסף, כי הנאשם משמש בעת מעצרו "כתומך" באסירים אחרים, נתון המשקף את האמון שניתן בו במסגרת מעצרו. </w:t>
      </w:r>
    </w:p>
    <w:p w14:paraId="44D7D8FD" w14:textId="77777777" w:rsidR="004F1512" w:rsidRPr="00683E78" w:rsidRDefault="004F1512" w:rsidP="004F1512">
      <w:pPr>
        <w:spacing w:line="360" w:lineRule="auto"/>
        <w:jc w:val="both"/>
        <w:rPr>
          <w:rFonts w:ascii="David" w:eastAsia="Calibri" w:hAnsi="David"/>
          <w:rtl/>
        </w:rPr>
      </w:pPr>
      <w:r w:rsidRPr="00683E78">
        <w:rPr>
          <w:rFonts w:ascii="David" w:eastAsia="Calibri" w:hAnsi="David"/>
          <w:rtl/>
        </w:rPr>
        <w:t xml:space="preserve">לסיכום נתבקשתי להשית על הנאשם עונש מאסר ברף התחתון של מתחם הענישה שהוצע. </w:t>
      </w:r>
    </w:p>
    <w:p w14:paraId="27AC3682" w14:textId="77777777" w:rsidR="004F1512" w:rsidRPr="00683E78" w:rsidRDefault="004F1512" w:rsidP="004F1512">
      <w:pPr>
        <w:spacing w:line="360" w:lineRule="auto"/>
        <w:jc w:val="both"/>
        <w:rPr>
          <w:rFonts w:ascii="David" w:eastAsia="Calibri" w:hAnsi="David"/>
          <w:i/>
          <w:iCs/>
          <w:rtl/>
        </w:rPr>
      </w:pPr>
    </w:p>
    <w:p w14:paraId="14B3CF7A" w14:textId="77777777" w:rsidR="004F1512" w:rsidRPr="00683E78" w:rsidRDefault="004F1512" w:rsidP="004F1512">
      <w:pPr>
        <w:spacing w:line="360" w:lineRule="auto"/>
        <w:jc w:val="both"/>
        <w:rPr>
          <w:rFonts w:ascii="David" w:eastAsia="Calibri" w:hAnsi="David"/>
          <w:i/>
          <w:iCs/>
          <w:rtl/>
        </w:rPr>
      </w:pPr>
      <w:r w:rsidRPr="00683E78">
        <w:rPr>
          <w:rFonts w:ascii="David" w:eastAsia="Calibri" w:hAnsi="David"/>
          <w:i/>
          <w:iCs/>
          <w:rtl/>
        </w:rPr>
        <w:t>דבריו של הנאשם</w:t>
      </w:r>
    </w:p>
    <w:p w14:paraId="512B4247" w14:textId="77777777" w:rsidR="004F1512" w:rsidRPr="00683E78" w:rsidRDefault="004F1512" w:rsidP="004F1512">
      <w:pPr>
        <w:spacing w:line="360" w:lineRule="auto"/>
        <w:jc w:val="both"/>
        <w:rPr>
          <w:rFonts w:ascii="David" w:eastAsia="Calibri" w:hAnsi="David"/>
          <w:i/>
          <w:iCs/>
          <w:rtl/>
        </w:rPr>
      </w:pPr>
    </w:p>
    <w:p w14:paraId="039A7829" w14:textId="77777777" w:rsidR="004F1512" w:rsidRPr="00683E78" w:rsidRDefault="004F1512" w:rsidP="004F1512">
      <w:pPr>
        <w:spacing w:line="360" w:lineRule="auto"/>
        <w:jc w:val="both"/>
        <w:rPr>
          <w:rFonts w:ascii="David" w:eastAsia="Calibri" w:hAnsi="David"/>
          <w:rtl/>
        </w:rPr>
      </w:pPr>
      <w:r w:rsidRPr="00683E78">
        <w:rPr>
          <w:rFonts w:ascii="David" w:eastAsia="Calibri" w:hAnsi="David"/>
          <w:rtl/>
        </w:rPr>
        <w:t xml:space="preserve">הנאשם פנה אל בית המשפט וביקש סליחה על מעשיו. הוא ציין, כי לא יחזור על טעותו בעתיד ושכל רצונו הוא לחזור לחיק משפחתו ולימודיו.   </w:t>
      </w:r>
    </w:p>
    <w:p w14:paraId="5800729E" w14:textId="77777777" w:rsidR="004F1512" w:rsidRPr="00683E78" w:rsidRDefault="004F1512" w:rsidP="004F1512">
      <w:pPr>
        <w:spacing w:line="360" w:lineRule="auto"/>
        <w:jc w:val="both"/>
        <w:rPr>
          <w:rFonts w:ascii="David" w:eastAsia="Calibri" w:hAnsi="David"/>
          <w:b/>
          <w:bCs/>
          <w:u w:val="single"/>
          <w:rtl/>
        </w:rPr>
      </w:pPr>
    </w:p>
    <w:p w14:paraId="2439FA4E" w14:textId="77777777" w:rsidR="004F1512" w:rsidRPr="00683E78" w:rsidRDefault="004F1512" w:rsidP="004F1512">
      <w:pPr>
        <w:spacing w:line="360" w:lineRule="auto"/>
        <w:jc w:val="both"/>
        <w:rPr>
          <w:rFonts w:ascii="David" w:eastAsia="Calibri" w:hAnsi="David"/>
          <w:b/>
          <w:bCs/>
          <w:u w:val="single"/>
          <w:rtl/>
        </w:rPr>
      </w:pPr>
      <w:r w:rsidRPr="00683E78">
        <w:rPr>
          <w:rFonts w:ascii="David" w:eastAsia="Calibri" w:hAnsi="David"/>
          <w:b/>
          <w:bCs/>
          <w:u w:val="single"/>
          <w:rtl/>
        </w:rPr>
        <w:t>דיון והכרעה</w:t>
      </w:r>
    </w:p>
    <w:p w14:paraId="5F44532F" w14:textId="77777777" w:rsidR="004F1512" w:rsidRPr="00683E78" w:rsidRDefault="004F1512" w:rsidP="004F1512">
      <w:pPr>
        <w:spacing w:line="360" w:lineRule="auto"/>
        <w:jc w:val="both"/>
        <w:rPr>
          <w:rFonts w:ascii="David" w:eastAsia="Calibri" w:hAnsi="David"/>
          <w:b/>
          <w:bCs/>
          <w:u w:val="single"/>
          <w:rtl/>
        </w:rPr>
      </w:pPr>
    </w:p>
    <w:p w14:paraId="5B380B8A" w14:textId="77777777" w:rsidR="004F1512" w:rsidRPr="00683E78" w:rsidRDefault="004F1512" w:rsidP="004F1512">
      <w:pPr>
        <w:spacing w:after="160" w:line="360" w:lineRule="auto"/>
        <w:jc w:val="both"/>
        <w:rPr>
          <w:rFonts w:ascii="David" w:eastAsia="Calibri" w:hAnsi="David"/>
          <w:rtl/>
        </w:rPr>
      </w:pPr>
      <w:r w:rsidRPr="00683E78">
        <w:rPr>
          <w:rFonts w:ascii="David" w:eastAsia="Calibri" w:hAnsi="David"/>
          <w:rtl/>
        </w:rPr>
        <w:t xml:space="preserve">האירוע, המגולל בכתב - האישום, שבעובדותיו הודה הנאשם, הוא חמור לכל הדעות. </w:t>
      </w:r>
      <w:r w:rsidRPr="00683E78">
        <w:rPr>
          <w:rFonts w:ascii="David" w:eastAsia="Calibri" w:hAnsi="David"/>
          <w:b/>
          <w:bCs/>
          <w:rtl/>
        </w:rPr>
        <w:t>נשיאתו, של נשק בלתי חוקי והובלתו,</w:t>
      </w:r>
      <w:r w:rsidRPr="00683E78">
        <w:rPr>
          <w:rFonts w:ascii="David" w:eastAsia="Calibri" w:hAnsi="David"/>
          <w:rtl/>
        </w:rPr>
        <w:t xml:space="preserve"> </w:t>
      </w:r>
      <w:r w:rsidRPr="00683E78">
        <w:rPr>
          <w:rFonts w:ascii="David" w:eastAsia="Calibri" w:hAnsi="David"/>
          <w:b/>
          <w:bCs/>
          <w:rtl/>
        </w:rPr>
        <w:t>וביצוע ירי אל עבר בית מגורים מאוכלס</w:t>
      </w:r>
      <w:r w:rsidRPr="00683E78">
        <w:rPr>
          <w:rFonts w:ascii="David" w:eastAsia="Calibri" w:hAnsi="David"/>
          <w:rtl/>
        </w:rPr>
        <w:t>, מחייב</w:t>
      </w:r>
      <w:r>
        <w:rPr>
          <w:rFonts w:ascii="David" w:eastAsia="Calibri" w:hAnsi="David" w:hint="cs"/>
          <w:rtl/>
        </w:rPr>
        <w:t>ים</w:t>
      </w:r>
      <w:r w:rsidRPr="00683E78">
        <w:rPr>
          <w:rFonts w:ascii="David" w:eastAsia="Calibri" w:hAnsi="David"/>
          <w:rtl/>
        </w:rPr>
        <w:t xml:space="preserve"> תגובה עונשית הולמת. </w:t>
      </w:r>
    </w:p>
    <w:p w14:paraId="101F8254" w14:textId="77777777" w:rsidR="004F1512" w:rsidRPr="00683E78" w:rsidRDefault="004F1512" w:rsidP="004F1512">
      <w:pPr>
        <w:spacing w:after="160" w:line="360" w:lineRule="auto"/>
        <w:jc w:val="both"/>
        <w:rPr>
          <w:rFonts w:ascii="David" w:eastAsia="Calibri" w:hAnsi="David"/>
          <w:rtl/>
        </w:rPr>
      </w:pPr>
      <w:r w:rsidRPr="00683E78">
        <w:rPr>
          <w:rFonts w:ascii="David" w:eastAsia="Calibri" w:hAnsi="David"/>
          <w:rtl/>
        </w:rPr>
        <w:t xml:space="preserve">כפי שציינתי חזור ושנה בעבר, ברי, כי מדינה ריבונית ומתוקנת איננה יכולה לקבל כ"מכת-גורל" תופעה שבמסגרתה נעשה שימוש בנשק בטבורו של אזור מגורים מאוכלס. השלמה עם תופעה זו  עלולה, חלילה, לכרסם ביסודות לחם חוקה. </w:t>
      </w:r>
    </w:p>
    <w:p w14:paraId="23D79826" w14:textId="77777777" w:rsidR="004F1512" w:rsidRPr="00683E78" w:rsidRDefault="004F1512" w:rsidP="004F1512">
      <w:pPr>
        <w:spacing w:line="360" w:lineRule="auto"/>
        <w:jc w:val="both"/>
        <w:rPr>
          <w:rFonts w:ascii="David" w:eastAsia="Calibri" w:hAnsi="David"/>
          <w:b/>
          <w:bCs/>
          <w:u w:val="single"/>
          <w:rtl/>
        </w:rPr>
      </w:pPr>
      <w:r w:rsidRPr="00683E78">
        <w:rPr>
          <w:rFonts w:ascii="David" w:eastAsia="Calibri" w:hAnsi="David"/>
          <w:rtl/>
        </w:rPr>
        <w:t xml:space="preserve">ככלל, עת נפנים לבצע את מלאכת הענישה, העיקרון המנחה שנקבע במסגרת תורת הבניית שיקול-הדעת השיפוטי, הוא עקרון ההלימה: משמע, </w:t>
      </w:r>
      <w:r w:rsidRPr="00683E78">
        <w:rPr>
          <w:rFonts w:ascii="David" w:eastAsia="Calibri" w:hAnsi="David"/>
          <w:u w:val="single"/>
          <w:rtl/>
        </w:rPr>
        <w:t>שימור יחס הולם בין חומרת מעשה העבירה בנסיבותיו ומידת אשמו של הנאשם ובין סוג העונש המוטל עליו ומידתו</w:t>
      </w:r>
      <w:r w:rsidRPr="00683E78">
        <w:rPr>
          <w:rFonts w:ascii="David" w:eastAsia="Calibri" w:hAnsi="David"/>
          <w:rtl/>
        </w:rPr>
        <w:t xml:space="preserve">. על מנת לשמר יחס זה, עובר לקביעת העונש יש לשרטט מתחם עונש הולם, מתוך התחשבות בערך החברתי בו פגע המעשה, במידת הפגיעה בו, במדיניות הענישה הנוהגת ובנסיבות הקשורות בביצוע העבירה. מכאן, לאחר קביעת המתחם, וככל שבית-המשפט לא מצא לנכון לסטות הימנו מטעמים של שיקום או של הגנה על הציבור, ייקבע העונש המתאים לנאשם בשים לב לנסיבותיו האישיות ולנתונים נוספים, הללו שאינם קשורים בביצוע העבירה. </w:t>
      </w:r>
    </w:p>
    <w:p w14:paraId="20F4B629" w14:textId="77777777" w:rsidR="004F1512" w:rsidRPr="00683E78" w:rsidRDefault="004F1512" w:rsidP="004F1512">
      <w:pPr>
        <w:spacing w:line="360" w:lineRule="auto"/>
        <w:jc w:val="both"/>
        <w:rPr>
          <w:rFonts w:ascii="David" w:eastAsia="Calibri" w:hAnsi="David"/>
          <w:b/>
          <w:bCs/>
          <w:u w:val="single"/>
          <w:rtl/>
        </w:rPr>
      </w:pPr>
    </w:p>
    <w:p w14:paraId="66FCF9E4" w14:textId="77777777" w:rsidR="004F1512" w:rsidRPr="00683E78" w:rsidRDefault="004F1512" w:rsidP="004F1512">
      <w:pPr>
        <w:spacing w:after="160" w:line="360" w:lineRule="auto"/>
        <w:jc w:val="both"/>
        <w:rPr>
          <w:rFonts w:ascii="David" w:eastAsia="Calibri" w:hAnsi="David"/>
          <w:rtl/>
        </w:rPr>
      </w:pPr>
      <w:r w:rsidRPr="00683E78">
        <w:rPr>
          <w:rFonts w:ascii="David" w:eastAsia="Calibri" w:hAnsi="David"/>
          <w:rtl/>
        </w:rPr>
        <w:t>העבירות החמורות שאותן ביצע הנאשם מהוות "</w:t>
      </w:r>
      <w:r w:rsidRPr="00683E78">
        <w:rPr>
          <w:rFonts w:ascii="David" w:eastAsia="Calibri" w:hAnsi="David"/>
          <w:b/>
          <w:bCs/>
          <w:rtl/>
        </w:rPr>
        <w:t>אירוע אחד"</w:t>
      </w:r>
      <w:r w:rsidRPr="00683E78">
        <w:rPr>
          <w:rFonts w:ascii="David" w:eastAsia="Calibri" w:hAnsi="David"/>
          <w:rtl/>
        </w:rPr>
        <w:t>,</w:t>
      </w:r>
      <w:r w:rsidRPr="00683E78">
        <w:rPr>
          <w:rFonts w:ascii="David" w:eastAsia="Calibri" w:hAnsi="David"/>
          <w:b/>
          <w:bCs/>
          <w:rtl/>
        </w:rPr>
        <w:t xml:space="preserve"> </w:t>
      </w:r>
      <w:r w:rsidRPr="00683E78">
        <w:rPr>
          <w:rFonts w:ascii="David" w:eastAsia="Calibri" w:hAnsi="David"/>
          <w:rtl/>
        </w:rPr>
        <w:t xml:space="preserve">שכן בהחלט קיים בינן קשר הדוק - העבירות התרחשו כחלק בלתי נפרד  מתוכנית עבריינית אחת - לירות אל עבר בית המתלוננים (ראו לעניין זה: </w:t>
      </w:r>
      <w:hyperlink r:id="rId26" w:history="1">
        <w:r w:rsidR="00AF5B9E" w:rsidRPr="00AF5B9E">
          <w:rPr>
            <w:rFonts w:ascii="David" w:eastAsia="Calibri" w:hAnsi="David"/>
            <w:color w:val="0000FF"/>
            <w:u w:val="single"/>
            <w:rtl/>
          </w:rPr>
          <w:t>ע"פ 4910/13</w:t>
        </w:r>
      </w:hyperlink>
      <w:r w:rsidRPr="00683E78">
        <w:rPr>
          <w:rFonts w:ascii="David" w:eastAsia="Calibri" w:hAnsi="David"/>
          <w:rtl/>
        </w:rPr>
        <w:t xml:space="preserve"> </w:t>
      </w:r>
      <w:r w:rsidRPr="00683E78">
        <w:rPr>
          <w:rFonts w:ascii="David" w:eastAsia="Calibri" w:hAnsi="David"/>
          <w:b/>
          <w:bCs/>
          <w:rtl/>
        </w:rPr>
        <w:t>ג'אבר נ' מדינת ישראל</w:t>
      </w:r>
      <w:r w:rsidRPr="00683E78">
        <w:rPr>
          <w:rFonts w:ascii="David" w:eastAsia="Calibri" w:hAnsi="David"/>
          <w:rtl/>
        </w:rPr>
        <w:t>,</w:t>
      </w:r>
      <w:r w:rsidRPr="00683E78">
        <w:rPr>
          <w:rFonts w:ascii="David" w:eastAsia="Calibri" w:hAnsi="David"/>
          <w:b/>
          <w:bCs/>
          <w:rtl/>
        </w:rPr>
        <w:t xml:space="preserve"> </w:t>
      </w:r>
      <w:r w:rsidRPr="00683E78">
        <w:rPr>
          <w:rFonts w:ascii="David" w:eastAsia="Calibri" w:hAnsi="David"/>
          <w:rtl/>
        </w:rPr>
        <w:t xml:space="preserve">מפי כב' השופטת ברק-ארז (ניתן ביום 29.10.14); </w:t>
      </w:r>
      <w:hyperlink r:id="rId27" w:history="1">
        <w:r w:rsidR="00AF5B9E" w:rsidRPr="00AF5B9E">
          <w:rPr>
            <w:rFonts w:ascii="David" w:eastAsia="Calibri" w:hAnsi="David"/>
            <w:color w:val="0000FF"/>
            <w:u w:val="single"/>
            <w:rtl/>
          </w:rPr>
          <w:t>ע"פ 9308/12</w:t>
        </w:r>
      </w:hyperlink>
      <w:r w:rsidRPr="00683E78">
        <w:rPr>
          <w:rFonts w:ascii="David" w:eastAsia="Calibri" w:hAnsi="David"/>
          <w:rtl/>
        </w:rPr>
        <w:t xml:space="preserve"> </w:t>
      </w:r>
      <w:r w:rsidRPr="00683E78">
        <w:rPr>
          <w:rFonts w:ascii="David" w:eastAsia="Calibri" w:hAnsi="David"/>
          <w:b/>
          <w:bCs/>
          <w:rtl/>
        </w:rPr>
        <w:t>עיסא נ' מדינת ישראל,</w:t>
      </w:r>
      <w:r w:rsidRPr="00683E78">
        <w:rPr>
          <w:rFonts w:ascii="David" w:eastAsia="Calibri" w:hAnsi="David"/>
          <w:rtl/>
        </w:rPr>
        <w:t xml:space="preserve"> (ניתן ביום 30.7.15). משכך, ייקבע מתחם עונש אחד הולם לכלל המעשים</w:t>
      </w:r>
      <w:r w:rsidRPr="00683E78">
        <w:rPr>
          <w:rFonts w:ascii="Calibri" w:eastAsia="Calibri" w:hAnsi="Calibri"/>
          <w:rtl/>
        </w:rPr>
        <w:t xml:space="preserve"> (</w:t>
      </w:r>
      <w:hyperlink r:id="rId28" w:history="1">
        <w:r w:rsidR="007F5016" w:rsidRPr="007F5016">
          <w:rPr>
            <w:rStyle w:val="Hyperlink"/>
            <w:rFonts w:ascii="Calibri" w:eastAsia="Calibri" w:hAnsi="Calibri"/>
            <w:color w:val="0000FF"/>
            <w:rtl/>
          </w:rPr>
          <w:t>סעיף 40יג(א)</w:t>
        </w:r>
      </w:hyperlink>
      <w:r w:rsidRPr="00683E78">
        <w:rPr>
          <w:rFonts w:ascii="Calibri" w:eastAsia="Calibri" w:hAnsi="Calibri"/>
          <w:rtl/>
        </w:rPr>
        <w:t xml:space="preserve"> לחוק).</w:t>
      </w:r>
      <w:r w:rsidRPr="00683E78">
        <w:rPr>
          <w:rFonts w:ascii="David" w:eastAsia="Calibri" w:hAnsi="David"/>
          <w:rtl/>
        </w:rPr>
        <w:t xml:space="preserve"> ויודגש, על אף קביעה זאת, </w:t>
      </w:r>
      <w:r w:rsidRPr="00683E78">
        <w:rPr>
          <w:rFonts w:ascii="Calibri" w:eastAsia="Calibri" w:hAnsi="Calibri"/>
          <w:rtl/>
        </w:rPr>
        <w:t xml:space="preserve">יישמר בגזירת העונש יחס הולם בין חומרת </w:t>
      </w:r>
      <w:r w:rsidRPr="00683E78">
        <w:rPr>
          <w:rFonts w:ascii="Calibri" w:eastAsia="Calibri" w:hAnsi="Calibri"/>
          <w:u w:val="single"/>
          <w:rtl/>
        </w:rPr>
        <w:t>מכלול המעשים</w:t>
      </w:r>
      <w:r w:rsidRPr="00683E78">
        <w:rPr>
          <w:rFonts w:ascii="Calibri" w:eastAsia="Calibri" w:hAnsi="Calibri"/>
          <w:rtl/>
        </w:rPr>
        <w:t xml:space="preserve"> ומידת אשמו של הנאשם לבין תקופת המאסר שיהא עליו לרצות (</w:t>
      </w:r>
      <w:hyperlink r:id="rId29" w:history="1">
        <w:r w:rsidR="007F5016" w:rsidRPr="007F5016">
          <w:rPr>
            <w:rStyle w:val="Hyperlink"/>
            <w:rFonts w:ascii="Calibri" w:eastAsia="Calibri" w:hAnsi="Calibri"/>
            <w:color w:val="0000FF"/>
            <w:rtl/>
          </w:rPr>
          <w:t>סעיף 40יג(ג)</w:t>
        </w:r>
      </w:hyperlink>
      <w:r w:rsidRPr="00683E78">
        <w:rPr>
          <w:rFonts w:ascii="Calibri" w:eastAsia="Calibri" w:hAnsi="Calibri"/>
          <w:rtl/>
        </w:rPr>
        <w:t xml:space="preserve"> לחוק). </w:t>
      </w:r>
    </w:p>
    <w:p w14:paraId="120B861C" w14:textId="77777777" w:rsidR="004F1512" w:rsidRPr="00683E78" w:rsidRDefault="004F1512" w:rsidP="004F1512">
      <w:pPr>
        <w:spacing w:after="160" w:line="360" w:lineRule="auto"/>
        <w:jc w:val="both"/>
        <w:rPr>
          <w:rFonts w:ascii="David" w:eastAsia="Calibri" w:hAnsi="David"/>
          <w:rtl/>
        </w:rPr>
      </w:pPr>
      <w:r w:rsidRPr="00683E78">
        <w:rPr>
          <w:rFonts w:ascii="David" w:eastAsia="Calibri" w:hAnsi="David"/>
          <w:rtl/>
        </w:rPr>
        <w:t xml:space="preserve">בכל הנוגע לערכים החברתיים המוגנים שנפגעו כפועל יוצא ממעשיו של נאשם, הרי שהדברים מובנים מאליהם. המוביל נשק בלא רשות על פי דין והעושה בו שימוש פוגע בראש ובראשונה </w:t>
      </w:r>
      <w:r w:rsidRPr="00683E78">
        <w:rPr>
          <w:rFonts w:ascii="David" w:eastAsia="Calibri" w:hAnsi="David"/>
          <w:b/>
          <w:bCs/>
          <w:rtl/>
        </w:rPr>
        <w:t>בביטחון המדינה ובמנגנוני שלטונה</w:t>
      </w:r>
      <w:r w:rsidRPr="00683E78">
        <w:rPr>
          <w:rFonts w:ascii="David" w:eastAsia="Calibri" w:hAnsi="David"/>
          <w:rtl/>
        </w:rPr>
        <w:t>;</w:t>
      </w:r>
      <w:r w:rsidRPr="00683E78">
        <w:rPr>
          <w:rFonts w:ascii="David" w:eastAsia="Calibri" w:hAnsi="David"/>
        </w:rPr>
        <w:t xml:space="preserve"> </w:t>
      </w:r>
      <w:r w:rsidRPr="00683E78">
        <w:rPr>
          <w:rFonts w:ascii="David" w:eastAsia="Calibri" w:hAnsi="David"/>
          <w:b/>
          <w:bCs/>
          <w:rtl/>
        </w:rPr>
        <w:t>בשלום הציבור ובסדר הציבורי</w:t>
      </w:r>
      <w:r w:rsidRPr="00683E78">
        <w:rPr>
          <w:rFonts w:ascii="David" w:eastAsia="Calibri" w:hAnsi="David"/>
          <w:rtl/>
        </w:rPr>
        <w:t xml:space="preserve">. הוא פוגע בביטחון הציבור </w:t>
      </w:r>
      <w:r w:rsidRPr="00683E78">
        <w:rPr>
          <w:rFonts w:ascii="David" w:eastAsia="Calibri" w:hAnsi="David"/>
          <w:b/>
          <w:bCs/>
          <w:rtl/>
        </w:rPr>
        <w:t>וחושף אותו לאירועי טרור עוין כמו גם פלילי המבוצעים באמצעות נשק</w:t>
      </w:r>
      <w:r w:rsidRPr="00683E78">
        <w:rPr>
          <w:rFonts w:ascii="David" w:eastAsia="Calibri" w:hAnsi="David"/>
          <w:rtl/>
        </w:rPr>
        <w:t xml:space="preserve"> </w:t>
      </w:r>
      <w:r w:rsidRPr="00683E78">
        <w:rPr>
          <w:rFonts w:ascii="David" w:eastAsia="Calibri" w:hAnsi="David"/>
          <w:b/>
          <w:bCs/>
          <w:rtl/>
        </w:rPr>
        <w:t>המושג שלא כחוק.</w:t>
      </w:r>
      <w:r w:rsidRPr="00683E78">
        <w:rPr>
          <w:rFonts w:ascii="David" w:eastAsia="Calibri" w:hAnsi="David"/>
          <w:rtl/>
        </w:rPr>
        <w:t xml:space="preserve"> הפגיעה בערכים אלו במקרה זה </w:t>
      </w:r>
      <w:r w:rsidRPr="00683E78">
        <w:rPr>
          <w:rFonts w:ascii="David" w:eastAsia="Calibri" w:hAnsi="David"/>
          <w:b/>
          <w:bCs/>
          <w:rtl/>
        </w:rPr>
        <w:t>היא ממשית.</w:t>
      </w:r>
    </w:p>
    <w:p w14:paraId="5F249153" w14:textId="77777777" w:rsidR="004F1512" w:rsidRPr="00683E78" w:rsidRDefault="004F1512" w:rsidP="004F1512">
      <w:pPr>
        <w:overflowPunct w:val="0"/>
        <w:autoSpaceDE w:val="0"/>
        <w:autoSpaceDN w:val="0"/>
        <w:spacing w:line="360" w:lineRule="auto"/>
        <w:jc w:val="both"/>
        <w:rPr>
          <w:rtl/>
        </w:rPr>
      </w:pPr>
      <w:r w:rsidRPr="00683E78">
        <w:rPr>
          <w:rtl/>
        </w:rPr>
        <w:t xml:space="preserve">מתאימים לעניין זה הדברים שנכתבו במסגרתו של </w:t>
      </w:r>
      <w:hyperlink r:id="rId30" w:history="1">
        <w:r w:rsidR="00AF5B9E" w:rsidRPr="00AF5B9E">
          <w:rPr>
            <w:color w:val="0000FF"/>
            <w:u w:val="single"/>
            <w:rtl/>
          </w:rPr>
          <w:t>ע"פ 5522/20</w:t>
        </w:r>
      </w:hyperlink>
      <w:r w:rsidRPr="00683E78">
        <w:rPr>
          <w:rtl/>
        </w:rPr>
        <w:t xml:space="preserve"> </w:t>
      </w:r>
      <w:r w:rsidRPr="00683E78">
        <w:rPr>
          <w:b/>
          <w:bCs/>
          <w:rtl/>
        </w:rPr>
        <w:t>חלייחל נ' מדינת ישראל</w:t>
      </w:r>
      <w:r w:rsidRPr="00683E78">
        <w:rPr>
          <w:rtl/>
        </w:rPr>
        <w:t xml:space="preserve"> (ניתן ביום 24.2.21)  והנוגעים לעבירות שעניינן נשיאה או הובלה של כלי נשק, ולפיהם - </w:t>
      </w:r>
    </w:p>
    <w:p w14:paraId="18E7FCFD" w14:textId="77777777" w:rsidR="004F1512" w:rsidRPr="00683E78" w:rsidRDefault="004F1512" w:rsidP="004F1512">
      <w:pPr>
        <w:overflowPunct w:val="0"/>
        <w:autoSpaceDE w:val="0"/>
        <w:autoSpaceDN w:val="0"/>
        <w:spacing w:line="360" w:lineRule="auto"/>
        <w:jc w:val="both"/>
        <w:rPr>
          <w:rtl/>
        </w:rPr>
      </w:pPr>
    </w:p>
    <w:p w14:paraId="16E1359A" w14:textId="77777777" w:rsidR="004F1512" w:rsidRPr="00683E78" w:rsidRDefault="004F1512" w:rsidP="004F1512">
      <w:pPr>
        <w:spacing w:after="160" w:line="276" w:lineRule="auto"/>
        <w:ind w:left="935" w:right="851"/>
        <w:jc w:val="both"/>
        <w:rPr>
          <w:rFonts w:ascii="David" w:eastAsia="Calibri" w:hAnsi="David"/>
          <w:rtl/>
        </w:rPr>
      </w:pPr>
      <w:r w:rsidRPr="00683E78">
        <w:rPr>
          <w:rFonts w:ascii="David" w:eastAsia="Calibri" w:hAnsi="David"/>
          <w:sz w:val="22"/>
          <w:rtl/>
        </w:rPr>
        <w:t xml:space="preserve"> "</w:t>
      </w:r>
      <w:r w:rsidRPr="00683E78">
        <w:rPr>
          <w:rFonts w:ascii="Calibri Light" w:eastAsia="Calibri" w:hAnsi="Calibri Light" w:cs="Times New Roman"/>
          <w:sz w:val="22"/>
          <w:rtl/>
        </w:rPr>
        <w:t xml:space="preserve">סעיף </w:t>
      </w:r>
      <w:r w:rsidRPr="00683E78">
        <w:rPr>
          <w:rFonts w:ascii="Calibri Light" w:eastAsia="Calibri" w:hAnsi="Calibri Light" w:cs="Calibri Light"/>
          <w:sz w:val="22"/>
          <w:rtl/>
        </w:rPr>
        <w:t>144(</w:t>
      </w:r>
      <w:r w:rsidRPr="00683E78">
        <w:rPr>
          <w:rFonts w:ascii="Calibri Light" w:eastAsia="Calibri" w:hAnsi="Calibri Light" w:cs="Times New Roman"/>
          <w:sz w:val="22"/>
          <w:rtl/>
        </w:rPr>
        <w:t>ב</w:t>
      </w:r>
      <w:r w:rsidRPr="00683E78">
        <w:rPr>
          <w:rFonts w:ascii="Calibri Light" w:eastAsia="Calibri" w:hAnsi="Calibri Light" w:cs="Calibri Light"/>
          <w:sz w:val="22"/>
          <w:rtl/>
        </w:rPr>
        <w:t xml:space="preserve">) </w:t>
      </w:r>
      <w:r w:rsidRPr="00683E78">
        <w:rPr>
          <w:rFonts w:ascii="Calibri Light" w:eastAsia="Calibri" w:hAnsi="Calibri Light" w:cs="Times New Roman"/>
          <w:sz w:val="22"/>
          <w:rtl/>
        </w:rPr>
        <w:t>ל</w:t>
      </w:r>
      <w:hyperlink r:id="rId31" w:history="1">
        <w:r w:rsidR="00AF5B9E" w:rsidRPr="00AF5B9E">
          <w:rPr>
            <w:rFonts w:ascii="Calibri Light" w:eastAsia="Calibri" w:hAnsi="Calibri Light" w:cs="Times New Roman" w:hint="cs"/>
            <w:color w:val="0000FF"/>
            <w:sz w:val="22"/>
            <w:u w:val="single"/>
            <w:rtl/>
          </w:rPr>
          <w:t>חוק</w:t>
        </w:r>
        <w:r w:rsidR="00AF5B9E" w:rsidRPr="00AF5B9E">
          <w:rPr>
            <w:rFonts w:ascii="Calibri Light" w:eastAsia="Calibri" w:hAnsi="Calibri Light" w:cs="Times New Roman"/>
            <w:color w:val="0000FF"/>
            <w:sz w:val="22"/>
            <w:u w:val="single"/>
            <w:rtl/>
          </w:rPr>
          <w:t xml:space="preserve"> </w:t>
        </w:r>
        <w:r w:rsidR="00AF5B9E" w:rsidRPr="00AF5B9E">
          <w:rPr>
            <w:rFonts w:ascii="Calibri Light" w:eastAsia="Calibri" w:hAnsi="Calibri Light" w:cs="Times New Roman" w:hint="cs"/>
            <w:color w:val="0000FF"/>
            <w:sz w:val="22"/>
            <w:u w:val="single"/>
            <w:rtl/>
          </w:rPr>
          <w:t>העונשין</w:t>
        </w:r>
      </w:hyperlink>
      <w:r w:rsidRPr="00683E78">
        <w:rPr>
          <w:rFonts w:ascii="Calibri Light" w:eastAsia="Calibri" w:hAnsi="Calibri Light" w:cs="Times New Roman"/>
          <w:sz w:val="22"/>
          <w:rtl/>
        </w:rPr>
        <w:t xml:space="preserve"> אוסר על נשיאה או הובלה של כלי</w:t>
      </w:r>
      <w:r w:rsidRPr="00683E78">
        <w:rPr>
          <w:rFonts w:ascii="Calibri Light" w:eastAsia="Calibri" w:hAnsi="Calibri Light" w:cs="Calibri Light"/>
          <w:sz w:val="22"/>
          <w:rtl/>
        </w:rPr>
        <w:t>-</w:t>
      </w:r>
      <w:r w:rsidRPr="00683E78">
        <w:rPr>
          <w:rFonts w:ascii="Calibri Light" w:eastAsia="Calibri" w:hAnsi="Calibri Light" w:cs="Times New Roman"/>
          <w:sz w:val="22"/>
          <w:rtl/>
        </w:rPr>
        <w:t>נשק</w:t>
      </w:r>
      <w:r w:rsidRPr="00683E78">
        <w:rPr>
          <w:rFonts w:ascii="Calibri Light" w:eastAsia="Calibri" w:hAnsi="Calibri Light" w:cs="Calibri Light"/>
          <w:sz w:val="22"/>
          <w:rtl/>
        </w:rPr>
        <w:t xml:space="preserve">, </w:t>
      </w:r>
      <w:r w:rsidRPr="00683E78">
        <w:rPr>
          <w:rFonts w:ascii="Calibri Light" w:eastAsia="Calibri" w:hAnsi="Calibri Light" w:cs="Calibri Light"/>
          <w:b/>
          <w:sz w:val="22"/>
          <w:rtl/>
        </w:rPr>
        <w:t>"</w:t>
      </w:r>
      <w:r w:rsidRPr="00683E78">
        <w:rPr>
          <w:rFonts w:ascii="Calibri Light" w:eastAsia="Calibri" w:hAnsi="Calibri Light" w:cs="Times New Roman"/>
          <w:b/>
          <w:sz w:val="22"/>
          <w:rtl/>
        </w:rPr>
        <w:t>בלא רשות על פי דין</w:t>
      </w:r>
      <w:r w:rsidRPr="00683E78">
        <w:rPr>
          <w:rFonts w:ascii="Calibri Light" w:eastAsia="Calibri" w:hAnsi="Calibri Light" w:cs="Calibri Light"/>
          <w:b/>
          <w:sz w:val="22"/>
          <w:rtl/>
        </w:rPr>
        <w:t>"</w:t>
      </w:r>
      <w:r w:rsidRPr="00683E78">
        <w:rPr>
          <w:rFonts w:ascii="Calibri Light" w:eastAsia="Calibri" w:hAnsi="Calibri Light" w:cs="Calibri Light"/>
          <w:sz w:val="22"/>
          <w:rtl/>
        </w:rPr>
        <w:t xml:space="preserve">. </w:t>
      </w:r>
      <w:r w:rsidRPr="00683E78">
        <w:rPr>
          <w:rFonts w:ascii="Calibri Light" w:eastAsia="Calibri" w:hAnsi="Calibri Light" w:cs="Times New Roman"/>
          <w:sz w:val="22"/>
          <w:rtl/>
        </w:rPr>
        <w:t>האיסור נועד להגן על ערך חיי האדם</w:t>
      </w:r>
      <w:r w:rsidRPr="00683E78">
        <w:rPr>
          <w:rFonts w:ascii="Calibri Light" w:eastAsia="Calibri" w:hAnsi="Calibri Light" w:cs="Calibri Light"/>
          <w:sz w:val="22"/>
          <w:rtl/>
        </w:rPr>
        <w:t xml:space="preserve">, </w:t>
      </w:r>
      <w:r w:rsidRPr="00683E78">
        <w:rPr>
          <w:rFonts w:ascii="Calibri Light" w:eastAsia="Calibri" w:hAnsi="Calibri Light" w:cs="Times New Roman"/>
          <w:sz w:val="22"/>
          <w:rtl/>
        </w:rPr>
        <w:t>שלמות גופו ונפשו</w:t>
      </w:r>
      <w:r w:rsidRPr="00683E78">
        <w:rPr>
          <w:rFonts w:ascii="Calibri Light" w:eastAsia="Calibri" w:hAnsi="Calibri Light" w:cs="Calibri Light"/>
          <w:sz w:val="22"/>
          <w:rtl/>
        </w:rPr>
        <w:t xml:space="preserve">, </w:t>
      </w:r>
      <w:r w:rsidRPr="00683E78">
        <w:rPr>
          <w:rFonts w:ascii="Calibri Light" w:eastAsia="Calibri" w:hAnsi="Calibri Light" w:cs="Times New Roman"/>
          <w:sz w:val="22"/>
          <w:rtl/>
        </w:rPr>
        <w:t>כמו גם לקדם את השמירה על הסדר הציבורי ואורח חיים תקין</w:t>
      </w:r>
      <w:r w:rsidRPr="00683E78">
        <w:rPr>
          <w:rFonts w:ascii="Calibri Light" w:eastAsia="Calibri" w:hAnsi="Calibri Light" w:cs="Calibri Light"/>
          <w:sz w:val="22"/>
          <w:rtl/>
        </w:rPr>
        <w:t xml:space="preserve">, </w:t>
      </w:r>
      <w:r w:rsidRPr="00683E78">
        <w:rPr>
          <w:rFonts w:ascii="Calibri Light" w:eastAsia="Calibri" w:hAnsi="Calibri Light" w:cs="Times New Roman"/>
          <w:sz w:val="22"/>
          <w:rtl/>
        </w:rPr>
        <w:t>שלו ובטוח</w:t>
      </w:r>
      <w:r w:rsidRPr="00683E78">
        <w:rPr>
          <w:rFonts w:ascii="Calibri Light" w:eastAsia="Calibri" w:hAnsi="Calibri Light" w:cs="Calibri Light"/>
          <w:sz w:val="22"/>
          <w:rtl/>
        </w:rPr>
        <w:t xml:space="preserve">... </w:t>
      </w:r>
      <w:r w:rsidRPr="00683E78">
        <w:rPr>
          <w:rFonts w:ascii="Calibri Light" w:eastAsia="Calibri" w:hAnsi="Calibri Light" w:cs="Times New Roman"/>
          <w:sz w:val="22"/>
          <w:rtl/>
        </w:rPr>
        <w:t>עבירה זו</w:t>
      </w:r>
      <w:r w:rsidRPr="00683E78">
        <w:rPr>
          <w:rFonts w:ascii="Calibri Light" w:eastAsia="Calibri" w:hAnsi="Calibri Light" w:cs="Calibri Light"/>
          <w:sz w:val="22"/>
          <w:rtl/>
        </w:rPr>
        <w:t xml:space="preserve">, </w:t>
      </w:r>
      <w:r w:rsidRPr="00683E78">
        <w:rPr>
          <w:rFonts w:ascii="Calibri Light" w:eastAsia="Calibri" w:hAnsi="Calibri Light" w:cs="Times New Roman"/>
          <w:sz w:val="22"/>
          <w:rtl/>
        </w:rPr>
        <w:t>כמו יתר עבירות הנשק</w:t>
      </w:r>
      <w:r w:rsidRPr="00683E78">
        <w:rPr>
          <w:rFonts w:ascii="Calibri Light" w:eastAsia="Calibri" w:hAnsi="Calibri Light" w:cs="Calibri Light"/>
          <w:sz w:val="22"/>
          <w:rtl/>
        </w:rPr>
        <w:t xml:space="preserve">, </w:t>
      </w:r>
      <w:r w:rsidRPr="00683E78">
        <w:rPr>
          <w:rFonts w:ascii="Calibri Light" w:eastAsia="Calibri" w:hAnsi="Calibri Light" w:cs="Times New Roman"/>
          <w:sz w:val="22"/>
          <w:rtl/>
        </w:rPr>
        <w:t>נועדה למנוע התנהגות מסוכנת</w:t>
      </w:r>
      <w:r w:rsidRPr="00683E78">
        <w:rPr>
          <w:rFonts w:ascii="Calibri Light" w:eastAsia="Calibri" w:hAnsi="Calibri Light" w:cs="Calibri Light"/>
          <w:sz w:val="22"/>
          <w:rtl/>
        </w:rPr>
        <w:t xml:space="preserve">, </w:t>
      </w:r>
      <w:r w:rsidRPr="00683E78">
        <w:rPr>
          <w:rFonts w:ascii="Calibri Light" w:eastAsia="Calibri" w:hAnsi="Calibri Light" w:cs="Times New Roman"/>
          <w:sz w:val="22"/>
          <w:rtl/>
        </w:rPr>
        <w:t>ולמזער את הפוטנציאל לגרימת נזקים חמורים</w:t>
      </w:r>
      <w:r w:rsidRPr="00683E78">
        <w:rPr>
          <w:rFonts w:ascii="Calibri Light" w:eastAsia="Calibri" w:hAnsi="Calibri Light" w:cs="Calibri Light"/>
          <w:sz w:val="22"/>
          <w:rtl/>
        </w:rPr>
        <w:t xml:space="preserve">. </w:t>
      </w:r>
      <w:r w:rsidRPr="00683E78">
        <w:rPr>
          <w:rFonts w:ascii="Calibri Light" w:eastAsia="Calibri" w:hAnsi="Calibri Light" w:cs="Times New Roman"/>
          <w:b/>
          <w:bCs/>
          <w:sz w:val="22"/>
          <w:rtl/>
        </w:rPr>
        <w:t>אכן</w:t>
      </w:r>
      <w:r w:rsidRPr="00683E78">
        <w:rPr>
          <w:rFonts w:ascii="Calibri Light" w:eastAsia="Calibri" w:hAnsi="Calibri Light" w:cs="Calibri Light"/>
          <w:b/>
          <w:bCs/>
          <w:sz w:val="22"/>
          <w:rtl/>
        </w:rPr>
        <w:t xml:space="preserve">, </w:t>
      </w:r>
      <w:r w:rsidRPr="00683E78">
        <w:rPr>
          <w:rFonts w:ascii="Calibri Light" w:eastAsia="Calibri" w:hAnsi="Calibri Light" w:cs="Times New Roman"/>
          <w:b/>
          <w:bCs/>
          <w:sz w:val="22"/>
          <w:rtl/>
        </w:rPr>
        <w:t>נשיאה והובלה של כלי</w:t>
      </w:r>
      <w:r w:rsidRPr="00683E78">
        <w:rPr>
          <w:rFonts w:ascii="Calibri Light" w:eastAsia="Calibri" w:hAnsi="Calibri Light" w:cs="Calibri Light"/>
          <w:b/>
          <w:bCs/>
          <w:sz w:val="22"/>
          <w:rtl/>
        </w:rPr>
        <w:t>-</w:t>
      </w:r>
      <w:r w:rsidRPr="00683E78">
        <w:rPr>
          <w:rFonts w:ascii="Calibri Light" w:eastAsia="Calibri" w:hAnsi="Calibri Light" w:cs="Times New Roman"/>
          <w:b/>
          <w:bCs/>
          <w:sz w:val="22"/>
          <w:rtl/>
        </w:rPr>
        <w:t>נשק</w:t>
      </w:r>
      <w:r w:rsidRPr="00683E78">
        <w:rPr>
          <w:rFonts w:ascii="Calibri Light" w:eastAsia="Calibri" w:hAnsi="Calibri Light" w:cs="Calibri Light"/>
          <w:b/>
          <w:bCs/>
          <w:sz w:val="22"/>
          <w:rtl/>
        </w:rPr>
        <w:t xml:space="preserve">, </w:t>
      </w:r>
      <w:r w:rsidRPr="00683E78">
        <w:rPr>
          <w:rFonts w:ascii="Calibri Light" w:eastAsia="Calibri" w:hAnsi="Calibri Light" w:cs="Times New Roman"/>
          <w:b/>
          <w:bCs/>
          <w:sz w:val="22"/>
          <w:rtl/>
        </w:rPr>
        <w:t>הריהי לעיתים רק הסנונית הראשונה</w:t>
      </w:r>
      <w:r w:rsidRPr="00683E78">
        <w:rPr>
          <w:rFonts w:ascii="Calibri Light" w:eastAsia="Calibri" w:hAnsi="Calibri Light" w:cs="Calibri Light"/>
          <w:b/>
          <w:bCs/>
          <w:sz w:val="22"/>
          <w:rtl/>
        </w:rPr>
        <w:t xml:space="preserve">, </w:t>
      </w:r>
      <w:r w:rsidRPr="00683E78">
        <w:rPr>
          <w:rFonts w:ascii="Calibri Light" w:eastAsia="Calibri" w:hAnsi="Calibri Light" w:cs="Times New Roman"/>
          <w:b/>
          <w:bCs/>
          <w:sz w:val="22"/>
          <w:rtl/>
        </w:rPr>
        <w:t>בואכה מעשים חמורים יותר</w:t>
      </w:r>
      <w:r w:rsidRPr="00683E78">
        <w:rPr>
          <w:rFonts w:ascii="David" w:eastAsia="Calibri" w:hAnsi="David"/>
          <w:rtl/>
        </w:rPr>
        <w:t xml:space="preserve">..." (ההדגשה אינה במקור). </w:t>
      </w:r>
    </w:p>
    <w:p w14:paraId="58D2178E" w14:textId="77777777" w:rsidR="004F1512" w:rsidRPr="00683E78" w:rsidRDefault="004F1512" w:rsidP="004F1512">
      <w:pPr>
        <w:spacing w:line="360" w:lineRule="auto"/>
        <w:ind w:right="-284"/>
        <w:jc w:val="both"/>
        <w:rPr>
          <w:rFonts w:ascii="David" w:eastAsia="Calibri" w:hAnsi="David"/>
          <w:rtl/>
        </w:rPr>
      </w:pPr>
      <w:r w:rsidRPr="00683E78">
        <w:rPr>
          <w:rFonts w:ascii="Calibri" w:eastAsia="Calibri" w:hAnsi="Calibri"/>
          <w:rtl/>
        </w:rPr>
        <w:t>על מנת לשרטט כדבעי את מתחם העונש ההולם בעניינו של הנאשם עיינתי בפסיקה רחבה העוסקת בעבירות נשק (</w:t>
      </w:r>
      <w:r w:rsidRPr="00683E78">
        <w:rPr>
          <w:rFonts w:ascii="Calibri" w:eastAsia="Calibri" w:hAnsi="Calibri"/>
          <w:b/>
          <w:bCs/>
          <w:rtl/>
        </w:rPr>
        <w:t>נשיאה והובלה</w:t>
      </w:r>
      <w:r w:rsidRPr="00683E78">
        <w:rPr>
          <w:rFonts w:ascii="Calibri" w:eastAsia="Calibri" w:hAnsi="Calibri"/>
          <w:rtl/>
        </w:rPr>
        <w:t xml:space="preserve">) וכן </w:t>
      </w:r>
      <w:r w:rsidRPr="00683E78">
        <w:rPr>
          <w:rFonts w:ascii="Calibri" w:eastAsia="Calibri" w:hAnsi="Calibri"/>
          <w:b/>
          <w:bCs/>
          <w:rtl/>
        </w:rPr>
        <w:t>בעבירות ירי מנשק חם, באזור מגורים ובאופן שיש בו לסכן חיי אדם</w:t>
      </w:r>
      <w:r w:rsidRPr="00683E78">
        <w:rPr>
          <w:rFonts w:ascii="Calibri" w:eastAsia="Calibri" w:hAnsi="Calibri"/>
          <w:rtl/>
        </w:rPr>
        <w:t xml:space="preserve">. </w:t>
      </w:r>
      <w:r w:rsidRPr="00683E78">
        <w:rPr>
          <w:rFonts w:ascii="David" w:eastAsia="Calibri" w:hAnsi="David"/>
          <w:rtl/>
        </w:rPr>
        <w:t xml:space="preserve">נמצאתי למד, כי בשנים האחרונות חלה מגמת החמרה בענישה, הבאה לידי ביטוי בפסיקת הערכאות השונות הנוגעת לעבירה אלו. </w:t>
      </w:r>
    </w:p>
    <w:p w14:paraId="0EDE8EC9" w14:textId="77777777" w:rsidR="004F1512" w:rsidRPr="00683E78" w:rsidRDefault="004F1512" w:rsidP="004F1512">
      <w:pPr>
        <w:spacing w:line="360" w:lineRule="auto"/>
        <w:ind w:right="-284"/>
        <w:jc w:val="both"/>
        <w:rPr>
          <w:rFonts w:ascii="David" w:eastAsia="Calibri" w:hAnsi="David"/>
          <w:rtl/>
        </w:rPr>
      </w:pPr>
    </w:p>
    <w:p w14:paraId="0B187397" w14:textId="77777777" w:rsidR="004F1512" w:rsidRPr="00683E78" w:rsidRDefault="004F1512" w:rsidP="004F1512">
      <w:pPr>
        <w:spacing w:after="160" w:line="360" w:lineRule="auto"/>
        <w:ind w:right="-284"/>
        <w:jc w:val="both"/>
        <w:rPr>
          <w:rFonts w:ascii="David" w:eastAsia="Calibri" w:hAnsi="David"/>
          <w:rtl/>
        </w:rPr>
      </w:pPr>
      <w:r w:rsidRPr="00683E78">
        <w:rPr>
          <w:rFonts w:ascii="David" w:eastAsia="Calibri" w:hAnsi="David"/>
          <w:rtl/>
        </w:rPr>
        <w:t xml:space="preserve">על דברים אלו יש להוסיף את עמדתו הנכוחה והבלתי מתפשרת של בית המשפט העליון, עליה חזר פעם אחר פעם בשנים האחרונות, בציינו כי נשק בלתי-חוקי, המוחזק בידיים בלתי-מוסמכות, עלול בסופו להגיע לכלל שימוש מסוכן, כפי שאכן קרה בנידון דידן. </w:t>
      </w:r>
    </w:p>
    <w:p w14:paraId="44170EAB" w14:textId="77777777" w:rsidR="004F1512" w:rsidRPr="00683E78" w:rsidRDefault="004F1512" w:rsidP="004F1512">
      <w:pPr>
        <w:spacing w:after="160" w:line="360" w:lineRule="auto"/>
        <w:ind w:right="-284"/>
        <w:jc w:val="both"/>
        <w:rPr>
          <w:rFonts w:ascii="David" w:eastAsia="Calibri" w:hAnsi="David"/>
          <w:rtl/>
        </w:rPr>
      </w:pPr>
      <w:r w:rsidRPr="00683E78">
        <w:rPr>
          <w:rFonts w:ascii="David" w:eastAsia="Calibri" w:hAnsi="David"/>
          <w:rtl/>
        </w:rPr>
        <w:t xml:space="preserve">ראו למשל הדברים שנכתבו במסגרתו של </w:t>
      </w:r>
      <w:hyperlink r:id="rId32" w:history="1">
        <w:r w:rsidR="00AF5B9E" w:rsidRPr="00AF5B9E">
          <w:rPr>
            <w:rFonts w:ascii="David" w:eastAsia="Calibri" w:hAnsi="David"/>
            <w:color w:val="0000FF"/>
            <w:u w:val="single"/>
            <w:rtl/>
          </w:rPr>
          <w:t>ע"פ 4406/19</w:t>
        </w:r>
      </w:hyperlink>
      <w:r w:rsidRPr="00683E78">
        <w:rPr>
          <w:rFonts w:ascii="David" w:eastAsia="Calibri" w:hAnsi="David"/>
          <w:rtl/>
        </w:rPr>
        <w:t xml:space="preserve"> </w:t>
      </w:r>
      <w:r w:rsidRPr="00683E78">
        <w:rPr>
          <w:rFonts w:ascii="David" w:eastAsia="Calibri" w:hAnsi="David"/>
          <w:b/>
          <w:bCs/>
          <w:rtl/>
        </w:rPr>
        <w:t>מדינת ישראל נ' סובח</w:t>
      </w:r>
      <w:r w:rsidRPr="00683E78">
        <w:rPr>
          <w:rFonts w:ascii="David" w:eastAsia="Calibri" w:hAnsi="David"/>
          <w:rtl/>
        </w:rPr>
        <w:t xml:space="preserve">, פסקאות 17-16 (ניתן ביום 5.11.2019) ולפיהם - </w:t>
      </w:r>
    </w:p>
    <w:p w14:paraId="439A9368" w14:textId="77777777" w:rsidR="004F1512" w:rsidRPr="00683E78" w:rsidRDefault="004F1512" w:rsidP="004F1512">
      <w:pPr>
        <w:spacing w:after="160" w:line="256" w:lineRule="auto"/>
        <w:ind w:left="793" w:right="851"/>
        <w:jc w:val="both"/>
        <w:rPr>
          <w:rFonts w:ascii="Miriam" w:eastAsia="Calibri" w:hAnsi="Miriam" w:cs="Miriam"/>
          <w:rtl/>
        </w:rPr>
      </w:pPr>
      <w:r w:rsidRPr="00683E78">
        <w:rPr>
          <w:rFonts w:ascii="Miriam" w:eastAsia="Calibri" w:hAnsi="Miriam" w:cs="Miriam"/>
          <w:rtl/>
        </w:rPr>
        <w:t>"</w:t>
      </w:r>
      <w:r w:rsidRPr="00683E78">
        <w:rPr>
          <w:rFonts w:ascii="Calibri Light" w:eastAsia="Calibri" w:hAnsi="Calibri Light" w:cs="Times New Roman"/>
          <w:rtl/>
        </w:rPr>
        <w:t>השימוש בנשק חם ככלי ליישוב סכסוכים הפך לרעה חולה</w:t>
      </w:r>
      <w:r w:rsidRPr="00683E78">
        <w:rPr>
          <w:rFonts w:ascii="Calibri Light" w:eastAsia="Calibri" w:hAnsi="Calibri Light" w:cs="Calibri Light"/>
          <w:rtl/>
        </w:rPr>
        <w:t xml:space="preserve">, </w:t>
      </w:r>
      <w:r w:rsidRPr="00683E78">
        <w:rPr>
          <w:rFonts w:ascii="Calibri Light" w:eastAsia="Calibri" w:hAnsi="Calibri Light" w:cs="Times New Roman"/>
          <w:rtl/>
        </w:rPr>
        <w:t>וכמעשה של יום ביומו גובה חיי אדם ולעיתים אף את חייהם של חפים מפשע אשר כל חטאם היה כי התהלכו באותה עת ברחובה של עיר</w:t>
      </w:r>
      <w:r w:rsidRPr="00683E78">
        <w:rPr>
          <w:rFonts w:ascii="Calibri Light" w:eastAsia="Calibri" w:hAnsi="Calibri Light" w:cs="Calibri Light"/>
          <w:rtl/>
        </w:rPr>
        <w:t xml:space="preserve">. </w:t>
      </w:r>
      <w:r w:rsidRPr="00683E78">
        <w:rPr>
          <w:rFonts w:ascii="Calibri Light" w:eastAsia="Calibri" w:hAnsi="Calibri Light" w:cs="Times New Roman"/>
          <w:rtl/>
        </w:rPr>
        <w:t xml:space="preserve">בשנים האחרונות אף חלה עליה מתמדת במספר אירועי הירי המדווחים למשטרה </w:t>
      </w:r>
      <w:r w:rsidRPr="00683E78">
        <w:rPr>
          <w:rFonts w:ascii="Calibri Light" w:eastAsia="Calibri" w:hAnsi="Calibri Light" w:cs="Calibri Light"/>
          <w:rtl/>
        </w:rPr>
        <w:t>(</w:t>
      </w:r>
      <w:r w:rsidRPr="00683E78">
        <w:rPr>
          <w:rFonts w:ascii="Calibri Light" w:eastAsia="Calibri" w:hAnsi="Calibri Light" w:cs="Times New Roman"/>
          <w:rtl/>
        </w:rPr>
        <w:t>ראו למשל</w:t>
      </w:r>
      <w:r w:rsidRPr="00683E78">
        <w:rPr>
          <w:rFonts w:ascii="Calibri Light" w:eastAsia="Calibri" w:hAnsi="Calibri Light" w:cs="Calibri Light"/>
          <w:rtl/>
        </w:rPr>
        <w:t xml:space="preserve">: </w:t>
      </w:r>
      <w:r w:rsidRPr="00683E78">
        <w:rPr>
          <w:rFonts w:ascii="Calibri Light" w:eastAsia="Calibri" w:hAnsi="Calibri Light" w:cs="Times New Roman"/>
          <w:rtl/>
        </w:rPr>
        <w:t>דו</w:t>
      </w:r>
      <w:r w:rsidRPr="00683E78">
        <w:rPr>
          <w:rFonts w:ascii="Calibri Light" w:eastAsia="Calibri" w:hAnsi="Calibri Light" w:cs="Calibri Light"/>
          <w:rtl/>
        </w:rPr>
        <w:t>"</w:t>
      </w:r>
      <w:r w:rsidRPr="00683E78">
        <w:rPr>
          <w:rFonts w:ascii="Calibri Light" w:eastAsia="Calibri" w:hAnsi="Calibri Light" w:cs="Times New Roman"/>
          <w:rtl/>
        </w:rPr>
        <w:t xml:space="preserve">ח מבקר המדינה התמודדות משטרת ישראל עם החזקת אמצעי לחימה לא חוקיים ואירועי ירי ביישובי החברה הערבית וביישובים מעורבים </w:t>
      </w:r>
      <w:r w:rsidRPr="00683E78">
        <w:rPr>
          <w:rFonts w:ascii="Calibri Light" w:eastAsia="Calibri" w:hAnsi="Calibri Light" w:cs="Calibri Light"/>
          <w:rtl/>
        </w:rPr>
        <w:t>28 (2018)).</w:t>
      </w:r>
      <w:r w:rsidRPr="00683E78">
        <w:rPr>
          <w:rFonts w:ascii="Calibri Light" w:eastAsia="Calibri" w:hAnsi="Calibri Light" w:cs="Times New Roman"/>
          <w:rtl/>
        </w:rPr>
        <w:t>על רקע המציאות אותה אנו חווים למרבה הצער מדי יום</w:t>
      </w:r>
      <w:r w:rsidRPr="00683E78">
        <w:rPr>
          <w:rFonts w:ascii="Calibri Light" w:eastAsia="Calibri" w:hAnsi="Calibri Light" w:cs="Calibri Light"/>
          <w:rtl/>
        </w:rPr>
        <w:t xml:space="preserve">, </w:t>
      </w:r>
      <w:r w:rsidRPr="00683E78">
        <w:rPr>
          <w:rFonts w:ascii="Calibri Light" w:eastAsia="Calibri" w:hAnsi="Calibri Light" w:cs="Times New Roman"/>
          <w:rtl/>
        </w:rPr>
        <w:t xml:space="preserve">אנו עדים לקריאה ציבורית נרגשת להגברת האכיפה כלפי עבירות נשק </w:t>
      </w:r>
      <w:r w:rsidRPr="00683E78">
        <w:rPr>
          <w:rFonts w:ascii="Calibri Light" w:eastAsia="Calibri" w:hAnsi="Calibri Light" w:cs="Calibri Light"/>
          <w:rtl/>
        </w:rPr>
        <w:t xml:space="preserve">– </w:t>
      </w:r>
      <w:r w:rsidRPr="00683E78">
        <w:rPr>
          <w:rFonts w:ascii="Calibri Light" w:eastAsia="Calibri" w:hAnsi="Calibri Light" w:cs="Times New Roman"/>
          <w:rtl/>
        </w:rPr>
        <w:t>ולהחמרה במדיניות הענישה הנוהגת</w:t>
      </w:r>
      <w:r w:rsidRPr="00683E78">
        <w:rPr>
          <w:rFonts w:ascii="Calibri Light" w:eastAsia="Calibri" w:hAnsi="Calibri Light" w:cs="Calibri Light"/>
          <w:rtl/>
        </w:rPr>
        <w:t>.</w:t>
      </w:r>
    </w:p>
    <w:p w14:paraId="1C15DC18" w14:textId="77777777" w:rsidR="004F1512" w:rsidRPr="00683E78" w:rsidRDefault="004F1512" w:rsidP="004F1512">
      <w:pPr>
        <w:spacing w:after="160" w:line="256" w:lineRule="auto"/>
        <w:ind w:left="793" w:right="851"/>
        <w:jc w:val="both"/>
        <w:rPr>
          <w:rFonts w:ascii="Miriam" w:eastAsia="Calibri" w:hAnsi="Miriam" w:cs="Miriam"/>
          <w:rtl/>
        </w:rPr>
      </w:pPr>
      <w:r w:rsidRPr="00683E78">
        <w:rPr>
          <w:rFonts w:ascii="Miriam" w:eastAsia="Calibri" w:hAnsi="Miriam" w:cs="Miriam"/>
          <w:rtl/>
        </w:rPr>
        <w:t>[...]</w:t>
      </w:r>
    </w:p>
    <w:p w14:paraId="0DA939FF" w14:textId="77777777" w:rsidR="004F1512" w:rsidRPr="00683E78" w:rsidRDefault="004F1512" w:rsidP="004F1512">
      <w:pPr>
        <w:spacing w:after="160" w:line="256" w:lineRule="auto"/>
        <w:ind w:left="793" w:right="851"/>
        <w:jc w:val="both"/>
        <w:rPr>
          <w:rFonts w:ascii="Calibri Light" w:eastAsia="Calibri" w:hAnsi="Calibri Light" w:cs="Calibri Light"/>
          <w:rtl/>
        </w:rPr>
      </w:pPr>
      <w:r w:rsidRPr="00683E78">
        <w:rPr>
          <w:rFonts w:ascii="Calibri Light" w:eastAsia="Calibri" w:hAnsi="Calibri Light" w:cs="Times New Roman"/>
          <w:rtl/>
        </w:rPr>
        <w:t>בהתאם לכך ולנוכח ריבוי מקרי הירי</w:t>
      </w:r>
      <w:r w:rsidRPr="00683E78">
        <w:rPr>
          <w:rFonts w:ascii="Calibri Light" w:eastAsia="Calibri" w:hAnsi="Calibri Light" w:cs="Calibri Light"/>
          <w:rtl/>
        </w:rPr>
        <w:t xml:space="preserve">, </w:t>
      </w:r>
      <w:r w:rsidRPr="00683E78">
        <w:rPr>
          <w:rFonts w:ascii="Calibri Light" w:eastAsia="Calibri" w:hAnsi="Calibri Light" w:cs="Times New Roman"/>
          <w:rtl/>
        </w:rPr>
        <w:t>יש</w:t>
      </w:r>
      <w:r w:rsidRPr="00683E78">
        <w:rPr>
          <w:rFonts w:ascii="Calibri Light" w:eastAsia="Calibri" w:hAnsi="Calibri Light" w:cs="Calibri Light"/>
          <w:b/>
          <w:bCs/>
          <w:rtl/>
        </w:rPr>
        <w:t xml:space="preserve"> </w:t>
      </w:r>
      <w:r w:rsidRPr="00683E78">
        <w:rPr>
          <w:rFonts w:ascii="Calibri Light" w:eastAsia="Calibri" w:hAnsi="Calibri Light" w:cs="Times New Roman"/>
          <w:rtl/>
        </w:rPr>
        <w:t>לנקוט במדיניות ענישה מחמירה כלפי ביצוע עבירות החזקת נשק שלא כדין</w:t>
      </w:r>
      <w:r w:rsidRPr="00683E78">
        <w:rPr>
          <w:rFonts w:ascii="Calibri Light" w:eastAsia="Calibri" w:hAnsi="Calibri Light" w:cs="Calibri Light"/>
          <w:rtl/>
        </w:rPr>
        <w:t xml:space="preserve">, </w:t>
      </w:r>
      <w:r w:rsidRPr="00683E78">
        <w:rPr>
          <w:rFonts w:ascii="Calibri Light" w:eastAsia="Calibri" w:hAnsi="Calibri Light" w:cs="Times New Roman"/>
          <w:rtl/>
        </w:rPr>
        <w:t>ועל אחת כמה וכמה שימוש בנשק חם ופציעתם של קורבנות שונים עקב כך</w:t>
      </w:r>
      <w:r w:rsidRPr="00683E78">
        <w:rPr>
          <w:rFonts w:ascii="Calibri Light" w:eastAsia="Calibri" w:hAnsi="Calibri Light" w:cs="Calibri Light"/>
          <w:rtl/>
        </w:rPr>
        <w:t xml:space="preserve">. </w:t>
      </w:r>
      <w:r w:rsidRPr="00683E78">
        <w:rPr>
          <w:rFonts w:ascii="Calibri Light" w:eastAsia="Calibri" w:hAnsi="Calibri Light" w:cs="Times New Roman"/>
          <w:rtl/>
        </w:rPr>
        <w:t>הצורך במדיניות ענישה מחמירה נחוץ במיוחד כאשר השימוש בנשק גורר פגיעה בגוף ובנפש</w:t>
      </w:r>
      <w:r w:rsidRPr="00683E78">
        <w:rPr>
          <w:rFonts w:ascii="Calibri Light" w:eastAsia="Calibri" w:hAnsi="Calibri Light" w:cs="Calibri Light"/>
          <w:rtl/>
        </w:rPr>
        <w:t xml:space="preserve">, </w:t>
      </w:r>
      <w:r w:rsidRPr="00683E78">
        <w:rPr>
          <w:rFonts w:ascii="Calibri Light" w:eastAsia="Calibri" w:hAnsi="Calibri Light" w:cs="Times New Roman"/>
          <w:rtl/>
        </w:rPr>
        <w:t xml:space="preserve">וכאשר מבצעי העבירות אינם מוסרים את כלי הנשק לידי רשויות החוק </w:t>
      </w:r>
      <w:r w:rsidRPr="00683E78">
        <w:rPr>
          <w:rFonts w:ascii="Calibri Light" w:eastAsia="Calibri" w:hAnsi="Calibri Light" w:cs="Calibri Light"/>
          <w:rtl/>
        </w:rPr>
        <w:t xml:space="preserve">– </w:t>
      </w:r>
      <w:r w:rsidRPr="00683E78">
        <w:rPr>
          <w:rFonts w:ascii="Calibri Light" w:eastAsia="Calibri" w:hAnsi="Calibri Light" w:cs="Times New Roman"/>
          <w:rtl/>
        </w:rPr>
        <w:t>ובכך מוסיפים לפגוע בביטחון הציבור וקיים חשש תמידי לשימוש עברייני חוזר בנשק זה</w:t>
      </w:r>
      <w:r w:rsidRPr="00683E78">
        <w:rPr>
          <w:rFonts w:ascii="Calibri Light" w:eastAsia="Calibri" w:hAnsi="Calibri Light" w:cs="Calibri Light"/>
          <w:rtl/>
        </w:rPr>
        <w:t xml:space="preserve">, </w:t>
      </w:r>
      <w:r w:rsidRPr="00683E78">
        <w:rPr>
          <w:rFonts w:ascii="Calibri Light" w:eastAsia="Calibri" w:hAnsi="Calibri Light" w:cs="Times New Roman"/>
          <w:rtl/>
        </w:rPr>
        <w:t>כמו גם להגעתו של נשק זה לגורמים עויינים ובכללם גורמי טרור</w:t>
      </w:r>
      <w:r w:rsidRPr="00683E78">
        <w:rPr>
          <w:rFonts w:ascii="Calibri Light" w:eastAsia="Calibri" w:hAnsi="Calibri Light" w:cs="Calibri Light"/>
          <w:rtl/>
        </w:rPr>
        <w:t xml:space="preserve">. </w:t>
      </w:r>
      <w:r w:rsidRPr="00683E78">
        <w:rPr>
          <w:rFonts w:ascii="Calibri Light" w:eastAsia="Calibri" w:hAnsi="Calibri Light" w:cs="Times New Roman"/>
          <w:rtl/>
        </w:rPr>
        <w:t>נמצא אפוא כי בנסיבות דהיום</w:t>
      </w:r>
      <w:r w:rsidRPr="00683E78">
        <w:rPr>
          <w:rFonts w:ascii="Calibri Light" w:eastAsia="Calibri" w:hAnsi="Calibri Light" w:cs="Calibri Light"/>
          <w:rtl/>
        </w:rPr>
        <w:t xml:space="preserve">, </w:t>
      </w:r>
      <w:r w:rsidRPr="00683E78">
        <w:rPr>
          <w:rFonts w:ascii="Calibri Light" w:eastAsia="Calibri" w:hAnsi="Calibri Light" w:cs="Times New Roman"/>
          <w:rtl/>
        </w:rPr>
        <w:t>ראוי ונכון להחמיר את מדיניות הענישה הנוהגת</w:t>
      </w:r>
      <w:r w:rsidRPr="00683E78">
        <w:rPr>
          <w:rFonts w:ascii="Calibri Light" w:eastAsia="Calibri" w:hAnsi="Calibri Light" w:cs="Calibri Light"/>
          <w:rtl/>
        </w:rPr>
        <w:t xml:space="preserve">, </w:t>
      </w:r>
      <w:r w:rsidRPr="00683E78">
        <w:rPr>
          <w:rFonts w:ascii="Calibri Light" w:eastAsia="Calibri" w:hAnsi="Calibri Light" w:cs="Times New Roman"/>
          <w:rtl/>
        </w:rPr>
        <w:t>זאת בין היתר על מנת להרתיע עבריינים פוטנציאליים משימוש בו כאמצעי ליישוב סכסוכים</w:t>
      </w:r>
      <w:r w:rsidRPr="00683E78">
        <w:rPr>
          <w:rFonts w:ascii="Calibri Light" w:eastAsia="Calibri" w:hAnsi="Calibri Light" w:cs="Calibri Light"/>
          <w:rtl/>
        </w:rPr>
        <w:t xml:space="preserve">". </w:t>
      </w:r>
    </w:p>
    <w:p w14:paraId="3022A4BC" w14:textId="77777777" w:rsidR="004F1512" w:rsidRPr="00683E78" w:rsidRDefault="004F1512" w:rsidP="004F1512">
      <w:pPr>
        <w:spacing w:line="360" w:lineRule="auto"/>
        <w:ind w:right="-284"/>
        <w:jc w:val="both"/>
        <w:rPr>
          <w:rFonts w:ascii="David" w:eastAsia="Calibri" w:hAnsi="David"/>
          <w:b/>
          <w:bCs/>
          <w:u w:val="single"/>
          <w:rtl/>
        </w:rPr>
      </w:pPr>
    </w:p>
    <w:p w14:paraId="3C168382" w14:textId="77777777" w:rsidR="004F1512" w:rsidRPr="00683E78" w:rsidRDefault="004F1512" w:rsidP="004F1512">
      <w:pPr>
        <w:spacing w:after="160" w:line="360" w:lineRule="auto"/>
        <w:ind w:right="-284"/>
        <w:jc w:val="both"/>
        <w:rPr>
          <w:rFonts w:ascii="David" w:eastAsia="Calibri" w:hAnsi="David"/>
          <w:rtl/>
        </w:rPr>
      </w:pPr>
      <w:r w:rsidRPr="00683E78">
        <w:rPr>
          <w:rFonts w:ascii="David" w:eastAsia="Calibri" w:hAnsi="David"/>
          <w:u w:val="single"/>
          <w:rtl/>
        </w:rPr>
        <w:t>ככלל, מדיניות הענישה הנוהגת הכללית לעבירות שעניינן נשיאה והובלה של נשק שלא כדין</w:t>
      </w:r>
      <w:r w:rsidRPr="00683E78">
        <w:rPr>
          <w:rFonts w:ascii="David" w:eastAsia="Calibri" w:hAnsi="David"/>
          <w:rtl/>
        </w:rPr>
        <w:t xml:space="preserve"> באה לידי ביטוי במסגרתו של </w:t>
      </w:r>
      <w:hyperlink r:id="rId33" w:history="1">
        <w:r w:rsidR="00AF5B9E" w:rsidRPr="00AF5B9E">
          <w:rPr>
            <w:rFonts w:ascii="David" w:eastAsia="Calibri" w:hAnsi="David"/>
            <w:color w:val="0000FF"/>
            <w:u w:val="single"/>
            <w:rtl/>
          </w:rPr>
          <w:t>ע"פ 5602/22</w:t>
        </w:r>
      </w:hyperlink>
      <w:r w:rsidRPr="00683E78">
        <w:rPr>
          <w:rFonts w:ascii="David" w:eastAsia="Calibri" w:hAnsi="David"/>
          <w:rtl/>
        </w:rPr>
        <w:t xml:space="preserve"> </w:t>
      </w:r>
      <w:r w:rsidRPr="00683E78">
        <w:rPr>
          <w:rFonts w:ascii="David" w:eastAsia="Calibri" w:hAnsi="David"/>
          <w:b/>
          <w:bCs/>
          <w:rtl/>
        </w:rPr>
        <w:t>מדינת ישראל נ' פלוני</w:t>
      </w:r>
      <w:r w:rsidRPr="00683E78">
        <w:rPr>
          <w:rFonts w:ascii="David" w:eastAsia="Calibri" w:hAnsi="David"/>
          <w:rtl/>
        </w:rPr>
        <w:t xml:space="preserve">, ניתן ביום  </w:t>
      </w:r>
      <w:r w:rsidRPr="00683E78">
        <w:rPr>
          <w:rFonts w:ascii="Calibri" w:eastAsia="Calibri" w:hAnsi="Calibri"/>
          <w:rtl/>
        </w:rPr>
        <w:t xml:space="preserve">14.9.22, שם נקבע, כי </w:t>
      </w:r>
      <w:r w:rsidRPr="00683E78">
        <w:rPr>
          <w:rFonts w:ascii="David" w:eastAsia="Calibri" w:hAnsi="David"/>
          <w:rtl/>
        </w:rPr>
        <w:t>מתחם הענישה הרגיל שראוי לקבוע לנאשם בגיר בגין נשיאה בלתי חוקית של נשק חם במרחב הציבורי (</w:t>
      </w:r>
      <w:r w:rsidRPr="00683E78">
        <w:rPr>
          <w:rFonts w:ascii="David" w:eastAsia="Calibri" w:hAnsi="David"/>
          <w:u w:val="single"/>
          <w:rtl/>
        </w:rPr>
        <w:t>בגין עבירה מוגמרת בניגוד לסיוע לה</w:t>
      </w:r>
      <w:r w:rsidRPr="00683E78">
        <w:rPr>
          <w:rFonts w:ascii="David" w:eastAsia="Calibri" w:hAnsi="David"/>
          <w:rtl/>
        </w:rPr>
        <w:t xml:space="preserve">) </w:t>
      </w:r>
      <w:r w:rsidRPr="00683E78">
        <w:rPr>
          <w:rFonts w:ascii="David" w:eastAsia="Calibri" w:hAnsi="David"/>
          <w:b/>
          <w:bCs/>
          <w:rtl/>
        </w:rPr>
        <w:t>נע בין 30 ל-42 חודשי מאסר בין סורג ובריח</w:t>
      </w:r>
      <w:r w:rsidRPr="00683E78">
        <w:rPr>
          <w:rFonts w:ascii="David" w:eastAsia="Calibri" w:hAnsi="David"/>
          <w:rtl/>
        </w:rPr>
        <w:t>.</w:t>
      </w:r>
      <w:r w:rsidRPr="00683E78">
        <w:rPr>
          <w:rFonts w:ascii="Calibri" w:eastAsia="Calibri" w:hAnsi="Calibri"/>
          <w:rtl/>
        </w:rPr>
        <w:t xml:space="preserve">{עוד ראו - </w:t>
      </w:r>
      <w:hyperlink r:id="rId34" w:history="1">
        <w:r w:rsidR="00AF5B9E" w:rsidRPr="00AF5B9E">
          <w:rPr>
            <w:rFonts w:ascii="Calibri" w:eastAsia="Calibri" w:hAnsi="Calibri" w:hint="cs"/>
            <w:color w:val="0000FF"/>
            <w:u w:val="single"/>
            <w:rtl/>
          </w:rPr>
          <w:t>ע</w:t>
        </w:r>
        <w:r w:rsidR="00AF5B9E" w:rsidRPr="00AF5B9E">
          <w:rPr>
            <w:rFonts w:ascii="Calibri" w:eastAsia="Calibri" w:hAnsi="Calibri"/>
            <w:color w:val="0000FF"/>
            <w:u w:val="single"/>
            <w:rtl/>
          </w:rPr>
          <w:t>"</w:t>
        </w:r>
        <w:r w:rsidR="00AF5B9E" w:rsidRPr="00AF5B9E">
          <w:rPr>
            <w:rFonts w:ascii="Calibri" w:eastAsia="Calibri" w:hAnsi="Calibri" w:hint="cs"/>
            <w:color w:val="0000FF"/>
            <w:u w:val="single"/>
            <w:rtl/>
          </w:rPr>
          <w:t>פ</w:t>
        </w:r>
        <w:r w:rsidR="00AF5B9E" w:rsidRPr="00AF5B9E">
          <w:rPr>
            <w:rFonts w:ascii="Calibri" w:eastAsia="Calibri" w:hAnsi="Calibri"/>
            <w:color w:val="0000FF"/>
            <w:u w:val="single"/>
            <w:rtl/>
          </w:rPr>
          <w:t xml:space="preserve"> 4077/22</w:t>
        </w:r>
      </w:hyperlink>
      <w:r w:rsidRPr="00683E78">
        <w:rPr>
          <w:rFonts w:ascii="Calibri" w:eastAsia="Calibri" w:hAnsi="Calibri"/>
          <w:rtl/>
        </w:rPr>
        <w:t xml:space="preserve"> </w:t>
      </w:r>
      <w:r w:rsidRPr="00683E78">
        <w:rPr>
          <w:rFonts w:ascii="Calibri" w:eastAsia="Calibri" w:hAnsi="Calibri"/>
          <w:b/>
          <w:bCs/>
          <w:rtl/>
        </w:rPr>
        <w:t>מדינת ישראל נ' פלוני</w:t>
      </w:r>
      <w:r w:rsidRPr="00683E78">
        <w:rPr>
          <w:rFonts w:ascii="Calibri" w:eastAsia="Calibri" w:hAnsi="Calibri"/>
          <w:rtl/>
        </w:rPr>
        <w:t xml:space="preserve">, ניתן ביום 28.7.22; </w:t>
      </w:r>
      <w:hyperlink r:id="rId35" w:history="1">
        <w:r w:rsidR="00AF5B9E" w:rsidRPr="00AF5B9E">
          <w:rPr>
            <w:rFonts w:ascii="Calibri" w:eastAsia="Calibri" w:hAnsi="Calibri" w:hint="cs"/>
            <w:color w:val="0000FF"/>
            <w:u w:val="single"/>
            <w:rtl/>
          </w:rPr>
          <w:t>ע</w:t>
        </w:r>
        <w:r w:rsidR="00AF5B9E" w:rsidRPr="00AF5B9E">
          <w:rPr>
            <w:rFonts w:ascii="Calibri" w:eastAsia="Calibri" w:hAnsi="Calibri"/>
            <w:color w:val="0000FF"/>
            <w:u w:val="single"/>
            <w:rtl/>
          </w:rPr>
          <w:t>"</w:t>
        </w:r>
        <w:r w:rsidR="00AF5B9E" w:rsidRPr="00AF5B9E">
          <w:rPr>
            <w:rFonts w:ascii="Calibri" w:eastAsia="Calibri" w:hAnsi="Calibri" w:hint="cs"/>
            <w:color w:val="0000FF"/>
            <w:u w:val="single"/>
            <w:rtl/>
          </w:rPr>
          <w:t>פ</w:t>
        </w:r>
        <w:r w:rsidR="00AF5B9E" w:rsidRPr="00AF5B9E">
          <w:rPr>
            <w:rFonts w:ascii="Calibri" w:eastAsia="Calibri" w:hAnsi="Calibri"/>
            <w:color w:val="0000FF"/>
            <w:u w:val="single"/>
            <w:rtl/>
          </w:rPr>
          <w:t xml:space="preserve"> 9228/23</w:t>
        </w:r>
      </w:hyperlink>
      <w:r w:rsidRPr="00683E78">
        <w:rPr>
          <w:rFonts w:ascii="Calibri" w:eastAsia="Calibri" w:hAnsi="Calibri"/>
          <w:rtl/>
        </w:rPr>
        <w:t xml:space="preserve"> </w:t>
      </w:r>
      <w:r w:rsidRPr="00683E78">
        <w:rPr>
          <w:rFonts w:ascii="Calibri" w:eastAsia="Calibri" w:hAnsi="Calibri"/>
          <w:b/>
          <w:bCs/>
          <w:rtl/>
        </w:rPr>
        <w:t>אגבאריה נ' מדינת ישראל</w:t>
      </w:r>
      <w:r w:rsidRPr="00683E78">
        <w:rPr>
          <w:rFonts w:ascii="Calibri" w:eastAsia="Calibri" w:hAnsi="Calibri"/>
          <w:rtl/>
        </w:rPr>
        <w:t xml:space="preserve">, ניתן ביום 26.5.24}.    </w:t>
      </w:r>
      <w:r w:rsidRPr="00683E78">
        <w:rPr>
          <w:rFonts w:ascii="Calibri" w:eastAsia="Calibri" w:hAnsi="Calibri"/>
        </w:rPr>
        <w:t xml:space="preserve">  </w:t>
      </w:r>
    </w:p>
    <w:p w14:paraId="46BFE971" w14:textId="77777777" w:rsidR="004F1512" w:rsidRPr="00683E78" w:rsidRDefault="004F1512" w:rsidP="004F1512">
      <w:pPr>
        <w:spacing w:line="360" w:lineRule="auto"/>
        <w:ind w:right="-426"/>
        <w:jc w:val="both"/>
        <w:rPr>
          <w:rFonts w:ascii="David" w:eastAsia="Calibri" w:hAnsi="David"/>
          <w:rtl/>
        </w:rPr>
      </w:pPr>
      <w:r w:rsidRPr="00683E78">
        <w:rPr>
          <w:rFonts w:ascii="David" w:eastAsia="Calibri" w:hAnsi="David"/>
          <w:rtl/>
        </w:rPr>
        <w:t>עוד יש לזכור, כי במסגרתו של תיקון מס' 140 ל</w:t>
      </w:r>
      <w:hyperlink r:id="rId36" w:history="1">
        <w:r w:rsidR="00AF5B9E" w:rsidRPr="00AF5B9E">
          <w:rPr>
            <w:rFonts w:ascii="David" w:eastAsia="Calibri" w:hAnsi="David"/>
            <w:color w:val="0000FF"/>
            <w:u w:val="single"/>
            <w:rtl/>
          </w:rPr>
          <w:t>חוק העונשין</w:t>
        </w:r>
      </w:hyperlink>
      <w:r w:rsidRPr="00683E78">
        <w:rPr>
          <w:rFonts w:ascii="David" w:eastAsia="Calibri" w:hAnsi="David"/>
          <w:rtl/>
        </w:rPr>
        <w:t xml:space="preserve"> (תיקון מס' 140 - הוראת שעה), התשפ"ה-2025, הבא לידי ביטוי </w:t>
      </w:r>
      <w:hyperlink r:id="rId37" w:history="1">
        <w:r w:rsidR="007F5016" w:rsidRPr="007F5016">
          <w:rPr>
            <w:rStyle w:val="Hyperlink"/>
            <w:rFonts w:ascii="David" w:eastAsia="Calibri" w:hAnsi="David"/>
            <w:color w:val="0000FF"/>
            <w:rtl/>
          </w:rPr>
          <w:t>בסעיף 144(ז)</w:t>
        </w:r>
      </w:hyperlink>
      <w:r w:rsidRPr="00683E78">
        <w:rPr>
          <w:rFonts w:ascii="David" w:eastAsia="Calibri" w:hAnsi="David"/>
          <w:rtl/>
        </w:rPr>
        <w:t xml:space="preserve"> לחוק, עוגנו </w:t>
      </w:r>
      <w:r w:rsidRPr="00683E78">
        <w:rPr>
          <w:rFonts w:ascii="David" w:eastAsia="Calibri" w:hAnsi="David"/>
          <w:b/>
          <w:bCs/>
          <w:rtl/>
        </w:rPr>
        <w:t xml:space="preserve">עונשים מזעריים </w:t>
      </w:r>
      <w:r w:rsidRPr="00683E78">
        <w:rPr>
          <w:rFonts w:ascii="David" w:eastAsia="Calibri" w:hAnsi="David"/>
          <w:rtl/>
        </w:rPr>
        <w:t>הנוגעים לעבירות שעניינן החזקה, הובלה או סחר בנשק שלא כדין. בתיקון נקבע, כי העונש שיוטל על העבריין במקרים אלו "</w:t>
      </w:r>
      <w:r w:rsidRPr="00683E78">
        <w:rPr>
          <w:rFonts w:ascii="David" w:eastAsia="Calibri" w:hAnsi="David"/>
          <w:u w:val="single"/>
          <w:rtl/>
        </w:rPr>
        <w:t>לא יפחת ... מרבע העונש המרבי שנקבע לאותה עבירה, אלא אם כן החליט בית המשפט, מטעמים מיוחדים שיירשמו, להקל בעונשו;.</w:t>
      </w:r>
      <w:r w:rsidRPr="00683E78">
        <w:rPr>
          <w:rFonts w:ascii="David" w:eastAsia="Calibri" w:hAnsi="David"/>
          <w:rtl/>
        </w:rPr>
        <w:t xml:space="preserve">.".  </w:t>
      </w:r>
    </w:p>
    <w:p w14:paraId="4B6B7E60" w14:textId="77777777" w:rsidR="004F1512" w:rsidRPr="00683E78" w:rsidRDefault="004F1512" w:rsidP="004F1512">
      <w:pPr>
        <w:spacing w:line="360" w:lineRule="auto"/>
        <w:ind w:right="-426"/>
        <w:jc w:val="both"/>
        <w:rPr>
          <w:rFonts w:ascii="David" w:eastAsia="Calibri" w:hAnsi="David"/>
          <w:rtl/>
        </w:rPr>
      </w:pPr>
    </w:p>
    <w:p w14:paraId="75DBF90C" w14:textId="77777777" w:rsidR="004F1512" w:rsidRPr="00683E78" w:rsidRDefault="004F1512" w:rsidP="004F1512">
      <w:pPr>
        <w:spacing w:after="160" w:line="360" w:lineRule="auto"/>
        <w:ind w:right="-426"/>
        <w:jc w:val="both"/>
        <w:rPr>
          <w:rFonts w:ascii="David" w:eastAsia="Calibri" w:hAnsi="David"/>
          <w:rtl/>
        </w:rPr>
      </w:pPr>
      <w:r w:rsidRPr="00683E78">
        <w:rPr>
          <w:rFonts w:ascii="David" w:eastAsia="Calibri" w:hAnsi="David"/>
          <w:rtl/>
        </w:rPr>
        <w:t xml:space="preserve">בל נשכח, כי במסגרתו של אירוע זה אין עבירת הנשק עומדת לבדה, אלא בצירוף </w:t>
      </w:r>
      <w:r w:rsidRPr="00683E78">
        <w:rPr>
          <w:rFonts w:ascii="David" w:eastAsia="Calibri" w:hAnsi="David"/>
          <w:u w:val="single"/>
          <w:rtl/>
        </w:rPr>
        <w:t>לעבירה העוסקת בירי מנשק חם באזור מגורים ובאופן שיש בו לסכן חיי אדם</w:t>
      </w:r>
      <w:r w:rsidRPr="00683E78">
        <w:rPr>
          <w:rFonts w:ascii="David" w:eastAsia="Calibri" w:hAnsi="David"/>
          <w:rtl/>
        </w:rPr>
        <w:t xml:space="preserve"> (</w:t>
      </w:r>
      <w:hyperlink r:id="rId38" w:history="1">
        <w:r w:rsidR="007F5016" w:rsidRPr="007F5016">
          <w:rPr>
            <w:rStyle w:val="Hyperlink"/>
            <w:rFonts w:ascii="David" w:eastAsia="Calibri" w:hAnsi="David"/>
            <w:color w:val="0000FF"/>
            <w:rtl/>
          </w:rPr>
          <w:t>סעיפים340א(ב)1</w:t>
        </w:r>
      </w:hyperlink>
      <w:r w:rsidRPr="00683E78">
        <w:rPr>
          <w:rFonts w:ascii="David" w:eastAsia="Calibri" w:hAnsi="David"/>
          <w:rtl/>
        </w:rPr>
        <w:t xml:space="preserve"> ו-</w:t>
      </w:r>
      <w:hyperlink r:id="rId39" w:history="1">
        <w:r w:rsidR="007F5016" w:rsidRPr="007F5016">
          <w:rPr>
            <w:rStyle w:val="Hyperlink"/>
            <w:rFonts w:ascii="David" w:eastAsia="Calibri" w:hAnsi="David"/>
            <w:color w:val="0000FF"/>
            <w:rtl/>
          </w:rPr>
          <w:t>2</w:t>
        </w:r>
      </w:hyperlink>
      <w:r w:rsidRPr="00683E78">
        <w:rPr>
          <w:rFonts w:ascii="David" w:eastAsia="Calibri" w:hAnsi="David"/>
          <w:rtl/>
        </w:rPr>
        <w:t xml:space="preserve"> לחוק); ראו לעניין זה למשל - </w:t>
      </w:r>
      <w:hyperlink r:id="rId40" w:history="1">
        <w:r w:rsidR="00AF5B9E" w:rsidRPr="00AF5B9E">
          <w:rPr>
            <w:rFonts w:ascii="David" w:eastAsia="Calibri" w:hAnsi="David"/>
            <w:color w:val="0000FF"/>
            <w:u w:val="single"/>
            <w:rtl/>
          </w:rPr>
          <w:t>ע"פ 9830/17</w:t>
        </w:r>
      </w:hyperlink>
      <w:r w:rsidRPr="00683E78">
        <w:rPr>
          <w:rFonts w:ascii="David" w:eastAsia="Calibri" w:hAnsi="David"/>
          <w:rtl/>
        </w:rPr>
        <w:t xml:space="preserve"> </w:t>
      </w:r>
      <w:r w:rsidRPr="00683E78">
        <w:rPr>
          <w:rFonts w:ascii="David" w:eastAsia="Calibri" w:hAnsi="David"/>
          <w:b/>
          <w:bCs/>
          <w:rtl/>
        </w:rPr>
        <w:t>חמודה נ' מדינת ישראל</w:t>
      </w:r>
      <w:r w:rsidRPr="00683E78">
        <w:rPr>
          <w:rFonts w:ascii="David" w:eastAsia="Calibri" w:hAnsi="David"/>
          <w:rtl/>
        </w:rPr>
        <w:t xml:space="preserve"> (ניתן ביום 8.3.18) - במסגרתו הושתו 30 חודשים לריצוי בפועל;</w:t>
      </w:r>
      <w:r w:rsidRPr="00683E78">
        <w:rPr>
          <w:rFonts w:ascii="David" w:eastAsia="Calibri" w:hAnsi="David"/>
        </w:rPr>
        <w:t xml:space="preserve"> </w:t>
      </w:r>
      <w:hyperlink r:id="rId41" w:history="1">
        <w:r w:rsidR="00AF5B9E" w:rsidRPr="00AF5B9E">
          <w:rPr>
            <w:rFonts w:ascii="David" w:eastAsia="Calibri" w:hAnsi="David"/>
            <w:color w:val="0000FF"/>
            <w:u w:val="single"/>
            <w:rtl/>
          </w:rPr>
          <w:t>ע"פ 2692/22</w:t>
        </w:r>
      </w:hyperlink>
      <w:r w:rsidRPr="00683E78">
        <w:rPr>
          <w:rFonts w:ascii="David" w:eastAsia="Calibri" w:hAnsi="David"/>
          <w:rtl/>
        </w:rPr>
        <w:t xml:space="preserve"> </w:t>
      </w:r>
      <w:r w:rsidRPr="00683E78">
        <w:rPr>
          <w:rFonts w:ascii="David" w:eastAsia="Calibri" w:hAnsi="David"/>
          <w:b/>
          <w:bCs/>
          <w:rtl/>
        </w:rPr>
        <w:t>זועבי נ' מדינת ישראל</w:t>
      </w:r>
      <w:r w:rsidRPr="00683E78">
        <w:rPr>
          <w:rFonts w:ascii="David" w:eastAsia="Calibri" w:hAnsi="David"/>
          <w:rtl/>
        </w:rPr>
        <w:t xml:space="preserve"> (ניתן ביום 26.12.22) - במסגרת תיק זה הושתו 6 שנות מאסר לריצוי בפועל; </w:t>
      </w:r>
      <w:hyperlink r:id="rId42" w:history="1">
        <w:r w:rsidR="00AF5B9E" w:rsidRPr="00AF5B9E">
          <w:rPr>
            <w:rFonts w:ascii="David" w:eastAsia="Calibri" w:hAnsi="David"/>
            <w:color w:val="0000FF"/>
            <w:u w:val="single"/>
            <w:rtl/>
          </w:rPr>
          <w:t>ע"פ 1509/20</w:t>
        </w:r>
      </w:hyperlink>
      <w:r w:rsidRPr="00683E78">
        <w:rPr>
          <w:rFonts w:ascii="David" w:eastAsia="Calibri" w:hAnsi="David"/>
          <w:rtl/>
        </w:rPr>
        <w:t xml:space="preserve"> </w:t>
      </w:r>
      <w:r w:rsidRPr="00683E78">
        <w:rPr>
          <w:rFonts w:ascii="David" w:eastAsia="Calibri" w:hAnsi="David"/>
          <w:b/>
          <w:bCs/>
          <w:rtl/>
        </w:rPr>
        <w:t>מדינת ישראל נ' נבארי</w:t>
      </w:r>
      <w:r w:rsidRPr="00683E78">
        <w:rPr>
          <w:rFonts w:ascii="David" w:eastAsia="Calibri" w:hAnsi="David"/>
          <w:rtl/>
        </w:rPr>
        <w:t xml:space="preserve"> (ניתן ביום 2.7.20) - הושתו 36 חודשי מאסר לריצוי בפועל; </w:t>
      </w:r>
      <w:hyperlink r:id="rId43" w:history="1">
        <w:r w:rsidR="00AF5B9E" w:rsidRPr="00AF5B9E">
          <w:rPr>
            <w:rFonts w:ascii="David" w:eastAsia="Calibri" w:hAnsi="David"/>
            <w:color w:val="0000FF"/>
            <w:u w:val="single"/>
            <w:rtl/>
          </w:rPr>
          <w:t>ע"פ 1244/15</w:t>
        </w:r>
      </w:hyperlink>
      <w:r w:rsidRPr="00683E78">
        <w:rPr>
          <w:rFonts w:ascii="David" w:eastAsia="Calibri" w:hAnsi="David"/>
          <w:rtl/>
        </w:rPr>
        <w:t xml:space="preserve"> </w:t>
      </w:r>
      <w:r w:rsidRPr="00683E78">
        <w:rPr>
          <w:rFonts w:ascii="David" w:eastAsia="Calibri" w:hAnsi="David"/>
          <w:b/>
          <w:bCs/>
          <w:rtl/>
        </w:rPr>
        <w:t>אבו עאמר נ' מדינת ישראל</w:t>
      </w:r>
      <w:r w:rsidRPr="00683E78">
        <w:rPr>
          <w:rFonts w:ascii="David" w:eastAsia="Calibri" w:hAnsi="David"/>
          <w:rtl/>
        </w:rPr>
        <w:t xml:space="preserve"> (ניתן ביום 18.4.16) - הושתו 44 חודשי מאסר לריצוי בפועל.  </w:t>
      </w:r>
      <w:r w:rsidRPr="00683E78">
        <w:rPr>
          <w:rFonts w:ascii="David" w:eastAsia="Calibri" w:hAnsi="David"/>
        </w:rPr>
        <w:t xml:space="preserve"> </w:t>
      </w:r>
    </w:p>
    <w:p w14:paraId="12EE28D7" w14:textId="77777777" w:rsidR="004F1512" w:rsidRPr="00683E78" w:rsidRDefault="004F1512" w:rsidP="004F1512">
      <w:pPr>
        <w:spacing w:after="160" w:line="360" w:lineRule="auto"/>
        <w:ind w:right="-426"/>
        <w:jc w:val="both"/>
        <w:rPr>
          <w:rFonts w:ascii="David" w:eastAsia="Calibri" w:hAnsi="David"/>
          <w:rtl/>
        </w:rPr>
      </w:pPr>
      <w:r w:rsidRPr="00683E78">
        <w:rPr>
          <w:rFonts w:ascii="David" w:eastAsia="Calibri" w:hAnsi="David"/>
          <w:rtl/>
        </w:rPr>
        <w:t xml:space="preserve">בשלב זה, יש להתייחס אל </w:t>
      </w:r>
      <w:r w:rsidRPr="00683E78">
        <w:rPr>
          <w:rFonts w:ascii="David" w:eastAsia="Calibri" w:hAnsi="David"/>
          <w:b/>
          <w:bCs/>
          <w:rtl/>
        </w:rPr>
        <w:t xml:space="preserve">הנסיבות הקשורות לביצוע העבירה </w:t>
      </w:r>
      <w:r w:rsidRPr="00683E78">
        <w:rPr>
          <w:rFonts w:ascii="David" w:eastAsia="Calibri" w:hAnsi="David"/>
          <w:rtl/>
        </w:rPr>
        <w:t xml:space="preserve">(אלו המצוינות </w:t>
      </w:r>
      <w:hyperlink r:id="rId44" w:history="1">
        <w:r w:rsidR="007F5016" w:rsidRPr="007F5016">
          <w:rPr>
            <w:rStyle w:val="Hyperlink"/>
            <w:rFonts w:ascii="David" w:eastAsia="Calibri" w:hAnsi="David"/>
            <w:color w:val="0000FF"/>
            <w:rtl/>
          </w:rPr>
          <w:t>בסעיף 40ט</w:t>
        </w:r>
      </w:hyperlink>
      <w:r w:rsidRPr="00683E78">
        <w:rPr>
          <w:rFonts w:ascii="David" w:eastAsia="Calibri" w:hAnsi="David"/>
          <w:rtl/>
        </w:rPr>
        <w:t xml:space="preserve"> לחוק). </w:t>
      </w:r>
    </w:p>
    <w:p w14:paraId="55A16DBC" w14:textId="77777777" w:rsidR="004F1512" w:rsidRPr="00683E78" w:rsidRDefault="004F1512" w:rsidP="004F1512">
      <w:pPr>
        <w:spacing w:line="360" w:lineRule="auto"/>
        <w:ind w:right="-284"/>
        <w:jc w:val="both"/>
        <w:rPr>
          <w:rFonts w:ascii="David" w:eastAsia="Calibri" w:hAnsi="David"/>
          <w:rtl/>
        </w:rPr>
      </w:pPr>
      <w:r w:rsidRPr="00683E78">
        <w:rPr>
          <w:rFonts w:ascii="David" w:eastAsia="Calibri" w:hAnsi="David"/>
          <w:rtl/>
        </w:rPr>
        <w:t xml:space="preserve">חלקו של הנאשם בביצוען של העבירות אינו בלעדי, שכן </w:t>
      </w:r>
      <w:r w:rsidRPr="00683E78">
        <w:rPr>
          <w:rFonts w:ascii="David" w:eastAsia="Calibri" w:hAnsi="David"/>
          <w:b/>
          <w:bCs/>
          <w:rtl/>
        </w:rPr>
        <w:t>הוא ביצע אלה בצוותא חדא עם אחר</w:t>
      </w:r>
      <w:r w:rsidRPr="00683E78">
        <w:rPr>
          <w:rFonts w:ascii="David" w:eastAsia="Calibri" w:hAnsi="David"/>
          <w:rtl/>
        </w:rPr>
        <w:t xml:space="preserve">. עם זאת, ברי כי השותפות לדבר עבירה משקפת, </w:t>
      </w:r>
      <w:r w:rsidRPr="00683E78">
        <w:rPr>
          <w:rFonts w:ascii="David" w:eastAsia="Calibri" w:hAnsi="David"/>
          <w:u w:val="single"/>
          <w:rtl/>
        </w:rPr>
        <w:t>לכל הפחות</w:t>
      </w:r>
      <w:r w:rsidRPr="00683E78">
        <w:rPr>
          <w:rFonts w:ascii="David" w:eastAsia="Calibri" w:hAnsi="David"/>
          <w:rtl/>
        </w:rPr>
        <w:t xml:space="preserve">, חומרה שאינה פחותה מביצועה של עבירה שבוצעה על ידי יחיד, נוכח </w:t>
      </w:r>
      <w:r w:rsidRPr="00683E78">
        <w:rPr>
          <w:rFonts w:ascii="David" w:eastAsia="Calibri" w:hAnsi="David"/>
          <w:b/>
          <w:bCs/>
          <w:rtl/>
        </w:rPr>
        <w:t>התכנון המובנה הטמון בה וההתארגנות העבריינית המסוכנת לצורך ביצועה</w:t>
      </w:r>
      <w:r w:rsidRPr="00683E78">
        <w:rPr>
          <w:rFonts w:ascii="David" w:eastAsia="Calibri" w:hAnsi="David"/>
          <w:rtl/>
        </w:rPr>
        <w:t xml:space="preserve">.  הסיבות שהובילו את הנאשם לביצוען של העבירות טמונות בחבירתו לגורמים שוליים. כפי שפורט הנאשם והאחר נסעו ברכב, כשהם נושאים אקדח ותחמושת ומובילים אותם. בהגיעם סמוך לבית המתלוננים הנאשם יצא מן הרכב כשהוא נושא ומוביל על גופו את האקדח, בזמן שהאחר ממתין ברכב. הנאשם התקרב לבית וירה באמצעות האקדח שלוש יריות לעבר הבית, באופן שיש בו כדי לסכן חיי אדם. הנאשם והאחר, נמלטו מן המקום בריצה זאת כשהנאשם הוא שנושא ומוביל על גופו את האקדח. מנתונים אלו עולה כי חלקו של הנאשם בהוצאתה אל הפועל של התוכנית העבריינית הוא המרכזי והדומיננטי. הנאשם הבין את מעשיו ויכול והיה צריך להימנע מביצועם. </w:t>
      </w:r>
      <w:r w:rsidRPr="00683E78">
        <w:rPr>
          <w:rFonts w:ascii="David" w:eastAsia="Calibri" w:hAnsi="David"/>
          <w:b/>
          <w:bCs/>
          <w:rtl/>
        </w:rPr>
        <w:t>למרבה המזל לא נגרמו נזקים בגוף באירוע מסוכן זה,</w:t>
      </w:r>
      <w:r w:rsidRPr="00683E78">
        <w:rPr>
          <w:rFonts w:ascii="David" w:eastAsia="Calibri" w:hAnsi="David"/>
          <w:rtl/>
        </w:rPr>
        <w:t xml:space="preserve"> אלא רק נזקים רכושיים לרכב המרצדס שכן שני קליעים פגעו בו. </w:t>
      </w:r>
    </w:p>
    <w:p w14:paraId="2CFBB6E4" w14:textId="77777777" w:rsidR="004F1512" w:rsidRPr="00683E78" w:rsidRDefault="004F1512" w:rsidP="004F1512">
      <w:pPr>
        <w:spacing w:after="160" w:line="360" w:lineRule="auto"/>
        <w:ind w:right="-426"/>
        <w:jc w:val="both"/>
        <w:rPr>
          <w:rFonts w:ascii="David" w:eastAsia="Calibri" w:hAnsi="David"/>
          <w:rtl/>
        </w:rPr>
      </w:pPr>
    </w:p>
    <w:p w14:paraId="4FA40A64" w14:textId="77777777" w:rsidR="004F1512" w:rsidRPr="00683E78" w:rsidRDefault="004F1512" w:rsidP="004F1512">
      <w:pPr>
        <w:spacing w:after="160" w:line="360" w:lineRule="auto"/>
        <w:ind w:right="-567"/>
        <w:jc w:val="both"/>
        <w:rPr>
          <w:rFonts w:ascii="David" w:eastAsia="Calibri" w:hAnsi="David"/>
          <w:rtl/>
        </w:rPr>
      </w:pPr>
      <w:r w:rsidRPr="00683E78">
        <w:rPr>
          <w:rFonts w:ascii="David" w:eastAsia="Calibri" w:hAnsi="David"/>
          <w:rtl/>
        </w:rPr>
        <w:t>לאור כל המקובץ, מצאתי לנכון לקבוע</w:t>
      </w:r>
      <w:r w:rsidRPr="00683E78">
        <w:rPr>
          <w:rFonts w:ascii="David" w:eastAsia="Calibri" w:hAnsi="David"/>
          <w:b/>
          <w:bCs/>
          <w:rtl/>
        </w:rPr>
        <w:t xml:space="preserve"> מתחם ענישה בעניינו של הנאשם אשר נע בין 33 לבין 50 חודשי מאסר לריצוי בפועל, </w:t>
      </w:r>
      <w:r w:rsidRPr="00683E78">
        <w:rPr>
          <w:rFonts w:ascii="David" w:eastAsia="Calibri" w:hAnsi="David"/>
          <w:rtl/>
        </w:rPr>
        <w:t xml:space="preserve">לצד עונשים נלווים.  </w:t>
      </w:r>
    </w:p>
    <w:p w14:paraId="632F75B1" w14:textId="77777777" w:rsidR="004F1512" w:rsidRPr="00683E78" w:rsidRDefault="004F1512" w:rsidP="004F1512">
      <w:pPr>
        <w:overflowPunct w:val="0"/>
        <w:autoSpaceDE w:val="0"/>
        <w:autoSpaceDN w:val="0"/>
        <w:spacing w:line="360" w:lineRule="auto"/>
        <w:ind w:right="-567"/>
        <w:jc w:val="both"/>
        <w:rPr>
          <w:rFonts w:ascii="David" w:hAnsi="David"/>
          <w:rtl/>
        </w:rPr>
      </w:pPr>
      <w:r w:rsidRPr="00683E78">
        <w:rPr>
          <w:rFonts w:ascii="David" w:hAnsi="David"/>
          <w:rtl/>
        </w:rPr>
        <w:t xml:space="preserve">מכאן, ראוי לבחון מהו העונש המתאים לנאשם בשים לב </w:t>
      </w:r>
      <w:r w:rsidRPr="00683E78">
        <w:rPr>
          <w:rFonts w:ascii="David" w:hAnsi="David"/>
          <w:b/>
          <w:bCs/>
          <w:rtl/>
        </w:rPr>
        <w:t xml:space="preserve">לנסיבות שאינן קשורות בביצוע העבירה </w:t>
      </w:r>
      <w:r w:rsidRPr="00683E78">
        <w:rPr>
          <w:rFonts w:ascii="David" w:hAnsi="David"/>
          <w:rtl/>
        </w:rPr>
        <w:t>(</w:t>
      </w:r>
      <w:hyperlink r:id="rId45" w:history="1">
        <w:r w:rsidR="007F5016" w:rsidRPr="007F5016">
          <w:rPr>
            <w:rStyle w:val="Hyperlink"/>
            <w:rFonts w:ascii="David" w:hAnsi="David"/>
            <w:color w:val="0000FF"/>
            <w:rtl/>
          </w:rPr>
          <w:t>סעיף 40יא</w:t>
        </w:r>
      </w:hyperlink>
      <w:r w:rsidRPr="00683E78">
        <w:rPr>
          <w:rFonts w:ascii="David" w:hAnsi="David"/>
          <w:rtl/>
        </w:rPr>
        <w:t xml:space="preserve"> לחוק).</w:t>
      </w:r>
      <w:r w:rsidRPr="00683E78">
        <w:rPr>
          <w:rFonts w:ascii="David" w:hAnsi="David"/>
          <w:b/>
          <w:bCs/>
          <w:rtl/>
        </w:rPr>
        <w:t xml:space="preserve"> </w:t>
      </w:r>
    </w:p>
    <w:p w14:paraId="2EC2FF90" w14:textId="77777777" w:rsidR="004F1512" w:rsidRPr="00683E78" w:rsidRDefault="004F1512" w:rsidP="004F1512">
      <w:pPr>
        <w:overflowPunct w:val="0"/>
        <w:autoSpaceDE w:val="0"/>
        <w:autoSpaceDN w:val="0"/>
        <w:spacing w:line="360" w:lineRule="auto"/>
        <w:ind w:right="-567"/>
        <w:jc w:val="both"/>
        <w:rPr>
          <w:rFonts w:ascii="David" w:hAnsi="David"/>
          <w:highlight w:val="yellow"/>
          <w:rtl/>
        </w:rPr>
      </w:pPr>
    </w:p>
    <w:p w14:paraId="09D2FF3F" w14:textId="77777777" w:rsidR="004F1512" w:rsidRPr="00683E78" w:rsidRDefault="004F1512" w:rsidP="004F1512">
      <w:pPr>
        <w:spacing w:line="360" w:lineRule="auto"/>
        <w:ind w:right="-567"/>
        <w:jc w:val="both"/>
        <w:rPr>
          <w:rFonts w:ascii="David" w:eastAsia="Calibri" w:hAnsi="David"/>
          <w:rtl/>
        </w:rPr>
      </w:pPr>
      <w:r w:rsidRPr="00683E78">
        <w:rPr>
          <w:rFonts w:ascii="David" w:eastAsia="Calibri" w:hAnsi="David"/>
          <w:rtl/>
        </w:rPr>
        <w:t xml:space="preserve">אכן יש לזקוף לזכותו של הנאשם את </w:t>
      </w:r>
      <w:r w:rsidRPr="00683E78">
        <w:rPr>
          <w:rFonts w:ascii="David" w:eastAsia="Calibri" w:hAnsi="David"/>
          <w:b/>
          <w:bCs/>
          <w:rtl/>
        </w:rPr>
        <w:t>החיסכון המשמעותי בזמן שיפוטי יקר, הנגזר מהודאתו ומנטילת האחריות שביצע</w:t>
      </w:r>
      <w:r w:rsidRPr="00683E78">
        <w:rPr>
          <w:rFonts w:ascii="David" w:eastAsia="Calibri" w:hAnsi="David"/>
          <w:rtl/>
        </w:rPr>
        <w:t>.</w:t>
      </w:r>
      <w:r w:rsidRPr="00683E78">
        <w:rPr>
          <w:rFonts w:ascii="David" w:eastAsia="Calibri" w:hAnsi="David"/>
          <w:b/>
          <w:bCs/>
          <w:rtl/>
        </w:rPr>
        <w:t xml:space="preserve"> עברו הפלילי נקי. </w:t>
      </w:r>
      <w:r w:rsidRPr="00683E78">
        <w:rPr>
          <w:rFonts w:ascii="David" w:eastAsia="Calibri" w:hAnsi="David"/>
          <w:rtl/>
        </w:rPr>
        <w:t xml:space="preserve">ברי, כי </w:t>
      </w:r>
      <w:r w:rsidRPr="00683E78">
        <w:rPr>
          <w:rFonts w:ascii="David" w:eastAsia="Calibri" w:hAnsi="David"/>
          <w:b/>
          <w:bCs/>
          <w:rtl/>
        </w:rPr>
        <w:t xml:space="preserve">עונש מאסר ממושך יפגע בנאשם שגילו צעיר. </w:t>
      </w:r>
      <w:r w:rsidRPr="00683E78">
        <w:rPr>
          <w:rFonts w:ascii="David" w:eastAsia="Calibri" w:hAnsi="David"/>
          <w:rtl/>
        </w:rPr>
        <w:t xml:space="preserve">אזכיר, כי התסקיר לעניין העונש בעניינו של הנאשם נמנע מלבוא בהמלצה טיפולית מן הנימוקים שפורטו לעיל. </w:t>
      </w:r>
    </w:p>
    <w:p w14:paraId="7E96D5BF" w14:textId="77777777" w:rsidR="004F1512" w:rsidRPr="00683E78" w:rsidRDefault="004F1512" w:rsidP="004F1512">
      <w:pPr>
        <w:spacing w:line="360" w:lineRule="auto"/>
        <w:ind w:right="-567"/>
        <w:jc w:val="both"/>
        <w:rPr>
          <w:rFonts w:ascii="David" w:eastAsia="Calibri" w:hAnsi="David"/>
          <w:rtl/>
        </w:rPr>
      </w:pPr>
      <w:r w:rsidRPr="00683E78">
        <w:rPr>
          <w:rFonts w:ascii="David" w:eastAsia="Calibri" w:hAnsi="David"/>
          <w:rtl/>
        </w:rPr>
        <w:t>לצד זאת,</w:t>
      </w:r>
      <w:r w:rsidRPr="00683E78">
        <w:rPr>
          <w:rFonts w:ascii="David" w:eastAsia="Calibri" w:hAnsi="David"/>
          <w:b/>
          <w:bCs/>
          <w:rtl/>
        </w:rPr>
        <w:t xml:space="preserve"> </w:t>
      </w:r>
      <w:r w:rsidRPr="00683E78">
        <w:rPr>
          <w:rFonts w:ascii="David" w:eastAsia="Calibri" w:hAnsi="David"/>
          <w:rtl/>
        </w:rPr>
        <w:t xml:space="preserve">לא נעלמו מעיניי </w:t>
      </w:r>
      <w:r w:rsidRPr="00683E78">
        <w:rPr>
          <w:rFonts w:ascii="David" w:eastAsia="Calibri" w:hAnsi="David"/>
          <w:b/>
          <w:bCs/>
          <w:rtl/>
        </w:rPr>
        <w:t xml:space="preserve">הנזקים שנגרמו לנאשם מביצוען של העבירות (ראו </w:t>
      </w:r>
      <w:hyperlink r:id="rId46" w:history="1">
        <w:r w:rsidR="007F5016" w:rsidRPr="007F5016">
          <w:rPr>
            <w:rStyle w:val="Hyperlink"/>
            <w:rFonts w:ascii="David" w:eastAsia="Calibri" w:hAnsi="David"/>
            <w:b/>
            <w:bCs/>
            <w:color w:val="0000FF"/>
            <w:rtl/>
          </w:rPr>
          <w:t>סעיף 40יא(3)</w:t>
        </w:r>
      </w:hyperlink>
      <w:r w:rsidRPr="00683E78">
        <w:rPr>
          <w:rFonts w:ascii="David" w:eastAsia="Calibri" w:hAnsi="David"/>
          <w:b/>
          <w:bCs/>
          <w:rtl/>
        </w:rPr>
        <w:t xml:space="preserve"> ל</w:t>
      </w:r>
      <w:hyperlink r:id="rId47" w:history="1">
        <w:r w:rsidR="00AF5B9E" w:rsidRPr="00AF5B9E">
          <w:rPr>
            <w:rFonts w:ascii="David" w:eastAsia="Calibri" w:hAnsi="David"/>
            <w:b/>
            <w:bCs/>
            <w:color w:val="0000FF"/>
            <w:u w:val="single"/>
            <w:rtl/>
          </w:rPr>
          <w:t>חוק העונשין</w:t>
        </w:r>
      </w:hyperlink>
      <w:r w:rsidRPr="00683E78">
        <w:rPr>
          <w:rFonts w:ascii="David" w:eastAsia="Calibri" w:hAnsi="David"/>
          <w:b/>
          <w:bCs/>
          <w:rtl/>
        </w:rPr>
        <w:t>),</w:t>
      </w:r>
      <w:r w:rsidRPr="00683E78">
        <w:rPr>
          <w:rFonts w:eastAsia="Calibri" w:cs="FrankRuehl"/>
          <w:b/>
          <w:bCs/>
          <w:sz w:val="26"/>
          <w:szCs w:val="26"/>
          <w:rtl/>
        </w:rPr>
        <w:t xml:space="preserve"> </w:t>
      </w:r>
      <w:r w:rsidRPr="00683E78">
        <w:rPr>
          <w:rFonts w:ascii="David" w:eastAsia="Calibri" w:hAnsi="David"/>
          <w:rtl/>
        </w:rPr>
        <w:t xml:space="preserve">שכן, מייד לאחר ביצוען של העבירות הוא נתפס בידי בני המקום, אשר עיכבו אותו בביתם תוך שהם גורמים לו לחבלות ודימום, עד לעת מעצרו. </w:t>
      </w:r>
    </w:p>
    <w:p w14:paraId="7B92F3A0" w14:textId="77777777" w:rsidR="004F1512" w:rsidRPr="00683E78" w:rsidRDefault="004F1512" w:rsidP="004F1512">
      <w:pPr>
        <w:spacing w:line="360" w:lineRule="auto"/>
        <w:ind w:right="-567"/>
        <w:jc w:val="both"/>
        <w:rPr>
          <w:rFonts w:ascii="David" w:eastAsia="Calibri" w:hAnsi="David"/>
          <w:b/>
          <w:bCs/>
          <w:rtl/>
        </w:rPr>
      </w:pPr>
    </w:p>
    <w:p w14:paraId="4F99290D" w14:textId="77777777" w:rsidR="004F1512" w:rsidRPr="00683E78" w:rsidRDefault="004F1512" w:rsidP="004F1512">
      <w:pPr>
        <w:overflowPunct w:val="0"/>
        <w:autoSpaceDE w:val="0"/>
        <w:autoSpaceDN w:val="0"/>
        <w:spacing w:line="360" w:lineRule="auto"/>
        <w:ind w:right="-567"/>
        <w:jc w:val="both"/>
        <w:rPr>
          <w:rFonts w:ascii="David" w:hAnsi="David"/>
          <w:rtl/>
        </w:rPr>
      </w:pPr>
      <w:r w:rsidRPr="00683E78">
        <w:rPr>
          <w:rFonts w:ascii="David" w:eastAsia="Calibri" w:hAnsi="David"/>
          <w:rtl/>
        </w:rPr>
        <w:t xml:space="preserve">עוד סברתי כי בכגון דא בהחלט יש מקום להכליל בגדרי מתחם הענישה את השיקול שעניינו </w:t>
      </w:r>
      <w:r w:rsidRPr="00683E78">
        <w:rPr>
          <w:rFonts w:ascii="David" w:eastAsia="Calibri" w:hAnsi="David"/>
          <w:b/>
          <w:bCs/>
          <w:rtl/>
        </w:rPr>
        <w:t>בהרתעת הרבים</w:t>
      </w:r>
      <w:r w:rsidRPr="00683E78">
        <w:rPr>
          <w:rFonts w:ascii="David" w:eastAsia="Calibri" w:hAnsi="David"/>
          <w:rtl/>
        </w:rPr>
        <w:t xml:space="preserve"> (בהתאם </w:t>
      </w:r>
      <w:hyperlink r:id="rId48" w:history="1">
        <w:r w:rsidR="007F5016" w:rsidRPr="007F5016">
          <w:rPr>
            <w:rStyle w:val="Hyperlink"/>
            <w:rFonts w:ascii="David" w:eastAsia="Calibri" w:hAnsi="David"/>
            <w:color w:val="0000FF"/>
            <w:rtl/>
          </w:rPr>
          <w:t>לסעיף 40ז</w:t>
        </w:r>
      </w:hyperlink>
      <w:r w:rsidRPr="00683E78">
        <w:rPr>
          <w:rFonts w:ascii="David" w:eastAsia="Calibri" w:hAnsi="David"/>
          <w:rtl/>
        </w:rPr>
        <w:t xml:space="preserve"> לחוק);</w:t>
      </w:r>
      <w:r w:rsidRPr="00683E78">
        <w:rPr>
          <w:rFonts w:ascii="David" w:eastAsia="Calibri" w:hAnsi="David"/>
        </w:rPr>
        <w:t xml:space="preserve"> </w:t>
      </w:r>
      <w:r w:rsidRPr="00683E78">
        <w:rPr>
          <w:rFonts w:ascii="David" w:eastAsia="Calibri" w:hAnsi="David"/>
          <w:rtl/>
        </w:rPr>
        <w:t xml:space="preserve">תוך העברת מסר לציבור הרחב שהתנהגות דומה אינה מקובלת במחוזותינו.  </w:t>
      </w:r>
    </w:p>
    <w:p w14:paraId="41C8AF2A" w14:textId="77777777" w:rsidR="004F1512" w:rsidRPr="00683E78" w:rsidRDefault="004F1512" w:rsidP="004F1512">
      <w:pPr>
        <w:spacing w:after="160" w:line="256" w:lineRule="auto"/>
        <w:ind w:right="-567"/>
        <w:rPr>
          <w:rFonts w:ascii="Calibri" w:eastAsia="Calibri" w:hAnsi="Calibri" w:cs="Arial"/>
          <w:sz w:val="22"/>
          <w:szCs w:val="22"/>
          <w:rtl/>
        </w:rPr>
      </w:pPr>
    </w:p>
    <w:p w14:paraId="4AF4B71F" w14:textId="77777777" w:rsidR="004F1512" w:rsidRPr="00683E78" w:rsidRDefault="004F1512" w:rsidP="004F1512">
      <w:pPr>
        <w:spacing w:line="360" w:lineRule="auto"/>
        <w:ind w:right="-567"/>
        <w:jc w:val="both"/>
        <w:rPr>
          <w:rFonts w:ascii="David" w:eastAsia="Calibri" w:hAnsi="David"/>
          <w:rtl/>
        </w:rPr>
      </w:pPr>
      <w:r w:rsidRPr="00683E78">
        <w:rPr>
          <w:rFonts w:ascii="David" w:eastAsia="Calibri" w:hAnsi="David"/>
          <w:rtl/>
        </w:rPr>
        <w:t>לאחר ששקלתי את כל השיקולים הדרושים לכך, מצאתי לנכון להטיל על הנאשם את העונשים הבאים:</w:t>
      </w:r>
    </w:p>
    <w:p w14:paraId="29220A70" w14:textId="77777777" w:rsidR="004F1512" w:rsidRPr="00683E78" w:rsidRDefault="004F1512" w:rsidP="004F1512">
      <w:pPr>
        <w:spacing w:line="360" w:lineRule="auto"/>
        <w:ind w:right="-567"/>
        <w:jc w:val="both"/>
        <w:rPr>
          <w:rFonts w:ascii="David" w:eastAsia="Calibri" w:hAnsi="David"/>
          <w:rtl/>
        </w:rPr>
      </w:pPr>
    </w:p>
    <w:p w14:paraId="19F72CED" w14:textId="77777777" w:rsidR="004F1512" w:rsidRPr="00683E78" w:rsidRDefault="004F1512" w:rsidP="004F1512">
      <w:pPr>
        <w:numPr>
          <w:ilvl w:val="0"/>
          <w:numId w:val="1"/>
        </w:numPr>
        <w:overflowPunct w:val="0"/>
        <w:autoSpaceDE w:val="0"/>
        <w:autoSpaceDN w:val="0"/>
        <w:spacing w:after="160" w:line="360" w:lineRule="auto"/>
        <w:jc w:val="both"/>
        <w:rPr>
          <w:rFonts w:ascii="David" w:hAnsi="David"/>
          <w:b/>
          <w:bCs/>
          <w:rtl/>
        </w:rPr>
      </w:pPr>
      <w:r w:rsidRPr="00683E78">
        <w:rPr>
          <w:rFonts w:ascii="David" w:hAnsi="David"/>
          <w:b/>
          <w:bCs/>
          <w:rtl/>
        </w:rPr>
        <w:t>34 חודשי מאסר לריצוי בפועל מיום מעצרו.</w:t>
      </w:r>
    </w:p>
    <w:p w14:paraId="3A834974" w14:textId="77777777" w:rsidR="004F1512" w:rsidRPr="00683E78" w:rsidRDefault="004F1512" w:rsidP="004F1512">
      <w:pPr>
        <w:numPr>
          <w:ilvl w:val="0"/>
          <w:numId w:val="1"/>
        </w:numPr>
        <w:overflowPunct w:val="0"/>
        <w:autoSpaceDE w:val="0"/>
        <w:autoSpaceDN w:val="0"/>
        <w:spacing w:after="160" w:line="360" w:lineRule="auto"/>
        <w:jc w:val="both"/>
        <w:rPr>
          <w:rFonts w:ascii="David" w:hAnsi="David"/>
        </w:rPr>
      </w:pPr>
      <w:r w:rsidRPr="00683E78">
        <w:rPr>
          <w:rFonts w:ascii="David" w:hAnsi="David"/>
          <w:rtl/>
        </w:rPr>
        <w:t>12 חודשי מאסר על תנאי שלא יעבור במשך 3 שנים עבירות בנשק</w:t>
      </w:r>
      <w:r w:rsidRPr="00683E78">
        <w:rPr>
          <w:rtl/>
        </w:rPr>
        <w:t xml:space="preserve"> לפי </w:t>
      </w:r>
      <w:hyperlink r:id="rId49" w:history="1">
        <w:r w:rsidR="007F5016" w:rsidRPr="007F5016">
          <w:rPr>
            <w:rStyle w:val="Hyperlink"/>
            <w:color w:val="0000FF"/>
            <w:rtl/>
          </w:rPr>
          <w:t>סעיף 144</w:t>
        </w:r>
      </w:hyperlink>
      <w:r w:rsidRPr="00683E78">
        <w:rPr>
          <w:rtl/>
        </w:rPr>
        <w:t xml:space="preserve"> ל</w:t>
      </w:r>
      <w:hyperlink r:id="rId50" w:history="1">
        <w:r w:rsidR="00AF5B9E" w:rsidRPr="00AF5B9E">
          <w:rPr>
            <w:color w:val="0000FF"/>
            <w:u w:val="single"/>
            <w:rtl/>
          </w:rPr>
          <w:t>חוק העונשין</w:t>
        </w:r>
      </w:hyperlink>
      <w:r w:rsidRPr="00683E78">
        <w:rPr>
          <w:rtl/>
        </w:rPr>
        <w:t>.</w:t>
      </w:r>
    </w:p>
    <w:p w14:paraId="59A5BA4F" w14:textId="77777777" w:rsidR="004F1512" w:rsidRPr="00683E78" w:rsidRDefault="004F1512" w:rsidP="004F1512">
      <w:pPr>
        <w:overflowPunct w:val="0"/>
        <w:autoSpaceDE w:val="0"/>
        <w:autoSpaceDN w:val="0"/>
        <w:spacing w:line="360" w:lineRule="auto"/>
        <w:jc w:val="both"/>
        <w:rPr>
          <w:rFonts w:ascii="David" w:hAnsi="David"/>
          <w:b/>
          <w:bCs/>
        </w:rPr>
      </w:pPr>
    </w:p>
    <w:p w14:paraId="45E95A5E" w14:textId="77777777" w:rsidR="004F1512" w:rsidRPr="00683E78" w:rsidRDefault="004F1512" w:rsidP="004F1512">
      <w:pPr>
        <w:overflowPunct w:val="0"/>
        <w:autoSpaceDE w:val="0"/>
        <w:autoSpaceDN w:val="0"/>
        <w:spacing w:line="360" w:lineRule="auto"/>
        <w:ind w:left="1842" w:hanging="992"/>
        <w:rPr>
          <w:rFonts w:ascii="David" w:hAnsi="David"/>
          <w:b/>
          <w:bCs/>
          <w:rtl/>
        </w:rPr>
      </w:pPr>
      <w:r w:rsidRPr="00683E78">
        <w:rPr>
          <w:rFonts w:ascii="David" w:hAnsi="David"/>
          <w:b/>
          <w:bCs/>
          <w:rtl/>
        </w:rPr>
        <w:t>זכות ערעור כחוק</w:t>
      </w:r>
    </w:p>
    <w:p w14:paraId="243C90AE" w14:textId="77777777" w:rsidR="004F1512" w:rsidRPr="00AF5B9E" w:rsidRDefault="00AF5B9E" w:rsidP="004F1512">
      <w:pPr>
        <w:overflowPunct w:val="0"/>
        <w:autoSpaceDE w:val="0"/>
        <w:autoSpaceDN w:val="0"/>
        <w:spacing w:line="360" w:lineRule="auto"/>
        <w:ind w:left="1543"/>
        <w:jc w:val="both"/>
        <w:rPr>
          <w:rFonts w:ascii="David" w:hAnsi="David"/>
          <w:color w:val="FFFFFF"/>
          <w:sz w:val="2"/>
          <w:szCs w:val="2"/>
        </w:rPr>
      </w:pPr>
      <w:r w:rsidRPr="00AF5B9E">
        <w:rPr>
          <w:rFonts w:ascii="David" w:hAnsi="David"/>
          <w:color w:val="FFFFFF"/>
          <w:sz w:val="2"/>
          <w:szCs w:val="2"/>
          <w:rtl/>
        </w:rPr>
        <w:t>5129371</w:t>
      </w:r>
    </w:p>
    <w:p w14:paraId="42873675" w14:textId="77777777" w:rsidR="004F1512" w:rsidRDefault="00AF5B9E" w:rsidP="004F1512">
      <w:pPr>
        <w:rPr>
          <w:rFonts w:cs="FrankRuehl"/>
          <w:sz w:val="28"/>
          <w:szCs w:val="28"/>
          <w:rtl/>
        </w:rPr>
      </w:pPr>
      <w:bookmarkStart w:id="7" w:name="Nitan"/>
      <w:r w:rsidRPr="00AF5B9E">
        <w:rPr>
          <w:rFonts w:ascii="Arial" w:hAnsi="Arial"/>
          <w:color w:val="FFFFFF"/>
          <w:sz w:val="2"/>
          <w:szCs w:val="2"/>
          <w:rtl/>
        </w:rPr>
        <w:t>54678313</w:t>
      </w:r>
      <w:r>
        <w:rPr>
          <w:rFonts w:ascii="Arial" w:hAnsi="Arial"/>
          <w:rtl/>
        </w:rPr>
        <w:t xml:space="preserve">ניתן היום,  י"א ניסן תשפ"ה, 09 אפריל 2025, במעמד הצדדים. </w:t>
      </w:r>
      <w:bookmarkEnd w:id="7"/>
    </w:p>
    <w:p w14:paraId="5840F8C6" w14:textId="77777777" w:rsidR="004F1512" w:rsidRDefault="004F1512" w:rsidP="00AF5B9E">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4F94AEB4" w14:textId="77777777" w:rsidR="004F1512" w:rsidRDefault="004F1512" w:rsidP="004F1512">
      <w:pPr>
        <w:jc w:val="center"/>
        <w:rPr>
          <w:rFonts w:ascii="Arial" w:hAnsi="Arial" w:cs="FrankRuehl"/>
          <w:sz w:val="28"/>
          <w:szCs w:val="28"/>
          <w:rtl/>
        </w:rPr>
      </w:pPr>
    </w:p>
    <w:p w14:paraId="15FF0303" w14:textId="77777777" w:rsidR="00AF5B9E" w:rsidRDefault="00AF5B9E" w:rsidP="00AF5B9E">
      <w:pPr>
        <w:rPr>
          <w:rtl/>
        </w:rPr>
      </w:pPr>
    </w:p>
    <w:p w14:paraId="732358D6" w14:textId="77777777" w:rsidR="00AF5B9E" w:rsidRDefault="00AF5B9E" w:rsidP="00AF5B9E">
      <w:pPr>
        <w:jc w:val="center"/>
        <w:rPr>
          <w:color w:val="0000FF"/>
          <w:u w:val="single"/>
        </w:rPr>
      </w:pPr>
      <w:hyperlink r:id="rId51" w:history="1">
        <w:r>
          <w:rPr>
            <w:color w:val="0000FF"/>
            <w:u w:val="single"/>
            <w:rtl/>
          </w:rPr>
          <w:t>בעניין עריכה ושינויים במסמכי פסיקה, חקיקה ועוד באתר נבו – הקש כאן</w:t>
        </w:r>
      </w:hyperlink>
    </w:p>
    <w:p w14:paraId="2E140646" w14:textId="77777777" w:rsidR="007F5016" w:rsidRPr="007F5016" w:rsidRDefault="007F5016" w:rsidP="007F5016">
      <w:pPr>
        <w:keepNext/>
        <w:rPr>
          <w:rFonts w:ascii="David" w:hAnsi="David"/>
          <w:color w:val="000000"/>
          <w:sz w:val="22"/>
          <w:szCs w:val="22"/>
          <w:rtl/>
        </w:rPr>
      </w:pPr>
    </w:p>
    <w:p w14:paraId="51418112" w14:textId="77777777" w:rsidR="007F5016" w:rsidRPr="007F5016" w:rsidRDefault="007F5016" w:rsidP="007F5016">
      <w:pPr>
        <w:keepNext/>
        <w:rPr>
          <w:rFonts w:ascii="David" w:hAnsi="David"/>
          <w:color w:val="000000"/>
          <w:sz w:val="22"/>
          <w:szCs w:val="22"/>
          <w:rtl/>
        </w:rPr>
      </w:pPr>
      <w:r w:rsidRPr="007F5016">
        <w:rPr>
          <w:rFonts w:ascii="David" w:hAnsi="David"/>
          <w:color w:val="000000"/>
          <w:sz w:val="22"/>
          <w:szCs w:val="22"/>
          <w:rtl/>
        </w:rPr>
        <w:t>אבי לוי 54678313-/</w:t>
      </w:r>
    </w:p>
    <w:p w14:paraId="590180FB" w14:textId="77777777" w:rsidR="00AF5B9E" w:rsidRPr="00AF5B9E" w:rsidRDefault="007F5016" w:rsidP="007F5016">
      <w:pPr>
        <w:rPr>
          <w:color w:val="0000FF"/>
          <w:u w:val="single"/>
        </w:rPr>
      </w:pPr>
      <w:r w:rsidRPr="007F5016">
        <w:rPr>
          <w:color w:val="000000"/>
          <w:u w:val="single"/>
          <w:rtl/>
        </w:rPr>
        <w:t>נוסח מסמך זה כפוף לשינויי ניסוח ועריכה</w:t>
      </w:r>
    </w:p>
    <w:sectPr w:rsidR="00AF5B9E" w:rsidRPr="00AF5B9E" w:rsidSect="007F5016">
      <w:headerReference w:type="even" r:id="rId52"/>
      <w:headerReference w:type="default" r:id="rId53"/>
      <w:footerReference w:type="even" r:id="rId54"/>
      <w:footerReference w:type="default" r:id="rId55"/>
      <w:pgSz w:w="11907" w:h="16840" w:code="9"/>
      <w:pgMar w:top="1701" w:right="1701" w:bottom="1134"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C8FD69" w14:textId="77777777" w:rsidR="0081294A" w:rsidRDefault="0081294A" w:rsidP="00B313C1">
      <w:r>
        <w:separator/>
      </w:r>
    </w:p>
  </w:endnote>
  <w:endnote w:type="continuationSeparator" w:id="0">
    <w:p w14:paraId="580D500B" w14:textId="77777777" w:rsidR="0081294A" w:rsidRDefault="0081294A" w:rsidP="00B31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200580" w14:textId="77777777" w:rsidR="007F5016" w:rsidRDefault="007F5016" w:rsidP="007F501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357FBAEB" w14:textId="77777777" w:rsidR="00395BF4" w:rsidRPr="007F5016" w:rsidRDefault="007F5016" w:rsidP="007F5016">
    <w:pPr>
      <w:pStyle w:val="a5"/>
      <w:pBdr>
        <w:top w:val="single" w:sz="4" w:space="1" w:color="auto"/>
        <w:between w:val="single" w:sz="4" w:space="0" w:color="auto"/>
      </w:pBdr>
      <w:spacing w:after="60"/>
      <w:jc w:val="center"/>
      <w:rPr>
        <w:rFonts w:ascii="FrankRuehl" w:hAnsi="FrankRuehl" w:cs="FrankRuehl"/>
        <w:color w:val="000000"/>
      </w:rPr>
    </w:pPr>
    <w:r w:rsidRPr="007F501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E87D93" w14:textId="77777777" w:rsidR="007F5016" w:rsidRDefault="007F5016" w:rsidP="007F501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17015">
      <w:rPr>
        <w:rFonts w:ascii="FrankRuehl" w:hAnsi="FrankRuehl" w:cs="FrankRuehl"/>
        <w:noProof/>
        <w:rtl/>
      </w:rPr>
      <w:t>1</w:t>
    </w:r>
    <w:r>
      <w:rPr>
        <w:rFonts w:ascii="FrankRuehl" w:hAnsi="FrankRuehl" w:cs="FrankRuehl"/>
        <w:rtl/>
      </w:rPr>
      <w:fldChar w:fldCharType="end"/>
    </w:r>
  </w:p>
  <w:p w14:paraId="3F263FFA" w14:textId="77777777" w:rsidR="00395BF4" w:rsidRPr="007F5016" w:rsidRDefault="007F5016" w:rsidP="007F5016">
    <w:pPr>
      <w:pStyle w:val="a5"/>
      <w:pBdr>
        <w:top w:val="single" w:sz="4" w:space="1" w:color="auto"/>
        <w:between w:val="single" w:sz="4" w:space="0" w:color="auto"/>
      </w:pBdr>
      <w:spacing w:after="60"/>
      <w:jc w:val="center"/>
      <w:rPr>
        <w:rFonts w:ascii="FrankRuehl" w:hAnsi="FrankRuehl" w:cs="FrankRuehl"/>
        <w:color w:val="000000"/>
      </w:rPr>
    </w:pPr>
    <w:r w:rsidRPr="007F5016">
      <w:rPr>
        <w:rFonts w:ascii="FrankRuehl" w:hAnsi="FrankRuehl" w:cs="FrankRuehl"/>
        <w:color w:val="000000"/>
      </w:rPr>
      <w:pict w14:anchorId="05FF9E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C03297" w14:textId="77777777" w:rsidR="0081294A" w:rsidRDefault="0081294A" w:rsidP="00B313C1">
      <w:r>
        <w:separator/>
      </w:r>
    </w:p>
  </w:footnote>
  <w:footnote w:type="continuationSeparator" w:id="0">
    <w:p w14:paraId="786A5F32" w14:textId="77777777" w:rsidR="0081294A" w:rsidRDefault="0081294A" w:rsidP="00B313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E85E3B" w14:textId="77777777" w:rsidR="00AF5B9E" w:rsidRPr="007F5016" w:rsidRDefault="007F5016" w:rsidP="007F501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52041-04-24</w:t>
    </w:r>
    <w:r>
      <w:rPr>
        <w:rFonts w:ascii="David" w:hAnsi="David"/>
        <w:color w:val="000000"/>
        <w:sz w:val="22"/>
        <w:szCs w:val="22"/>
        <w:rtl/>
      </w:rPr>
      <w:tab/>
      <w:t xml:space="preserve"> מדינת ישראל נ' חוסיין נסאר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83D0B3" w14:textId="77777777" w:rsidR="00AF5B9E" w:rsidRPr="007F5016" w:rsidRDefault="007F5016" w:rsidP="007F501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52041-04-24</w:t>
    </w:r>
    <w:r>
      <w:rPr>
        <w:rFonts w:ascii="David" w:hAnsi="David"/>
        <w:color w:val="000000"/>
        <w:sz w:val="22"/>
        <w:szCs w:val="22"/>
        <w:rtl/>
      </w:rPr>
      <w:tab/>
      <w:t xml:space="preserve"> מדינת ישראל נ' חוסיין נסאר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9675F0"/>
    <w:multiLevelType w:val="hybridMultilevel"/>
    <w:tmpl w:val="F3D4C91A"/>
    <w:lvl w:ilvl="0" w:tplc="04090013">
      <w:start w:val="1"/>
      <w:numFmt w:val="hebrew1"/>
      <w:lvlText w:val="%1."/>
      <w:lvlJc w:val="center"/>
      <w:pPr>
        <w:ind w:left="1543" w:hanging="360"/>
      </w:pPr>
    </w:lvl>
    <w:lvl w:ilvl="1" w:tplc="04090019">
      <w:start w:val="1"/>
      <w:numFmt w:val="lowerLetter"/>
      <w:lvlText w:val="%2."/>
      <w:lvlJc w:val="left"/>
      <w:pPr>
        <w:ind w:left="2263" w:hanging="360"/>
      </w:pPr>
    </w:lvl>
    <w:lvl w:ilvl="2" w:tplc="0409001B">
      <w:start w:val="1"/>
      <w:numFmt w:val="lowerRoman"/>
      <w:lvlText w:val="%3."/>
      <w:lvlJc w:val="right"/>
      <w:pPr>
        <w:ind w:left="2983" w:hanging="180"/>
      </w:pPr>
    </w:lvl>
    <w:lvl w:ilvl="3" w:tplc="0409000F">
      <w:start w:val="1"/>
      <w:numFmt w:val="decimal"/>
      <w:lvlText w:val="%4."/>
      <w:lvlJc w:val="left"/>
      <w:pPr>
        <w:ind w:left="3703" w:hanging="360"/>
      </w:pPr>
    </w:lvl>
    <w:lvl w:ilvl="4" w:tplc="04090019">
      <w:start w:val="1"/>
      <w:numFmt w:val="lowerLetter"/>
      <w:lvlText w:val="%5."/>
      <w:lvlJc w:val="left"/>
      <w:pPr>
        <w:ind w:left="4423" w:hanging="360"/>
      </w:pPr>
    </w:lvl>
    <w:lvl w:ilvl="5" w:tplc="0409001B">
      <w:start w:val="1"/>
      <w:numFmt w:val="lowerRoman"/>
      <w:lvlText w:val="%6."/>
      <w:lvlJc w:val="right"/>
      <w:pPr>
        <w:ind w:left="5143" w:hanging="180"/>
      </w:pPr>
    </w:lvl>
    <w:lvl w:ilvl="6" w:tplc="0409000F">
      <w:start w:val="1"/>
      <w:numFmt w:val="decimal"/>
      <w:lvlText w:val="%7."/>
      <w:lvlJc w:val="left"/>
      <w:pPr>
        <w:ind w:left="5863" w:hanging="360"/>
      </w:pPr>
    </w:lvl>
    <w:lvl w:ilvl="7" w:tplc="04090019">
      <w:start w:val="1"/>
      <w:numFmt w:val="lowerLetter"/>
      <w:lvlText w:val="%8."/>
      <w:lvlJc w:val="left"/>
      <w:pPr>
        <w:ind w:left="6583" w:hanging="360"/>
      </w:pPr>
    </w:lvl>
    <w:lvl w:ilvl="8" w:tplc="0409001B">
      <w:start w:val="1"/>
      <w:numFmt w:val="lowerRoman"/>
      <w:lvlText w:val="%9."/>
      <w:lvlJc w:val="right"/>
      <w:pPr>
        <w:ind w:left="7303" w:hanging="180"/>
      </w:pPr>
    </w:lvl>
  </w:abstractNum>
  <w:num w:numId="1" w16cid:durableId="17529651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F1512"/>
    <w:rsid w:val="00395BF4"/>
    <w:rsid w:val="004F1512"/>
    <w:rsid w:val="00717015"/>
    <w:rsid w:val="007F5016"/>
    <w:rsid w:val="0081294A"/>
    <w:rsid w:val="008E4C82"/>
    <w:rsid w:val="009A4E4C"/>
    <w:rsid w:val="00AF5B9E"/>
    <w:rsid w:val="00B30A2A"/>
    <w:rsid w:val="00B313C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05FF111"/>
  <w15:chartTrackingRefBased/>
  <w15:docId w15:val="{7B0D357B-9171-4BB7-A219-FDDA06266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F151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F1512"/>
    <w:pPr>
      <w:tabs>
        <w:tab w:val="center" w:pos="4153"/>
        <w:tab w:val="right" w:pos="8306"/>
      </w:tabs>
    </w:pPr>
  </w:style>
  <w:style w:type="character" w:customStyle="1" w:styleId="a4">
    <w:name w:val="כותרת עליונה תו"/>
    <w:link w:val="a3"/>
    <w:rsid w:val="004F1512"/>
    <w:rPr>
      <w:rFonts w:ascii="Times New Roman" w:eastAsia="Times New Roman" w:hAnsi="Times New Roman" w:cs="David"/>
      <w:sz w:val="24"/>
      <w:szCs w:val="24"/>
    </w:rPr>
  </w:style>
  <w:style w:type="paragraph" w:styleId="a5">
    <w:name w:val="footer"/>
    <w:basedOn w:val="a"/>
    <w:link w:val="a6"/>
    <w:rsid w:val="004F1512"/>
    <w:pPr>
      <w:tabs>
        <w:tab w:val="center" w:pos="4153"/>
        <w:tab w:val="right" w:pos="8306"/>
      </w:tabs>
    </w:pPr>
  </w:style>
  <w:style w:type="character" w:customStyle="1" w:styleId="a6">
    <w:name w:val="כותרת תחתונה תו"/>
    <w:link w:val="a5"/>
    <w:rsid w:val="004F1512"/>
    <w:rPr>
      <w:rFonts w:ascii="Times New Roman" w:eastAsia="Times New Roman" w:hAnsi="Times New Roman" w:cs="David"/>
      <w:sz w:val="24"/>
      <w:szCs w:val="24"/>
    </w:rPr>
  </w:style>
  <w:style w:type="table" w:styleId="a7">
    <w:name w:val="Table Grid"/>
    <w:basedOn w:val="a1"/>
    <w:rsid w:val="004F151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F1512"/>
  </w:style>
  <w:style w:type="character" w:styleId="Hyperlink">
    <w:name w:val="Hyperlink"/>
    <w:rsid w:val="00AF5B9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g" TargetMode="External"/><Relationship Id="rId18" Type="http://schemas.openxmlformats.org/officeDocument/2006/relationships/hyperlink" Target="http://www.nevo.co.il/law/70301/40jc.a" TargetMode="External"/><Relationship Id="rId26" Type="http://schemas.openxmlformats.org/officeDocument/2006/relationships/hyperlink" Target="http://www.nevo.co.il/case/13093721" TargetMode="External"/><Relationship Id="rId39" Type="http://schemas.openxmlformats.org/officeDocument/2006/relationships/hyperlink" Target="http://www.nevo.co.il/law/70301/340a.b.2" TargetMode="External"/><Relationship Id="rId21" Type="http://schemas.openxmlformats.org/officeDocument/2006/relationships/hyperlink" Target="http://www.nevo.co.il/law/70301/29" TargetMode="External"/><Relationship Id="rId34" Type="http://schemas.openxmlformats.org/officeDocument/2006/relationships/hyperlink" Target="http://www.nevo.co.il/case/28697227" TargetMode="External"/><Relationship Id="rId42" Type="http://schemas.openxmlformats.org/officeDocument/2006/relationships/hyperlink" Target="http://www.nevo.co.il/case/26492590" TargetMode="External"/><Relationship Id="rId47" Type="http://schemas.openxmlformats.org/officeDocument/2006/relationships/hyperlink" Target="http://www.nevo.co.il/law/70301" TargetMode="External"/><Relationship Id="rId50" Type="http://schemas.openxmlformats.org/officeDocument/2006/relationships/hyperlink" Target="http://www.nevo.co.il/law/70301" TargetMode="External"/><Relationship Id="rId55"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0ja" TargetMode="External"/><Relationship Id="rId29" Type="http://schemas.openxmlformats.org/officeDocument/2006/relationships/hyperlink" Target="http://www.nevo.co.il/law/70301/40jc.c" TargetMode="External"/><Relationship Id="rId11" Type="http://schemas.openxmlformats.org/officeDocument/2006/relationships/hyperlink" Target="http://www.nevo.co.il/law/70301/144" TargetMode="External"/><Relationship Id="rId24" Type="http://schemas.openxmlformats.org/officeDocument/2006/relationships/hyperlink" Target="http://www.nevo.co.il/law/70301/340a.b.2" TargetMode="External"/><Relationship Id="rId32" Type="http://schemas.openxmlformats.org/officeDocument/2006/relationships/hyperlink" Target="http://www.nevo.co.il/case/25824863" TargetMode="External"/><Relationship Id="rId37" Type="http://schemas.openxmlformats.org/officeDocument/2006/relationships/hyperlink" Target="http://www.nevo.co.il/law/70301/144.g" TargetMode="External"/><Relationship Id="rId40" Type="http://schemas.openxmlformats.org/officeDocument/2006/relationships/hyperlink" Target="http://www.nevo.co.il/case/23509035" TargetMode="External"/><Relationship Id="rId45" Type="http://schemas.openxmlformats.org/officeDocument/2006/relationships/hyperlink" Target="http://www.nevo.co.il/law/70301/40ja" TargetMode="External"/><Relationship Id="rId53" Type="http://schemas.openxmlformats.org/officeDocument/2006/relationships/header" Target="header2.xml"/><Relationship Id="rId5" Type="http://schemas.openxmlformats.org/officeDocument/2006/relationships/footnotes" Target="footnotes.xml"/><Relationship Id="rId19" Type="http://schemas.openxmlformats.org/officeDocument/2006/relationships/hyperlink" Target="http://www.nevo.co.il/law/70301/40jc.c" TargetMode="External"/><Relationship Id="rId4" Type="http://schemas.openxmlformats.org/officeDocument/2006/relationships/webSettings" Target="webSettings.xml"/><Relationship Id="rId9" Type="http://schemas.openxmlformats.org/officeDocument/2006/relationships/hyperlink" Target="http://www.nevo.co.il/law/70301/40g" TargetMode="External"/><Relationship Id="rId14" Type="http://schemas.openxmlformats.org/officeDocument/2006/relationships/hyperlink" Target="http://www.nevo.co.il/law/70301/340a.b.1"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5576587" TargetMode="External"/><Relationship Id="rId30" Type="http://schemas.openxmlformats.org/officeDocument/2006/relationships/hyperlink" Target="http://www.nevo.co.il/case/26905927" TargetMode="External"/><Relationship Id="rId35" Type="http://schemas.openxmlformats.org/officeDocument/2006/relationships/hyperlink" Target="http://www.nevo.co.il/case/30315066" TargetMode="External"/><Relationship Id="rId43" Type="http://schemas.openxmlformats.org/officeDocument/2006/relationships/hyperlink" Target="http://www.nevo.co.il/case/20033653" TargetMode="External"/><Relationship Id="rId48" Type="http://schemas.openxmlformats.org/officeDocument/2006/relationships/hyperlink" Target="http://www.nevo.co.il/law/70301/40g" TargetMode="External"/><Relationship Id="rId56" Type="http://schemas.openxmlformats.org/officeDocument/2006/relationships/fontTable" Target="fontTable.xml"/><Relationship Id="rId8" Type="http://schemas.openxmlformats.org/officeDocument/2006/relationships/hyperlink" Target="http://www.nevo.co.il/law/70301/29" TargetMode="External"/><Relationship Id="rId51" Type="http://schemas.openxmlformats.org/officeDocument/2006/relationships/hyperlink" Target="http://www.nevo.co.il/advertisements/nevo-100.doc" TargetMode="External"/><Relationship Id="rId3" Type="http://schemas.openxmlformats.org/officeDocument/2006/relationships/settings" Target="settings.xml"/><Relationship Id="rId12" Type="http://schemas.openxmlformats.org/officeDocument/2006/relationships/hyperlink" Target="http://www.nevo.co.il/law/70301/144.b" TargetMode="External"/><Relationship Id="rId17" Type="http://schemas.openxmlformats.org/officeDocument/2006/relationships/hyperlink" Target="http://www.nevo.co.il/law/70301/40ja.3" TargetMode="External"/><Relationship Id="rId25" Type="http://schemas.openxmlformats.org/officeDocument/2006/relationships/hyperlink" Target="http://www.nevo.co.il/law/70301/29" TargetMode="External"/><Relationship Id="rId33" Type="http://schemas.openxmlformats.org/officeDocument/2006/relationships/hyperlink" Target="http://www.nevo.co.il/case/28883087" TargetMode="External"/><Relationship Id="rId38" Type="http://schemas.openxmlformats.org/officeDocument/2006/relationships/hyperlink" Target="http://www.nevo.co.il/law/70301/340a.b.1" TargetMode="External"/><Relationship Id="rId46" Type="http://schemas.openxmlformats.org/officeDocument/2006/relationships/hyperlink" Target="http://www.nevo.co.il/law/70301/40ja.3" TargetMode="External"/><Relationship Id="rId20" Type="http://schemas.openxmlformats.org/officeDocument/2006/relationships/hyperlink" Target="http://www.nevo.co.il/law/70301/144.b" TargetMode="External"/><Relationship Id="rId41" Type="http://schemas.openxmlformats.org/officeDocument/2006/relationships/hyperlink" Target="http://www.nevo.co.il/case/28550118" TargetMode="External"/><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40a.b.2" TargetMode="External"/><Relationship Id="rId23" Type="http://schemas.openxmlformats.org/officeDocument/2006/relationships/hyperlink" Target="http://www.nevo.co.il/law/70301/340a.b.1" TargetMode="External"/><Relationship Id="rId28" Type="http://schemas.openxmlformats.org/officeDocument/2006/relationships/hyperlink" Target="http://www.nevo.co.il/law/70301/40jc.a" TargetMode="External"/><Relationship Id="rId36" Type="http://schemas.openxmlformats.org/officeDocument/2006/relationships/hyperlink" Target="http://www.nevo.co.il/law/70301" TargetMode="External"/><Relationship Id="rId49" Type="http://schemas.openxmlformats.org/officeDocument/2006/relationships/hyperlink" Target="http://www.nevo.co.il/law/70301/144" TargetMode="External"/><Relationship Id="rId57" Type="http://schemas.openxmlformats.org/officeDocument/2006/relationships/theme" Target="theme/theme1.xml"/><Relationship Id="rId10" Type="http://schemas.openxmlformats.org/officeDocument/2006/relationships/hyperlink" Target="http://www.nevo.co.il/law/70301/40i" TargetMode="External"/><Relationship Id="rId31" Type="http://schemas.openxmlformats.org/officeDocument/2006/relationships/hyperlink" Target="http://www.nevo.co.il/law/70301" TargetMode="External"/><Relationship Id="rId44" Type="http://schemas.openxmlformats.org/officeDocument/2006/relationships/hyperlink" Target="http://www.nevo.co.il/law/70301/40i" TargetMode="External"/><Relationship Id="rId5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2571</Words>
  <Characters>12856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15397</CharactersWithSpaces>
  <SharedDoc>false</SharedDoc>
  <HLinks>
    <vt:vector size="270" baseType="variant">
      <vt:variant>
        <vt:i4>393283</vt:i4>
      </vt:variant>
      <vt:variant>
        <vt:i4>132</vt:i4>
      </vt:variant>
      <vt:variant>
        <vt:i4>0</vt:i4>
      </vt:variant>
      <vt:variant>
        <vt:i4>5</vt:i4>
      </vt:variant>
      <vt:variant>
        <vt:lpwstr>http://www.nevo.co.il/advertisements/nevo-100.doc</vt:lpwstr>
      </vt:variant>
      <vt:variant>
        <vt:lpwstr/>
      </vt:variant>
      <vt:variant>
        <vt:i4>7995492</vt:i4>
      </vt:variant>
      <vt:variant>
        <vt:i4>129</vt:i4>
      </vt:variant>
      <vt:variant>
        <vt:i4>0</vt:i4>
      </vt:variant>
      <vt:variant>
        <vt:i4>5</vt:i4>
      </vt:variant>
      <vt:variant>
        <vt:lpwstr>http://www.nevo.co.il/law/70301</vt:lpwstr>
      </vt:variant>
      <vt:variant>
        <vt:lpwstr/>
      </vt:variant>
      <vt:variant>
        <vt:i4>6357092</vt:i4>
      </vt:variant>
      <vt:variant>
        <vt:i4>126</vt:i4>
      </vt:variant>
      <vt:variant>
        <vt:i4>0</vt:i4>
      </vt:variant>
      <vt:variant>
        <vt:i4>5</vt:i4>
      </vt:variant>
      <vt:variant>
        <vt:lpwstr>http://www.nevo.co.il/law/70301/144</vt:lpwstr>
      </vt:variant>
      <vt:variant>
        <vt:lpwstr/>
      </vt:variant>
      <vt:variant>
        <vt:i4>6619233</vt:i4>
      </vt:variant>
      <vt:variant>
        <vt:i4>123</vt:i4>
      </vt:variant>
      <vt:variant>
        <vt:i4>0</vt:i4>
      </vt:variant>
      <vt:variant>
        <vt:i4>5</vt:i4>
      </vt:variant>
      <vt:variant>
        <vt:lpwstr>http://www.nevo.co.il/law/70301/40g</vt:lpwstr>
      </vt:variant>
      <vt:variant>
        <vt:lpwstr/>
      </vt:variant>
      <vt:variant>
        <vt:i4>7995492</vt:i4>
      </vt:variant>
      <vt:variant>
        <vt:i4>120</vt:i4>
      </vt:variant>
      <vt:variant>
        <vt:i4>0</vt:i4>
      </vt:variant>
      <vt:variant>
        <vt:i4>5</vt:i4>
      </vt:variant>
      <vt:variant>
        <vt:lpwstr>http://www.nevo.co.il/law/70301</vt:lpwstr>
      </vt:variant>
      <vt:variant>
        <vt:lpwstr/>
      </vt:variant>
      <vt:variant>
        <vt:i4>3604517</vt:i4>
      </vt:variant>
      <vt:variant>
        <vt:i4>117</vt:i4>
      </vt:variant>
      <vt:variant>
        <vt:i4>0</vt:i4>
      </vt:variant>
      <vt:variant>
        <vt:i4>5</vt:i4>
      </vt:variant>
      <vt:variant>
        <vt:lpwstr>http://www.nevo.co.il/law/70301/40ja.3</vt:lpwstr>
      </vt:variant>
      <vt:variant>
        <vt:lpwstr/>
      </vt:variant>
      <vt:variant>
        <vt:i4>262155</vt:i4>
      </vt:variant>
      <vt:variant>
        <vt:i4>114</vt:i4>
      </vt:variant>
      <vt:variant>
        <vt:i4>0</vt:i4>
      </vt:variant>
      <vt:variant>
        <vt:i4>5</vt:i4>
      </vt:variant>
      <vt:variant>
        <vt:lpwstr>http://www.nevo.co.il/law/70301/40ja</vt:lpwstr>
      </vt:variant>
      <vt:variant>
        <vt:lpwstr/>
      </vt:variant>
      <vt:variant>
        <vt:i4>6619233</vt:i4>
      </vt:variant>
      <vt:variant>
        <vt:i4>111</vt:i4>
      </vt:variant>
      <vt:variant>
        <vt:i4>0</vt:i4>
      </vt:variant>
      <vt:variant>
        <vt:i4>5</vt:i4>
      </vt:variant>
      <vt:variant>
        <vt:lpwstr>http://www.nevo.co.il/law/70301/40i</vt:lpwstr>
      </vt:variant>
      <vt:variant>
        <vt:lpwstr/>
      </vt:variant>
      <vt:variant>
        <vt:i4>3407985</vt:i4>
      </vt:variant>
      <vt:variant>
        <vt:i4>108</vt:i4>
      </vt:variant>
      <vt:variant>
        <vt:i4>0</vt:i4>
      </vt:variant>
      <vt:variant>
        <vt:i4>5</vt:i4>
      </vt:variant>
      <vt:variant>
        <vt:lpwstr>http://www.nevo.co.il/case/20033653</vt:lpwstr>
      </vt:variant>
      <vt:variant>
        <vt:lpwstr/>
      </vt:variant>
      <vt:variant>
        <vt:i4>3997822</vt:i4>
      </vt:variant>
      <vt:variant>
        <vt:i4>105</vt:i4>
      </vt:variant>
      <vt:variant>
        <vt:i4>0</vt:i4>
      </vt:variant>
      <vt:variant>
        <vt:i4>5</vt:i4>
      </vt:variant>
      <vt:variant>
        <vt:lpwstr>http://www.nevo.co.il/case/26492590</vt:lpwstr>
      </vt:variant>
      <vt:variant>
        <vt:lpwstr/>
      </vt:variant>
      <vt:variant>
        <vt:i4>3539064</vt:i4>
      </vt:variant>
      <vt:variant>
        <vt:i4>102</vt:i4>
      </vt:variant>
      <vt:variant>
        <vt:i4>0</vt:i4>
      </vt:variant>
      <vt:variant>
        <vt:i4>5</vt:i4>
      </vt:variant>
      <vt:variant>
        <vt:lpwstr>http://www.nevo.co.il/case/28550118</vt:lpwstr>
      </vt:variant>
      <vt:variant>
        <vt:lpwstr/>
      </vt:variant>
      <vt:variant>
        <vt:i4>3997815</vt:i4>
      </vt:variant>
      <vt:variant>
        <vt:i4>99</vt:i4>
      </vt:variant>
      <vt:variant>
        <vt:i4>0</vt:i4>
      </vt:variant>
      <vt:variant>
        <vt:i4>5</vt:i4>
      </vt:variant>
      <vt:variant>
        <vt:lpwstr>http://www.nevo.co.il/case/23509035</vt:lpwstr>
      </vt:variant>
      <vt:variant>
        <vt:lpwstr/>
      </vt:variant>
      <vt:variant>
        <vt:i4>5242966</vt:i4>
      </vt:variant>
      <vt:variant>
        <vt:i4>96</vt:i4>
      </vt:variant>
      <vt:variant>
        <vt:i4>0</vt:i4>
      </vt:variant>
      <vt:variant>
        <vt:i4>5</vt:i4>
      </vt:variant>
      <vt:variant>
        <vt:lpwstr>http://www.nevo.co.il/law/70301/340a.b.2</vt:lpwstr>
      </vt:variant>
      <vt:variant>
        <vt:lpwstr/>
      </vt:variant>
      <vt:variant>
        <vt:i4>5439574</vt:i4>
      </vt:variant>
      <vt:variant>
        <vt:i4>93</vt:i4>
      </vt:variant>
      <vt:variant>
        <vt:i4>0</vt:i4>
      </vt:variant>
      <vt:variant>
        <vt:i4>5</vt:i4>
      </vt:variant>
      <vt:variant>
        <vt:lpwstr>http://www.nevo.co.il/law/70301/340a.b.1</vt:lpwstr>
      </vt:variant>
      <vt:variant>
        <vt:lpwstr/>
      </vt:variant>
      <vt:variant>
        <vt:i4>5177424</vt:i4>
      </vt:variant>
      <vt:variant>
        <vt:i4>90</vt:i4>
      </vt:variant>
      <vt:variant>
        <vt:i4>0</vt:i4>
      </vt:variant>
      <vt:variant>
        <vt:i4>5</vt:i4>
      </vt:variant>
      <vt:variant>
        <vt:lpwstr>http://www.nevo.co.il/law/70301/144.g</vt:lpwstr>
      </vt:variant>
      <vt:variant>
        <vt:lpwstr/>
      </vt:variant>
      <vt:variant>
        <vt:i4>7995492</vt:i4>
      </vt:variant>
      <vt:variant>
        <vt:i4>87</vt:i4>
      </vt:variant>
      <vt:variant>
        <vt:i4>0</vt:i4>
      </vt:variant>
      <vt:variant>
        <vt:i4>5</vt:i4>
      </vt:variant>
      <vt:variant>
        <vt:lpwstr>http://www.nevo.co.il/law/70301</vt:lpwstr>
      </vt:variant>
      <vt:variant>
        <vt:lpwstr/>
      </vt:variant>
      <vt:variant>
        <vt:i4>3342453</vt:i4>
      </vt:variant>
      <vt:variant>
        <vt:i4>84</vt:i4>
      </vt:variant>
      <vt:variant>
        <vt:i4>0</vt:i4>
      </vt:variant>
      <vt:variant>
        <vt:i4>5</vt:i4>
      </vt:variant>
      <vt:variant>
        <vt:lpwstr>http://www.nevo.co.il/case/30315066</vt:lpwstr>
      </vt:variant>
      <vt:variant>
        <vt:lpwstr/>
      </vt:variant>
      <vt:variant>
        <vt:i4>3211383</vt:i4>
      </vt:variant>
      <vt:variant>
        <vt:i4>81</vt:i4>
      </vt:variant>
      <vt:variant>
        <vt:i4>0</vt:i4>
      </vt:variant>
      <vt:variant>
        <vt:i4>5</vt:i4>
      </vt:variant>
      <vt:variant>
        <vt:lpwstr>http://www.nevo.co.il/case/28697227</vt:lpwstr>
      </vt:variant>
      <vt:variant>
        <vt:lpwstr/>
      </vt:variant>
      <vt:variant>
        <vt:i4>3211380</vt:i4>
      </vt:variant>
      <vt:variant>
        <vt:i4>78</vt:i4>
      </vt:variant>
      <vt:variant>
        <vt:i4>0</vt:i4>
      </vt:variant>
      <vt:variant>
        <vt:i4>5</vt:i4>
      </vt:variant>
      <vt:variant>
        <vt:lpwstr>http://www.nevo.co.il/case/28883087</vt:lpwstr>
      </vt:variant>
      <vt:variant>
        <vt:lpwstr/>
      </vt:variant>
      <vt:variant>
        <vt:i4>3670139</vt:i4>
      </vt:variant>
      <vt:variant>
        <vt:i4>75</vt:i4>
      </vt:variant>
      <vt:variant>
        <vt:i4>0</vt:i4>
      </vt:variant>
      <vt:variant>
        <vt:i4>5</vt:i4>
      </vt:variant>
      <vt:variant>
        <vt:lpwstr>http://www.nevo.co.il/case/25824863</vt:lpwstr>
      </vt:variant>
      <vt:variant>
        <vt:lpwstr/>
      </vt:variant>
      <vt:variant>
        <vt:i4>7995492</vt:i4>
      </vt:variant>
      <vt:variant>
        <vt:i4>72</vt:i4>
      </vt:variant>
      <vt:variant>
        <vt:i4>0</vt:i4>
      </vt:variant>
      <vt:variant>
        <vt:i4>5</vt:i4>
      </vt:variant>
      <vt:variant>
        <vt:lpwstr>http://www.nevo.co.il/law/70301</vt:lpwstr>
      </vt:variant>
      <vt:variant>
        <vt:lpwstr/>
      </vt:variant>
      <vt:variant>
        <vt:i4>3932283</vt:i4>
      </vt:variant>
      <vt:variant>
        <vt:i4>69</vt:i4>
      </vt:variant>
      <vt:variant>
        <vt:i4>0</vt:i4>
      </vt:variant>
      <vt:variant>
        <vt:i4>5</vt:i4>
      </vt:variant>
      <vt:variant>
        <vt:lpwstr>http://www.nevo.co.il/case/26905927</vt:lpwstr>
      </vt:variant>
      <vt:variant>
        <vt:lpwstr/>
      </vt:variant>
      <vt:variant>
        <vt:i4>6619173</vt:i4>
      </vt:variant>
      <vt:variant>
        <vt:i4>66</vt:i4>
      </vt:variant>
      <vt:variant>
        <vt:i4>0</vt:i4>
      </vt:variant>
      <vt:variant>
        <vt:i4>5</vt:i4>
      </vt:variant>
      <vt:variant>
        <vt:lpwstr>http://www.nevo.co.il/law/70301/40jc.c</vt:lpwstr>
      </vt:variant>
      <vt:variant>
        <vt:lpwstr/>
      </vt:variant>
      <vt:variant>
        <vt:i4>6750245</vt:i4>
      </vt:variant>
      <vt:variant>
        <vt:i4>63</vt:i4>
      </vt:variant>
      <vt:variant>
        <vt:i4>0</vt:i4>
      </vt:variant>
      <vt:variant>
        <vt:i4>5</vt:i4>
      </vt:variant>
      <vt:variant>
        <vt:lpwstr>http://www.nevo.co.il/law/70301/40jc.a</vt:lpwstr>
      </vt:variant>
      <vt:variant>
        <vt:lpwstr/>
      </vt:variant>
      <vt:variant>
        <vt:i4>3145855</vt:i4>
      </vt:variant>
      <vt:variant>
        <vt:i4>60</vt:i4>
      </vt:variant>
      <vt:variant>
        <vt:i4>0</vt:i4>
      </vt:variant>
      <vt:variant>
        <vt:i4>5</vt:i4>
      </vt:variant>
      <vt:variant>
        <vt:lpwstr>http://www.nevo.co.il/case/5576587</vt:lpwstr>
      </vt:variant>
      <vt:variant>
        <vt:lpwstr/>
      </vt:variant>
      <vt:variant>
        <vt:i4>3145849</vt:i4>
      </vt:variant>
      <vt:variant>
        <vt:i4>57</vt:i4>
      </vt:variant>
      <vt:variant>
        <vt:i4>0</vt:i4>
      </vt:variant>
      <vt:variant>
        <vt:i4>5</vt:i4>
      </vt:variant>
      <vt:variant>
        <vt:lpwstr>http://www.nevo.co.il/case/13093721</vt:lpwstr>
      </vt:variant>
      <vt:variant>
        <vt:lpwstr/>
      </vt:variant>
      <vt:variant>
        <vt:i4>7077991</vt:i4>
      </vt:variant>
      <vt:variant>
        <vt:i4>54</vt:i4>
      </vt:variant>
      <vt:variant>
        <vt:i4>0</vt:i4>
      </vt:variant>
      <vt:variant>
        <vt:i4>5</vt:i4>
      </vt:variant>
      <vt:variant>
        <vt:lpwstr>http://www.nevo.co.il/law/70301/29</vt:lpwstr>
      </vt:variant>
      <vt:variant>
        <vt:lpwstr/>
      </vt:variant>
      <vt:variant>
        <vt:i4>5242966</vt:i4>
      </vt:variant>
      <vt:variant>
        <vt:i4>51</vt:i4>
      </vt:variant>
      <vt:variant>
        <vt:i4>0</vt:i4>
      </vt:variant>
      <vt:variant>
        <vt:i4>5</vt:i4>
      </vt:variant>
      <vt:variant>
        <vt:lpwstr>http://www.nevo.co.il/law/70301/340a.b.2</vt:lpwstr>
      </vt:variant>
      <vt:variant>
        <vt:lpwstr/>
      </vt:variant>
      <vt:variant>
        <vt:i4>5439574</vt:i4>
      </vt:variant>
      <vt:variant>
        <vt:i4>48</vt:i4>
      </vt:variant>
      <vt:variant>
        <vt:i4>0</vt:i4>
      </vt:variant>
      <vt:variant>
        <vt:i4>5</vt:i4>
      </vt:variant>
      <vt:variant>
        <vt:lpwstr>http://www.nevo.co.il/law/70301/340a.b.1</vt:lpwstr>
      </vt:variant>
      <vt:variant>
        <vt:lpwstr/>
      </vt:variant>
      <vt:variant>
        <vt:i4>7995492</vt:i4>
      </vt:variant>
      <vt:variant>
        <vt:i4>45</vt:i4>
      </vt:variant>
      <vt:variant>
        <vt:i4>0</vt:i4>
      </vt:variant>
      <vt:variant>
        <vt:i4>5</vt:i4>
      </vt:variant>
      <vt:variant>
        <vt:lpwstr>http://www.nevo.co.il/law/70301</vt:lpwstr>
      </vt:variant>
      <vt:variant>
        <vt:lpwstr/>
      </vt:variant>
      <vt:variant>
        <vt:i4>7077991</vt:i4>
      </vt:variant>
      <vt:variant>
        <vt:i4>42</vt:i4>
      </vt:variant>
      <vt:variant>
        <vt:i4>0</vt:i4>
      </vt:variant>
      <vt:variant>
        <vt:i4>5</vt:i4>
      </vt:variant>
      <vt:variant>
        <vt:lpwstr>http://www.nevo.co.il/law/70301/29</vt:lpwstr>
      </vt:variant>
      <vt:variant>
        <vt:lpwstr/>
      </vt:variant>
      <vt:variant>
        <vt:i4>5177424</vt:i4>
      </vt:variant>
      <vt:variant>
        <vt:i4>39</vt:i4>
      </vt:variant>
      <vt:variant>
        <vt:i4>0</vt:i4>
      </vt:variant>
      <vt:variant>
        <vt:i4>5</vt:i4>
      </vt:variant>
      <vt:variant>
        <vt:lpwstr>http://www.nevo.co.il/law/70301/144.b</vt:lpwstr>
      </vt:variant>
      <vt:variant>
        <vt:lpwstr/>
      </vt:variant>
      <vt:variant>
        <vt:i4>6619173</vt:i4>
      </vt:variant>
      <vt:variant>
        <vt:i4>36</vt:i4>
      </vt:variant>
      <vt:variant>
        <vt:i4>0</vt:i4>
      </vt:variant>
      <vt:variant>
        <vt:i4>5</vt:i4>
      </vt:variant>
      <vt:variant>
        <vt:lpwstr>http://www.nevo.co.il/law/70301/40jc.c</vt:lpwstr>
      </vt:variant>
      <vt:variant>
        <vt:lpwstr/>
      </vt:variant>
      <vt:variant>
        <vt:i4>6750245</vt:i4>
      </vt:variant>
      <vt:variant>
        <vt:i4>33</vt:i4>
      </vt:variant>
      <vt:variant>
        <vt:i4>0</vt:i4>
      </vt:variant>
      <vt:variant>
        <vt:i4>5</vt:i4>
      </vt:variant>
      <vt:variant>
        <vt:lpwstr>http://www.nevo.co.il/law/70301/40jc.a</vt:lpwstr>
      </vt:variant>
      <vt:variant>
        <vt:lpwstr/>
      </vt:variant>
      <vt:variant>
        <vt:i4>3604517</vt:i4>
      </vt:variant>
      <vt:variant>
        <vt:i4>30</vt:i4>
      </vt:variant>
      <vt:variant>
        <vt:i4>0</vt:i4>
      </vt:variant>
      <vt:variant>
        <vt:i4>5</vt:i4>
      </vt:variant>
      <vt:variant>
        <vt:lpwstr>http://www.nevo.co.il/law/70301/40ja.3</vt:lpwstr>
      </vt:variant>
      <vt:variant>
        <vt:lpwstr/>
      </vt:variant>
      <vt:variant>
        <vt:i4>262155</vt:i4>
      </vt:variant>
      <vt:variant>
        <vt:i4>27</vt:i4>
      </vt:variant>
      <vt:variant>
        <vt:i4>0</vt:i4>
      </vt:variant>
      <vt:variant>
        <vt:i4>5</vt:i4>
      </vt:variant>
      <vt:variant>
        <vt:lpwstr>http://www.nevo.co.il/law/70301/40ja</vt:lpwstr>
      </vt:variant>
      <vt:variant>
        <vt:lpwstr/>
      </vt:variant>
      <vt:variant>
        <vt:i4>5242966</vt:i4>
      </vt:variant>
      <vt:variant>
        <vt:i4>24</vt:i4>
      </vt:variant>
      <vt:variant>
        <vt:i4>0</vt:i4>
      </vt:variant>
      <vt:variant>
        <vt:i4>5</vt:i4>
      </vt:variant>
      <vt:variant>
        <vt:lpwstr>http://www.nevo.co.il/law/70301/340a.b.2</vt:lpwstr>
      </vt:variant>
      <vt:variant>
        <vt:lpwstr/>
      </vt:variant>
      <vt:variant>
        <vt:i4>5439574</vt:i4>
      </vt:variant>
      <vt:variant>
        <vt:i4>21</vt:i4>
      </vt:variant>
      <vt:variant>
        <vt:i4>0</vt:i4>
      </vt:variant>
      <vt:variant>
        <vt:i4>5</vt:i4>
      </vt:variant>
      <vt:variant>
        <vt:lpwstr>http://www.nevo.co.il/law/70301/340a.b.1</vt:lpwstr>
      </vt:variant>
      <vt:variant>
        <vt:lpwstr/>
      </vt:variant>
      <vt:variant>
        <vt:i4>5177424</vt:i4>
      </vt:variant>
      <vt:variant>
        <vt:i4>18</vt:i4>
      </vt:variant>
      <vt:variant>
        <vt:i4>0</vt:i4>
      </vt:variant>
      <vt:variant>
        <vt:i4>5</vt:i4>
      </vt:variant>
      <vt:variant>
        <vt:lpwstr>http://www.nevo.co.il/law/70301/144.g</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6357092</vt:i4>
      </vt:variant>
      <vt:variant>
        <vt:i4>12</vt:i4>
      </vt:variant>
      <vt:variant>
        <vt:i4>0</vt:i4>
      </vt:variant>
      <vt:variant>
        <vt:i4>5</vt:i4>
      </vt:variant>
      <vt:variant>
        <vt:lpwstr>http://www.nevo.co.il/law/70301/144</vt:lpwstr>
      </vt:variant>
      <vt:variant>
        <vt:lpwstr/>
      </vt:variant>
      <vt:variant>
        <vt:i4>6619233</vt:i4>
      </vt:variant>
      <vt:variant>
        <vt:i4>9</vt:i4>
      </vt:variant>
      <vt:variant>
        <vt:i4>0</vt:i4>
      </vt:variant>
      <vt:variant>
        <vt:i4>5</vt:i4>
      </vt:variant>
      <vt:variant>
        <vt:lpwstr>http://www.nevo.co.il/law/70301/40i</vt:lpwstr>
      </vt:variant>
      <vt:variant>
        <vt:lpwstr/>
      </vt:variant>
      <vt:variant>
        <vt:i4>6619233</vt:i4>
      </vt:variant>
      <vt:variant>
        <vt:i4>6</vt:i4>
      </vt:variant>
      <vt:variant>
        <vt:i4>0</vt:i4>
      </vt:variant>
      <vt:variant>
        <vt:i4>5</vt:i4>
      </vt:variant>
      <vt:variant>
        <vt:lpwstr>http://www.nevo.co.il/law/70301/40g</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2025-04-25T11:01:00Z</dcterms:created>
  <dcterms:modified xsi:type="dcterms:W3CDTF">2025-04-25T11:01:00Z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52041</vt:lpwstr>
  </property>
  <property fmtid="{D5CDD505-2E9C-101B-9397-08002B2CF9AE}" pid="6" name="NEWPARTB">
    <vt:lpwstr>04</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חוסיין נסאר</vt:lpwstr>
  </property>
  <property fmtid="{D5CDD505-2E9C-101B-9397-08002B2CF9AE}" pid="10" name="JUDGE">
    <vt:lpwstr>אבי לוי</vt:lpwstr>
  </property>
  <property fmtid="{D5CDD505-2E9C-101B-9397-08002B2CF9AE}" pid="11" name="CITY">
    <vt:lpwstr>חי'</vt:lpwstr>
  </property>
  <property fmtid="{D5CDD505-2E9C-101B-9397-08002B2CF9AE}" pid="12" name="DATE">
    <vt:lpwstr>20250409</vt:lpwstr>
  </property>
  <property fmtid="{D5CDD505-2E9C-101B-9397-08002B2CF9AE}" pid="13" name="TYPE_N_DATE">
    <vt:lpwstr>39020250409</vt:lpwstr>
  </property>
  <property fmtid="{D5CDD505-2E9C-101B-9397-08002B2CF9AE}" pid="14" name="CASESLISTTMP1">
    <vt:lpwstr>13093721;5576587;26905927;25824863;28883087;28697227;30315066;23509035;28550118;26492590;20033653</vt:lpwstr>
  </property>
  <property fmtid="{D5CDD505-2E9C-101B-9397-08002B2CF9AE}" pid="15" name="WORDNUMPAGES">
    <vt:lpwstr>7</vt:lpwstr>
  </property>
  <property fmtid="{D5CDD505-2E9C-101B-9397-08002B2CF9AE}" pid="16" name="TYPE_ABS_DATE">
    <vt:lpwstr>390020250409</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70301/144.b;029:2;340a.b.1:2;340a.b.2:2;40jc.a;40jc.c;144.g;040i;40ja;40ja.3;040g;144</vt:lpwstr>
  </property>
  <property fmtid="{D5CDD505-2E9C-101B-9397-08002B2CF9AE}" pid="36" name="ISABSTRACT">
    <vt:lpwstr>Y</vt:lpwstr>
  </property>
</Properties>
</file>