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3"/>
        <w:gridCol w:w="2982"/>
      </w:tblGrid>
      <w:tr w:rsidR="00D74603" w:rsidRPr="00D74603" w14:paraId="1106BC20" w14:textId="77777777" w:rsidTr="0055471F">
        <w:trPr>
          <w:trHeight w:hRule="exact" w:val="418"/>
          <w:jc w:val="center"/>
        </w:trPr>
        <w:tc>
          <w:tcPr>
            <w:tcW w:w="8505" w:type="dxa"/>
            <w:gridSpan w:val="2"/>
          </w:tcPr>
          <w:p w14:paraId="45E22DE0" w14:textId="77777777" w:rsidR="00D74603" w:rsidRPr="00D74603" w:rsidRDefault="00D74603" w:rsidP="0055471F">
            <w:pPr>
              <w:pStyle w:val="a3"/>
              <w:jc w:val="center"/>
              <w:rPr>
                <w:rFonts w:ascii="Tahoma" w:hAnsi="Tahoma" w:cs="Tahoma"/>
                <w:color w:val="000080"/>
                <w:rtl/>
              </w:rPr>
            </w:pPr>
            <w:bookmarkStart w:id="0" w:name="LastJudge"/>
            <w:r w:rsidRPr="00D74603">
              <w:rPr>
                <w:rFonts w:ascii="Tahoma" w:hAnsi="Tahoma" w:cs="Tahoma"/>
                <w:b/>
                <w:bCs/>
                <w:color w:val="000080"/>
                <w:rtl/>
              </w:rPr>
              <w:t>בית המשפט המחוזי בחיפה</w:t>
            </w:r>
          </w:p>
        </w:tc>
      </w:tr>
      <w:tr w:rsidR="00D74603" w:rsidRPr="00D74603" w14:paraId="5DBD32C6" w14:textId="77777777" w:rsidTr="0055471F">
        <w:trPr>
          <w:trHeight w:val="337"/>
          <w:jc w:val="center"/>
        </w:trPr>
        <w:tc>
          <w:tcPr>
            <w:tcW w:w="5523" w:type="dxa"/>
          </w:tcPr>
          <w:p w14:paraId="4A6BD19F" w14:textId="77777777" w:rsidR="00D74603" w:rsidRPr="00D74603" w:rsidRDefault="00D74603" w:rsidP="0055471F">
            <w:pPr>
              <w:rPr>
                <w:rFonts w:cs="FrankRuehl"/>
                <w:sz w:val="28"/>
                <w:szCs w:val="28"/>
                <w:rtl/>
              </w:rPr>
            </w:pPr>
            <w:r w:rsidRPr="00D74603">
              <w:rPr>
                <w:rFonts w:ascii="David" w:hAnsi="David"/>
                <w:b/>
                <w:bCs/>
                <w:i/>
                <w:iCs/>
                <w:sz w:val="28"/>
                <w:szCs w:val="28"/>
                <w:rtl/>
              </w:rPr>
              <w:t>ת"פ</w:t>
            </w:r>
            <w:r w:rsidRPr="00D74603">
              <w:rPr>
                <w:rFonts w:ascii="David" w:hAnsi="David"/>
                <w:b/>
                <w:bCs/>
                <w:sz w:val="28"/>
                <w:szCs w:val="28"/>
                <w:rtl/>
              </w:rPr>
              <w:t xml:space="preserve"> 31270-05-24 מדינת ישראל נ' נסראלדין(עציר)</w:t>
            </w:r>
          </w:p>
        </w:tc>
        <w:tc>
          <w:tcPr>
            <w:tcW w:w="2982" w:type="dxa"/>
          </w:tcPr>
          <w:p w14:paraId="25558ADE" w14:textId="77777777" w:rsidR="00D74603" w:rsidRPr="00D74603" w:rsidRDefault="00D74603" w:rsidP="0055471F">
            <w:pPr>
              <w:pStyle w:val="a3"/>
              <w:jc w:val="right"/>
              <w:rPr>
                <w:rFonts w:cs="FrankRuehl"/>
                <w:sz w:val="28"/>
                <w:szCs w:val="28"/>
                <w:rtl/>
              </w:rPr>
            </w:pPr>
          </w:p>
        </w:tc>
      </w:tr>
    </w:tbl>
    <w:p w14:paraId="3E51C4C0" w14:textId="77777777" w:rsidR="00D74603" w:rsidRPr="00D74603" w:rsidRDefault="00D74603" w:rsidP="00D74603">
      <w:pPr>
        <w:pStyle w:val="a3"/>
        <w:rPr>
          <w:rtl/>
        </w:rPr>
      </w:pPr>
      <w:r w:rsidRPr="00D74603">
        <w:rPr>
          <w:rtl/>
        </w:rPr>
        <w:t xml:space="preserve"> </w:t>
      </w:r>
    </w:p>
    <w:p w14:paraId="61F5C606" w14:textId="77777777" w:rsidR="00BF5B01" w:rsidRPr="00D74603" w:rsidRDefault="00BF5B01" w:rsidP="00BB2CAA">
      <w:pPr>
        <w:suppressLineNumbers/>
        <w:jc w:val="both"/>
        <w:rPr>
          <w:rFonts w:ascii="Arial" w:hAnsi="Arial" w:hint="cs"/>
          <w:szCs w:val="26"/>
          <w:rtl/>
        </w:rPr>
      </w:pPr>
    </w:p>
    <w:tbl>
      <w:tblPr>
        <w:bidiVisual/>
        <w:tblW w:w="8802" w:type="dxa"/>
        <w:tblInd w:w="-28" w:type="dxa"/>
        <w:tblLook w:val="01E0" w:firstRow="1" w:lastRow="1" w:firstColumn="1" w:lastColumn="1" w:noHBand="0" w:noVBand="0"/>
      </w:tblPr>
      <w:tblGrid>
        <w:gridCol w:w="2880"/>
        <w:gridCol w:w="5838"/>
        <w:gridCol w:w="84"/>
      </w:tblGrid>
      <w:tr w:rsidR="00D74603" w:rsidRPr="00D74603" w14:paraId="71C8A0D9" w14:textId="77777777" w:rsidTr="0055471F">
        <w:trPr>
          <w:gridAfter w:val="1"/>
          <w:wAfter w:w="56" w:type="dxa"/>
        </w:trPr>
        <w:tc>
          <w:tcPr>
            <w:tcW w:w="8718" w:type="dxa"/>
            <w:gridSpan w:val="2"/>
          </w:tcPr>
          <w:p w14:paraId="2CBAD0F0" w14:textId="77777777" w:rsidR="00D74603" w:rsidRPr="00D74603" w:rsidRDefault="00D74603" w:rsidP="0055471F">
            <w:pPr>
              <w:jc w:val="both"/>
              <w:rPr>
                <w:b/>
                <w:bCs/>
                <w:sz w:val="26"/>
                <w:szCs w:val="26"/>
                <w:rtl/>
              </w:rPr>
            </w:pPr>
            <w:r w:rsidRPr="00D74603">
              <w:rPr>
                <w:b/>
                <w:bCs/>
                <w:sz w:val="26"/>
                <w:szCs w:val="26"/>
                <w:rtl/>
              </w:rPr>
              <w:t>לפני כבוד השופט שלמה בנג'ו</w:t>
            </w:r>
          </w:p>
          <w:p w14:paraId="15EE4B3A" w14:textId="77777777" w:rsidR="00D74603" w:rsidRPr="00D74603" w:rsidRDefault="00D74603" w:rsidP="0055471F">
            <w:pPr>
              <w:jc w:val="both"/>
              <w:rPr>
                <w:b/>
                <w:bCs/>
                <w:sz w:val="26"/>
                <w:szCs w:val="26"/>
                <w:rtl/>
              </w:rPr>
            </w:pPr>
          </w:p>
        </w:tc>
      </w:tr>
      <w:tr w:rsidR="00D74603" w:rsidRPr="00D74603" w14:paraId="045DB27F" w14:textId="77777777" w:rsidTr="0055471F">
        <w:trPr>
          <w:cantSplit/>
          <w:trHeight w:val="348"/>
        </w:trPr>
        <w:tc>
          <w:tcPr>
            <w:tcW w:w="2880" w:type="dxa"/>
          </w:tcPr>
          <w:p w14:paraId="38CF8830" w14:textId="77777777" w:rsidR="00D74603" w:rsidRPr="00D74603" w:rsidRDefault="00D74603" w:rsidP="0055471F">
            <w:pPr>
              <w:ind w:left="26"/>
              <w:jc w:val="both"/>
              <w:rPr>
                <w:b/>
                <w:bCs/>
                <w:sz w:val="26"/>
                <w:szCs w:val="26"/>
                <w:rtl/>
              </w:rPr>
            </w:pPr>
            <w:bookmarkStart w:id="1" w:name="FirstAppellant"/>
            <w:r w:rsidRPr="00D74603">
              <w:rPr>
                <w:b/>
                <w:bCs/>
                <w:sz w:val="26"/>
                <w:szCs w:val="26"/>
                <w:rtl/>
              </w:rPr>
              <w:t>המאשימה:</w:t>
            </w:r>
          </w:p>
          <w:p w14:paraId="0CA86DE3" w14:textId="77777777" w:rsidR="00D74603" w:rsidRPr="00D74603" w:rsidRDefault="00D74603" w:rsidP="0055471F">
            <w:pPr>
              <w:jc w:val="both"/>
              <w:rPr>
                <w:b/>
                <w:bCs/>
                <w:sz w:val="26"/>
                <w:szCs w:val="26"/>
                <w:rtl/>
              </w:rPr>
            </w:pPr>
          </w:p>
        </w:tc>
        <w:tc>
          <w:tcPr>
            <w:tcW w:w="5922" w:type="dxa"/>
            <w:gridSpan w:val="2"/>
          </w:tcPr>
          <w:p w14:paraId="348C45C7" w14:textId="77777777" w:rsidR="00D74603" w:rsidRPr="00D74603" w:rsidRDefault="00D74603" w:rsidP="0055471F">
            <w:pPr>
              <w:jc w:val="both"/>
              <w:rPr>
                <w:b/>
                <w:bCs/>
                <w:sz w:val="26"/>
                <w:szCs w:val="26"/>
                <w:rtl/>
              </w:rPr>
            </w:pPr>
            <w:r w:rsidRPr="00D74603">
              <w:rPr>
                <w:b/>
                <w:bCs/>
                <w:sz w:val="26"/>
                <w:szCs w:val="26"/>
                <w:rtl/>
              </w:rPr>
              <w:t>מדינת ישראל</w:t>
            </w:r>
          </w:p>
        </w:tc>
      </w:tr>
      <w:bookmarkEnd w:id="1"/>
      <w:tr w:rsidR="00D74603" w:rsidRPr="00D74603" w14:paraId="4E760079" w14:textId="77777777" w:rsidTr="0055471F">
        <w:tc>
          <w:tcPr>
            <w:tcW w:w="8802" w:type="dxa"/>
            <w:gridSpan w:val="3"/>
            <w:vAlign w:val="center"/>
          </w:tcPr>
          <w:p w14:paraId="19956564" w14:textId="77777777" w:rsidR="00D74603" w:rsidRPr="00D74603" w:rsidRDefault="00D74603" w:rsidP="0055471F">
            <w:pPr>
              <w:jc w:val="center"/>
              <w:rPr>
                <w:rFonts w:ascii="Arial" w:hAnsi="Arial"/>
                <w:b/>
                <w:bCs/>
                <w:sz w:val="26"/>
                <w:szCs w:val="26"/>
                <w:rtl/>
              </w:rPr>
            </w:pPr>
            <w:r w:rsidRPr="00D74603">
              <w:rPr>
                <w:rFonts w:ascii="Arial" w:hAnsi="Arial"/>
                <w:b/>
                <w:bCs/>
                <w:sz w:val="26"/>
                <w:szCs w:val="26"/>
                <w:rtl/>
              </w:rPr>
              <w:t>- נגד -</w:t>
            </w:r>
          </w:p>
          <w:p w14:paraId="135F6A19" w14:textId="77777777" w:rsidR="00D74603" w:rsidRPr="00D74603" w:rsidRDefault="00D74603" w:rsidP="0055471F">
            <w:pPr>
              <w:jc w:val="center"/>
              <w:rPr>
                <w:rFonts w:ascii="Arial" w:hAnsi="Arial"/>
                <w:b/>
                <w:bCs/>
                <w:sz w:val="26"/>
                <w:szCs w:val="26"/>
                <w:rtl/>
              </w:rPr>
            </w:pPr>
          </w:p>
        </w:tc>
      </w:tr>
      <w:tr w:rsidR="00D74603" w:rsidRPr="00D74603" w14:paraId="57CD8AA2" w14:textId="77777777" w:rsidTr="0055471F">
        <w:tc>
          <w:tcPr>
            <w:tcW w:w="2880" w:type="dxa"/>
          </w:tcPr>
          <w:p w14:paraId="1FFCEF0F" w14:textId="77777777" w:rsidR="00D74603" w:rsidRPr="00D74603" w:rsidRDefault="00D74603" w:rsidP="0055471F">
            <w:pPr>
              <w:ind w:left="26"/>
              <w:jc w:val="both"/>
              <w:rPr>
                <w:b/>
                <w:bCs/>
                <w:sz w:val="26"/>
                <w:szCs w:val="26"/>
                <w:rtl/>
              </w:rPr>
            </w:pPr>
            <w:r w:rsidRPr="00D74603">
              <w:rPr>
                <w:b/>
                <w:bCs/>
                <w:sz w:val="26"/>
                <w:szCs w:val="26"/>
                <w:rtl/>
              </w:rPr>
              <w:t>הנאשם:</w:t>
            </w:r>
          </w:p>
        </w:tc>
        <w:tc>
          <w:tcPr>
            <w:tcW w:w="5922" w:type="dxa"/>
            <w:gridSpan w:val="2"/>
          </w:tcPr>
          <w:p w14:paraId="456BE8C4" w14:textId="77777777" w:rsidR="00D74603" w:rsidRPr="00D74603" w:rsidRDefault="00D74603" w:rsidP="0055471F">
            <w:pPr>
              <w:jc w:val="both"/>
              <w:rPr>
                <w:b/>
                <w:bCs/>
                <w:sz w:val="26"/>
                <w:szCs w:val="26"/>
                <w:rtl/>
              </w:rPr>
            </w:pPr>
            <w:r w:rsidRPr="00D74603">
              <w:rPr>
                <w:b/>
                <w:bCs/>
                <w:sz w:val="26"/>
                <w:szCs w:val="26"/>
                <w:rtl/>
              </w:rPr>
              <w:t xml:space="preserve">תמיר נסראלדין (עציר) ת"ז </w:t>
            </w:r>
            <w:r>
              <w:rPr>
                <w:b/>
                <w:bCs/>
                <w:sz w:val="26"/>
                <w:szCs w:val="26"/>
              </w:rPr>
              <w:t>xxxxxxxxx</w:t>
            </w:r>
          </w:p>
        </w:tc>
      </w:tr>
    </w:tbl>
    <w:p w14:paraId="034C441E" w14:textId="77777777" w:rsidR="00D74603" w:rsidRPr="00D74603" w:rsidRDefault="00D74603" w:rsidP="00BB2CAA">
      <w:pPr>
        <w:suppressLineNumbers/>
        <w:jc w:val="both"/>
        <w:rPr>
          <w:rFonts w:ascii="Arial" w:hAnsi="Arial" w:hint="cs"/>
          <w:szCs w:val="26"/>
          <w:rtl/>
        </w:rPr>
      </w:pPr>
    </w:p>
    <w:p w14:paraId="1FDDEF85" w14:textId="77777777" w:rsidR="00D43592" w:rsidRPr="00D74603" w:rsidRDefault="00D43592" w:rsidP="00BB2CAA">
      <w:pPr>
        <w:suppressLineNumbers/>
        <w:jc w:val="both"/>
        <w:rPr>
          <w:rFonts w:ascii="Arial" w:hAnsi="Arial" w:hint="cs"/>
          <w:szCs w:val="26"/>
          <w:rtl/>
        </w:rPr>
      </w:pPr>
    </w:p>
    <w:p w14:paraId="203A72C6" w14:textId="77777777" w:rsidR="00D74603" w:rsidRPr="00D74603" w:rsidRDefault="00D74603" w:rsidP="00D74603">
      <w:pPr>
        <w:spacing w:before="120" w:after="120" w:line="240" w:lineRule="exact"/>
        <w:ind w:left="283" w:hanging="283"/>
        <w:jc w:val="both"/>
        <w:rPr>
          <w:rFonts w:ascii="FrankRuehl" w:hAnsi="FrankRuehl" w:cs="FrankRuehl" w:hint="cs"/>
          <w:rtl/>
        </w:rPr>
      </w:pPr>
    </w:p>
    <w:p w14:paraId="7D51DBE9" w14:textId="77777777" w:rsidR="00D74603" w:rsidRPr="00D74603" w:rsidRDefault="00D74603" w:rsidP="00D74603">
      <w:pPr>
        <w:rPr>
          <w:rFonts w:ascii="Arial" w:hAnsi="Arial" w:hint="cs"/>
          <w:sz w:val="26"/>
          <w:szCs w:val="26"/>
          <w:rtl/>
        </w:rPr>
      </w:pPr>
    </w:p>
    <w:p w14:paraId="486E6C82" w14:textId="77777777" w:rsidR="00A41E55" w:rsidRPr="00A41E55" w:rsidRDefault="00A41E55" w:rsidP="00A41E55">
      <w:pPr>
        <w:spacing w:before="120" w:after="120" w:line="240" w:lineRule="exact"/>
        <w:ind w:left="283" w:hanging="283"/>
        <w:jc w:val="both"/>
        <w:rPr>
          <w:rFonts w:ascii="FrankRuehl" w:hAnsi="FrankRuehl" w:cs="FrankRuehl"/>
          <w:rtl/>
        </w:rPr>
      </w:pPr>
      <w:bookmarkStart w:id="2" w:name="LawTable"/>
      <w:bookmarkEnd w:id="2"/>
    </w:p>
    <w:p w14:paraId="4F45A299" w14:textId="77777777" w:rsidR="00A41E55" w:rsidRPr="00A41E55" w:rsidRDefault="00A41E55" w:rsidP="00A41E55">
      <w:pPr>
        <w:spacing w:before="120" w:after="120" w:line="240" w:lineRule="exact"/>
        <w:ind w:left="283" w:hanging="283"/>
        <w:jc w:val="both"/>
        <w:rPr>
          <w:rFonts w:ascii="FrankRuehl" w:hAnsi="FrankRuehl" w:cs="FrankRuehl"/>
          <w:rtl/>
        </w:rPr>
      </w:pPr>
      <w:r w:rsidRPr="00A41E55">
        <w:rPr>
          <w:rFonts w:ascii="FrankRuehl" w:hAnsi="FrankRuehl" w:cs="FrankRuehl"/>
          <w:rtl/>
        </w:rPr>
        <w:t xml:space="preserve">חקיקה שאוזכרה: </w:t>
      </w:r>
    </w:p>
    <w:p w14:paraId="3D7BAC96" w14:textId="77777777" w:rsidR="00A41E55" w:rsidRPr="00A41E55" w:rsidRDefault="00A41E55" w:rsidP="00A41E55">
      <w:pPr>
        <w:spacing w:before="120" w:after="120" w:line="240" w:lineRule="exact"/>
        <w:ind w:left="283" w:hanging="283"/>
        <w:jc w:val="both"/>
        <w:rPr>
          <w:rFonts w:ascii="FrankRuehl" w:hAnsi="FrankRuehl" w:cs="FrankRuehl"/>
          <w:color w:val="0000FF"/>
          <w:rtl/>
        </w:rPr>
      </w:pPr>
      <w:hyperlink r:id="rId7" w:history="1">
        <w:r w:rsidRPr="00A41E55">
          <w:rPr>
            <w:rStyle w:val="Hyperlink"/>
            <w:rFonts w:ascii="FrankRuehl" w:hAnsi="FrankRuehl" w:cs="FrankRuehl"/>
            <w:u w:val="none"/>
            <w:rtl/>
          </w:rPr>
          <w:t>חוק העונשין, תשל"ז-1977</w:t>
        </w:r>
      </w:hyperlink>
      <w:r w:rsidRPr="00A41E55">
        <w:rPr>
          <w:rFonts w:ascii="FrankRuehl" w:hAnsi="FrankRuehl" w:cs="FrankRuehl"/>
          <w:color w:val="0000FF"/>
          <w:rtl/>
        </w:rPr>
        <w:t xml:space="preserve">: סע'  </w:t>
      </w:r>
      <w:hyperlink r:id="rId8" w:history="1">
        <w:r w:rsidRPr="00A41E55">
          <w:rPr>
            <w:rStyle w:val="Hyperlink"/>
            <w:rFonts w:ascii="FrankRuehl" w:hAnsi="FrankRuehl" w:cs="FrankRuehl"/>
            <w:u w:val="none"/>
          </w:rPr>
          <w:t>29</w:t>
        </w:r>
      </w:hyperlink>
      <w:r w:rsidRPr="00A41E55">
        <w:rPr>
          <w:rFonts w:ascii="FrankRuehl" w:hAnsi="FrankRuehl" w:cs="FrankRuehl"/>
          <w:color w:val="0000FF"/>
          <w:rtl/>
        </w:rPr>
        <w:t xml:space="preserve">, </w:t>
      </w:r>
      <w:hyperlink r:id="rId9" w:history="1">
        <w:r w:rsidRPr="00A41E55">
          <w:rPr>
            <w:rStyle w:val="Hyperlink"/>
            <w:rFonts w:ascii="FrankRuehl" w:hAnsi="FrankRuehl" w:cs="FrankRuehl"/>
            <w:u w:val="none"/>
          </w:rPr>
          <w:t>144</w:t>
        </w:r>
      </w:hyperlink>
      <w:r w:rsidRPr="00A41E55">
        <w:rPr>
          <w:rFonts w:ascii="FrankRuehl" w:hAnsi="FrankRuehl" w:cs="FrankRuehl"/>
          <w:color w:val="0000FF"/>
          <w:rtl/>
        </w:rPr>
        <w:t xml:space="preserve">(א), </w:t>
      </w:r>
      <w:hyperlink r:id="rId10" w:history="1">
        <w:r w:rsidRPr="00A41E55">
          <w:rPr>
            <w:rStyle w:val="Hyperlink"/>
            <w:rFonts w:ascii="FrankRuehl" w:hAnsi="FrankRuehl" w:cs="FrankRuehl"/>
            <w:u w:val="none"/>
          </w:rPr>
          <w:t>144</w:t>
        </w:r>
      </w:hyperlink>
      <w:r w:rsidRPr="00A41E55">
        <w:rPr>
          <w:rFonts w:ascii="FrankRuehl" w:hAnsi="FrankRuehl" w:cs="FrankRuehl"/>
          <w:color w:val="0000FF"/>
          <w:rtl/>
        </w:rPr>
        <w:t xml:space="preserve">(ב), </w:t>
      </w:r>
      <w:hyperlink r:id="rId11" w:history="1">
        <w:r w:rsidRPr="00A41E55">
          <w:rPr>
            <w:rStyle w:val="Hyperlink"/>
            <w:rFonts w:ascii="FrankRuehl" w:hAnsi="FrankRuehl" w:cs="FrankRuehl"/>
            <w:u w:val="none"/>
          </w:rPr>
          <w:t>144</w:t>
        </w:r>
      </w:hyperlink>
      <w:r w:rsidRPr="00A41E55">
        <w:rPr>
          <w:rFonts w:ascii="FrankRuehl" w:hAnsi="FrankRuehl" w:cs="FrankRuehl"/>
          <w:color w:val="0000FF"/>
          <w:rtl/>
        </w:rPr>
        <w:t xml:space="preserve">(ג), </w:t>
      </w:r>
      <w:hyperlink r:id="rId12" w:history="1">
        <w:r w:rsidRPr="00A41E55">
          <w:rPr>
            <w:rStyle w:val="Hyperlink"/>
            <w:rFonts w:ascii="FrankRuehl" w:hAnsi="FrankRuehl" w:cs="FrankRuehl"/>
            <w:u w:val="none"/>
          </w:rPr>
          <w:t>144</w:t>
        </w:r>
      </w:hyperlink>
      <w:r w:rsidRPr="00A41E55">
        <w:rPr>
          <w:rFonts w:ascii="FrankRuehl" w:hAnsi="FrankRuehl" w:cs="FrankRuehl"/>
          <w:color w:val="0000FF"/>
          <w:rtl/>
        </w:rPr>
        <w:t xml:space="preserve">(ז), </w:t>
      </w:r>
      <w:hyperlink r:id="rId13" w:history="1">
        <w:r w:rsidRPr="00A41E55">
          <w:rPr>
            <w:rStyle w:val="Hyperlink"/>
            <w:rFonts w:ascii="FrankRuehl" w:hAnsi="FrankRuehl" w:cs="FrankRuehl"/>
            <w:u w:val="none"/>
          </w:rPr>
          <w:t>186</w:t>
        </w:r>
      </w:hyperlink>
      <w:r w:rsidRPr="00A41E55">
        <w:rPr>
          <w:rFonts w:ascii="FrankRuehl" w:hAnsi="FrankRuehl" w:cs="FrankRuehl"/>
          <w:color w:val="0000FF"/>
          <w:rtl/>
        </w:rPr>
        <w:t xml:space="preserve">(א), </w:t>
      </w:r>
      <w:hyperlink r:id="rId14" w:history="1">
        <w:r w:rsidRPr="00A41E55">
          <w:rPr>
            <w:rStyle w:val="Hyperlink"/>
            <w:rFonts w:ascii="FrankRuehl" w:hAnsi="FrankRuehl" w:cs="FrankRuehl"/>
            <w:u w:val="none"/>
          </w:rPr>
          <w:t>340</w:t>
        </w:r>
        <w:r w:rsidRPr="00A41E55">
          <w:rPr>
            <w:rStyle w:val="Hyperlink"/>
            <w:rFonts w:ascii="FrankRuehl" w:hAnsi="FrankRuehl" w:cs="FrankRuehl"/>
            <w:u w:val="none"/>
            <w:rtl/>
          </w:rPr>
          <w:t>א</w:t>
        </w:r>
      </w:hyperlink>
      <w:r w:rsidRPr="00A41E55">
        <w:rPr>
          <w:rFonts w:ascii="FrankRuehl" w:hAnsi="FrankRuehl" w:cs="FrankRuehl"/>
          <w:color w:val="0000FF"/>
          <w:rtl/>
        </w:rPr>
        <w:t xml:space="preserve">(א), </w:t>
      </w:r>
      <w:hyperlink r:id="rId15" w:history="1">
        <w:r w:rsidRPr="00A41E55">
          <w:rPr>
            <w:rStyle w:val="Hyperlink"/>
            <w:rFonts w:ascii="FrankRuehl" w:hAnsi="FrankRuehl" w:cs="FrankRuehl"/>
            <w:u w:val="none"/>
          </w:rPr>
          <w:t>340</w:t>
        </w:r>
        <w:r w:rsidRPr="00A41E55">
          <w:rPr>
            <w:rStyle w:val="Hyperlink"/>
            <w:rFonts w:ascii="FrankRuehl" w:hAnsi="FrankRuehl" w:cs="FrankRuehl"/>
            <w:u w:val="none"/>
            <w:rtl/>
          </w:rPr>
          <w:t>א</w:t>
        </w:r>
      </w:hyperlink>
      <w:r w:rsidRPr="00A41E55">
        <w:rPr>
          <w:rFonts w:ascii="FrankRuehl" w:hAnsi="FrankRuehl" w:cs="FrankRuehl"/>
          <w:color w:val="0000FF"/>
          <w:rtl/>
        </w:rPr>
        <w:t xml:space="preserve">(א)(1), </w:t>
      </w:r>
      <w:hyperlink r:id="rId16" w:history="1">
        <w:r w:rsidRPr="00A41E55">
          <w:rPr>
            <w:rStyle w:val="Hyperlink"/>
            <w:rFonts w:ascii="FrankRuehl" w:hAnsi="FrankRuehl" w:cs="FrankRuehl"/>
            <w:u w:val="none"/>
          </w:rPr>
          <w:t>340</w:t>
        </w:r>
        <w:r w:rsidRPr="00A41E55">
          <w:rPr>
            <w:rStyle w:val="Hyperlink"/>
            <w:rFonts w:ascii="FrankRuehl" w:hAnsi="FrankRuehl" w:cs="FrankRuehl"/>
            <w:u w:val="none"/>
            <w:rtl/>
          </w:rPr>
          <w:t>א</w:t>
        </w:r>
      </w:hyperlink>
      <w:r w:rsidRPr="00A41E55">
        <w:rPr>
          <w:rFonts w:ascii="FrankRuehl" w:hAnsi="FrankRuehl" w:cs="FrankRuehl"/>
          <w:color w:val="0000FF"/>
          <w:rtl/>
        </w:rPr>
        <w:t xml:space="preserve">(א)(2), </w:t>
      </w:r>
      <w:hyperlink r:id="rId17" w:history="1">
        <w:r w:rsidRPr="00A41E55">
          <w:rPr>
            <w:rStyle w:val="Hyperlink"/>
            <w:rFonts w:ascii="FrankRuehl" w:hAnsi="FrankRuehl" w:cs="FrankRuehl"/>
            <w:u w:val="none"/>
          </w:rPr>
          <w:t>340</w:t>
        </w:r>
        <w:r w:rsidRPr="00A41E55">
          <w:rPr>
            <w:rStyle w:val="Hyperlink"/>
            <w:rFonts w:ascii="FrankRuehl" w:hAnsi="FrankRuehl" w:cs="FrankRuehl"/>
            <w:u w:val="none"/>
            <w:rtl/>
          </w:rPr>
          <w:t>א</w:t>
        </w:r>
      </w:hyperlink>
      <w:r w:rsidRPr="00A41E55">
        <w:rPr>
          <w:rFonts w:ascii="FrankRuehl" w:hAnsi="FrankRuehl" w:cs="FrankRuehl"/>
          <w:color w:val="0000FF"/>
          <w:rtl/>
        </w:rPr>
        <w:t>(ב)</w:t>
      </w:r>
    </w:p>
    <w:p w14:paraId="4C98CAA3" w14:textId="77777777" w:rsidR="00BF5B01" w:rsidRPr="00A41E55" w:rsidRDefault="00BF5B01" w:rsidP="00A41E55">
      <w:pPr>
        <w:rPr>
          <w:rFonts w:ascii="Arial" w:hAnsi="Arial"/>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4603" w14:paraId="6F52E5D9" w14:textId="77777777" w:rsidTr="0055471F">
        <w:trPr>
          <w:trHeight w:val="355"/>
          <w:jc w:val="center"/>
        </w:trPr>
        <w:tc>
          <w:tcPr>
            <w:tcW w:w="8820" w:type="dxa"/>
            <w:tcBorders>
              <w:top w:val="nil"/>
              <w:left w:val="nil"/>
              <w:bottom w:val="nil"/>
              <w:right w:val="nil"/>
            </w:tcBorders>
          </w:tcPr>
          <w:p w14:paraId="1CA2A862" w14:textId="77777777" w:rsidR="00D74603" w:rsidRPr="00D74603" w:rsidRDefault="00D74603" w:rsidP="00D74603">
            <w:pPr>
              <w:jc w:val="center"/>
              <w:rPr>
                <w:rFonts w:ascii="David" w:hAnsi="David"/>
                <w:b/>
                <w:bCs/>
                <w:sz w:val="32"/>
                <w:szCs w:val="32"/>
                <w:u w:val="single"/>
                <w:rtl/>
              </w:rPr>
            </w:pPr>
            <w:bookmarkStart w:id="4" w:name="PsakDin" w:colFirst="0" w:colLast="0"/>
            <w:bookmarkEnd w:id="0"/>
            <w:r w:rsidRPr="00D74603">
              <w:rPr>
                <w:rFonts w:ascii="David" w:hAnsi="David"/>
                <w:b/>
                <w:bCs/>
                <w:sz w:val="32"/>
                <w:szCs w:val="32"/>
                <w:u w:val="single"/>
                <w:rtl/>
              </w:rPr>
              <w:t>גזר דין</w:t>
            </w:r>
          </w:p>
          <w:p w14:paraId="272270EC" w14:textId="77777777" w:rsidR="00D74603" w:rsidRPr="00D74603" w:rsidRDefault="00D74603" w:rsidP="00D74603">
            <w:pPr>
              <w:jc w:val="center"/>
              <w:rPr>
                <w:rFonts w:ascii="David" w:hAnsi="David"/>
                <w:bCs/>
                <w:sz w:val="32"/>
                <w:szCs w:val="32"/>
                <w:u w:val="single"/>
                <w:rtl/>
              </w:rPr>
            </w:pPr>
          </w:p>
        </w:tc>
      </w:tr>
      <w:bookmarkEnd w:id="4"/>
    </w:tbl>
    <w:p w14:paraId="5A48A70C" w14:textId="77777777" w:rsidR="00D74603" w:rsidRPr="000F2247" w:rsidRDefault="00D74603">
      <w:pPr>
        <w:rPr>
          <w:rFonts w:ascii="Arial" w:hAnsi="Arial"/>
          <w:b/>
          <w:bCs/>
          <w:sz w:val="26"/>
          <w:szCs w:val="26"/>
          <w:rtl/>
        </w:rPr>
      </w:pPr>
    </w:p>
    <w:p w14:paraId="303D62E2" w14:textId="77777777" w:rsidR="00BF5B01" w:rsidRDefault="00BF5B01">
      <w:pPr>
        <w:rPr>
          <w:rFonts w:ascii="Arial" w:hAnsi="Arial"/>
          <w:b/>
          <w:bCs/>
          <w:sz w:val="26"/>
          <w:szCs w:val="26"/>
          <w:rtl/>
        </w:rPr>
      </w:pPr>
    </w:p>
    <w:p w14:paraId="3E0744AE" w14:textId="77777777" w:rsidR="00BF5B01" w:rsidRDefault="00BF5B01" w:rsidP="00056A3E">
      <w:pPr>
        <w:spacing w:line="360" w:lineRule="auto"/>
        <w:jc w:val="both"/>
        <w:rPr>
          <w:rFonts w:ascii="Arial" w:hAnsi="Arial"/>
          <w:b/>
          <w:bCs/>
          <w:sz w:val="26"/>
          <w:u w:val="single"/>
          <w:rtl/>
        </w:rPr>
      </w:pPr>
      <w:r>
        <w:rPr>
          <w:rFonts w:ascii="Arial" w:hAnsi="Arial"/>
          <w:b/>
          <w:bCs/>
          <w:sz w:val="26"/>
          <w:u w:val="single"/>
          <w:rtl/>
        </w:rPr>
        <w:t>כתב האישום המתוקן</w:t>
      </w:r>
    </w:p>
    <w:p w14:paraId="37E2931D" w14:textId="77777777" w:rsidR="00BF5B01" w:rsidRDefault="00BF5B01" w:rsidP="00056A3E">
      <w:pPr>
        <w:spacing w:line="360" w:lineRule="auto"/>
        <w:jc w:val="both"/>
        <w:rPr>
          <w:rFonts w:ascii="Arial" w:hAnsi="Arial"/>
          <w:sz w:val="26"/>
          <w:rtl/>
        </w:rPr>
      </w:pPr>
    </w:p>
    <w:p w14:paraId="0A329974" w14:textId="77777777" w:rsidR="00BF5B01" w:rsidRDefault="00BF5B01" w:rsidP="00056A3E">
      <w:pPr>
        <w:spacing w:line="360" w:lineRule="auto"/>
        <w:jc w:val="both"/>
        <w:rPr>
          <w:rFonts w:ascii="Arial" w:hAnsi="Arial"/>
          <w:sz w:val="26"/>
          <w:rtl/>
        </w:rPr>
      </w:pPr>
      <w:bookmarkStart w:id="5" w:name="ABSTRACT_START"/>
      <w:bookmarkEnd w:id="5"/>
      <w:r>
        <w:rPr>
          <w:rFonts w:ascii="Arial" w:hAnsi="Arial"/>
          <w:sz w:val="26"/>
          <w:rtl/>
        </w:rPr>
        <w:t>הנאשם הורשע על יסוד הודאתו בביצוע העבירות המיוחסות לו בכתב האישום המתוקן כדלקמן:</w:t>
      </w:r>
    </w:p>
    <w:p w14:paraId="5235A96B" w14:textId="77777777" w:rsidR="00BF5B01" w:rsidRDefault="00BF5B01" w:rsidP="00056A3E">
      <w:pPr>
        <w:spacing w:line="360" w:lineRule="auto"/>
        <w:ind w:left="720" w:hanging="720"/>
        <w:jc w:val="both"/>
        <w:rPr>
          <w:rFonts w:ascii="Arial" w:hAnsi="Arial"/>
          <w:sz w:val="26"/>
          <w:rtl/>
        </w:rPr>
      </w:pPr>
    </w:p>
    <w:p w14:paraId="6FB14323" w14:textId="77777777" w:rsidR="00BF5B01" w:rsidRDefault="00BF5B01" w:rsidP="00056A3E">
      <w:pPr>
        <w:spacing w:line="360" w:lineRule="auto"/>
        <w:ind w:left="-58"/>
        <w:jc w:val="both"/>
        <w:rPr>
          <w:rFonts w:ascii="Arial" w:hAnsi="Arial"/>
          <w:sz w:val="26"/>
          <w:rtl/>
        </w:rPr>
      </w:pPr>
      <w:r>
        <w:rPr>
          <w:rFonts w:ascii="Arial" w:hAnsi="Arial"/>
          <w:sz w:val="26"/>
          <w:rtl/>
        </w:rPr>
        <w:t xml:space="preserve">החזקה נשיאה והובלה של נשק - עבירה לפי </w:t>
      </w:r>
      <w:hyperlink r:id="rId18" w:history="1">
        <w:r w:rsidR="00A41E55" w:rsidRPr="00A41E55">
          <w:rPr>
            <w:rStyle w:val="Hyperlink"/>
            <w:rFonts w:ascii="Arial" w:hAnsi="Arial"/>
            <w:color w:val="0000FF"/>
            <w:sz w:val="26"/>
            <w:rtl/>
          </w:rPr>
          <w:t>סעיף 144(א)</w:t>
        </w:r>
      </w:hyperlink>
      <w:r>
        <w:rPr>
          <w:rFonts w:ascii="Arial" w:hAnsi="Arial"/>
          <w:sz w:val="26"/>
          <w:rtl/>
        </w:rPr>
        <w:t xml:space="preserve"> רישא וסיפא + </w:t>
      </w:r>
      <w:hyperlink r:id="rId19" w:history="1">
        <w:r w:rsidR="00A41E55" w:rsidRPr="00A41E55">
          <w:rPr>
            <w:rStyle w:val="Hyperlink"/>
            <w:rFonts w:ascii="Arial" w:hAnsi="Arial"/>
            <w:color w:val="0000FF"/>
            <w:sz w:val="26"/>
            <w:rtl/>
          </w:rPr>
          <w:t>144(ב)</w:t>
        </w:r>
      </w:hyperlink>
      <w:r>
        <w:rPr>
          <w:rFonts w:ascii="Arial" w:hAnsi="Arial"/>
          <w:sz w:val="26"/>
          <w:rtl/>
        </w:rPr>
        <w:t xml:space="preserve"> רישא וסיפא + </w:t>
      </w:r>
      <w:hyperlink r:id="rId20" w:history="1">
        <w:r w:rsidR="00A41E55" w:rsidRPr="00A41E55">
          <w:rPr>
            <w:rStyle w:val="Hyperlink"/>
            <w:rFonts w:ascii="Arial" w:hAnsi="Arial"/>
            <w:color w:val="0000FF"/>
            <w:sz w:val="26"/>
            <w:rtl/>
          </w:rPr>
          <w:t>סעיף 29</w:t>
        </w:r>
      </w:hyperlink>
      <w:r>
        <w:rPr>
          <w:rFonts w:ascii="Arial" w:hAnsi="Arial"/>
          <w:sz w:val="26"/>
          <w:rtl/>
        </w:rPr>
        <w:t xml:space="preserve"> ל</w:t>
      </w:r>
      <w:hyperlink r:id="rId21" w:history="1">
        <w:r w:rsidR="00D74603" w:rsidRPr="00D74603">
          <w:rPr>
            <w:rFonts w:ascii="Arial" w:hAnsi="Arial"/>
            <w:color w:val="0000FF"/>
            <w:sz w:val="26"/>
            <w:u w:val="single"/>
            <w:rtl/>
          </w:rPr>
          <w:t>חוק העונשין</w:t>
        </w:r>
      </w:hyperlink>
      <w:r>
        <w:rPr>
          <w:rFonts w:ascii="Arial" w:hAnsi="Arial"/>
          <w:sz w:val="26"/>
          <w:rtl/>
        </w:rPr>
        <w:t>, התשל"ז-1977 (להלן: "</w:t>
      </w:r>
      <w:r>
        <w:rPr>
          <w:rFonts w:ascii="Arial" w:hAnsi="Arial"/>
          <w:b/>
          <w:bCs/>
          <w:sz w:val="26"/>
          <w:rtl/>
        </w:rPr>
        <w:t>חוק העונשין</w:t>
      </w:r>
      <w:r>
        <w:rPr>
          <w:rFonts w:ascii="Arial" w:hAnsi="Arial"/>
          <w:sz w:val="26"/>
          <w:rtl/>
        </w:rPr>
        <w:t xml:space="preserve">"); ירי מנשק חם שלא כדין, בצוותא חדא עם אחר - עבירה לפי </w:t>
      </w:r>
      <w:hyperlink r:id="rId22" w:history="1">
        <w:r w:rsidR="00A41E55" w:rsidRPr="00A41E55">
          <w:rPr>
            <w:rStyle w:val="Hyperlink"/>
            <w:rFonts w:ascii="Arial" w:hAnsi="Arial"/>
            <w:color w:val="0000FF"/>
            <w:sz w:val="26"/>
            <w:rtl/>
          </w:rPr>
          <w:t>סעיף 340א(א)</w:t>
        </w:r>
      </w:hyperlink>
      <w:r>
        <w:rPr>
          <w:rFonts w:ascii="Arial" w:hAnsi="Arial"/>
          <w:sz w:val="26"/>
          <w:rtl/>
        </w:rPr>
        <w:t>+</w:t>
      </w:r>
      <w:hyperlink r:id="rId23" w:history="1">
        <w:r w:rsidR="00A41E55" w:rsidRPr="00A41E55">
          <w:rPr>
            <w:rStyle w:val="Hyperlink"/>
            <w:rFonts w:ascii="Arial" w:hAnsi="Arial"/>
            <w:color w:val="0000FF"/>
            <w:sz w:val="26"/>
            <w:rtl/>
          </w:rPr>
          <w:t>סעיף 29</w:t>
        </w:r>
      </w:hyperlink>
      <w:r>
        <w:rPr>
          <w:rFonts w:ascii="Arial" w:hAnsi="Arial"/>
          <w:sz w:val="26"/>
          <w:rtl/>
        </w:rPr>
        <w:t xml:space="preserve"> לחוק העונשין; החזקת סכין שלא כדין - עבירה לפי </w:t>
      </w:r>
      <w:hyperlink r:id="rId24" w:history="1">
        <w:r w:rsidR="00A41E55" w:rsidRPr="00A41E55">
          <w:rPr>
            <w:rStyle w:val="Hyperlink"/>
            <w:rFonts w:ascii="Arial" w:hAnsi="Arial"/>
            <w:color w:val="0000FF"/>
            <w:sz w:val="26"/>
            <w:rtl/>
          </w:rPr>
          <w:t>סעיף 186(א)</w:t>
        </w:r>
      </w:hyperlink>
      <w:r>
        <w:rPr>
          <w:rFonts w:ascii="Arial" w:hAnsi="Arial"/>
          <w:sz w:val="26"/>
          <w:rtl/>
        </w:rPr>
        <w:t xml:space="preserve"> לחוק העונשין.</w:t>
      </w:r>
    </w:p>
    <w:p w14:paraId="7E698AAD" w14:textId="77777777" w:rsidR="00BF5B01" w:rsidRDefault="00BF5B01" w:rsidP="00056A3E">
      <w:pPr>
        <w:spacing w:line="360" w:lineRule="auto"/>
        <w:jc w:val="both"/>
        <w:rPr>
          <w:rFonts w:ascii="Arial" w:hAnsi="Arial"/>
          <w:sz w:val="26"/>
          <w:rtl/>
        </w:rPr>
      </w:pPr>
      <w:bookmarkStart w:id="6" w:name="ABSTRACT_END"/>
      <w:bookmarkEnd w:id="6"/>
    </w:p>
    <w:p w14:paraId="31F9FD85" w14:textId="77777777" w:rsidR="00BF5B01" w:rsidRDefault="00BF5B01" w:rsidP="00056A3E">
      <w:pPr>
        <w:spacing w:line="360" w:lineRule="auto"/>
        <w:jc w:val="both"/>
        <w:rPr>
          <w:rFonts w:ascii="Arial" w:hAnsi="Arial"/>
          <w:sz w:val="26"/>
          <w:rtl/>
        </w:rPr>
      </w:pPr>
      <w:r>
        <w:rPr>
          <w:rFonts w:ascii="Arial" w:hAnsi="Arial"/>
          <w:sz w:val="26"/>
          <w:rtl/>
        </w:rPr>
        <w:t>לפי עובדות כתב האישום המתוקן, במועד הרלוונטי לכתב האישום ובכלל, עשה הנאשם שימוש ברכב מסוג פולקסווגן ג'טה לבן מ"ר 16-706-12 (להלן: "</w:t>
      </w:r>
      <w:r>
        <w:rPr>
          <w:rFonts w:ascii="Arial" w:hAnsi="Arial"/>
          <w:b/>
          <w:bCs/>
          <w:sz w:val="26"/>
          <w:rtl/>
        </w:rPr>
        <w:t>הרכב</w:t>
      </w:r>
      <w:r>
        <w:rPr>
          <w:rFonts w:ascii="Arial" w:hAnsi="Arial"/>
          <w:sz w:val="26"/>
          <w:rtl/>
        </w:rPr>
        <w:t>") הרשום במשרד הרישוי על שם אחותו, אלינור נסראלדין, אך בבעלותו של הנאשם, אשר נוהג בו מנהג בעלים.</w:t>
      </w:r>
    </w:p>
    <w:p w14:paraId="5E7F95BB" w14:textId="77777777" w:rsidR="00BF5B01" w:rsidRDefault="00BF5B01" w:rsidP="00056A3E">
      <w:pPr>
        <w:spacing w:line="360" w:lineRule="auto"/>
        <w:jc w:val="both"/>
        <w:rPr>
          <w:rFonts w:ascii="Arial" w:hAnsi="Arial"/>
          <w:sz w:val="26"/>
          <w:rtl/>
        </w:rPr>
      </w:pPr>
    </w:p>
    <w:p w14:paraId="5FA00C89" w14:textId="77777777" w:rsidR="00BF5B01" w:rsidRDefault="00BF5B01" w:rsidP="00056A3E">
      <w:pPr>
        <w:spacing w:line="360" w:lineRule="auto"/>
        <w:jc w:val="both"/>
        <w:rPr>
          <w:rFonts w:ascii="Arial" w:hAnsi="Arial"/>
          <w:sz w:val="26"/>
          <w:rtl/>
        </w:rPr>
      </w:pPr>
      <w:r>
        <w:rPr>
          <w:rFonts w:ascii="Arial" w:hAnsi="Arial"/>
          <w:sz w:val="26"/>
          <w:rtl/>
        </w:rPr>
        <w:t>ביום 23/4/23, בסמוך לשעה 02:08, נסע הנאשם ברכב עם אחר, שזהותו אינה ידועה למאשימה (להלן: "</w:t>
      </w:r>
      <w:r>
        <w:rPr>
          <w:rFonts w:ascii="Arial" w:hAnsi="Arial"/>
          <w:b/>
          <w:bCs/>
          <w:sz w:val="26"/>
          <w:rtl/>
        </w:rPr>
        <w:t>האחר</w:t>
      </w:r>
      <w:r>
        <w:rPr>
          <w:rFonts w:ascii="Arial" w:hAnsi="Arial"/>
          <w:sz w:val="26"/>
          <w:rtl/>
        </w:rPr>
        <w:t xml:space="preserve">"), ברחבי היישוב כיסרא-סמיע, כשהנאשם נוהג ברכב והאחר יושב במושב הקדמי </w:t>
      </w:r>
      <w:r>
        <w:rPr>
          <w:rFonts w:ascii="Arial" w:hAnsi="Arial"/>
          <w:sz w:val="26"/>
          <w:rtl/>
        </w:rPr>
        <w:lastRenderedPageBreak/>
        <w:t>שלידו. באותה העת, האחר החזיק, נשא והוביל רובה סער 16</w:t>
      </w:r>
      <w:r>
        <w:rPr>
          <w:rFonts w:ascii="Arial" w:hAnsi="Arial"/>
          <w:sz w:val="26"/>
        </w:rPr>
        <w:t>M</w:t>
      </w:r>
      <w:r>
        <w:rPr>
          <w:rFonts w:ascii="Arial" w:hAnsi="Arial"/>
          <w:sz w:val="26"/>
          <w:rtl/>
        </w:rPr>
        <w:t>, כשהוא טעון במחסנית המתאימה לנשק ובתוכה כדורים תואמים. הרובה הינו כלי שמסוגל לירות כדור ושבכוחו להמית אדם ולפיכך מהווה "נשק" כהגדרת מונח זה בחוק, המחסנית והכדורים מהווים אביזר ותחמושת לנשק, כאמור.</w:t>
      </w:r>
    </w:p>
    <w:p w14:paraId="1A0DC94D" w14:textId="77777777" w:rsidR="00BF5B01" w:rsidRDefault="00BF5B01" w:rsidP="00056A3E">
      <w:pPr>
        <w:spacing w:line="360" w:lineRule="auto"/>
        <w:jc w:val="both"/>
        <w:rPr>
          <w:rFonts w:ascii="Arial" w:hAnsi="Arial"/>
          <w:sz w:val="26"/>
          <w:rtl/>
        </w:rPr>
      </w:pPr>
    </w:p>
    <w:p w14:paraId="1DF0472C" w14:textId="77777777" w:rsidR="00BF5B01" w:rsidRDefault="00BF5B01" w:rsidP="00056A3E">
      <w:pPr>
        <w:spacing w:line="360" w:lineRule="auto"/>
        <w:jc w:val="both"/>
        <w:rPr>
          <w:rFonts w:ascii="Arial" w:hAnsi="Arial"/>
          <w:sz w:val="26"/>
          <w:rtl/>
        </w:rPr>
      </w:pPr>
      <w:r>
        <w:rPr>
          <w:rFonts w:ascii="Arial" w:hAnsi="Arial"/>
          <w:sz w:val="26"/>
          <w:rtl/>
        </w:rPr>
        <w:t>בהמשך לכך, בשעה 02:08 לערך, בעודם נוסעים ברכב, בסמוך לכניסה לשכונת החיילים המשוחררים בישוב, ירו הנאשם והאחר באוויר, בצוותא חדא ושלא כדין, באמצעות הרובה, לפחות כדור אחד. בהמשך הנסיעה, במרחק של עשרות מטרים נוספים, ירו הנאשם והאחר באוויר פעם נוספת, בצוותא חדא ושלא כדין, לפחות 22 כדורים.</w:t>
      </w:r>
    </w:p>
    <w:p w14:paraId="25E71F4E" w14:textId="77777777" w:rsidR="00BF5B01" w:rsidRDefault="00BF5B01" w:rsidP="00056A3E">
      <w:pPr>
        <w:spacing w:line="360" w:lineRule="auto"/>
        <w:jc w:val="both"/>
        <w:rPr>
          <w:rFonts w:ascii="Arial" w:hAnsi="Arial"/>
          <w:sz w:val="26"/>
          <w:rtl/>
        </w:rPr>
      </w:pPr>
    </w:p>
    <w:p w14:paraId="2EA8AF48" w14:textId="77777777" w:rsidR="00BF5B01" w:rsidRDefault="00BF5B01" w:rsidP="00056A3E">
      <w:pPr>
        <w:spacing w:line="360" w:lineRule="auto"/>
        <w:jc w:val="both"/>
        <w:rPr>
          <w:rFonts w:ascii="Arial" w:hAnsi="Arial"/>
          <w:sz w:val="26"/>
          <w:rtl/>
        </w:rPr>
      </w:pPr>
      <w:r>
        <w:rPr>
          <w:rFonts w:ascii="Arial" w:hAnsi="Arial"/>
          <w:sz w:val="26"/>
          <w:rtl/>
        </w:rPr>
        <w:t xml:space="preserve">בהמשך לכך, בסמוך לשעה 03:01, נהג הנאשם ברכב ברחבי הישוב, כשהוא מחזיק, נושא ומוביל בלא רשות על-פי דין נשק, כמפורט להלן: שני רימוני יד מדוכה מיוחדים, הפולטים גז </w:t>
      </w:r>
      <w:r>
        <w:rPr>
          <w:rFonts w:ascii="Arial" w:hAnsi="Arial"/>
          <w:sz w:val="26"/>
        </w:rPr>
        <w:t>CS</w:t>
      </w:r>
      <w:r>
        <w:rPr>
          <w:rFonts w:ascii="Arial" w:hAnsi="Arial"/>
          <w:sz w:val="26"/>
          <w:rtl/>
        </w:rPr>
        <w:t xml:space="preserve"> בעת פעולתם, מפתחים הממוקמים בגוף הרימון; מחסנית של 16</w:t>
      </w:r>
      <w:r>
        <w:rPr>
          <w:rFonts w:ascii="Arial" w:hAnsi="Arial"/>
          <w:sz w:val="26"/>
        </w:rPr>
        <w:t>M</w:t>
      </w:r>
      <w:r>
        <w:rPr>
          <w:rFonts w:ascii="Arial" w:hAnsi="Arial"/>
          <w:sz w:val="26"/>
          <w:rtl/>
        </w:rPr>
        <w:t>,; מדמה קליע פורק; 10 תרמילים בקוטר של 5.56 מ"מ; ו-5 כדורים "חיים" בקוטר של 5.56 מ"מ, כל זאת בלא רשות על-פי דין. הרימונים הינם כלים שבכוחם להזיק לאדם בעת פעולתם, ומהווים נשק כהגדרתו בחוק, המחסנית מהווה אביזר לנשק, הכדורים והתרמילים מהווים תחמושת של נשק.</w:t>
      </w:r>
    </w:p>
    <w:p w14:paraId="18591CA0" w14:textId="77777777" w:rsidR="00BF5B01" w:rsidRDefault="00BF5B01" w:rsidP="00056A3E">
      <w:pPr>
        <w:spacing w:line="360" w:lineRule="auto"/>
        <w:jc w:val="both"/>
        <w:rPr>
          <w:rFonts w:ascii="Arial" w:hAnsi="Arial"/>
          <w:sz w:val="26"/>
          <w:rtl/>
        </w:rPr>
      </w:pPr>
    </w:p>
    <w:p w14:paraId="2DABD3D5" w14:textId="77777777" w:rsidR="00BF5B01" w:rsidRDefault="00BF5B01" w:rsidP="00056A3E">
      <w:pPr>
        <w:spacing w:line="360" w:lineRule="auto"/>
        <w:jc w:val="both"/>
        <w:rPr>
          <w:rFonts w:ascii="Arial" w:hAnsi="Arial"/>
          <w:sz w:val="26"/>
          <w:rtl/>
        </w:rPr>
      </w:pPr>
      <w:r>
        <w:rPr>
          <w:rFonts w:ascii="Arial" w:hAnsi="Arial"/>
          <w:sz w:val="26"/>
          <w:rtl/>
        </w:rPr>
        <w:t>באותה העת, בעודו נוסע ברכב, החזיק הנאשם סכין מטבח שלא כדין.</w:t>
      </w:r>
    </w:p>
    <w:p w14:paraId="33EA6494" w14:textId="77777777" w:rsidR="00BF5B01" w:rsidRDefault="00BF5B01" w:rsidP="00056A3E">
      <w:pPr>
        <w:spacing w:line="360" w:lineRule="auto"/>
        <w:jc w:val="both"/>
        <w:rPr>
          <w:rFonts w:ascii="Arial" w:hAnsi="Arial"/>
          <w:b/>
          <w:bCs/>
          <w:sz w:val="26"/>
          <w:u w:val="single"/>
          <w:rtl/>
        </w:rPr>
      </w:pPr>
    </w:p>
    <w:p w14:paraId="42213F35" w14:textId="77777777" w:rsidR="00BF5B01" w:rsidRDefault="00BF5B01" w:rsidP="00056A3E">
      <w:pPr>
        <w:spacing w:line="360" w:lineRule="auto"/>
        <w:jc w:val="both"/>
        <w:rPr>
          <w:rFonts w:ascii="Arial" w:hAnsi="Arial"/>
          <w:b/>
          <w:bCs/>
          <w:sz w:val="26"/>
          <w:u w:val="single"/>
          <w:rtl/>
        </w:rPr>
      </w:pPr>
      <w:r>
        <w:rPr>
          <w:rFonts w:ascii="Arial" w:hAnsi="Arial"/>
          <w:b/>
          <w:bCs/>
          <w:sz w:val="26"/>
          <w:u w:val="single"/>
          <w:rtl/>
        </w:rPr>
        <w:t>טענות הצדדים לעונש</w:t>
      </w:r>
    </w:p>
    <w:p w14:paraId="1082AC00" w14:textId="77777777" w:rsidR="00BF5B01" w:rsidRDefault="00BF5B01" w:rsidP="00056A3E">
      <w:pPr>
        <w:spacing w:line="360" w:lineRule="auto"/>
        <w:jc w:val="both"/>
        <w:rPr>
          <w:rFonts w:ascii="Arial" w:hAnsi="Arial"/>
          <w:sz w:val="26"/>
          <w:rtl/>
        </w:rPr>
      </w:pPr>
    </w:p>
    <w:p w14:paraId="000D2404" w14:textId="77777777" w:rsidR="00BF5B01" w:rsidRDefault="00BF5B01" w:rsidP="00056A3E">
      <w:pPr>
        <w:spacing w:line="360" w:lineRule="auto"/>
        <w:jc w:val="both"/>
        <w:rPr>
          <w:rFonts w:ascii="Arial" w:hAnsi="Arial"/>
          <w:sz w:val="26"/>
          <w:rtl/>
        </w:rPr>
      </w:pPr>
      <w:r>
        <w:rPr>
          <w:rFonts w:ascii="Arial" w:hAnsi="Arial"/>
          <w:sz w:val="26"/>
          <w:rtl/>
        </w:rPr>
        <w:t xml:space="preserve">ב"כ המאשימה המלומד הגיש טיעון לעונש בכתב, במסגרתו עמד על חומרת מעשיו של הנאשם, נסיבות ביצוע העבירה, הצורך להילחם בעבירות נשק, בהחמרה עונשית, כמצוות פסיקתו של בית המשפט העליון, בשים לב לעובדה שעבירות הנשק הפכו למכת מדינה, והחזקת נשק והשימוש בו התרבתה בעת האחרונה ומובילה לא אחת לפגיעות בנפש. הודגש, כי חלקו של הנאשם בביצוע העבירה הוא אבסולוטי, הנזק שהיה צפוי להיגרם כתוצאה ממעשיו של הנאשם חמור, בשים לב לכך שהנאשם ביצע ירי בשטח בנוי, נעצר עם רימוני גז פוגעניים ברכבו, שבכוחם להזיק לאדם. </w:t>
      </w:r>
    </w:p>
    <w:p w14:paraId="132B60C8" w14:textId="77777777" w:rsidR="00BF5B01" w:rsidRDefault="00BF5B01" w:rsidP="00056A3E">
      <w:pPr>
        <w:spacing w:line="360" w:lineRule="auto"/>
        <w:jc w:val="both"/>
        <w:rPr>
          <w:rFonts w:ascii="Arial" w:hAnsi="Arial"/>
          <w:sz w:val="26"/>
          <w:rtl/>
        </w:rPr>
      </w:pPr>
    </w:p>
    <w:p w14:paraId="022C9C66" w14:textId="77777777" w:rsidR="00BF5B01" w:rsidRDefault="00BF5B01" w:rsidP="00056A3E">
      <w:pPr>
        <w:spacing w:line="360" w:lineRule="auto"/>
        <w:jc w:val="both"/>
        <w:rPr>
          <w:rFonts w:ascii="Arial" w:hAnsi="Arial"/>
          <w:sz w:val="26"/>
          <w:rtl/>
        </w:rPr>
      </w:pPr>
      <w:r>
        <w:rPr>
          <w:rFonts w:ascii="Arial" w:hAnsi="Arial"/>
          <w:sz w:val="26"/>
          <w:rtl/>
        </w:rPr>
        <w:t>עוד הפנה ב"כ המאשימה לפסיקה אשר ניתן לגזור ממנה את מתחם העונש הנוהג בעבירות בהן הורשע הנאשם. לאור כל אלה ביקש ב"כ המאשימה המלומד, כי בית-המשפט יקבע מתחם עונש הולם הנע בין 30 עד 48 חודשי מאסר בפועל לצד ענישה נלווית. אשר למיקום העונש במתחם, נטען כי בהינתן העדר עבר פלילי, הודאתו של הנאשם וקבלת אחריות על המעשים, יש למקם את העונש ברף התחתון של מתחם הענישה המוצע, לצד מאסר על תנאי משמעותי וקנס כספי.</w:t>
      </w:r>
    </w:p>
    <w:p w14:paraId="0478979F" w14:textId="77777777" w:rsidR="00BF5B01" w:rsidRDefault="00BF5B01" w:rsidP="00056A3E">
      <w:pPr>
        <w:spacing w:line="360" w:lineRule="auto"/>
        <w:jc w:val="both"/>
        <w:rPr>
          <w:rFonts w:ascii="Arial" w:hAnsi="Arial"/>
          <w:sz w:val="26"/>
          <w:rtl/>
        </w:rPr>
      </w:pPr>
    </w:p>
    <w:p w14:paraId="215D5047" w14:textId="77777777" w:rsidR="00BF5B01" w:rsidRDefault="00BF5B01" w:rsidP="00056A3E">
      <w:pPr>
        <w:spacing w:line="360" w:lineRule="auto"/>
        <w:jc w:val="both"/>
        <w:rPr>
          <w:rFonts w:ascii="Arial" w:hAnsi="Arial"/>
          <w:sz w:val="26"/>
          <w:rtl/>
        </w:rPr>
      </w:pPr>
      <w:r>
        <w:rPr>
          <w:rFonts w:ascii="Arial" w:hAnsi="Arial"/>
          <w:sz w:val="26"/>
          <w:rtl/>
        </w:rPr>
        <w:t xml:space="preserve">מנגד, עמד הסניגור המלומד על כך, שכתב האישום תוקן באופן "יסודי מאד", כלשונו, וכך שמדובר בנשיאה והובלת שני רימוני גז, 10 תרמילים ריקים ו-5 כדורים "חיים", והחזקת סכין. צוין, כי </w:t>
      </w:r>
      <w:r>
        <w:rPr>
          <w:rFonts w:ascii="Arial" w:hAnsi="Arial"/>
          <w:sz w:val="26"/>
          <w:rtl/>
        </w:rPr>
        <w:lastRenderedPageBreak/>
        <w:t xml:space="preserve">הנאשם הודה בביצוע ירי בשטח בנוי, מדובר בחלופה מקלה, שבוצעה בצוותא עם אחר. הירי בוצע בשטח לא מאוכלס, נמחקה מכתב האישום עבירת החזקת הנשק הארוך לנאשם (רובה ה- </w:t>
      </w:r>
      <w:r>
        <w:rPr>
          <w:rFonts w:ascii="Arial" w:hAnsi="Arial"/>
          <w:sz w:val="26"/>
        </w:rPr>
        <w:t>M</w:t>
      </w:r>
      <w:r>
        <w:rPr>
          <w:rFonts w:ascii="Arial" w:hAnsi="Arial"/>
          <w:sz w:val="26"/>
          <w:rtl/>
        </w:rPr>
        <w:t>16), ונטען כי הנאשם נטל אחריות מלאה על הירי, למרות שבפועל, מי שביצע את הירי הוא אותו אחר, כך לטענת הסניגור. עוד הודגש, כי מדובר בנאשם אשר קיבל אחריות מלאה על כל המעשים, ביקש להודות ולשלם את המחיר על מעשיו, הוא נעדר הרשעות קודמות. עוד הפנה הסנגור המלומד לפסיקה אשר לשיטתו מלמדת על ענישה מקלה בשים לב לנסיבות דומות, תוך הבחנת הפסיקה אליה המאשימה בנסיבותיה.</w:t>
      </w:r>
    </w:p>
    <w:p w14:paraId="13DD7DD6" w14:textId="77777777" w:rsidR="00BF5B01" w:rsidRDefault="00BF5B01" w:rsidP="00056A3E">
      <w:pPr>
        <w:spacing w:line="360" w:lineRule="auto"/>
        <w:jc w:val="both"/>
        <w:rPr>
          <w:rFonts w:ascii="Arial" w:hAnsi="Arial"/>
          <w:sz w:val="26"/>
          <w:rtl/>
        </w:rPr>
      </w:pPr>
    </w:p>
    <w:p w14:paraId="333128C9" w14:textId="77777777" w:rsidR="00BF5B01" w:rsidRDefault="00BF5B01" w:rsidP="00056A3E">
      <w:pPr>
        <w:spacing w:line="360" w:lineRule="auto"/>
        <w:jc w:val="both"/>
        <w:rPr>
          <w:rFonts w:ascii="Arial" w:hAnsi="Arial"/>
          <w:sz w:val="26"/>
          <w:rtl/>
        </w:rPr>
      </w:pPr>
      <w:r>
        <w:rPr>
          <w:rFonts w:ascii="Arial" w:hAnsi="Arial"/>
          <w:sz w:val="26"/>
          <w:rtl/>
        </w:rPr>
        <w:t>אשר לנסיבותיו האישיות של הנאשם, טען הסנגור כי מדובר בנאשם עם נסיבות אישיות קשות, מצב סוציו-אקונומי נמוך, תוך שהפנה לדו"חות המחלקה לשירותים חברתיים של המועצה המקומית כיסרא המטפלת במשפחה (נ/1). בשים לב לכל אלה, טען הסנגור כי יש לקבוע מתחם עונש הולם המתחיל במס' חודשי מאסר בפועל עד 18 חודשים, ולאור העובדה שהנאשם מצוי במעצר מזה כ-10 חודשים, ביקש להסתפק במעצרו.</w:t>
      </w:r>
    </w:p>
    <w:p w14:paraId="7FF68563" w14:textId="77777777" w:rsidR="00BF5B01" w:rsidRDefault="00BF5B01" w:rsidP="00056A3E">
      <w:pPr>
        <w:spacing w:line="360" w:lineRule="auto"/>
        <w:jc w:val="both"/>
        <w:rPr>
          <w:rFonts w:ascii="Arial" w:hAnsi="Arial"/>
          <w:sz w:val="26"/>
          <w:u w:val="single"/>
          <w:rtl/>
        </w:rPr>
      </w:pPr>
    </w:p>
    <w:p w14:paraId="2F6831C5" w14:textId="77777777" w:rsidR="00BF5B01" w:rsidRDefault="00BF5B01" w:rsidP="00056A3E">
      <w:pPr>
        <w:spacing w:line="360" w:lineRule="auto"/>
        <w:jc w:val="both"/>
        <w:rPr>
          <w:rFonts w:ascii="Arial" w:hAnsi="Arial"/>
          <w:b/>
          <w:bCs/>
          <w:sz w:val="26"/>
          <w:u w:val="single"/>
          <w:rtl/>
        </w:rPr>
      </w:pPr>
      <w:r>
        <w:rPr>
          <w:rFonts w:ascii="Arial" w:hAnsi="Arial"/>
          <w:b/>
          <w:bCs/>
          <w:sz w:val="26"/>
          <w:u w:val="single"/>
          <w:rtl/>
        </w:rPr>
        <w:t>דיון והכרעה עונשית</w:t>
      </w:r>
    </w:p>
    <w:p w14:paraId="4B4A2C1B" w14:textId="77777777" w:rsidR="00BF5B01" w:rsidRDefault="00BF5B01" w:rsidP="00056A3E">
      <w:pPr>
        <w:spacing w:line="360" w:lineRule="auto"/>
        <w:jc w:val="both"/>
        <w:rPr>
          <w:rFonts w:ascii="Arial" w:hAnsi="Arial"/>
          <w:sz w:val="26"/>
          <w:rtl/>
        </w:rPr>
      </w:pPr>
    </w:p>
    <w:p w14:paraId="778AE3F8" w14:textId="77777777" w:rsidR="00BF5B01" w:rsidRDefault="00BF5B01" w:rsidP="00056A3E">
      <w:pPr>
        <w:spacing w:line="360" w:lineRule="auto"/>
        <w:jc w:val="both"/>
        <w:rPr>
          <w:rFonts w:ascii="Arial" w:hAnsi="Arial"/>
          <w:sz w:val="26"/>
          <w:rtl/>
        </w:rPr>
      </w:pPr>
      <w:r>
        <w:rPr>
          <w:rFonts w:ascii="Arial" w:hAnsi="Arial"/>
          <w:sz w:val="26"/>
          <w:rtl/>
        </w:rPr>
        <w:t>העבירות אותן ביצע הנאשם טומנות בחובן סיכון משמעותי לחיי אדם ולשלום הציבור, ומכאן הפגיעה החמורה בערכים חברתיים אלה, אפנה בהקשר זה לדבריו של בית-המשפט העליון ב</w:t>
      </w:r>
      <w:hyperlink r:id="rId25" w:history="1">
        <w:r w:rsidR="00D74603" w:rsidRPr="00D74603">
          <w:rPr>
            <w:rFonts w:ascii="Arial" w:hAnsi="Arial"/>
            <w:color w:val="0000FF"/>
            <w:sz w:val="26"/>
            <w:u w:val="single"/>
            <w:rtl/>
          </w:rPr>
          <w:t>ע"פ 9830/17</w:t>
        </w:r>
      </w:hyperlink>
      <w:r>
        <w:rPr>
          <w:rFonts w:ascii="Arial" w:hAnsi="Arial"/>
          <w:sz w:val="26"/>
          <w:rtl/>
        </w:rPr>
        <w:t xml:space="preserve"> </w:t>
      </w:r>
      <w:r>
        <w:rPr>
          <w:rFonts w:ascii="Arial" w:hAnsi="Arial"/>
          <w:b/>
          <w:bCs/>
          <w:sz w:val="26"/>
          <w:rtl/>
        </w:rPr>
        <w:t>פלאח חמוד נ' מדינת-ישראל</w:t>
      </w:r>
      <w:r>
        <w:rPr>
          <w:rFonts w:ascii="Arial" w:hAnsi="Arial"/>
          <w:sz w:val="26"/>
          <w:rtl/>
        </w:rPr>
        <w:t xml:space="preserve"> (8/3/18): </w:t>
      </w:r>
    </w:p>
    <w:p w14:paraId="26588AF8" w14:textId="77777777" w:rsidR="00BF5B01" w:rsidRDefault="00BF5B01" w:rsidP="00056A3E">
      <w:pPr>
        <w:spacing w:line="360" w:lineRule="auto"/>
        <w:jc w:val="both"/>
        <w:rPr>
          <w:rFonts w:ascii="Arial" w:hAnsi="Arial"/>
          <w:sz w:val="26"/>
          <w:rtl/>
        </w:rPr>
      </w:pPr>
    </w:p>
    <w:p w14:paraId="2DD818E6" w14:textId="77777777" w:rsidR="00BF5B01" w:rsidRDefault="00BF5B01" w:rsidP="00056A3E">
      <w:pPr>
        <w:spacing w:line="360" w:lineRule="auto"/>
        <w:ind w:left="651" w:right="1276"/>
        <w:jc w:val="both"/>
        <w:rPr>
          <w:rFonts w:ascii="Arial" w:hAnsi="Arial" w:cs="Narkisim"/>
          <w:sz w:val="26"/>
          <w:rtl/>
        </w:rPr>
      </w:pPr>
      <w:r>
        <w:rPr>
          <w:rFonts w:ascii="Arial" w:hAnsi="Arial" w:cs="Narkisim"/>
          <w:sz w:val="26"/>
          <w:rtl/>
        </w:rPr>
        <w:t>"</w:t>
      </w:r>
      <w:r>
        <w:rPr>
          <w:rFonts w:ascii="Arial" w:hAnsi="Arial" w:cs="Narkisim"/>
          <w:b/>
          <w:bCs/>
          <w:sz w:val="26"/>
          <w:rtl/>
        </w:rPr>
        <w:t>בית-משפט זה עמד לא אחת על חומרתן של עבירות הנשק, ועל הסכנה הרבה הטמונה בביצועה, וזאת "בעיקר בשל כך שעבירות מסוג זה מקימות פוטנציאל להסלמה עבריינית ויוצרות סיכון ממשי וחמור לשלום הציבור ובטחונו"</w:t>
      </w:r>
      <w:r>
        <w:rPr>
          <w:rFonts w:ascii="Arial" w:hAnsi="Arial" w:cs="Narkisim"/>
          <w:sz w:val="26"/>
          <w:rtl/>
        </w:rPr>
        <w:t xml:space="preserve">... </w:t>
      </w:r>
      <w:r>
        <w:rPr>
          <w:rFonts w:ascii="Arial" w:hAnsi="Arial" w:cs="Narkisim"/>
          <w:b/>
          <w:bCs/>
          <w:sz w:val="26"/>
          <w:rtl/>
        </w:rPr>
        <w:t xml:space="preserve">בהתאם לכך "מדיניות הענישה הנהוגה בעבירות אלה, היא מדיניות של ענישה מחמירה, המחייבת בדרך כלל, הטלת עונשי מאסר לריצוי בפועל, גם על מי שזו הרשעתו הראשונה"... </w:t>
      </w:r>
      <w:r>
        <w:rPr>
          <w:rFonts w:ascii="Arial" w:hAnsi="Arial" w:cs="Narkisim"/>
          <w:sz w:val="26"/>
          <w:rtl/>
        </w:rPr>
        <w:t>".</w:t>
      </w:r>
    </w:p>
    <w:p w14:paraId="563FE9FF" w14:textId="77777777" w:rsidR="00BF5B01" w:rsidRDefault="00BF5B01" w:rsidP="00056A3E">
      <w:pPr>
        <w:spacing w:line="360" w:lineRule="auto"/>
        <w:jc w:val="both"/>
        <w:rPr>
          <w:rFonts w:ascii="Arial" w:hAnsi="Arial"/>
          <w:sz w:val="26"/>
          <w:rtl/>
        </w:rPr>
      </w:pPr>
    </w:p>
    <w:p w14:paraId="6D00CF8C" w14:textId="77777777" w:rsidR="00BF5B01" w:rsidRDefault="00BF5B01" w:rsidP="00056A3E">
      <w:pPr>
        <w:spacing w:line="360" w:lineRule="auto"/>
        <w:jc w:val="both"/>
        <w:rPr>
          <w:rFonts w:ascii="Arial" w:hAnsi="Arial"/>
          <w:sz w:val="26"/>
          <w:rtl/>
        </w:rPr>
      </w:pPr>
      <w:r>
        <w:rPr>
          <w:rFonts w:ascii="Arial" w:hAnsi="Arial"/>
          <w:sz w:val="26"/>
          <w:rtl/>
        </w:rPr>
        <w:t xml:space="preserve">ראו גם: </w:t>
      </w:r>
      <w:hyperlink r:id="rId26" w:history="1">
        <w:r w:rsidR="00D74603" w:rsidRPr="00D74603">
          <w:rPr>
            <w:rFonts w:ascii="Arial" w:hAnsi="Arial"/>
            <w:color w:val="0000FF"/>
            <w:sz w:val="26"/>
            <w:u w:val="single"/>
            <w:rtl/>
          </w:rPr>
          <w:t>ע"פ 2564/19</w:t>
        </w:r>
      </w:hyperlink>
      <w:r>
        <w:rPr>
          <w:rFonts w:ascii="Arial" w:hAnsi="Arial"/>
          <w:sz w:val="26"/>
          <w:rtl/>
        </w:rPr>
        <w:t xml:space="preserve"> </w:t>
      </w:r>
      <w:r>
        <w:rPr>
          <w:rFonts w:ascii="Arial" w:hAnsi="Arial"/>
          <w:b/>
          <w:bCs/>
          <w:sz w:val="26"/>
          <w:rtl/>
        </w:rPr>
        <w:t>אזברגה נ' מדינת-ישראל</w:t>
      </w:r>
      <w:r>
        <w:rPr>
          <w:rFonts w:ascii="Arial" w:hAnsi="Arial"/>
          <w:sz w:val="26"/>
          <w:rtl/>
        </w:rPr>
        <w:t xml:space="preserve"> (18/7/19); </w:t>
      </w:r>
      <w:hyperlink r:id="rId27" w:history="1">
        <w:r w:rsidR="00D74603" w:rsidRPr="00D74603">
          <w:rPr>
            <w:rFonts w:ascii="Arial" w:hAnsi="Arial"/>
            <w:color w:val="0000FF"/>
            <w:sz w:val="26"/>
            <w:u w:val="single"/>
            <w:rtl/>
          </w:rPr>
          <w:t>ע"פ 2398/14</w:t>
        </w:r>
      </w:hyperlink>
      <w:r>
        <w:rPr>
          <w:rFonts w:ascii="Arial" w:hAnsi="Arial"/>
          <w:sz w:val="26"/>
          <w:rtl/>
        </w:rPr>
        <w:t xml:space="preserve"> </w:t>
      </w:r>
      <w:r>
        <w:rPr>
          <w:rFonts w:ascii="Arial" w:hAnsi="Arial"/>
          <w:b/>
          <w:bCs/>
          <w:sz w:val="26"/>
          <w:rtl/>
        </w:rPr>
        <w:t xml:space="preserve">אלהוייזל נ' מדינת-ישראל </w:t>
      </w:r>
      <w:r>
        <w:rPr>
          <w:rFonts w:ascii="Arial" w:hAnsi="Arial"/>
          <w:sz w:val="26"/>
          <w:rtl/>
        </w:rPr>
        <w:t xml:space="preserve">(8/7/14); </w:t>
      </w:r>
      <w:hyperlink r:id="rId28" w:history="1">
        <w:r w:rsidR="00D74603" w:rsidRPr="00D74603">
          <w:rPr>
            <w:rFonts w:ascii="Arial" w:hAnsi="Arial"/>
            <w:color w:val="0000FF"/>
            <w:sz w:val="26"/>
            <w:u w:val="single"/>
            <w:rtl/>
          </w:rPr>
          <w:t>ע"פ 8207/19</w:t>
        </w:r>
      </w:hyperlink>
      <w:r>
        <w:rPr>
          <w:rFonts w:ascii="Arial" w:hAnsi="Arial"/>
          <w:sz w:val="26"/>
          <w:rtl/>
        </w:rPr>
        <w:t xml:space="preserve"> </w:t>
      </w:r>
      <w:r>
        <w:rPr>
          <w:rFonts w:ascii="Arial" w:hAnsi="Arial"/>
          <w:b/>
          <w:bCs/>
          <w:sz w:val="26"/>
          <w:rtl/>
        </w:rPr>
        <w:t>אליהו נ' מדינת-ישראל</w:t>
      </w:r>
      <w:r>
        <w:rPr>
          <w:rFonts w:ascii="Arial" w:hAnsi="Arial"/>
          <w:sz w:val="26"/>
          <w:rtl/>
        </w:rPr>
        <w:t xml:space="preserve"> (13/7/20).</w:t>
      </w:r>
    </w:p>
    <w:p w14:paraId="53272DFC" w14:textId="77777777" w:rsidR="00BF5B01" w:rsidRDefault="00BF5B01" w:rsidP="00056A3E">
      <w:pPr>
        <w:spacing w:line="360" w:lineRule="auto"/>
        <w:jc w:val="both"/>
        <w:rPr>
          <w:rFonts w:ascii="Arial" w:hAnsi="Arial"/>
          <w:sz w:val="26"/>
          <w:rtl/>
        </w:rPr>
      </w:pPr>
    </w:p>
    <w:p w14:paraId="211C0DC4" w14:textId="77777777" w:rsidR="00BF5B01" w:rsidRDefault="00BF5B01" w:rsidP="00056A3E">
      <w:pPr>
        <w:spacing w:line="360" w:lineRule="auto"/>
        <w:jc w:val="both"/>
        <w:rPr>
          <w:rFonts w:ascii="Arial" w:hAnsi="Arial"/>
          <w:sz w:val="26"/>
          <w:rtl/>
        </w:rPr>
      </w:pPr>
      <w:r>
        <w:rPr>
          <w:rFonts w:ascii="Arial" w:hAnsi="Arial"/>
          <w:sz w:val="26"/>
          <w:rtl/>
        </w:rPr>
        <w:t>מידת הפגיעה בערכים אלה היא בינונית עד גבוהה.</w:t>
      </w:r>
    </w:p>
    <w:p w14:paraId="4C48DD49" w14:textId="77777777" w:rsidR="00BF5B01" w:rsidRDefault="00BF5B01" w:rsidP="00056A3E">
      <w:pPr>
        <w:spacing w:line="360" w:lineRule="auto"/>
        <w:jc w:val="both"/>
        <w:rPr>
          <w:rFonts w:ascii="Arial" w:hAnsi="Arial"/>
          <w:b/>
          <w:bCs/>
          <w:sz w:val="26"/>
          <w:u w:val="single"/>
          <w:rtl/>
        </w:rPr>
      </w:pPr>
    </w:p>
    <w:p w14:paraId="225E257E" w14:textId="77777777" w:rsidR="00BF5B01" w:rsidRDefault="00BF5B01" w:rsidP="00056A3E">
      <w:pPr>
        <w:spacing w:line="360" w:lineRule="auto"/>
        <w:jc w:val="both"/>
        <w:rPr>
          <w:rFonts w:ascii="Arial" w:hAnsi="Arial"/>
          <w:b/>
          <w:bCs/>
          <w:sz w:val="26"/>
          <w:u w:val="single"/>
          <w:rtl/>
        </w:rPr>
      </w:pPr>
      <w:r>
        <w:rPr>
          <w:rFonts w:ascii="Arial" w:hAnsi="Arial"/>
          <w:b/>
          <w:bCs/>
          <w:sz w:val="26"/>
          <w:u w:val="single"/>
          <w:rtl/>
        </w:rPr>
        <w:t>מדיניות הענישה הנוהגת</w:t>
      </w:r>
    </w:p>
    <w:p w14:paraId="10D122CD" w14:textId="77777777" w:rsidR="00BF5B01" w:rsidRDefault="00BF5B01" w:rsidP="00056A3E">
      <w:pPr>
        <w:spacing w:line="360" w:lineRule="auto"/>
        <w:jc w:val="both"/>
        <w:rPr>
          <w:rFonts w:ascii="Arial" w:hAnsi="Arial"/>
          <w:sz w:val="26"/>
          <w:rtl/>
        </w:rPr>
      </w:pPr>
      <w:r>
        <w:rPr>
          <w:rFonts w:ascii="Arial" w:hAnsi="Arial"/>
          <w:sz w:val="26"/>
          <w:rtl/>
        </w:rPr>
        <w:t>בתיקון מס' 140 ל</w:t>
      </w:r>
      <w:hyperlink r:id="rId29" w:history="1">
        <w:r w:rsidR="00D74603" w:rsidRPr="00D74603">
          <w:rPr>
            <w:rFonts w:ascii="Arial" w:hAnsi="Arial"/>
            <w:color w:val="0000FF"/>
            <w:sz w:val="26"/>
            <w:u w:val="single"/>
            <w:rtl/>
          </w:rPr>
          <w:t>חוק העונשין</w:t>
        </w:r>
      </w:hyperlink>
      <w:r>
        <w:rPr>
          <w:rFonts w:ascii="Arial" w:hAnsi="Arial"/>
          <w:sz w:val="26"/>
          <w:rtl/>
        </w:rPr>
        <w:t>, החמיר המחוקק את הענישה בעבירות נשק, וקבע כי העונש המזערי לא יפחת מרבע העונש הקבוע בצד העבירה אותה ביצע הנאשם, אלא אם קיימים טעמים מיוחדים לכך (</w:t>
      </w:r>
      <w:hyperlink r:id="rId30" w:history="1">
        <w:r w:rsidR="00A41E55" w:rsidRPr="00A41E55">
          <w:rPr>
            <w:rStyle w:val="Hyperlink"/>
            <w:rFonts w:ascii="Arial" w:hAnsi="Arial"/>
            <w:color w:val="0000FF"/>
            <w:sz w:val="26"/>
            <w:rtl/>
          </w:rPr>
          <w:t>סעיף 144(ז)</w:t>
        </w:r>
      </w:hyperlink>
      <w:r>
        <w:rPr>
          <w:rFonts w:ascii="Arial" w:hAnsi="Arial"/>
          <w:sz w:val="26"/>
          <w:rtl/>
        </w:rPr>
        <w:t xml:space="preserve"> לחוק העונשין, התשל"ז 1977).</w:t>
      </w:r>
    </w:p>
    <w:p w14:paraId="4230C5A6" w14:textId="77777777" w:rsidR="00BF5B01" w:rsidRDefault="00BF5B01" w:rsidP="00056A3E">
      <w:pPr>
        <w:spacing w:line="360" w:lineRule="auto"/>
        <w:jc w:val="both"/>
        <w:rPr>
          <w:rFonts w:ascii="Arial" w:hAnsi="Arial"/>
          <w:b/>
          <w:bCs/>
          <w:sz w:val="26"/>
          <w:u w:val="single"/>
          <w:rtl/>
        </w:rPr>
      </w:pPr>
    </w:p>
    <w:p w14:paraId="641B4D77" w14:textId="77777777" w:rsidR="00BF5B01" w:rsidRDefault="00BF5B01" w:rsidP="00056A3E">
      <w:pPr>
        <w:spacing w:line="360" w:lineRule="auto"/>
        <w:jc w:val="both"/>
        <w:rPr>
          <w:rFonts w:ascii="Arial" w:hAnsi="Arial"/>
          <w:sz w:val="26"/>
          <w:rtl/>
        </w:rPr>
      </w:pPr>
      <w:r>
        <w:rPr>
          <w:rFonts w:ascii="Arial" w:hAnsi="Arial"/>
          <w:sz w:val="26"/>
          <w:rtl/>
        </w:rPr>
        <w:t>הגישה העונשית המסתמנת בפסיקה מאז תיקון 140 ל</w:t>
      </w:r>
      <w:hyperlink r:id="rId31" w:history="1">
        <w:r w:rsidR="00D74603" w:rsidRPr="00D74603">
          <w:rPr>
            <w:rFonts w:ascii="Arial" w:hAnsi="Arial"/>
            <w:color w:val="0000FF"/>
            <w:sz w:val="26"/>
            <w:u w:val="single"/>
            <w:rtl/>
          </w:rPr>
          <w:t>חוק העונשין</w:t>
        </w:r>
      </w:hyperlink>
      <w:r>
        <w:rPr>
          <w:rFonts w:ascii="Arial" w:hAnsi="Arial"/>
          <w:sz w:val="26"/>
          <w:rtl/>
        </w:rPr>
        <w:t xml:space="preserve"> בעבירות נשק על נגזרותיהן נוטה להחמרה עונשית מהטעמים שפורטו לעיל, ואין ללמוד מהפסיקה העונשית שנהגה לפני התיקון. יפים לנדוננו דבריו של  כב' הנשיא השופט י' עמית  ב</w:t>
      </w:r>
      <w:hyperlink r:id="rId32" w:history="1">
        <w:r w:rsidR="00D74603" w:rsidRPr="00D74603">
          <w:rPr>
            <w:rFonts w:ascii="Arial" w:hAnsi="Arial"/>
            <w:color w:val="0000FF"/>
            <w:sz w:val="26"/>
            <w:u w:val="single"/>
            <w:rtl/>
          </w:rPr>
          <w:t>ע"פ 1693/23</w:t>
        </w:r>
      </w:hyperlink>
      <w:r>
        <w:rPr>
          <w:rFonts w:ascii="Arial" w:hAnsi="Arial"/>
          <w:sz w:val="26"/>
          <w:rtl/>
        </w:rPr>
        <w:t xml:space="preserve"> </w:t>
      </w:r>
      <w:r>
        <w:rPr>
          <w:rFonts w:ascii="Arial" w:hAnsi="Arial"/>
          <w:b/>
          <w:bCs/>
          <w:sz w:val="26"/>
          <w:rtl/>
        </w:rPr>
        <w:t>אסלאם אבו אחמד נ' מדינת ישראל</w:t>
      </w:r>
      <w:r>
        <w:rPr>
          <w:rFonts w:ascii="Arial" w:hAnsi="Arial"/>
          <w:sz w:val="26"/>
          <w:rtl/>
        </w:rPr>
        <w:t xml:space="preserve">, פסקה 7 (3.12.23): </w:t>
      </w:r>
    </w:p>
    <w:p w14:paraId="0677B81C" w14:textId="77777777" w:rsidR="00BF5B01" w:rsidRDefault="00BF5B01" w:rsidP="00056A3E">
      <w:pPr>
        <w:spacing w:line="360" w:lineRule="auto"/>
        <w:jc w:val="both"/>
        <w:rPr>
          <w:rFonts w:ascii="Arial" w:hAnsi="Arial"/>
          <w:sz w:val="26"/>
          <w:rtl/>
        </w:rPr>
      </w:pPr>
    </w:p>
    <w:p w14:paraId="39DEB089" w14:textId="77777777" w:rsidR="00BF5B01" w:rsidRDefault="00BF5B01" w:rsidP="00056A3E">
      <w:pPr>
        <w:spacing w:line="360" w:lineRule="auto"/>
        <w:ind w:left="1785" w:right="993"/>
        <w:jc w:val="both"/>
        <w:rPr>
          <w:rFonts w:ascii="Arial" w:hAnsi="Arial"/>
          <w:b/>
          <w:bCs/>
          <w:sz w:val="26"/>
          <w:rtl/>
        </w:rPr>
      </w:pPr>
      <w:r>
        <w:rPr>
          <w:rFonts w:ascii="Arial" w:hAnsi="Arial"/>
          <w:b/>
          <w:bCs/>
          <w:sz w:val="26"/>
          <w:rtl/>
        </w:rPr>
        <w:t>"</w:t>
      </w:r>
      <w:r>
        <w:rPr>
          <w:rFonts w:ascii="Narkisim" w:hAnsi="Narkisim" w:cs="Narkisim"/>
          <w:b/>
          <w:bCs/>
          <w:sz w:val="26"/>
          <w:rtl/>
        </w:rPr>
        <w:t>בטיעוניו בכתב ובעל פה הרבה המערער להפנות לפסיקה שבה נקבעו מתחמי ענישה נמוכים מזה שקבע בית משפט קמא. דא עקא, ובהמשך לאמור לעיל, מרבית הפסיקה שהוצגה ניתנה ביחס לעבירות שבוצעו לפני שפורסם התיקון ל</w:t>
      </w:r>
      <w:hyperlink r:id="rId33" w:history="1">
        <w:r w:rsidR="00D74603" w:rsidRPr="00D74603">
          <w:rPr>
            <w:rFonts w:ascii="Narkisim" w:hAnsi="Narkisim" w:cs="Narkisim"/>
            <w:b/>
            <w:bCs/>
            <w:color w:val="0000FF"/>
            <w:sz w:val="26"/>
            <w:u w:val="single"/>
            <w:rtl/>
          </w:rPr>
          <w:t>חוק העונשין</w:t>
        </w:r>
      </w:hyperlink>
      <w:r>
        <w:rPr>
          <w:rFonts w:ascii="Narkisim" w:hAnsi="Narkisim" w:cs="Narkisim"/>
          <w:b/>
          <w:bCs/>
          <w:sz w:val="26"/>
          <w:rtl/>
        </w:rPr>
        <w:t>, ומשכך משקלה מועט</w:t>
      </w:r>
      <w:r>
        <w:rPr>
          <w:rFonts w:ascii="Arial" w:hAnsi="Arial"/>
          <w:b/>
          <w:bCs/>
          <w:sz w:val="26"/>
          <w:rtl/>
        </w:rPr>
        <w:t>".</w:t>
      </w:r>
    </w:p>
    <w:p w14:paraId="2F27519C" w14:textId="77777777" w:rsidR="00BF5B01" w:rsidRDefault="00BF5B01" w:rsidP="00056A3E">
      <w:pPr>
        <w:spacing w:line="360" w:lineRule="auto"/>
        <w:jc w:val="both"/>
        <w:rPr>
          <w:rFonts w:ascii="Arial" w:hAnsi="Arial"/>
          <w:b/>
          <w:bCs/>
          <w:sz w:val="26"/>
          <w:u w:val="single"/>
          <w:rtl/>
        </w:rPr>
      </w:pPr>
    </w:p>
    <w:p w14:paraId="12729F59" w14:textId="77777777" w:rsidR="00BF5B01" w:rsidRDefault="00BF5B01" w:rsidP="00056A3E">
      <w:pPr>
        <w:spacing w:line="360" w:lineRule="auto"/>
        <w:jc w:val="both"/>
        <w:rPr>
          <w:rFonts w:ascii="Arial" w:hAnsi="Arial"/>
          <w:sz w:val="26"/>
          <w:rtl/>
        </w:rPr>
      </w:pPr>
      <w:r>
        <w:rPr>
          <w:rFonts w:ascii="Arial" w:hAnsi="Arial"/>
          <w:sz w:val="26"/>
          <w:rtl/>
        </w:rPr>
        <w:t>כמו כן אפנה למגמת הענישה כעולה מדברים שנאמרו ביחס לעבירה של נשיאת נשק חם במרחב הציבורי, מפי כב' השופט א' שטיין ב</w:t>
      </w:r>
      <w:hyperlink r:id="rId34" w:history="1">
        <w:r w:rsidR="00D74603" w:rsidRPr="00D74603">
          <w:rPr>
            <w:rFonts w:ascii="Arial" w:hAnsi="Arial"/>
            <w:color w:val="0000FF"/>
            <w:sz w:val="26"/>
            <w:u w:val="single"/>
            <w:rtl/>
          </w:rPr>
          <w:t>ע"פ 5602/22</w:t>
        </w:r>
      </w:hyperlink>
      <w:r>
        <w:rPr>
          <w:rFonts w:ascii="Arial" w:hAnsi="Arial"/>
          <w:sz w:val="26"/>
          <w:rtl/>
        </w:rPr>
        <w:t xml:space="preserve"> </w:t>
      </w:r>
      <w:r>
        <w:rPr>
          <w:rFonts w:ascii="Arial" w:hAnsi="Arial"/>
          <w:b/>
          <w:bCs/>
          <w:sz w:val="26"/>
          <w:rtl/>
        </w:rPr>
        <w:t>מדינת ישראל נ' פלוני</w:t>
      </w:r>
      <w:r>
        <w:rPr>
          <w:rFonts w:ascii="Arial" w:hAnsi="Arial"/>
          <w:sz w:val="26"/>
          <w:rtl/>
        </w:rPr>
        <w:t xml:space="preserve"> (2022) :</w:t>
      </w:r>
      <w:r>
        <w:rPr>
          <w:rFonts w:ascii="Arial" w:hAnsi="Arial"/>
          <w:sz w:val="26"/>
        </w:rPr>
        <w:t xml:space="preserve"> </w:t>
      </w:r>
    </w:p>
    <w:p w14:paraId="5257CC5B" w14:textId="77777777" w:rsidR="00BF5B01" w:rsidRDefault="00BF5B01" w:rsidP="00056A3E">
      <w:pPr>
        <w:spacing w:line="360" w:lineRule="auto"/>
        <w:jc w:val="both"/>
        <w:rPr>
          <w:rFonts w:ascii="Arial" w:hAnsi="Arial"/>
          <w:sz w:val="26"/>
          <w:rtl/>
        </w:rPr>
      </w:pPr>
    </w:p>
    <w:p w14:paraId="0D47B3A7" w14:textId="77777777" w:rsidR="00BF5B01" w:rsidRDefault="00BF5B01" w:rsidP="00056A3E">
      <w:pPr>
        <w:tabs>
          <w:tab w:val="left" w:pos="1785"/>
        </w:tabs>
        <w:spacing w:line="360" w:lineRule="auto"/>
        <w:ind w:left="1643" w:right="851"/>
        <w:jc w:val="both"/>
        <w:rPr>
          <w:rFonts w:ascii="Narkisim" w:hAnsi="Narkisim" w:cs="Narkisim"/>
          <w:b/>
          <w:bCs/>
          <w:sz w:val="26"/>
          <w:rtl/>
        </w:rPr>
      </w:pPr>
      <w:r>
        <w:rPr>
          <w:rFonts w:ascii="Narkisim" w:hAnsi="Narkisim" w:cs="Narkisim"/>
          <w:b/>
          <w:bCs/>
          <w:sz w:val="26"/>
          <w:rtl/>
        </w:rPr>
        <w:t xml:space="preserve">"כעולה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הווה אומר: באין נסיבות מיוחדות לחומרא או לקולא, יהא זה בהחלט סביר אם בית משפט יטיל על נאשם כאמור עונש של 36 חודשי מאסר לריצוי בפועל. תקוותי היא כי אמות מידה אלה תנחנה את הערכאות הדיוניות באופן שיטתי, כך שמדיניות הענישה אשר נקוטה בידינו ביחס לעבירות נשק תיושם כהלכתה ובמלוא עוצמתה". </w:t>
      </w:r>
    </w:p>
    <w:p w14:paraId="12C3B30F" w14:textId="77777777" w:rsidR="00BF5B01" w:rsidRDefault="00BF5B01" w:rsidP="00056A3E">
      <w:pPr>
        <w:spacing w:line="360" w:lineRule="auto"/>
        <w:jc w:val="both"/>
        <w:rPr>
          <w:rFonts w:ascii="Arial" w:hAnsi="Arial"/>
          <w:sz w:val="26"/>
          <w:rtl/>
        </w:rPr>
      </w:pPr>
    </w:p>
    <w:p w14:paraId="78B9126C" w14:textId="77777777" w:rsidR="00BF5B01" w:rsidRDefault="00BF5B01" w:rsidP="00056A3E">
      <w:pPr>
        <w:spacing w:line="360" w:lineRule="auto"/>
        <w:jc w:val="both"/>
        <w:rPr>
          <w:rFonts w:ascii="Arial" w:hAnsi="Arial"/>
          <w:sz w:val="26"/>
          <w:rtl/>
        </w:rPr>
      </w:pPr>
      <w:r>
        <w:rPr>
          <w:rFonts w:ascii="Arial" w:hAnsi="Arial"/>
          <w:sz w:val="26"/>
          <w:u w:val="single"/>
          <w:rtl/>
        </w:rPr>
        <w:t>החזקה נשיאה והובלת רימוני גז ואביזרי נשק</w:t>
      </w:r>
    </w:p>
    <w:p w14:paraId="6F04C07A" w14:textId="77777777" w:rsidR="00BF5B01" w:rsidRDefault="00BF5B01" w:rsidP="00056A3E">
      <w:pPr>
        <w:spacing w:line="360" w:lineRule="auto"/>
        <w:jc w:val="both"/>
        <w:rPr>
          <w:rFonts w:ascii="Arial" w:hAnsi="Arial"/>
          <w:sz w:val="26"/>
          <w:rtl/>
        </w:rPr>
      </w:pPr>
    </w:p>
    <w:p w14:paraId="24590348" w14:textId="77777777" w:rsidR="00BF5B01" w:rsidRDefault="00D74603" w:rsidP="00056A3E">
      <w:pPr>
        <w:spacing w:line="360" w:lineRule="auto"/>
        <w:jc w:val="both"/>
        <w:rPr>
          <w:rFonts w:ascii="Arial" w:hAnsi="Arial"/>
          <w:sz w:val="26"/>
          <w:rtl/>
        </w:rPr>
      </w:pPr>
      <w:hyperlink r:id="rId35" w:history="1">
        <w:r w:rsidRPr="00D74603">
          <w:rPr>
            <w:rFonts w:ascii="Arial" w:hAnsi="Arial"/>
            <w:color w:val="0000FF"/>
            <w:sz w:val="26"/>
            <w:u w:val="single"/>
            <w:rtl/>
          </w:rPr>
          <w:t>ת"פ (מחוזי ת"א) 7133-07-20</w:t>
        </w:r>
      </w:hyperlink>
      <w:r w:rsidR="00BF5B01">
        <w:rPr>
          <w:rFonts w:ascii="Arial" w:hAnsi="Arial"/>
          <w:sz w:val="26"/>
          <w:rtl/>
        </w:rPr>
        <w:t xml:space="preserve"> </w:t>
      </w:r>
      <w:r w:rsidR="00BF5B01">
        <w:rPr>
          <w:rFonts w:ascii="Arial" w:hAnsi="Arial"/>
          <w:b/>
          <w:bCs/>
          <w:sz w:val="26"/>
          <w:rtl/>
        </w:rPr>
        <w:t>מדינת-ישראל נ' רוזן</w:t>
      </w:r>
      <w:r w:rsidR="00BF5B01">
        <w:rPr>
          <w:rFonts w:ascii="Arial" w:hAnsi="Arial"/>
          <w:sz w:val="26"/>
          <w:rtl/>
        </w:rPr>
        <w:t xml:space="preserve"> (2020) - הנאשם הורשע בעבירות של החזקת נשק, מעשה פזיזות ורשלנות. הוא נשא ברכבו, יחד עם אחר, רימון הלם, בכוונה להשליכו לעבר ביתו של בן זוגה לשעבר של זוגתו. הנאשם נהג ברכב, ואדם אחר השליך את הרימון לעבר אותו בית, הרימון התפוצץ בעצמה. כמו כן, החזיק הנאשם ברכבו אקדח הזנקה שהוסב לירי תחמושת חיה. בית-המשפט קבע מתחם הנע בין 19 ל-48 חודשי מאסר, והשית על הנאשם 19 חודשי מאסר בפועל. </w:t>
      </w:r>
    </w:p>
    <w:p w14:paraId="05DF977C" w14:textId="77777777" w:rsidR="00BF5B01" w:rsidRDefault="00BF5B01" w:rsidP="00056A3E">
      <w:pPr>
        <w:spacing w:line="360" w:lineRule="auto"/>
        <w:jc w:val="both"/>
        <w:rPr>
          <w:rFonts w:ascii="Arial" w:hAnsi="Arial"/>
          <w:sz w:val="26"/>
          <w:rtl/>
        </w:rPr>
      </w:pPr>
    </w:p>
    <w:p w14:paraId="6DC3179B" w14:textId="77777777" w:rsidR="00BF5B01" w:rsidRDefault="00BF5B01" w:rsidP="00056A3E">
      <w:pPr>
        <w:spacing w:line="360" w:lineRule="auto"/>
        <w:jc w:val="both"/>
        <w:rPr>
          <w:rFonts w:ascii="Arial" w:hAnsi="Arial"/>
          <w:sz w:val="26"/>
          <w:rtl/>
        </w:rPr>
      </w:pPr>
      <w:r>
        <w:rPr>
          <w:rFonts w:ascii="Arial" w:hAnsi="Arial"/>
          <w:sz w:val="26"/>
          <w:rtl/>
        </w:rPr>
        <w:t xml:space="preserve">ת"פ 16779-06-22 </w:t>
      </w:r>
      <w:r>
        <w:rPr>
          <w:rFonts w:ascii="Arial" w:hAnsi="Arial"/>
          <w:b/>
          <w:bCs/>
          <w:sz w:val="26"/>
          <w:rtl/>
        </w:rPr>
        <w:t>מדינת-ישראל נ' ליאור אלבז</w:t>
      </w:r>
      <w:r>
        <w:rPr>
          <w:rFonts w:ascii="Arial" w:hAnsi="Arial"/>
          <w:sz w:val="26"/>
          <w:rtl/>
        </w:rPr>
        <w:t xml:space="preserve"> (2024) - הנאשם הורשע על-פי הודאתו בעבירות של החזקה, נשיאה והובלת נשק. הוא קיבל מאחר רימון הלם. בהמשך, נסעו הוא ואותו אחר, לבית המתלונן, שם זרק הנאשם את רימון ההלם לעבר בית המתלונן. בית-המשפט קבע מתחם הנע בין 14 ל-34 חודשי מאסר בפועל, ובשים לב לתסקיר חיובי החליט לסטות ממתחם העונש ההולם מטעמי שיקום, והטיל על הנאשם 9 חודשי מאסר בעבודות שירות.</w:t>
      </w:r>
    </w:p>
    <w:p w14:paraId="706D91E9" w14:textId="77777777" w:rsidR="00BF5B01" w:rsidRDefault="00BF5B01" w:rsidP="00056A3E">
      <w:pPr>
        <w:spacing w:line="360" w:lineRule="auto"/>
        <w:jc w:val="both"/>
        <w:rPr>
          <w:rFonts w:ascii="Arial" w:hAnsi="Arial"/>
          <w:sz w:val="26"/>
          <w:rtl/>
        </w:rPr>
      </w:pPr>
    </w:p>
    <w:p w14:paraId="36839A8C" w14:textId="77777777" w:rsidR="00BF5B01" w:rsidRDefault="00D74603" w:rsidP="00056A3E">
      <w:pPr>
        <w:spacing w:line="360" w:lineRule="auto"/>
        <w:jc w:val="both"/>
        <w:rPr>
          <w:rFonts w:ascii="Arial" w:hAnsi="Arial"/>
          <w:sz w:val="26"/>
          <w:rtl/>
        </w:rPr>
      </w:pPr>
      <w:hyperlink r:id="rId36" w:history="1">
        <w:r w:rsidRPr="00D74603">
          <w:rPr>
            <w:rFonts w:ascii="Arial" w:hAnsi="Arial"/>
            <w:color w:val="0000FF"/>
            <w:sz w:val="26"/>
            <w:u w:val="single"/>
            <w:rtl/>
          </w:rPr>
          <w:t>ת"פ 22642-11-23</w:t>
        </w:r>
      </w:hyperlink>
      <w:r w:rsidR="00BF5B01">
        <w:rPr>
          <w:rFonts w:ascii="Arial" w:hAnsi="Arial"/>
          <w:sz w:val="26"/>
          <w:rtl/>
        </w:rPr>
        <w:t xml:space="preserve"> </w:t>
      </w:r>
      <w:r w:rsidR="00BF5B01">
        <w:rPr>
          <w:rFonts w:ascii="Arial" w:hAnsi="Arial"/>
          <w:b/>
          <w:bCs/>
          <w:sz w:val="26"/>
          <w:rtl/>
        </w:rPr>
        <w:t>מדינת-ישראל נ' טאהא</w:t>
      </w:r>
      <w:r w:rsidR="00BF5B01">
        <w:rPr>
          <w:rFonts w:ascii="Arial" w:hAnsi="Arial"/>
          <w:sz w:val="26"/>
          <w:rtl/>
        </w:rPr>
        <w:t xml:space="preserve"> (2023) - הנאשם הורשע על-פי הודאתו בהחזקת רימון הלם. הנאשם וחברו נסעו ברכב, וברכב החזיק הנאשם רימון הלם 7290</w:t>
      </w:r>
      <w:r w:rsidR="00BF5B01">
        <w:rPr>
          <w:rFonts w:ascii="Arial" w:hAnsi="Arial"/>
          <w:sz w:val="26"/>
        </w:rPr>
        <w:t>M</w:t>
      </w:r>
      <w:r w:rsidR="00BF5B01">
        <w:rPr>
          <w:rFonts w:ascii="Arial" w:hAnsi="Arial"/>
          <w:sz w:val="26"/>
          <w:rtl/>
        </w:rPr>
        <w:t xml:space="preserve"> על רצפת הרכב, סמוך לרגליו. בית-המשפט קבע מתחם בין 8 ל-20 חודשי מאסר בפועל והטיל על הנאשם 8 חודשי מאסר בעבודות שירות.</w:t>
      </w:r>
    </w:p>
    <w:p w14:paraId="71CCACEC" w14:textId="77777777" w:rsidR="00BF5B01" w:rsidRDefault="00BF5B01" w:rsidP="00056A3E">
      <w:pPr>
        <w:spacing w:line="360" w:lineRule="auto"/>
        <w:jc w:val="both"/>
        <w:rPr>
          <w:rFonts w:ascii="Arial" w:hAnsi="Arial"/>
          <w:sz w:val="26"/>
          <w:rtl/>
        </w:rPr>
      </w:pPr>
    </w:p>
    <w:p w14:paraId="5412BF30" w14:textId="77777777" w:rsidR="00BF5B01" w:rsidRDefault="00D74603" w:rsidP="00056A3E">
      <w:pPr>
        <w:spacing w:line="360" w:lineRule="auto"/>
        <w:jc w:val="both"/>
        <w:rPr>
          <w:rFonts w:ascii="Arial" w:hAnsi="Arial"/>
          <w:sz w:val="26"/>
          <w:rtl/>
        </w:rPr>
      </w:pPr>
      <w:hyperlink r:id="rId37" w:history="1">
        <w:r w:rsidRPr="00D74603">
          <w:rPr>
            <w:rFonts w:ascii="Arial" w:hAnsi="Arial"/>
            <w:color w:val="0000FF"/>
            <w:sz w:val="26"/>
            <w:u w:val="single"/>
            <w:rtl/>
          </w:rPr>
          <w:t>ת"פ (מחוזי מרכז) 38883-05-22</w:t>
        </w:r>
      </w:hyperlink>
      <w:r w:rsidR="00BF5B01">
        <w:rPr>
          <w:rFonts w:ascii="Arial" w:hAnsi="Arial"/>
          <w:sz w:val="26"/>
          <w:rtl/>
        </w:rPr>
        <w:t xml:space="preserve"> </w:t>
      </w:r>
      <w:r w:rsidR="00BF5B01">
        <w:rPr>
          <w:rFonts w:ascii="Arial" w:hAnsi="Arial"/>
          <w:b/>
          <w:bCs/>
          <w:sz w:val="26"/>
          <w:rtl/>
        </w:rPr>
        <w:t>מדינת-ישראל נ' סרקיה</w:t>
      </w:r>
      <w:r w:rsidR="00BF5B01">
        <w:rPr>
          <w:rFonts w:ascii="Arial" w:hAnsi="Arial"/>
          <w:sz w:val="26"/>
          <w:rtl/>
        </w:rPr>
        <w:t xml:space="preserve"> (2022) - הנאשם הורשע בעבירות של קשירת קשר לביצוע פשע, נשיאה והובלת נשק בצוותא, ואיומים. כתב האישום הוגש כנגד שלושה נאשמים. ברקע סכסוך של הנאשמים עם המתלונן. השלושה קשרו קשר להשליך רימון הלם על ביתו. בהגיע הנאשמים בסמוך לבית המתלונן, השליך אחד מהם את הרימון בחצר ביתו של המתלונן. בית-המשפט קבע מתחם הנע בין 18 ל-36 חודשי מאסר בפועל, והטיל על הנאשם (שלא השליך את הרימון), 24 חודשי מאסר בפועל.</w:t>
      </w:r>
    </w:p>
    <w:p w14:paraId="6E3D6C2D" w14:textId="77777777" w:rsidR="00BF5B01" w:rsidRDefault="00BF5B01" w:rsidP="00056A3E">
      <w:pPr>
        <w:spacing w:line="360" w:lineRule="auto"/>
        <w:jc w:val="both"/>
        <w:rPr>
          <w:rFonts w:ascii="Arial" w:hAnsi="Arial"/>
          <w:sz w:val="26"/>
          <w:rtl/>
        </w:rPr>
      </w:pPr>
    </w:p>
    <w:p w14:paraId="456BEF16" w14:textId="77777777" w:rsidR="00BF5B01" w:rsidRDefault="00BF5B01" w:rsidP="00056A3E">
      <w:pPr>
        <w:spacing w:line="360" w:lineRule="auto"/>
        <w:jc w:val="both"/>
        <w:rPr>
          <w:rFonts w:ascii="Arial" w:hAnsi="Arial"/>
          <w:sz w:val="26"/>
          <w:u w:val="single"/>
          <w:rtl/>
        </w:rPr>
      </w:pPr>
      <w:r>
        <w:rPr>
          <w:rFonts w:ascii="Arial" w:hAnsi="Arial"/>
          <w:sz w:val="26"/>
          <w:u w:val="single"/>
          <w:rtl/>
        </w:rPr>
        <w:t xml:space="preserve">ירי מנשק חם </w:t>
      </w:r>
    </w:p>
    <w:p w14:paraId="58BFF8D4" w14:textId="77777777" w:rsidR="00BF5B01" w:rsidRDefault="00BF5B01" w:rsidP="00056A3E">
      <w:pPr>
        <w:spacing w:line="360" w:lineRule="auto"/>
        <w:jc w:val="both"/>
        <w:rPr>
          <w:rFonts w:ascii="Arial" w:hAnsi="Arial"/>
          <w:sz w:val="26"/>
          <w:rtl/>
        </w:rPr>
      </w:pPr>
      <w:r>
        <w:rPr>
          <w:rFonts w:ascii="Arial" w:hAnsi="Arial"/>
          <w:sz w:val="26"/>
          <w:rtl/>
        </w:rPr>
        <w:t xml:space="preserve">ירי מנשק חם, מאופיין מטבע הדברים בחומרה רבה, נוכח סיכון החיים הטמון בו. המחוקק תחם את גבולות החומרה והעונש בהתאם, על פי שתי החלופות הבאות: א) ירי מנשק חם, לפי </w:t>
      </w:r>
      <w:hyperlink r:id="rId38" w:history="1">
        <w:r w:rsidR="00A41E55" w:rsidRPr="00A41E55">
          <w:rPr>
            <w:rStyle w:val="Hyperlink"/>
            <w:rFonts w:ascii="Arial" w:hAnsi="Arial"/>
            <w:color w:val="0000FF"/>
            <w:sz w:val="26"/>
            <w:rtl/>
          </w:rPr>
          <w:t>סעיף 340א(א)</w:t>
        </w:r>
      </w:hyperlink>
      <w:r>
        <w:rPr>
          <w:rFonts w:ascii="Arial" w:hAnsi="Arial"/>
          <w:sz w:val="26"/>
          <w:rtl/>
        </w:rPr>
        <w:t xml:space="preserve"> ל</w:t>
      </w:r>
      <w:hyperlink r:id="rId39" w:history="1">
        <w:r w:rsidR="00D74603" w:rsidRPr="00D74603">
          <w:rPr>
            <w:rFonts w:ascii="Arial" w:hAnsi="Arial"/>
            <w:color w:val="0000FF"/>
            <w:sz w:val="26"/>
            <w:u w:val="single"/>
            <w:rtl/>
          </w:rPr>
          <w:t>חוק העונשין</w:t>
        </w:r>
      </w:hyperlink>
      <w:r>
        <w:rPr>
          <w:rFonts w:ascii="Arial" w:hAnsi="Arial"/>
          <w:sz w:val="26"/>
          <w:rtl/>
        </w:rPr>
        <w:t xml:space="preserve">, כבנדוננו, דינו מאסר שנתיים; ב) ירי באזור מגורים, או במקום אחר שיש בירי כדי לסכן חיי אדם, לפי </w:t>
      </w:r>
      <w:hyperlink r:id="rId40" w:history="1">
        <w:r w:rsidR="00A41E55" w:rsidRPr="00A41E55">
          <w:rPr>
            <w:rStyle w:val="Hyperlink"/>
            <w:rFonts w:ascii="Arial" w:hAnsi="Arial"/>
            <w:color w:val="0000FF"/>
            <w:sz w:val="26"/>
            <w:rtl/>
          </w:rPr>
          <w:t>סעיף 340א(א)(1)</w:t>
        </w:r>
      </w:hyperlink>
      <w:r>
        <w:rPr>
          <w:rFonts w:ascii="Arial" w:hAnsi="Arial"/>
          <w:sz w:val="26"/>
          <w:rtl/>
        </w:rPr>
        <w:t xml:space="preserve">, או ביצוע ירי, שאינו תלוי בטיב הסביבה בו הוא בוצע, אך יש בו כדי לסכן חיי אדם, לפי </w:t>
      </w:r>
      <w:hyperlink r:id="rId41" w:history="1">
        <w:r w:rsidR="00A41E55" w:rsidRPr="00A41E55">
          <w:rPr>
            <w:rStyle w:val="Hyperlink"/>
            <w:rFonts w:ascii="Arial" w:hAnsi="Arial"/>
            <w:color w:val="0000FF"/>
            <w:sz w:val="26"/>
            <w:rtl/>
          </w:rPr>
          <w:t>סעיף 340א(א)(2)</w:t>
        </w:r>
      </w:hyperlink>
      <w:r>
        <w:rPr>
          <w:rFonts w:ascii="Arial" w:hAnsi="Arial"/>
          <w:sz w:val="26"/>
          <w:rtl/>
        </w:rPr>
        <w:t xml:space="preserve"> - דינם מאסר חמש שנים.</w:t>
      </w:r>
    </w:p>
    <w:p w14:paraId="57B9D50D" w14:textId="77777777" w:rsidR="00BF5B01" w:rsidRDefault="00BF5B01" w:rsidP="00056A3E">
      <w:pPr>
        <w:spacing w:line="360" w:lineRule="auto"/>
        <w:jc w:val="both"/>
        <w:rPr>
          <w:rFonts w:ascii="Arial" w:hAnsi="Arial"/>
          <w:sz w:val="26"/>
          <w:rtl/>
        </w:rPr>
      </w:pPr>
    </w:p>
    <w:p w14:paraId="0F2F2D1E" w14:textId="77777777" w:rsidR="00BF5B01" w:rsidRDefault="00BF5B01" w:rsidP="00056A3E">
      <w:pPr>
        <w:spacing w:line="360" w:lineRule="auto"/>
        <w:jc w:val="both"/>
        <w:rPr>
          <w:rFonts w:ascii="Arial" w:hAnsi="Arial"/>
          <w:sz w:val="26"/>
          <w:rtl/>
        </w:rPr>
      </w:pPr>
      <w:r>
        <w:rPr>
          <w:rFonts w:ascii="Arial" w:hAnsi="Arial"/>
          <w:sz w:val="26"/>
          <w:rtl/>
        </w:rPr>
        <w:t xml:space="preserve">הענישה הנוהגת היא החמרה יתרה כאשר מדובר בירי שבוצע טמון פוטנציאל סיכון חיים גבוה יותר, נתון הנגזר מסביבת ביצוע הירי, ומכלל הנסיבות הנוגעות בדבר. </w:t>
      </w:r>
    </w:p>
    <w:p w14:paraId="1FE27FC3" w14:textId="77777777" w:rsidR="00BF5B01" w:rsidRDefault="00BF5B01" w:rsidP="00056A3E">
      <w:pPr>
        <w:spacing w:line="360" w:lineRule="auto"/>
        <w:jc w:val="both"/>
        <w:rPr>
          <w:rFonts w:ascii="Arial" w:hAnsi="Arial"/>
          <w:sz w:val="26"/>
          <w:rtl/>
        </w:rPr>
      </w:pPr>
    </w:p>
    <w:p w14:paraId="4F4C2797" w14:textId="77777777" w:rsidR="00BF5B01" w:rsidRDefault="00D74603" w:rsidP="00056A3E">
      <w:pPr>
        <w:spacing w:line="360" w:lineRule="auto"/>
        <w:jc w:val="both"/>
        <w:rPr>
          <w:rFonts w:ascii="Arial" w:hAnsi="Arial"/>
          <w:sz w:val="26"/>
          <w:rtl/>
        </w:rPr>
      </w:pPr>
      <w:hyperlink r:id="rId42" w:history="1">
        <w:r w:rsidRPr="00D74603">
          <w:rPr>
            <w:rFonts w:ascii="Arial" w:hAnsi="Arial"/>
            <w:color w:val="0000FF"/>
            <w:sz w:val="26"/>
            <w:u w:val="single"/>
            <w:rtl/>
          </w:rPr>
          <w:t>ע"פ 3728/22</w:t>
        </w:r>
      </w:hyperlink>
      <w:r w:rsidR="00BF5B01">
        <w:rPr>
          <w:rFonts w:ascii="Arial" w:hAnsi="Arial"/>
          <w:sz w:val="26"/>
          <w:rtl/>
        </w:rPr>
        <w:t xml:space="preserve"> </w:t>
      </w:r>
      <w:r w:rsidR="00BF5B01">
        <w:rPr>
          <w:rFonts w:ascii="Arial" w:hAnsi="Arial"/>
          <w:b/>
          <w:bCs/>
          <w:sz w:val="26"/>
          <w:rtl/>
        </w:rPr>
        <w:t xml:space="preserve">פאוזי מסאלחה נ' מדינת ישראל </w:t>
      </w:r>
      <w:r w:rsidR="00BF5B01">
        <w:rPr>
          <w:rFonts w:ascii="Arial" w:hAnsi="Arial"/>
          <w:sz w:val="26"/>
          <w:rtl/>
        </w:rPr>
        <w:t xml:space="preserve">(2022) - המערער הורשע בעבירות של סיוע והובלה של כלי נשק לא רישיון, נשיאה והובלה של לכי נשק ללא היתר, וסיוע לירי מנשק חם. המערער נסע יחד עם אחר בשם אדם אבו סבייה (להלן: אדם), כאשר המערער נוהג ברכב ואדם יושב במושב הקדמי לידו. המערער ואדם נסעו בדרך עפר סמוך לבית העלמין בכפר דבורייה, ואחריהם נסע צוות בילוש. לפתע, אדם הוציא את ידו מהחלון הקדמי של הרכב וירה ירייה אחת מאקדח מסוג </w:t>
      </w:r>
      <w:r w:rsidR="00BF5B01">
        <w:rPr>
          <w:rFonts w:ascii="Arial" w:hAnsi="Arial"/>
          <w:sz w:val="26"/>
        </w:rPr>
        <w:t>FN</w:t>
      </w:r>
      <w:r w:rsidR="00BF5B01">
        <w:rPr>
          <w:rFonts w:ascii="Arial" w:hAnsi="Arial"/>
          <w:sz w:val="26"/>
          <w:rtl/>
        </w:rPr>
        <w:t xml:space="preserve"> המערער המשיך בנסיעה קצרה ולאחר מכן עצר את הרכב בצד הדרך. בשלב זה, הבלשים חסמו את הרכב בו נסעו השניים, ירדו מרכב הבילוש וביצעו חיפוש ברכב ועל גופם של המערער וחברו. במהלך החיפוש, נתפסו 15 כדורים מסוג 9 מ"מ בכיס מכנסיו של המערער והאקדח נתפס ברכב. בית המשפט המחוזי קבע מתחם עונש הולם שנע בין 18-36 חודשי מאסר בפועל, והשית על המערער 18 חודשי מאסר בפועל לצד ענישה נלווית. בית המשפט העליון דחה את ערעורו של המערער. </w:t>
      </w:r>
    </w:p>
    <w:p w14:paraId="3797BE32" w14:textId="77777777" w:rsidR="00BF5B01" w:rsidRDefault="00BF5B01" w:rsidP="00056A3E">
      <w:pPr>
        <w:spacing w:line="360" w:lineRule="auto"/>
        <w:jc w:val="both"/>
        <w:rPr>
          <w:rFonts w:ascii="Arial" w:hAnsi="Arial"/>
          <w:sz w:val="26"/>
          <w:rtl/>
        </w:rPr>
      </w:pPr>
    </w:p>
    <w:p w14:paraId="5368650C" w14:textId="77777777" w:rsidR="00BF5B01" w:rsidRDefault="00D74603" w:rsidP="00056A3E">
      <w:pPr>
        <w:spacing w:line="360" w:lineRule="auto"/>
        <w:jc w:val="both"/>
        <w:rPr>
          <w:rFonts w:ascii="Arial" w:hAnsi="Arial"/>
          <w:sz w:val="26"/>
          <w:rtl/>
        </w:rPr>
      </w:pPr>
      <w:hyperlink r:id="rId43" w:history="1">
        <w:r w:rsidRPr="00D74603">
          <w:rPr>
            <w:rFonts w:ascii="Arial" w:hAnsi="Arial"/>
            <w:color w:val="0000FF"/>
            <w:sz w:val="26"/>
            <w:u w:val="single"/>
            <w:rtl/>
          </w:rPr>
          <w:t>ע"פ 6702/22</w:t>
        </w:r>
      </w:hyperlink>
      <w:r w:rsidR="00BF5B01">
        <w:rPr>
          <w:rFonts w:ascii="Arial" w:hAnsi="Arial"/>
          <w:sz w:val="26"/>
          <w:rtl/>
        </w:rPr>
        <w:t xml:space="preserve"> </w:t>
      </w:r>
      <w:r w:rsidR="00BF5B01">
        <w:rPr>
          <w:rFonts w:ascii="Arial" w:hAnsi="Arial"/>
          <w:b/>
          <w:bCs/>
          <w:sz w:val="26"/>
          <w:rtl/>
        </w:rPr>
        <w:t>מדינת-ישראל נ' הייב</w:t>
      </w:r>
      <w:r w:rsidR="00BF5B01">
        <w:rPr>
          <w:rFonts w:ascii="Arial" w:hAnsi="Arial"/>
          <w:sz w:val="26"/>
          <w:rtl/>
        </w:rPr>
        <w:t xml:space="preserve"> (2022) - המשיב הורשע בעבירות של החזקת נשק וירי מנשק חם באזור מגורים. הוא החזיק בנשק, מקלע מסוג מאג, ובתחמושת מתאימה. המשיב ירה באוויר בירי אוטומטי מאותו מאג, כשהוא עומד על גג בית. בית-המשפט המחוזי קבע מתחם הנע בין 30 ל-60 חודשי מאסר בפועל, והשית על המשיב 42 חודשי מאסר בפועל. שני הצדדים ערערו לבית-המשפט העליון. בית-המשפט העליון דחה את ערעור המשיב על חומרת העונש, וקיבל את ערעור המדינה על קולת העונש, תוך שהעמיד את עונש המאסר על 50 חודשים.</w:t>
      </w:r>
    </w:p>
    <w:p w14:paraId="66F951E0" w14:textId="77777777" w:rsidR="00BF5B01" w:rsidRDefault="00BF5B01" w:rsidP="00056A3E">
      <w:pPr>
        <w:spacing w:line="360" w:lineRule="auto"/>
        <w:jc w:val="both"/>
        <w:rPr>
          <w:rFonts w:ascii="Arial" w:hAnsi="Arial"/>
          <w:sz w:val="26"/>
          <w:rtl/>
        </w:rPr>
      </w:pPr>
    </w:p>
    <w:p w14:paraId="05C6FA63" w14:textId="77777777" w:rsidR="00BF5B01" w:rsidRDefault="00D74603" w:rsidP="00056A3E">
      <w:pPr>
        <w:spacing w:line="360" w:lineRule="auto"/>
        <w:jc w:val="both"/>
        <w:rPr>
          <w:rFonts w:ascii="Arial" w:hAnsi="Arial"/>
          <w:sz w:val="26"/>
          <w:rtl/>
        </w:rPr>
      </w:pPr>
      <w:hyperlink r:id="rId44" w:history="1">
        <w:r w:rsidRPr="00D74603">
          <w:rPr>
            <w:rFonts w:ascii="Arial" w:hAnsi="Arial"/>
            <w:color w:val="0000FF"/>
            <w:sz w:val="26"/>
            <w:u w:val="single"/>
            <w:rtl/>
          </w:rPr>
          <w:t>ע"פ 1059/21</w:t>
        </w:r>
      </w:hyperlink>
      <w:r w:rsidR="00BF5B01">
        <w:rPr>
          <w:rFonts w:ascii="Arial" w:hAnsi="Arial"/>
          <w:sz w:val="26"/>
          <w:rtl/>
        </w:rPr>
        <w:t xml:space="preserve"> </w:t>
      </w:r>
      <w:r w:rsidR="00BF5B01">
        <w:rPr>
          <w:rFonts w:ascii="Arial" w:hAnsi="Arial"/>
          <w:b/>
          <w:bCs/>
          <w:sz w:val="26"/>
          <w:rtl/>
        </w:rPr>
        <w:t>פלוני נ' מדינת-ישראל</w:t>
      </w:r>
      <w:r w:rsidR="00BF5B01">
        <w:rPr>
          <w:rFonts w:ascii="Arial" w:hAnsi="Arial"/>
          <w:sz w:val="26"/>
          <w:rtl/>
        </w:rPr>
        <w:t xml:space="preserve"> (2021) - המערער הורשע על-פי הודאתו בעבירות של החזקת נשק ואביזר תחמושת, ירי מנשק חם, איומים והפרעה לשוטר במילוי תפקידו, בעקבות חילופי דברים בין המערער לבין קטין שלף המערער אקדח, אותו החזיק שלא כדין, ירה שתי יריות באוויר, הקטין ניסה להימלט מהמקום, ואז ירה המערער שוב מס' יריות, ובהמשך נמלט הקטין מהמערער. בית-המשפט המחוזי קבע מתחם הנע בין 3 עד 5 שנות מאסר, וגזר על המערער 42 חודשי מאסר בפועל לצד ענישה נלווית.</w:t>
      </w:r>
    </w:p>
    <w:p w14:paraId="3D804CAE" w14:textId="77777777" w:rsidR="00BF5B01" w:rsidRDefault="00BF5B01" w:rsidP="00056A3E">
      <w:pPr>
        <w:spacing w:line="360" w:lineRule="auto"/>
        <w:jc w:val="both"/>
        <w:rPr>
          <w:rFonts w:ascii="Arial" w:hAnsi="Arial"/>
          <w:sz w:val="26"/>
          <w:rtl/>
        </w:rPr>
      </w:pPr>
    </w:p>
    <w:p w14:paraId="7E0A8932" w14:textId="77777777" w:rsidR="00BF5B01" w:rsidRDefault="00D74603" w:rsidP="00056A3E">
      <w:pPr>
        <w:spacing w:line="360" w:lineRule="auto"/>
        <w:jc w:val="both"/>
        <w:rPr>
          <w:rFonts w:ascii="Arial" w:hAnsi="Arial"/>
          <w:sz w:val="26"/>
          <w:rtl/>
        </w:rPr>
      </w:pPr>
      <w:hyperlink r:id="rId45" w:history="1">
        <w:r w:rsidRPr="00D74603">
          <w:rPr>
            <w:rFonts w:ascii="Arial" w:hAnsi="Arial"/>
            <w:color w:val="0000FF"/>
            <w:sz w:val="26"/>
            <w:u w:val="single"/>
            <w:rtl/>
          </w:rPr>
          <w:t>ע"פ 1509/20</w:t>
        </w:r>
      </w:hyperlink>
      <w:r w:rsidR="00BF5B01">
        <w:rPr>
          <w:rFonts w:ascii="Arial" w:hAnsi="Arial"/>
          <w:sz w:val="26"/>
          <w:rtl/>
        </w:rPr>
        <w:t xml:space="preserve"> </w:t>
      </w:r>
      <w:r w:rsidR="00BF5B01">
        <w:rPr>
          <w:rFonts w:ascii="Arial" w:hAnsi="Arial"/>
          <w:b/>
          <w:bCs/>
          <w:sz w:val="26"/>
          <w:rtl/>
        </w:rPr>
        <w:t>מדינת-ישראל נ' נבארי</w:t>
      </w:r>
      <w:r w:rsidR="00BF5B01">
        <w:rPr>
          <w:rFonts w:ascii="Arial" w:hAnsi="Arial"/>
          <w:sz w:val="26"/>
          <w:rtl/>
        </w:rPr>
        <w:t xml:space="preserve"> (2020) - המשיב הורשע על סמך הודאתו, בנשיאה והובלת נשק, ובירי מנשק באזור מגורים. המשיב החזיק ברכבו תת מקלע מאולתר מסוג קרלו, אשר היה דרוך, ובו מחסנית טעונה בכדורים. הוא ירה שני כדורים באזור מגורים ועזב את המקום. בית-משפט מחוזי קבע מתחם הנע בין 20 ל-50 חודשי מאסר והשית עליו 27 חודשי מאסר בפועל. המדינה ערערה על קולת העונש. בית-המשפט העליון קיבל את הערעור, והחמיר את העונש והעמידו על 36 חודשי מאסר בפועל.</w:t>
      </w:r>
    </w:p>
    <w:p w14:paraId="753E4922" w14:textId="77777777" w:rsidR="00BF5B01" w:rsidRDefault="00BF5B01" w:rsidP="00056A3E">
      <w:pPr>
        <w:spacing w:line="360" w:lineRule="auto"/>
        <w:jc w:val="both"/>
        <w:rPr>
          <w:rFonts w:ascii="Arial" w:hAnsi="Arial"/>
          <w:sz w:val="26"/>
          <w:rtl/>
        </w:rPr>
      </w:pPr>
    </w:p>
    <w:p w14:paraId="718894DC" w14:textId="77777777" w:rsidR="00BF5B01" w:rsidRDefault="00D74603" w:rsidP="00056A3E">
      <w:pPr>
        <w:spacing w:line="360" w:lineRule="auto"/>
        <w:jc w:val="both"/>
        <w:rPr>
          <w:rFonts w:ascii="Arial" w:hAnsi="Arial"/>
          <w:sz w:val="26"/>
          <w:rtl/>
        </w:rPr>
      </w:pPr>
      <w:hyperlink r:id="rId46" w:history="1">
        <w:r w:rsidRPr="00D74603">
          <w:rPr>
            <w:rFonts w:ascii="Arial" w:hAnsi="Arial"/>
            <w:color w:val="0000FF"/>
            <w:sz w:val="26"/>
            <w:u w:val="single"/>
            <w:rtl/>
          </w:rPr>
          <w:t>ת"פ (מחוזי חיפה) 44620-01-22</w:t>
        </w:r>
      </w:hyperlink>
      <w:r w:rsidR="00BF5B01">
        <w:rPr>
          <w:rFonts w:ascii="Arial" w:hAnsi="Arial"/>
          <w:sz w:val="26"/>
          <w:rtl/>
        </w:rPr>
        <w:t xml:space="preserve"> </w:t>
      </w:r>
      <w:r w:rsidR="00BF5B01">
        <w:rPr>
          <w:rFonts w:ascii="Arial" w:hAnsi="Arial"/>
          <w:b/>
          <w:bCs/>
          <w:sz w:val="26"/>
          <w:rtl/>
        </w:rPr>
        <w:t xml:space="preserve">מדינת ישראל נ' מוחמד היב </w:t>
      </w:r>
      <w:r w:rsidR="00BF5B01">
        <w:rPr>
          <w:rFonts w:ascii="Arial" w:hAnsi="Arial"/>
          <w:sz w:val="26"/>
          <w:rtl/>
        </w:rPr>
        <w:t xml:space="preserve">(14.12.2022) - הנאשם הורשע על פי הודאתו במסגרת כתב האישום בעבירות בנשק לפי </w:t>
      </w:r>
      <w:hyperlink r:id="rId47" w:history="1">
        <w:r w:rsidR="00A41E55" w:rsidRPr="00A41E55">
          <w:rPr>
            <w:rStyle w:val="Hyperlink"/>
            <w:rFonts w:ascii="Arial" w:hAnsi="Arial"/>
            <w:color w:val="0000FF"/>
            <w:sz w:val="26"/>
            <w:rtl/>
          </w:rPr>
          <w:t>סעיף 144(א)</w:t>
        </w:r>
      </w:hyperlink>
      <w:r w:rsidR="00BF5B01">
        <w:rPr>
          <w:rFonts w:ascii="Arial" w:hAnsi="Arial"/>
          <w:sz w:val="26"/>
          <w:rtl/>
        </w:rPr>
        <w:t xml:space="preserve"> רישא וסיפא יחד עם </w:t>
      </w:r>
      <w:hyperlink r:id="rId48" w:history="1">
        <w:r w:rsidR="00A41E55" w:rsidRPr="00A41E55">
          <w:rPr>
            <w:rStyle w:val="Hyperlink"/>
            <w:rFonts w:ascii="Arial" w:hAnsi="Arial"/>
            <w:color w:val="0000FF"/>
            <w:sz w:val="26"/>
            <w:rtl/>
          </w:rPr>
          <w:t>סעיף 144 (ב)</w:t>
        </w:r>
      </w:hyperlink>
      <w:r w:rsidR="00BF5B01">
        <w:rPr>
          <w:rFonts w:ascii="Arial" w:hAnsi="Arial"/>
          <w:sz w:val="26"/>
          <w:rtl/>
        </w:rPr>
        <w:t xml:space="preserve"> (רישא וסיפא) ל</w:t>
      </w:r>
      <w:hyperlink r:id="rId49" w:history="1">
        <w:r w:rsidRPr="00D74603">
          <w:rPr>
            <w:rFonts w:ascii="Arial" w:hAnsi="Arial"/>
            <w:color w:val="0000FF"/>
            <w:sz w:val="26"/>
            <w:u w:val="single"/>
            <w:rtl/>
          </w:rPr>
          <w:t>חוק העונשין</w:t>
        </w:r>
      </w:hyperlink>
      <w:r w:rsidR="00BF5B01">
        <w:rPr>
          <w:rFonts w:ascii="Arial" w:hAnsi="Arial"/>
          <w:sz w:val="26"/>
          <w:rtl/>
        </w:rPr>
        <w:t xml:space="preserve">. ובירי מנשק חם. מוחמד בן עומר היב הוא בן דודו של הנאשם (להלן: מוחמד). בזמנים הרלבנטיים לכתב האישום המתוקן, שירת מוחמד כחייל בצבא ההגנה לישראל ובמסגרת שירותו זה, החזיק כדין ברובה סער מסוג "תבור" (להלן: הרובה).  הגיעו הנאשם ומוחמד אל אזור שמורת הטבע אלוני אבא (להלן: השמורה), כשברשות מוחמד הרובה וכן מחסנית מתאימה, טעונה בכדורים התואמים לרובה (להלן: התחמושת). במעמד זה, בהיותם בשמורה, הנאשם החזיק ונשא את הרובה, המחסנית והתחמושת, בלא היתר כדין לעשות כן וירה מספר כדורים, באמצעות הרובה, שלא כדין. הגיעו הנאשם ומוחמד אל השמורה, כשברשות מוחמד הרובה וכן מחסנית מתאימה, טעונה בכדורים התואמים לרובה. במעמד זה, בהיותם בשמורה, הנאשם החזיק ונשא את הרובה, המחסנית והתחמושת הנוספת, בלא היתר כדין לעשות כן וירה מספר כדורים, באמצעות הרובה שלא כדין. בית המשפט קבע מתחם עונש הולם שנע בין 20-48 חודשי מאסר בפועל. בית המשפט סטה ממתחם העונש ההולם מטעמי שיקום וגזר על הנאשם 9 חודשי עבודות שירות לאור אחידות הענישה העתידית בעניינו של החייל. </w:t>
      </w:r>
    </w:p>
    <w:p w14:paraId="1FC3B156" w14:textId="77777777" w:rsidR="00BF5B01" w:rsidRDefault="00BF5B01" w:rsidP="00056A3E">
      <w:pPr>
        <w:spacing w:line="360" w:lineRule="auto"/>
        <w:jc w:val="both"/>
        <w:rPr>
          <w:rFonts w:ascii="Arial" w:hAnsi="Arial"/>
          <w:sz w:val="26"/>
          <w:rtl/>
        </w:rPr>
      </w:pPr>
    </w:p>
    <w:p w14:paraId="3176FBFF" w14:textId="77777777" w:rsidR="00BF5B01" w:rsidRDefault="00D74603" w:rsidP="00056A3E">
      <w:pPr>
        <w:spacing w:line="360" w:lineRule="auto"/>
        <w:jc w:val="both"/>
        <w:rPr>
          <w:rFonts w:ascii="Arial" w:hAnsi="Arial"/>
          <w:sz w:val="26"/>
          <w:rtl/>
        </w:rPr>
      </w:pPr>
      <w:hyperlink r:id="rId50" w:history="1">
        <w:r w:rsidRPr="00D74603">
          <w:rPr>
            <w:rFonts w:ascii="Arial" w:hAnsi="Arial"/>
            <w:color w:val="0000FF"/>
            <w:sz w:val="26"/>
            <w:u w:val="single"/>
            <w:rtl/>
          </w:rPr>
          <w:t>ת"פ (מחוזי חיפה) 12791-05-20</w:t>
        </w:r>
      </w:hyperlink>
      <w:r w:rsidR="00BF5B01">
        <w:rPr>
          <w:rFonts w:ascii="Arial" w:hAnsi="Arial"/>
          <w:sz w:val="26"/>
          <w:rtl/>
        </w:rPr>
        <w:t xml:space="preserve"> </w:t>
      </w:r>
      <w:r w:rsidR="00BF5B01">
        <w:rPr>
          <w:rFonts w:ascii="Arial" w:hAnsi="Arial"/>
          <w:b/>
          <w:bCs/>
          <w:sz w:val="26"/>
          <w:rtl/>
        </w:rPr>
        <w:t xml:space="preserve">מדינת ישראל נ' מוחמד אל גוואברה </w:t>
      </w:r>
      <w:r w:rsidR="00BF5B01">
        <w:rPr>
          <w:rFonts w:ascii="Arial" w:hAnsi="Arial"/>
          <w:sz w:val="26"/>
          <w:rtl/>
        </w:rPr>
        <w:t xml:space="preserve">(10.5.2021) – הנאשם הורשע על פי הודאתו במסגרת הסדר טיעון. במטע הזיתים, כאשר חפץ דמוי תת-מקלע מאולתר מצוי בחזקתו של הנאשם, בוצע ירי בנשק, במהלכו נורו מהנשק לפחות 14 יריות. בית המשפט קבע מתחם עונש הולם שנע בין 22-48 חודשי מאסר בפועל והשית על הנאשם 24 חודשי מאסר בפועל לצד ענישה נלווית. </w:t>
      </w:r>
    </w:p>
    <w:p w14:paraId="3CAE319D" w14:textId="77777777" w:rsidR="00BF5B01" w:rsidRDefault="00BF5B01" w:rsidP="00056A3E">
      <w:pPr>
        <w:spacing w:line="360" w:lineRule="auto"/>
        <w:jc w:val="both"/>
        <w:rPr>
          <w:rFonts w:ascii="Arial" w:hAnsi="Arial"/>
          <w:sz w:val="26"/>
          <w:rtl/>
        </w:rPr>
      </w:pPr>
    </w:p>
    <w:p w14:paraId="01B234EC" w14:textId="77777777" w:rsidR="00BF5B01" w:rsidRDefault="00BF5B01" w:rsidP="00056A3E">
      <w:pPr>
        <w:spacing w:line="360" w:lineRule="auto"/>
        <w:jc w:val="both"/>
        <w:rPr>
          <w:rFonts w:ascii="Arial" w:hAnsi="Arial"/>
          <w:sz w:val="26"/>
          <w:u w:val="single"/>
          <w:rtl/>
        </w:rPr>
      </w:pPr>
      <w:r>
        <w:rPr>
          <w:rFonts w:ascii="Arial" w:hAnsi="Arial"/>
          <w:sz w:val="26"/>
          <w:u w:val="single"/>
          <w:rtl/>
        </w:rPr>
        <w:t>החזקת סכין:</w:t>
      </w:r>
    </w:p>
    <w:p w14:paraId="2CA4EFE4" w14:textId="77777777" w:rsidR="00BF5B01" w:rsidRDefault="00BF5B01" w:rsidP="00056A3E">
      <w:pPr>
        <w:spacing w:line="360" w:lineRule="auto"/>
        <w:jc w:val="both"/>
        <w:rPr>
          <w:rFonts w:ascii="Arial" w:hAnsi="Arial"/>
          <w:sz w:val="26"/>
          <w:rtl/>
        </w:rPr>
      </w:pPr>
    </w:p>
    <w:p w14:paraId="4E93D379" w14:textId="77777777" w:rsidR="00BF5B01" w:rsidRDefault="00BF5B01" w:rsidP="00056A3E">
      <w:pPr>
        <w:spacing w:line="360" w:lineRule="auto"/>
        <w:jc w:val="both"/>
        <w:rPr>
          <w:rFonts w:ascii="Arial" w:hAnsi="Arial"/>
          <w:sz w:val="26"/>
          <w:rtl/>
        </w:rPr>
      </w:pPr>
      <w:r>
        <w:rPr>
          <w:rFonts w:ascii="Arial" w:hAnsi="Arial"/>
          <w:sz w:val="26"/>
          <w:rtl/>
        </w:rPr>
        <w:t>הפסיקה הדגישה את החומרה הטבועה בביצוע עבירה של החזקת סכין שלא כדין, נוכח הסיכון הטמון בשימוש האפשרי בו, ובשל זמינותו, כשהוא למשל מצוי ברכבו של אדם. פוטנציאל הנזק העלול להיגרם משימוש כזה הוא הרה אסון. לא בכדי קבע המחוקק בצד החזקה אסורה זו, שסווגה כעבירת פשע, עונש של 5 שנות מאסר. תכלית האיסור מכוונת למניעת התממשות הסיכון והנזק אשר עלול להיגרם כתוצאה משימוש כאמור (ראה הנאמר ב</w:t>
      </w:r>
      <w:hyperlink r:id="rId51" w:history="1">
        <w:r w:rsidR="00D74603" w:rsidRPr="00D74603">
          <w:rPr>
            <w:rFonts w:ascii="Arial" w:hAnsi="Arial"/>
            <w:color w:val="0000FF"/>
            <w:sz w:val="26"/>
            <w:u w:val="single"/>
            <w:rtl/>
          </w:rPr>
          <w:t>רע"פ  7484/08</w:t>
        </w:r>
      </w:hyperlink>
      <w:r>
        <w:rPr>
          <w:rFonts w:ascii="Arial" w:hAnsi="Arial"/>
          <w:sz w:val="26"/>
          <w:rtl/>
        </w:rPr>
        <w:t xml:space="preserve"> </w:t>
      </w:r>
      <w:r>
        <w:rPr>
          <w:rFonts w:ascii="Arial" w:hAnsi="Arial"/>
          <w:b/>
          <w:bCs/>
          <w:sz w:val="26"/>
          <w:rtl/>
        </w:rPr>
        <w:t>פלוני נגד מדינת ישראל</w:t>
      </w:r>
      <w:r>
        <w:rPr>
          <w:rFonts w:ascii="Arial" w:hAnsi="Arial"/>
          <w:sz w:val="26"/>
          <w:rtl/>
        </w:rPr>
        <w:t xml:space="preserve"> (22.12.09); </w:t>
      </w:r>
      <w:hyperlink r:id="rId52" w:history="1">
        <w:r w:rsidR="00D74603" w:rsidRPr="00D74603">
          <w:rPr>
            <w:rFonts w:ascii="Arial" w:hAnsi="Arial"/>
            <w:color w:val="0000FF"/>
            <w:sz w:val="26"/>
            <w:u w:val="single"/>
            <w:rtl/>
          </w:rPr>
          <w:t>ע"פ 7924/05</w:t>
        </w:r>
      </w:hyperlink>
      <w:r>
        <w:rPr>
          <w:rFonts w:ascii="Arial" w:hAnsi="Arial"/>
          <w:sz w:val="26"/>
          <w:rtl/>
        </w:rPr>
        <w:t xml:space="preserve"> </w:t>
      </w:r>
      <w:r>
        <w:rPr>
          <w:rFonts w:ascii="Arial" w:hAnsi="Arial"/>
          <w:b/>
          <w:bCs/>
          <w:sz w:val="26"/>
          <w:rtl/>
        </w:rPr>
        <w:t>אבו דעוף נ' מדינת ישראל</w:t>
      </w:r>
      <w:r>
        <w:rPr>
          <w:rFonts w:ascii="Arial" w:hAnsi="Arial"/>
          <w:sz w:val="26"/>
          <w:rtl/>
        </w:rPr>
        <w:t xml:space="preserve"> (11.01.07); </w:t>
      </w:r>
      <w:hyperlink r:id="rId53" w:history="1">
        <w:r w:rsidR="00D74603" w:rsidRPr="00D74603">
          <w:rPr>
            <w:rFonts w:ascii="Arial" w:hAnsi="Arial"/>
            <w:color w:val="0000FF"/>
            <w:sz w:val="26"/>
            <w:u w:val="single"/>
            <w:rtl/>
          </w:rPr>
          <w:t>ע"פ 1964/14</w:t>
        </w:r>
      </w:hyperlink>
      <w:r>
        <w:rPr>
          <w:rFonts w:ascii="Arial" w:hAnsi="Arial"/>
          <w:sz w:val="26"/>
          <w:rtl/>
        </w:rPr>
        <w:t xml:space="preserve"> </w:t>
      </w:r>
      <w:r>
        <w:rPr>
          <w:rFonts w:ascii="Arial" w:hAnsi="Arial"/>
          <w:b/>
          <w:bCs/>
          <w:sz w:val="26"/>
          <w:rtl/>
        </w:rPr>
        <w:t>שלווה שימשילשווילי נ' מדינת ישראל</w:t>
      </w:r>
      <w:r>
        <w:rPr>
          <w:rFonts w:ascii="Arial" w:hAnsi="Arial"/>
          <w:sz w:val="26"/>
          <w:rtl/>
        </w:rPr>
        <w:t xml:space="preserve"> (6.7.14)).</w:t>
      </w:r>
    </w:p>
    <w:p w14:paraId="1824AB0A" w14:textId="77777777" w:rsidR="00BF5B01" w:rsidRDefault="00BF5B01" w:rsidP="00056A3E">
      <w:pPr>
        <w:spacing w:line="360" w:lineRule="auto"/>
        <w:jc w:val="both"/>
        <w:rPr>
          <w:rFonts w:ascii="Arial" w:hAnsi="Arial"/>
          <w:sz w:val="26"/>
          <w:rtl/>
        </w:rPr>
      </w:pPr>
    </w:p>
    <w:p w14:paraId="51C26F8E" w14:textId="77777777" w:rsidR="00BF5B01" w:rsidRDefault="00BF5B01" w:rsidP="00056A3E">
      <w:pPr>
        <w:spacing w:line="360" w:lineRule="auto"/>
        <w:jc w:val="both"/>
        <w:rPr>
          <w:rFonts w:ascii="Arial" w:hAnsi="Arial"/>
          <w:sz w:val="26"/>
          <w:rtl/>
        </w:rPr>
      </w:pPr>
      <w:r>
        <w:rPr>
          <w:rFonts w:ascii="Arial" w:hAnsi="Arial"/>
          <w:sz w:val="26"/>
          <w:rtl/>
        </w:rPr>
        <w:t>מדיניות הענישה הנוהגת ביחס לעבירה זו, היא מחמירה בדרך כלל, גם אם היא ניצבת לבדה, מאחר ומדובר בעבירה הצופנת בחובה פתח לביצוען של מגוון עבירות אלימות קשות (ראו למשל הנאמר ב</w:t>
      </w:r>
      <w:hyperlink r:id="rId54" w:history="1">
        <w:r w:rsidR="00D74603" w:rsidRPr="00D74603">
          <w:rPr>
            <w:rFonts w:ascii="Arial" w:hAnsi="Arial"/>
            <w:color w:val="0000FF"/>
            <w:sz w:val="26"/>
            <w:u w:val="single"/>
            <w:rtl/>
          </w:rPr>
          <w:t>ע"פ (י-ם) 39461-10-13</w:t>
        </w:r>
      </w:hyperlink>
      <w:r>
        <w:rPr>
          <w:rFonts w:ascii="Arial" w:hAnsi="Arial"/>
          <w:sz w:val="26"/>
          <w:rtl/>
        </w:rPr>
        <w:t xml:space="preserve"> </w:t>
      </w:r>
      <w:r>
        <w:rPr>
          <w:rFonts w:ascii="Arial" w:hAnsi="Arial"/>
          <w:b/>
          <w:bCs/>
          <w:sz w:val="26"/>
          <w:rtl/>
        </w:rPr>
        <w:t>ווה גרשקוביץ נ' מדינת ישראל</w:t>
      </w:r>
      <w:r>
        <w:rPr>
          <w:rFonts w:ascii="Arial" w:hAnsi="Arial"/>
          <w:sz w:val="26"/>
          <w:rtl/>
        </w:rPr>
        <w:t xml:space="preserve"> (17.2.14)). עם זאת, חומרת הענישה היא פועל יוצא של נסיבות החזקת הסכין ובנסיבות ההחזקה. </w:t>
      </w:r>
    </w:p>
    <w:p w14:paraId="2B3E7B05" w14:textId="77777777" w:rsidR="00BF5B01" w:rsidRDefault="00BF5B01" w:rsidP="00056A3E">
      <w:pPr>
        <w:spacing w:line="360" w:lineRule="auto"/>
        <w:jc w:val="both"/>
        <w:rPr>
          <w:rFonts w:ascii="Arial" w:hAnsi="Arial"/>
          <w:sz w:val="26"/>
          <w:rtl/>
        </w:rPr>
      </w:pPr>
    </w:p>
    <w:p w14:paraId="17023FE4" w14:textId="77777777" w:rsidR="00BF5B01" w:rsidRDefault="00BF5B01" w:rsidP="00056A3E">
      <w:pPr>
        <w:spacing w:line="360" w:lineRule="auto"/>
        <w:jc w:val="both"/>
        <w:rPr>
          <w:rFonts w:ascii="Arial" w:hAnsi="Arial"/>
          <w:sz w:val="26"/>
          <w:rtl/>
        </w:rPr>
      </w:pPr>
      <w:r>
        <w:rPr>
          <w:rFonts w:ascii="Arial" w:hAnsi="Arial"/>
          <w:sz w:val="26"/>
          <w:rtl/>
        </w:rPr>
        <w:t xml:space="preserve">הענישה הנוהגת לעבירה זו מתחילה בהטלת מאסר, גם בנסיבות בהן לא נעשה שימוש פוגעני בסכין, כך למשל, הוטל מאסר בפועל בגין עבירה של החזקת סכין שלא כדין, גם כאשר לא נתלוותה לכך עבירה נוספת, ואף אם מדובר בנאשם ללא עבר פלילי (ראו למשל: </w:t>
      </w:r>
      <w:hyperlink r:id="rId55" w:history="1">
        <w:r w:rsidR="00D74603" w:rsidRPr="00D74603">
          <w:rPr>
            <w:rFonts w:ascii="Arial" w:hAnsi="Arial"/>
            <w:color w:val="0000FF"/>
            <w:sz w:val="26"/>
            <w:u w:val="single"/>
            <w:rtl/>
          </w:rPr>
          <w:t>רע"פ 242/07</w:t>
        </w:r>
      </w:hyperlink>
      <w:r>
        <w:rPr>
          <w:rFonts w:ascii="Arial" w:hAnsi="Arial"/>
          <w:sz w:val="26"/>
          <w:rtl/>
        </w:rPr>
        <w:t xml:space="preserve"> </w:t>
      </w:r>
      <w:r>
        <w:rPr>
          <w:rFonts w:ascii="Arial" w:hAnsi="Arial"/>
          <w:b/>
          <w:bCs/>
          <w:sz w:val="26"/>
          <w:rtl/>
        </w:rPr>
        <w:t>ליאוניד אולימבוב נ' מדינת ישראל</w:t>
      </w:r>
      <w:r>
        <w:rPr>
          <w:rFonts w:ascii="Arial" w:hAnsi="Arial"/>
          <w:sz w:val="26"/>
          <w:rtl/>
        </w:rPr>
        <w:t xml:space="preserve"> (11.1.07); </w:t>
      </w:r>
      <w:hyperlink r:id="rId56" w:history="1">
        <w:r w:rsidR="00D74603" w:rsidRPr="00D74603">
          <w:rPr>
            <w:rFonts w:ascii="Arial" w:hAnsi="Arial"/>
            <w:color w:val="0000FF"/>
            <w:sz w:val="26"/>
            <w:u w:val="single"/>
            <w:rtl/>
          </w:rPr>
          <w:t>רע"פ 9400/08</w:t>
        </w:r>
      </w:hyperlink>
      <w:r>
        <w:rPr>
          <w:rFonts w:ascii="Arial" w:hAnsi="Arial"/>
          <w:sz w:val="26"/>
          <w:rtl/>
        </w:rPr>
        <w:t xml:space="preserve"> </w:t>
      </w:r>
      <w:r>
        <w:rPr>
          <w:rFonts w:ascii="Arial" w:hAnsi="Arial"/>
          <w:b/>
          <w:bCs/>
          <w:sz w:val="26"/>
          <w:rtl/>
        </w:rPr>
        <w:t>מועתז מועטי נ' מדינת  ישראל</w:t>
      </w:r>
      <w:r>
        <w:rPr>
          <w:rFonts w:ascii="Arial" w:hAnsi="Arial"/>
          <w:sz w:val="26"/>
          <w:rtl/>
        </w:rPr>
        <w:t xml:space="preserve"> (20.11.08); רע"פ 2922/08 </w:t>
      </w:r>
      <w:r>
        <w:rPr>
          <w:rFonts w:ascii="Arial" w:hAnsi="Arial"/>
          <w:b/>
          <w:bCs/>
          <w:sz w:val="26"/>
          <w:rtl/>
        </w:rPr>
        <w:t>מוחמד מרגאן נ' מדינת ישראל</w:t>
      </w:r>
      <w:r>
        <w:rPr>
          <w:rFonts w:ascii="Arial" w:hAnsi="Arial"/>
          <w:sz w:val="26"/>
          <w:rtl/>
        </w:rPr>
        <w:t xml:space="preserve"> (12.6.08); ו</w:t>
      </w:r>
      <w:hyperlink r:id="rId57" w:history="1">
        <w:r w:rsidR="00D74603" w:rsidRPr="00D74603">
          <w:rPr>
            <w:rFonts w:ascii="Arial" w:hAnsi="Arial"/>
            <w:color w:val="0000FF"/>
            <w:sz w:val="26"/>
            <w:u w:val="single"/>
            <w:rtl/>
          </w:rPr>
          <w:t>ע"פ (חי') 5953-03-09</w:t>
        </w:r>
      </w:hyperlink>
      <w:r>
        <w:rPr>
          <w:rFonts w:ascii="Arial" w:hAnsi="Arial"/>
          <w:sz w:val="26"/>
          <w:rtl/>
        </w:rPr>
        <w:t xml:space="preserve"> </w:t>
      </w:r>
      <w:r>
        <w:rPr>
          <w:rFonts w:ascii="Arial" w:hAnsi="Arial"/>
          <w:b/>
          <w:bCs/>
          <w:sz w:val="26"/>
          <w:rtl/>
        </w:rPr>
        <w:t>אבו לאשין נ' מדינת ישראל</w:t>
      </w:r>
      <w:r>
        <w:rPr>
          <w:rFonts w:ascii="Arial" w:hAnsi="Arial"/>
          <w:sz w:val="26"/>
          <w:rtl/>
        </w:rPr>
        <w:t xml:space="preserve"> (14.5.09); ולענישה מקלה יותר ראו: רע"פ  </w:t>
      </w:r>
      <w:r>
        <w:rPr>
          <w:rFonts w:ascii="Arial" w:hAnsi="Arial"/>
          <w:b/>
          <w:bCs/>
          <w:sz w:val="26"/>
          <w:rtl/>
        </w:rPr>
        <w:t xml:space="preserve">אבו זניד נ' מדינת ישראל </w:t>
      </w:r>
      <w:r>
        <w:rPr>
          <w:rFonts w:ascii="Arial" w:hAnsi="Arial"/>
          <w:sz w:val="26"/>
          <w:rtl/>
        </w:rPr>
        <w:t>(27.6.12), ;</w:t>
      </w:r>
      <w:hyperlink r:id="rId58" w:history="1">
        <w:r w:rsidR="00D74603" w:rsidRPr="00D74603">
          <w:rPr>
            <w:rFonts w:ascii="Arial" w:hAnsi="Arial"/>
            <w:color w:val="0000FF"/>
            <w:sz w:val="26"/>
            <w:u w:val="single"/>
            <w:rtl/>
          </w:rPr>
          <w:t>רע"פ 2609/12</w:t>
        </w:r>
      </w:hyperlink>
      <w:r>
        <w:rPr>
          <w:rFonts w:ascii="Arial" w:hAnsi="Arial"/>
          <w:sz w:val="26"/>
          <w:rtl/>
        </w:rPr>
        <w:t xml:space="preserve"> </w:t>
      </w:r>
      <w:r>
        <w:rPr>
          <w:rFonts w:ascii="Arial" w:hAnsi="Arial"/>
          <w:b/>
          <w:bCs/>
          <w:sz w:val="26"/>
          <w:rtl/>
        </w:rPr>
        <w:t>חלבי נגד מדינת ישראל</w:t>
      </w:r>
      <w:r>
        <w:rPr>
          <w:rFonts w:ascii="Arial" w:hAnsi="Arial"/>
          <w:sz w:val="26"/>
          <w:rtl/>
        </w:rPr>
        <w:t xml:space="preserve"> (19.8.12); </w:t>
      </w:r>
      <w:hyperlink r:id="rId59" w:history="1">
        <w:r w:rsidR="00D74603" w:rsidRPr="00D74603">
          <w:rPr>
            <w:rFonts w:ascii="Arial" w:hAnsi="Arial"/>
            <w:color w:val="0000FF"/>
            <w:sz w:val="26"/>
            <w:u w:val="single"/>
            <w:rtl/>
          </w:rPr>
          <w:t>רע"פ 5052/12</w:t>
        </w:r>
      </w:hyperlink>
      <w:r>
        <w:rPr>
          <w:rFonts w:ascii="Arial" w:hAnsi="Arial"/>
          <w:sz w:val="26"/>
          <w:rtl/>
        </w:rPr>
        <w:t xml:space="preserve"> </w:t>
      </w:r>
      <w:r>
        <w:rPr>
          <w:rFonts w:ascii="Arial" w:hAnsi="Arial"/>
          <w:b/>
          <w:bCs/>
          <w:sz w:val="26"/>
          <w:rtl/>
        </w:rPr>
        <w:t>אלגלי נ' מדינת ישראל</w:t>
      </w:r>
      <w:r>
        <w:rPr>
          <w:rFonts w:ascii="Arial" w:hAnsi="Arial"/>
          <w:sz w:val="26"/>
          <w:rtl/>
        </w:rPr>
        <w:t xml:space="preserve"> (09.07.12); </w:t>
      </w:r>
      <w:hyperlink r:id="rId60" w:history="1">
        <w:r w:rsidR="00D74603" w:rsidRPr="00D74603">
          <w:rPr>
            <w:rFonts w:ascii="Arial" w:hAnsi="Arial"/>
            <w:color w:val="0000FF"/>
            <w:sz w:val="26"/>
            <w:u w:val="single"/>
            <w:rtl/>
          </w:rPr>
          <w:t>רע"פ 1949/15</w:t>
        </w:r>
      </w:hyperlink>
      <w:r>
        <w:rPr>
          <w:rFonts w:ascii="Arial" w:hAnsi="Arial"/>
          <w:sz w:val="26"/>
          <w:rtl/>
        </w:rPr>
        <w:t xml:space="preserve"> </w:t>
      </w:r>
      <w:r>
        <w:rPr>
          <w:rFonts w:ascii="Arial" w:hAnsi="Arial"/>
          <w:b/>
          <w:bCs/>
          <w:sz w:val="26"/>
          <w:rtl/>
        </w:rPr>
        <w:t>תקרורי נ' מדינת ישראל</w:t>
      </w:r>
      <w:r>
        <w:rPr>
          <w:rFonts w:ascii="Arial" w:hAnsi="Arial"/>
          <w:sz w:val="26"/>
          <w:rtl/>
        </w:rPr>
        <w:t xml:space="preserve"> 02.04.15), </w:t>
      </w:r>
      <w:hyperlink r:id="rId61" w:history="1">
        <w:r w:rsidR="00D74603" w:rsidRPr="00D74603">
          <w:rPr>
            <w:rFonts w:ascii="Arial" w:hAnsi="Arial"/>
            <w:color w:val="0000FF"/>
            <w:sz w:val="26"/>
            <w:u w:val="single"/>
            <w:rtl/>
          </w:rPr>
          <w:t>עפ"ג (י"ם) 28790-05-16</w:t>
        </w:r>
      </w:hyperlink>
      <w:r>
        <w:rPr>
          <w:rFonts w:ascii="Arial" w:hAnsi="Arial"/>
          <w:sz w:val="26"/>
          <w:rtl/>
        </w:rPr>
        <w:t xml:space="preserve"> </w:t>
      </w:r>
      <w:r>
        <w:rPr>
          <w:rFonts w:ascii="Arial" w:hAnsi="Arial"/>
          <w:b/>
          <w:bCs/>
          <w:sz w:val="26"/>
          <w:rtl/>
        </w:rPr>
        <w:t>אלעד אלוני נ' מדינת ישראל</w:t>
      </w:r>
      <w:r>
        <w:rPr>
          <w:rFonts w:ascii="Arial" w:hAnsi="Arial"/>
          <w:sz w:val="26"/>
          <w:rtl/>
        </w:rPr>
        <w:t xml:space="preserve"> (01.02.17)); וראו לאחרונה, </w:t>
      </w:r>
      <w:hyperlink r:id="rId62" w:history="1">
        <w:r w:rsidR="00D74603" w:rsidRPr="00D74603">
          <w:rPr>
            <w:rFonts w:ascii="Arial" w:hAnsi="Arial"/>
            <w:color w:val="0000FF"/>
            <w:sz w:val="26"/>
            <w:u w:val="single"/>
            <w:rtl/>
          </w:rPr>
          <w:t>רע"פ 7901/23</w:t>
        </w:r>
      </w:hyperlink>
      <w:r>
        <w:rPr>
          <w:rFonts w:ascii="Arial" w:hAnsi="Arial"/>
          <w:sz w:val="26"/>
          <w:rtl/>
        </w:rPr>
        <w:t xml:space="preserve"> </w:t>
      </w:r>
      <w:r>
        <w:rPr>
          <w:rFonts w:ascii="Arial" w:hAnsi="Arial"/>
          <w:b/>
          <w:bCs/>
          <w:sz w:val="26"/>
          <w:rtl/>
        </w:rPr>
        <w:t>יעקב אמסלם נ' מדינת ישראל</w:t>
      </w:r>
      <w:r>
        <w:rPr>
          <w:rFonts w:ascii="Arial" w:hAnsi="Arial"/>
          <w:sz w:val="26"/>
          <w:rtl/>
        </w:rPr>
        <w:t xml:space="preserve"> (7.4.24) אשר דן בנסיבות תפיסת הסכין ללא התערבות במתחם שנקבע). </w:t>
      </w:r>
    </w:p>
    <w:p w14:paraId="4C59D5D5" w14:textId="77777777" w:rsidR="00BF5B01" w:rsidRDefault="00BF5B01" w:rsidP="00056A3E">
      <w:pPr>
        <w:spacing w:line="360" w:lineRule="auto"/>
        <w:jc w:val="both"/>
        <w:rPr>
          <w:rFonts w:ascii="Arial" w:hAnsi="Arial"/>
          <w:sz w:val="26"/>
          <w:rtl/>
        </w:rPr>
      </w:pPr>
    </w:p>
    <w:p w14:paraId="2D6D3B93" w14:textId="77777777" w:rsidR="00BF5B01" w:rsidRDefault="00BF5B01" w:rsidP="00056A3E">
      <w:pPr>
        <w:spacing w:line="360" w:lineRule="auto"/>
        <w:jc w:val="both"/>
        <w:rPr>
          <w:rFonts w:ascii="Arial" w:hAnsi="Arial"/>
          <w:sz w:val="26"/>
          <w:rtl/>
        </w:rPr>
      </w:pPr>
    </w:p>
    <w:p w14:paraId="52933F28" w14:textId="77777777" w:rsidR="00BF5B01" w:rsidRDefault="00BF5B01" w:rsidP="00056A3E">
      <w:pPr>
        <w:spacing w:line="360" w:lineRule="auto"/>
        <w:jc w:val="both"/>
        <w:rPr>
          <w:rFonts w:ascii="Arial" w:hAnsi="Arial"/>
          <w:sz w:val="26"/>
          <w:rtl/>
        </w:rPr>
      </w:pPr>
    </w:p>
    <w:p w14:paraId="75EAC9AE" w14:textId="77777777" w:rsidR="00BF5B01" w:rsidRDefault="00BF5B01" w:rsidP="00056A3E">
      <w:pPr>
        <w:spacing w:line="360" w:lineRule="auto"/>
        <w:jc w:val="both"/>
        <w:rPr>
          <w:rFonts w:ascii="Arial" w:hAnsi="Arial"/>
          <w:sz w:val="26"/>
          <w:rtl/>
        </w:rPr>
      </w:pPr>
    </w:p>
    <w:p w14:paraId="4B48047B" w14:textId="77777777" w:rsidR="00BF5B01" w:rsidRDefault="00BF5B01" w:rsidP="00056A3E">
      <w:pPr>
        <w:spacing w:line="360" w:lineRule="auto"/>
        <w:jc w:val="both"/>
        <w:rPr>
          <w:rFonts w:ascii="Arial" w:hAnsi="Arial"/>
          <w:b/>
          <w:bCs/>
          <w:sz w:val="26"/>
          <w:rtl/>
        </w:rPr>
      </w:pPr>
      <w:r>
        <w:rPr>
          <w:rFonts w:ascii="Arial" w:hAnsi="Arial"/>
          <w:b/>
          <w:bCs/>
          <w:sz w:val="26"/>
          <w:u w:val="single"/>
          <w:rtl/>
        </w:rPr>
        <w:t>נסיבות ביצוע העבירה</w:t>
      </w:r>
    </w:p>
    <w:p w14:paraId="24E0CEA8" w14:textId="77777777" w:rsidR="00BF5B01" w:rsidRDefault="00BF5B01" w:rsidP="00056A3E">
      <w:pPr>
        <w:spacing w:line="360" w:lineRule="auto"/>
        <w:jc w:val="both"/>
        <w:rPr>
          <w:rFonts w:ascii="Arial" w:hAnsi="Arial"/>
          <w:sz w:val="26"/>
          <w:rtl/>
        </w:rPr>
      </w:pPr>
    </w:p>
    <w:p w14:paraId="5F64D30E" w14:textId="77777777" w:rsidR="00BF5B01" w:rsidRDefault="00BF5B01" w:rsidP="00056A3E">
      <w:pPr>
        <w:spacing w:line="360" w:lineRule="auto"/>
        <w:jc w:val="both"/>
        <w:rPr>
          <w:rFonts w:ascii="Arial" w:hAnsi="Arial"/>
          <w:sz w:val="26"/>
          <w:rtl/>
        </w:rPr>
      </w:pPr>
      <w:r>
        <w:rPr>
          <w:rFonts w:ascii="Arial" w:hAnsi="Arial"/>
          <w:sz w:val="26"/>
          <w:u w:val="single"/>
          <w:rtl/>
        </w:rPr>
        <w:t>בכל הנוגע לירי מנשק חם בצוותא חדא עם אחר</w:t>
      </w:r>
      <w:r>
        <w:rPr>
          <w:rFonts w:ascii="Arial" w:hAnsi="Arial"/>
          <w:sz w:val="26"/>
          <w:rtl/>
        </w:rPr>
        <w:t xml:space="preserve"> - לפי העובדות בהן הודה הנאשם, ביום 23/4/23 סמך לשעה 02:00 לפנות בוקר, נהג הנאשם ברכב שאדם נוסף יושב במושב הקדמי לידו. באותה עת, אותו אדם החזיק והוביל רובה סער 16</w:t>
      </w:r>
      <w:r>
        <w:rPr>
          <w:rFonts w:ascii="Arial" w:hAnsi="Arial"/>
          <w:sz w:val="26"/>
        </w:rPr>
        <w:t>M</w:t>
      </w:r>
      <w:r>
        <w:rPr>
          <w:rFonts w:ascii="Arial" w:hAnsi="Arial"/>
          <w:sz w:val="26"/>
          <w:rtl/>
        </w:rPr>
        <w:t xml:space="preserve"> טעון במחסנית, ובתוכה כדורים. בהמשך הדברים, בעוד השניים נוסעים ברכב, בסמוך לכניסה לשכונת החיילים המשוחררים בישוב כיסרא-סמיע, ירו הנאשם והאחר באוויר בצוותא, בשתי הזדמנויות, תחילה לפחות כדור אחד באוויר בכניסה לשכונת מגורים, ובהמשך הנסיעה, במרחק של עשרות מטרים נוספים משם, ירו שוב השניים, לפחות 22 כדורים. </w:t>
      </w:r>
    </w:p>
    <w:p w14:paraId="3A0199A0" w14:textId="77777777" w:rsidR="00BF5B01" w:rsidRDefault="00BF5B01" w:rsidP="00056A3E">
      <w:pPr>
        <w:spacing w:line="360" w:lineRule="auto"/>
        <w:jc w:val="both"/>
        <w:rPr>
          <w:rFonts w:ascii="Arial" w:hAnsi="Arial"/>
          <w:sz w:val="26"/>
          <w:u w:val="single"/>
          <w:rtl/>
        </w:rPr>
      </w:pPr>
    </w:p>
    <w:p w14:paraId="6A6F6B49" w14:textId="77777777" w:rsidR="00BF5B01" w:rsidRDefault="00BF5B01" w:rsidP="00056A3E">
      <w:pPr>
        <w:spacing w:line="360" w:lineRule="auto"/>
        <w:jc w:val="both"/>
        <w:rPr>
          <w:rFonts w:ascii="Arial" w:hAnsi="Arial"/>
          <w:sz w:val="26"/>
          <w:rtl/>
        </w:rPr>
      </w:pPr>
      <w:r>
        <w:rPr>
          <w:rFonts w:ascii="Arial" w:hAnsi="Arial"/>
          <w:sz w:val="26"/>
          <w:rtl/>
        </w:rPr>
        <w:t xml:space="preserve">טוען הסניגור המלומד, כי הירי בוצע לפי החלופה המקלה שבחוק, וככל הנראה ע"י אותו אחר  שהיה יחד עם הנאשם (אשר לא נתפס ולא הועמד לדין), ומכאן שנסיבות ביצוע העבירה, הן מקלות. </w:t>
      </w:r>
    </w:p>
    <w:p w14:paraId="4F73B965" w14:textId="77777777" w:rsidR="00BF5B01" w:rsidRDefault="00BF5B01" w:rsidP="00056A3E">
      <w:pPr>
        <w:spacing w:line="360" w:lineRule="auto"/>
        <w:jc w:val="both"/>
        <w:rPr>
          <w:rFonts w:ascii="Arial" w:hAnsi="Arial"/>
          <w:sz w:val="26"/>
          <w:rtl/>
        </w:rPr>
      </w:pPr>
      <w:r>
        <w:rPr>
          <w:rFonts w:ascii="Arial" w:hAnsi="Arial"/>
          <w:sz w:val="26"/>
          <w:rtl/>
        </w:rPr>
        <w:t>אין בידי לקבל טענה זו. ביצוע ירי בשתי הזדמנויות מנשק ארוך בסמוך לשכונת מגורים מהווה נסיבה משמעותית לחומרה. אמנם הנאשם הורשע בעבירה לפי החלופה הקלה יותר (</w:t>
      </w:r>
      <w:hyperlink r:id="rId63" w:history="1">
        <w:r w:rsidR="00A41E55" w:rsidRPr="00A41E55">
          <w:rPr>
            <w:rStyle w:val="Hyperlink"/>
            <w:rFonts w:ascii="Arial" w:hAnsi="Arial"/>
            <w:color w:val="0000FF"/>
            <w:sz w:val="26"/>
            <w:rtl/>
          </w:rPr>
          <w:t>סעיף 340א(א)</w:t>
        </w:r>
      </w:hyperlink>
      <w:r>
        <w:rPr>
          <w:rFonts w:ascii="Arial" w:hAnsi="Arial"/>
          <w:sz w:val="26"/>
          <w:rtl/>
        </w:rPr>
        <w:t xml:space="preserve"> ל</w:t>
      </w:r>
      <w:hyperlink r:id="rId64" w:history="1">
        <w:r w:rsidR="00D74603" w:rsidRPr="00D74603">
          <w:rPr>
            <w:rFonts w:ascii="Arial" w:hAnsi="Arial"/>
            <w:color w:val="0000FF"/>
            <w:sz w:val="26"/>
            <w:u w:val="single"/>
            <w:rtl/>
          </w:rPr>
          <w:t>חוק העונשין</w:t>
        </w:r>
      </w:hyperlink>
      <w:r>
        <w:rPr>
          <w:rFonts w:ascii="Arial" w:hAnsi="Arial"/>
          <w:sz w:val="26"/>
          <w:rtl/>
        </w:rPr>
        <w:t>), ולא בחלופה המחמירה יותר של ירי באזור מגורים (</w:t>
      </w:r>
      <w:hyperlink r:id="rId65" w:history="1">
        <w:r w:rsidR="00A41E55" w:rsidRPr="00A41E55">
          <w:rPr>
            <w:rStyle w:val="Hyperlink"/>
            <w:rFonts w:ascii="Arial" w:hAnsi="Arial"/>
            <w:color w:val="0000FF"/>
            <w:sz w:val="26"/>
            <w:rtl/>
          </w:rPr>
          <w:t>סעיף 340א(ב)</w:t>
        </w:r>
      </w:hyperlink>
      <w:r>
        <w:rPr>
          <w:rFonts w:ascii="Arial" w:hAnsi="Arial"/>
          <w:sz w:val="26"/>
          <w:rtl/>
        </w:rPr>
        <w:t xml:space="preserve"> לחוק העונשין), אך נפסק, כי אין משמעות הדבר שלא ניתן להביא זאת בחשבון לצורך קביעת המתחם, משעה שעובדה זו נכללה בכתב האישום בו הודה הנאשם, ואפנה לדברים מפורשים ביחס לטענה זהה שנטענה ב</w:t>
      </w:r>
      <w:hyperlink r:id="rId66" w:history="1">
        <w:r w:rsidR="00D74603" w:rsidRPr="00D74603">
          <w:rPr>
            <w:rFonts w:ascii="Arial" w:hAnsi="Arial"/>
            <w:color w:val="0000FF"/>
            <w:sz w:val="26"/>
            <w:u w:val="single"/>
            <w:rtl/>
          </w:rPr>
          <w:t>ע"פ 6753/23</w:t>
        </w:r>
      </w:hyperlink>
      <w:r>
        <w:rPr>
          <w:rFonts w:ascii="Arial" w:hAnsi="Arial"/>
          <w:sz w:val="26"/>
          <w:rtl/>
        </w:rPr>
        <w:t xml:space="preserve"> </w:t>
      </w:r>
      <w:r>
        <w:rPr>
          <w:rFonts w:ascii="Arial" w:hAnsi="Arial"/>
          <w:b/>
          <w:bCs/>
          <w:sz w:val="26"/>
          <w:rtl/>
        </w:rPr>
        <w:t>בסול נזאר נ' מדינת ישראל</w:t>
      </w:r>
      <w:r>
        <w:rPr>
          <w:rFonts w:ascii="Arial" w:hAnsi="Arial"/>
          <w:sz w:val="26"/>
          <w:rtl/>
        </w:rPr>
        <w:t xml:space="preserve">, פסקה 11, מפי כב' השופטת כנפי-שטייניץ בהסכמת חברי יתר המותב (1.4.2024) – להלן: </w:t>
      </w:r>
      <w:r>
        <w:rPr>
          <w:rFonts w:ascii="Arial" w:hAnsi="Arial"/>
          <w:b/>
          <w:bCs/>
          <w:sz w:val="26"/>
          <w:rtl/>
        </w:rPr>
        <w:t>"עניין נזאר"</w:t>
      </w:r>
      <w:r>
        <w:rPr>
          <w:rFonts w:ascii="Arial" w:hAnsi="Arial"/>
          <w:sz w:val="26"/>
          <w:rtl/>
        </w:rPr>
        <w:t>).</w:t>
      </w:r>
    </w:p>
    <w:p w14:paraId="259C246B" w14:textId="77777777" w:rsidR="00BF5B01" w:rsidRDefault="00BF5B01" w:rsidP="00056A3E">
      <w:pPr>
        <w:spacing w:line="360" w:lineRule="auto"/>
        <w:jc w:val="both"/>
        <w:rPr>
          <w:rFonts w:ascii="Arial" w:hAnsi="Arial"/>
          <w:sz w:val="26"/>
          <w:rtl/>
        </w:rPr>
      </w:pPr>
    </w:p>
    <w:p w14:paraId="722DF6B5" w14:textId="77777777" w:rsidR="00BF5B01" w:rsidRDefault="00BF5B01" w:rsidP="00056A3E">
      <w:pPr>
        <w:spacing w:line="360" w:lineRule="auto"/>
        <w:jc w:val="both"/>
        <w:rPr>
          <w:rFonts w:ascii="Arial" w:hAnsi="Arial"/>
          <w:sz w:val="26"/>
          <w:rtl/>
        </w:rPr>
      </w:pPr>
      <w:r>
        <w:rPr>
          <w:rFonts w:ascii="Arial" w:hAnsi="Arial"/>
          <w:sz w:val="26"/>
          <w:rtl/>
        </w:rPr>
        <w:t>בית משפט העליון עמד לא אחת על הצורך בהטלת ענישה מחמירה ומרתיעה לשם מיגור עבירות הנשק, אשר הפכו זה מכבר ל"מכת מדינה" של ממש (</w:t>
      </w:r>
      <w:hyperlink r:id="rId67" w:history="1">
        <w:r w:rsidR="00D74603" w:rsidRPr="00D74603">
          <w:rPr>
            <w:rFonts w:ascii="Arial" w:hAnsi="Arial"/>
            <w:color w:val="0000FF"/>
            <w:sz w:val="26"/>
            <w:u w:val="single"/>
            <w:rtl/>
          </w:rPr>
          <w:t>ע"פ 5681/23</w:t>
        </w:r>
      </w:hyperlink>
      <w:r>
        <w:rPr>
          <w:rFonts w:ascii="Arial" w:hAnsi="Arial"/>
          <w:sz w:val="26"/>
          <w:rtl/>
        </w:rPr>
        <w:t xml:space="preserve"> </w:t>
      </w:r>
      <w:r>
        <w:rPr>
          <w:rFonts w:ascii="Arial" w:hAnsi="Arial"/>
          <w:b/>
          <w:bCs/>
          <w:sz w:val="26"/>
          <w:rtl/>
        </w:rPr>
        <w:t>חווא נ' מדינת ישראל</w:t>
      </w:r>
      <w:r>
        <w:rPr>
          <w:rFonts w:ascii="Arial" w:hAnsi="Arial"/>
          <w:sz w:val="26"/>
          <w:rtl/>
        </w:rPr>
        <w:t xml:space="preserve">, פסקה 11 (20.12.2023); </w:t>
      </w:r>
      <w:hyperlink r:id="rId68" w:history="1">
        <w:r w:rsidR="00D74603" w:rsidRPr="00D74603">
          <w:rPr>
            <w:rFonts w:ascii="Arial" w:hAnsi="Arial"/>
            <w:color w:val="0000FF"/>
            <w:sz w:val="26"/>
            <w:u w:val="single"/>
            <w:rtl/>
          </w:rPr>
          <w:t>ע"פ 147/21</w:t>
        </w:r>
      </w:hyperlink>
      <w:r>
        <w:rPr>
          <w:rFonts w:ascii="Arial" w:hAnsi="Arial"/>
          <w:sz w:val="26"/>
          <w:rtl/>
        </w:rPr>
        <w:t xml:space="preserve"> </w:t>
      </w:r>
      <w:r>
        <w:rPr>
          <w:rFonts w:ascii="Arial" w:hAnsi="Arial"/>
          <w:b/>
          <w:bCs/>
          <w:sz w:val="26"/>
          <w:rtl/>
        </w:rPr>
        <w:t>מדינת ישראל נ' ביטון</w:t>
      </w:r>
      <w:r>
        <w:rPr>
          <w:rFonts w:ascii="Arial" w:hAnsi="Arial"/>
          <w:sz w:val="26"/>
          <w:rtl/>
        </w:rPr>
        <w:t xml:space="preserve">, פסקה 7 (14.2.2021)). נפסק, כי הדברים נכונים הן ביחס לעבירות של נשיאה והובלה של נשק (ראו למשל: </w:t>
      </w:r>
      <w:hyperlink r:id="rId69" w:history="1">
        <w:r w:rsidR="00D74603" w:rsidRPr="00D74603">
          <w:rPr>
            <w:rFonts w:ascii="Arial" w:hAnsi="Arial"/>
            <w:color w:val="0000FF"/>
            <w:sz w:val="26"/>
            <w:u w:val="single"/>
            <w:rtl/>
          </w:rPr>
          <w:t>ע"פ 5602/22</w:t>
        </w:r>
      </w:hyperlink>
      <w:r>
        <w:rPr>
          <w:rFonts w:ascii="Arial" w:hAnsi="Arial"/>
          <w:sz w:val="26"/>
          <w:rtl/>
        </w:rPr>
        <w:t xml:space="preserve"> </w:t>
      </w:r>
      <w:r>
        <w:rPr>
          <w:rFonts w:ascii="Arial" w:hAnsi="Arial"/>
          <w:b/>
          <w:bCs/>
          <w:sz w:val="26"/>
          <w:rtl/>
        </w:rPr>
        <w:t>מדינת ישראל נ' פלוני</w:t>
      </w:r>
      <w:r>
        <w:rPr>
          <w:rFonts w:ascii="Arial" w:hAnsi="Arial"/>
          <w:sz w:val="26"/>
          <w:rtl/>
        </w:rPr>
        <w:t xml:space="preserve">, פסקה 16 (14.9.2022)), ואפילו כאשר מדובר, באירוע בו נעשה שימוש בפועל בנשק ונורו יריות - </w:t>
      </w:r>
      <w:r>
        <w:rPr>
          <w:rFonts w:ascii="Arial" w:hAnsi="Arial"/>
          <w:sz w:val="26"/>
          <w:u w:val="single"/>
          <w:rtl/>
        </w:rPr>
        <w:t>גם אם לא היה זה הנאשם אשר לחץ על ההדק</w:t>
      </w:r>
      <w:r>
        <w:rPr>
          <w:rFonts w:ascii="Arial" w:hAnsi="Arial"/>
          <w:sz w:val="26"/>
          <w:rtl/>
        </w:rPr>
        <w:t xml:space="preserve">, כפי שנפסק בעניין </w:t>
      </w:r>
      <w:r>
        <w:rPr>
          <w:rFonts w:ascii="Arial" w:hAnsi="Arial"/>
          <w:b/>
          <w:bCs/>
          <w:sz w:val="26"/>
          <w:rtl/>
        </w:rPr>
        <w:t>נזאר</w:t>
      </w:r>
      <w:r>
        <w:rPr>
          <w:rFonts w:ascii="Arial" w:hAnsi="Arial"/>
          <w:sz w:val="26"/>
          <w:rtl/>
        </w:rPr>
        <w:t xml:space="preserve">, שם בפסקה 10, שם ביצוע הירי היה ע"י אדם אחר שהיה עם הנאשם (אשר נהג ברכב ולא ירה).  </w:t>
      </w:r>
    </w:p>
    <w:p w14:paraId="685E75C9" w14:textId="77777777" w:rsidR="00BF5B01" w:rsidRDefault="00BF5B01" w:rsidP="00056A3E">
      <w:pPr>
        <w:spacing w:line="360" w:lineRule="auto"/>
        <w:jc w:val="both"/>
        <w:rPr>
          <w:rFonts w:ascii="Arial" w:hAnsi="Arial"/>
          <w:sz w:val="26"/>
          <w:rtl/>
        </w:rPr>
      </w:pPr>
    </w:p>
    <w:p w14:paraId="0AD99FED" w14:textId="77777777" w:rsidR="00BF5B01" w:rsidRDefault="00BF5B01" w:rsidP="00056A3E">
      <w:pPr>
        <w:spacing w:line="360" w:lineRule="auto"/>
        <w:jc w:val="both"/>
        <w:rPr>
          <w:rFonts w:ascii="Arial" w:hAnsi="Arial"/>
          <w:sz w:val="26"/>
          <w:rtl/>
        </w:rPr>
      </w:pPr>
      <w:r>
        <w:rPr>
          <w:rFonts w:ascii="Arial" w:hAnsi="Arial"/>
          <w:sz w:val="26"/>
          <w:u w:val="single"/>
          <w:rtl/>
        </w:rPr>
        <w:t>בכל הנוגע להחזקה נשיאה והובלה של רימונים ואביזרי נשק</w:t>
      </w:r>
      <w:r>
        <w:rPr>
          <w:rFonts w:ascii="Arial" w:hAnsi="Arial"/>
          <w:sz w:val="26"/>
          <w:rtl/>
        </w:rPr>
        <w:t xml:space="preserve"> - באותה עת, בנסיבות שלעיל, ובסמוך לשעה 03:00 לפנות בוקר, נהג הנאשם באותו רכב כשהוא מחזיק, נושא ומוביל, שני רימוני יד מדוכה הפולטים גז </w:t>
      </w:r>
      <w:r>
        <w:rPr>
          <w:rFonts w:ascii="Arial" w:hAnsi="Arial"/>
          <w:sz w:val="26"/>
        </w:rPr>
        <w:t>CS</w:t>
      </w:r>
      <w:r>
        <w:rPr>
          <w:rFonts w:ascii="Arial" w:hAnsi="Arial"/>
          <w:sz w:val="26"/>
          <w:rtl/>
        </w:rPr>
        <w:t xml:space="preserve"> בעת פעולתם; מחסנית של 16</w:t>
      </w:r>
      <w:r>
        <w:rPr>
          <w:rFonts w:ascii="Arial" w:hAnsi="Arial"/>
          <w:sz w:val="26"/>
        </w:rPr>
        <w:t>M</w:t>
      </w:r>
      <w:r>
        <w:rPr>
          <w:rFonts w:ascii="Arial" w:hAnsi="Arial"/>
          <w:sz w:val="26"/>
          <w:rtl/>
        </w:rPr>
        <w:t xml:space="preserve">; 10 תרמילים ריקים בקוטר 5.56 מ"מ ו-5 כדורים חיים בקוטר של 5.56 מ"מ. אציין, כי הכדורים תואמים לנשק הארוך הנ"ל ממנו בוצע הירי, ולגבי הרימונים והנשק, מדובר בשני רימוני מדוכה פולטי גז, שבכוחם להזיק לאדם בעת פעולתם, המהווים "נשק" כהגדרתו בחוק. </w:t>
      </w:r>
    </w:p>
    <w:p w14:paraId="59D8FCE5" w14:textId="77777777" w:rsidR="00BF5B01" w:rsidRDefault="00BF5B01" w:rsidP="00056A3E">
      <w:pPr>
        <w:spacing w:line="360" w:lineRule="auto"/>
        <w:jc w:val="both"/>
        <w:rPr>
          <w:rFonts w:ascii="Arial" w:hAnsi="Arial"/>
          <w:sz w:val="26"/>
          <w:rtl/>
        </w:rPr>
      </w:pPr>
    </w:p>
    <w:p w14:paraId="746AC710" w14:textId="77777777" w:rsidR="00BF5B01" w:rsidRDefault="00BF5B01" w:rsidP="00056A3E">
      <w:pPr>
        <w:spacing w:line="360" w:lineRule="auto"/>
        <w:jc w:val="both"/>
        <w:rPr>
          <w:rFonts w:ascii="Arial" w:hAnsi="Arial"/>
          <w:sz w:val="26"/>
          <w:rtl/>
        </w:rPr>
      </w:pPr>
      <w:r>
        <w:rPr>
          <w:rFonts w:ascii="Arial" w:hAnsi="Arial"/>
          <w:sz w:val="26"/>
          <w:rtl/>
        </w:rPr>
        <w:t>לפי הפסיקה יש לתת את הדעת לסוג הנשק, הכמות, האיכות, התכלית, הנזק שנגרם ו/או פוטנציאל הנזק הטמון באותו נשק (</w:t>
      </w:r>
      <w:hyperlink r:id="rId70" w:history="1">
        <w:r w:rsidR="00D74603" w:rsidRPr="00D74603">
          <w:rPr>
            <w:rFonts w:ascii="Arial" w:hAnsi="Arial"/>
            <w:color w:val="0000FF"/>
            <w:sz w:val="26"/>
            <w:u w:val="single"/>
            <w:rtl/>
          </w:rPr>
          <w:t>ע"פ 1323/13</w:t>
        </w:r>
      </w:hyperlink>
      <w:r>
        <w:rPr>
          <w:rFonts w:ascii="Arial" w:hAnsi="Arial"/>
          <w:sz w:val="26"/>
          <w:rtl/>
        </w:rPr>
        <w:t xml:space="preserve"> </w:t>
      </w:r>
      <w:r>
        <w:rPr>
          <w:rFonts w:ascii="Arial" w:hAnsi="Arial"/>
          <w:b/>
          <w:bCs/>
          <w:sz w:val="26"/>
          <w:rtl/>
        </w:rPr>
        <w:t>חסן נ' מדינת-ישראל</w:t>
      </w:r>
      <w:r>
        <w:rPr>
          <w:rFonts w:ascii="Arial" w:hAnsi="Arial"/>
          <w:sz w:val="26"/>
          <w:rtl/>
        </w:rPr>
        <w:t xml:space="preserve"> (5/6/13)). המחסנית מהווה אביזר לנשק, והכדורים מהווים תחמושת של הנשק הארוך (סעיף 6 בכתב האישום המתוקן). הגם שהרימונים הם רימוני גז אל-הרג, ואינם - בסולם רימוני היד - רימונים קטלניים, ויש לקחת זאת בחשבון בעת גזירת העונש, הרי שלפי ההגדרה הקבועה בהוראת </w:t>
      </w:r>
      <w:hyperlink r:id="rId71" w:history="1">
        <w:r w:rsidR="00A41E55" w:rsidRPr="00A41E55">
          <w:rPr>
            <w:rStyle w:val="Hyperlink"/>
            <w:rFonts w:ascii="Arial" w:hAnsi="Arial"/>
            <w:color w:val="0000FF"/>
            <w:sz w:val="26"/>
            <w:rtl/>
          </w:rPr>
          <w:t>סעיף 144(ג)</w:t>
        </w:r>
      </w:hyperlink>
      <w:r>
        <w:rPr>
          <w:rFonts w:ascii="Arial" w:hAnsi="Arial"/>
          <w:sz w:val="26"/>
          <w:rtl/>
        </w:rPr>
        <w:t xml:space="preserve"> ל</w:t>
      </w:r>
      <w:hyperlink r:id="rId72" w:history="1">
        <w:r w:rsidR="00D74603" w:rsidRPr="00D74603">
          <w:rPr>
            <w:rFonts w:ascii="Arial" w:hAnsi="Arial"/>
            <w:color w:val="0000FF"/>
            <w:sz w:val="26"/>
            <w:u w:val="single"/>
            <w:rtl/>
          </w:rPr>
          <w:t>חוק העונשין</w:t>
        </w:r>
      </w:hyperlink>
      <w:r>
        <w:rPr>
          <w:rFonts w:ascii="Arial" w:hAnsi="Arial"/>
          <w:sz w:val="26"/>
          <w:rtl/>
        </w:rPr>
        <w:t xml:space="preserve">, הם בבחינת "נשק", בהיותם "כלי שמסוגל לפלוט חומר הנועד להזיק לאדם...ולרבות מיכל שמסוגל להכיל חומר כאמור...", ולכן אין להקל ראש בהחזקתם, מה גם שהחזקתם ברכב, לצורך זמינותם אומרת "דרשני". עוד אפנה בהקשר זה לדברים שנקבעו בבית המשפט העליון ביחס לרימוני גז והלם היפים לכאן: </w:t>
      </w:r>
    </w:p>
    <w:p w14:paraId="3F63A3E7" w14:textId="77777777" w:rsidR="00BF5B01" w:rsidRDefault="00BF5B01" w:rsidP="00056A3E">
      <w:pPr>
        <w:spacing w:line="360" w:lineRule="auto"/>
        <w:jc w:val="both"/>
        <w:rPr>
          <w:rFonts w:ascii="Arial" w:hAnsi="Arial"/>
          <w:sz w:val="26"/>
          <w:rtl/>
        </w:rPr>
      </w:pPr>
    </w:p>
    <w:p w14:paraId="6C93AEC1" w14:textId="77777777" w:rsidR="00BF5B01" w:rsidRDefault="00BF5B01" w:rsidP="00056A3E">
      <w:pPr>
        <w:spacing w:line="360" w:lineRule="auto"/>
        <w:ind w:left="1360" w:right="1134"/>
        <w:jc w:val="both"/>
        <w:rPr>
          <w:rFonts w:ascii="Narkisim" w:hAnsi="Narkisim" w:cs="Narkisim"/>
          <w:b/>
          <w:bCs/>
          <w:sz w:val="26"/>
          <w:rtl/>
        </w:rPr>
      </w:pPr>
      <w:r>
        <w:rPr>
          <w:rFonts w:ascii="Narkisim" w:hAnsi="Narkisim" w:cs="Narkisim"/>
          <w:b/>
          <w:bCs/>
          <w:sz w:val="26"/>
          <w:rtl/>
        </w:rPr>
        <w:t>"...הרימונים נועדו לגרום אי-נוחות לאדם על מנת להניסו ממקום הימצאו או על מנת לשנות את האופן בו הוא מגיב ומתנהג. כאשר הרימונים מצויים בידי שלטונות אכיפת החוק – משמשים הם, בדומה לכלי נשק אחרים, לשם אכיפת חוק ככלל ולשם פיזור הפגנות בפרט. אולם, שוב בדומה לכלי נשק אחרים, לא כך הדבר כאשר מצויים הרימונים בידי גורמים עבריינים המבקשים לרתום אותם למטרותיהם. כך, על דרך הדוגמא בלבד, נקל לדמיין אילו נזקים יכולים רימונים אלה לחולל לו הושלכו – מסיבה כזו או אחרת – לתוך בית-קפה, לתוך סניף בנק או לעבר מחסום של המשטרה. הקשר זה גם מסביר אל נכון, בהקשרם של רימוני הלם ורימוני גז-מדמיע, את מקומו של הסעיף בפרק "פגיעות בסדרי המשטר והחברה" האמור. אכן, אין ספק שברימונים ישנו פוטנציאל משמעותי לפגיעה בסדרי המשטר ובחברה" (</w:t>
      </w:r>
      <w:hyperlink r:id="rId73" w:history="1">
        <w:r w:rsidR="00D74603" w:rsidRPr="00D74603">
          <w:rPr>
            <w:rFonts w:ascii="Narkisim" w:hAnsi="Narkisim" w:cs="Narkisim"/>
            <w:b/>
            <w:bCs/>
            <w:color w:val="0000FF"/>
            <w:sz w:val="26"/>
            <w:u w:val="single"/>
            <w:rtl/>
          </w:rPr>
          <w:t>ע"פ 7124/06</w:t>
        </w:r>
      </w:hyperlink>
      <w:r>
        <w:rPr>
          <w:rFonts w:ascii="Narkisim" w:hAnsi="Narkisim" w:cs="Narkisim"/>
          <w:b/>
          <w:bCs/>
          <w:sz w:val="26"/>
          <w:rtl/>
        </w:rPr>
        <w:t xml:space="preserve"> ויקטור דרורי נ' מדינת ישראל, פסקה 11, 9.5.2007).</w:t>
      </w:r>
    </w:p>
    <w:p w14:paraId="78A41A25" w14:textId="77777777" w:rsidR="00BF5B01" w:rsidRDefault="00BF5B01" w:rsidP="00056A3E">
      <w:pPr>
        <w:spacing w:line="360" w:lineRule="auto"/>
        <w:jc w:val="both"/>
        <w:rPr>
          <w:rFonts w:ascii="Arial" w:hAnsi="Arial"/>
          <w:sz w:val="26"/>
          <w:rtl/>
        </w:rPr>
      </w:pPr>
    </w:p>
    <w:p w14:paraId="4A8BFD58" w14:textId="77777777" w:rsidR="00BF5B01" w:rsidRDefault="00BF5B01" w:rsidP="00056A3E">
      <w:pPr>
        <w:spacing w:line="360" w:lineRule="auto"/>
        <w:jc w:val="both"/>
        <w:rPr>
          <w:rFonts w:ascii="Arial" w:hAnsi="Arial"/>
          <w:sz w:val="26"/>
          <w:rtl/>
        </w:rPr>
      </w:pPr>
      <w:r>
        <w:rPr>
          <w:rFonts w:ascii="Arial" w:hAnsi="Arial"/>
          <w:sz w:val="26"/>
          <w:u w:val="single"/>
          <w:rtl/>
        </w:rPr>
        <w:t>בכל הנוגע להחזקת סכין</w:t>
      </w:r>
      <w:r>
        <w:rPr>
          <w:rFonts w:ascii="Arial" w:hAnsi="Arial"/>
          <w:sz w:val="26"/>
          <w:rtl/>
        </w:rPr>
        <w:t xml:space="preserve"> - מדובר בסכין מטבח שנמצאה ברכב הנאשם, לגבי עבירה זו וחומרתה אפנה לפסיקה הענפה שלעיל בפרק מדיניות הענישה. </w:t>
      </w:r>
    </w:p>
    <w:p w14:paraId="7782F534" w14:textId="77777777" w:rsidR="00BF5B01" w:rsidRDefault="00BF5B01" w:rsidP="00056A3E">
      <w:pPr>
        <w:spacing w:line="360" w:lineRule="auto"/>
        <w:jc w:val="both"/>
        <w:rPr>
          <w:rFonts w:ascii="Arial" w:hAnsi="Arial"/>
          <w:sz w:val="26"/>
          <w:rtl/>
        </w:rPr>
      </w:pPr>
    </w:p>
    <w:p w14:paraId="7605BCBB" w14:textId="77777777" w:rsidR="00BF5B01" w:rsidRDefault="00BF5B01" w:rsidP="00056A3E">
      <w:pPr>
        <w:spacing w:line="360" w:lineRule="auto"/>
        <w:jc w:val="both"/>
        <w:rPr>
          <w:rFonts w:ascii="Arial" w:hAnsi="Arial"/>
          <w:sz w:val="26"/>
          <w:rtl/>
        </w:rPr>
      </w:pPr>
      <w:r>
        <w:rPr>
          <w:rFonts w:ascii="Arial" w:hAnsi="Arial"/>
          <w:sz w:val="26"/>
          <w:u w:val="single"/>
          <w:rtl/>
        </w:rPr>
        <w:t>מתחם העונש ההולם</w:t>
      </w:r>
    </w:p>
    <w:p w14:paraId="5526410D" w14:textId="77777777" w:rsidR="00BF5B01" w:rsidRDefault="00BF5B01" w:rsidP="00056A3E">
      <w:pPr>
        <w:spacing w:line="360" w:lineRule="auto"/>
        <w:jc w:val="both"/>
        <w:rPr>
          <w:rFonts w:ascii="Arial" w:hAnsi="Arial"/>
          <w:sz w:val="26"/>
          <w:rtl/>
        </w:rPr>
      </w:pPr>
    </w:p>
    <w:p w14:paraId="379A77F3" w14:textId="77777777" w:rsidR="00BF5B01" w:rsidRDefault="00BF5B01" w:rsidP="00056A3E">
      <w:pPr>
        <w:spacing w:line="360" w:lineRule="auto"/>
        <w:jc w:val="both"/>
        <w:rPr>
          <w:rFonts w:ascii="Arial" w:hAnsi="Arial"/>
          <w:sz w:val="26"/>
          <w:rtl/>
        </w:rPr>
      </w:pPr>
      <w:r>
        <w:rPr>
          <w:rFonts w:ascii="Arial" w:hAnsi="Arial"/>
          <w:sz w:val="26"/>
          <w:rtl/>
        </w:rPr>
        <w:t xml:space="preserve">בהינתן מכלול המעשים של הנאשם, הירי מהנשק החם בשתי הזדמנויות, המספר הרב יחסית של כדורים (22 יריות) מנשק ארוך, אזור הירי, החזקה נשיאה והובלת שני רימוני גז, מחסנית ותחמושת של הנשק הארוך, והחזקת הסכין, מתחם העונש ההולם בנדוננו נע בין 26-52 חודשי מאסר בפועל. </w:t>
      </w:r>
    </w:p>
    <w:p w14:paraId="3BF87228" w14:textId="77777777" w:rsidR="00BF5B01" w:rsidRDefault="00BF5B01" w:rsidP="00056A3E">
      <w:pPr>
        <w:spacing w:line="360" w:lineRule="auto"/>
        <w:jc w:val="both"/>
        <w:rPr>
          <w:rFonts w:ascii="Arial" w:hAnsi="Arial"/>
          <w:sz w:val="26"/>
          <w:rtl/>
        </w:rPr>
      </w:pPr>
    </w:p>
    <w:p w14:paraId="454029F2" w14:textId="77777777" w:rsidR="00BF5B01" w:rsidRDefault="00BF5B01" w:rsidP="00056A3E">
      <w:pPr>
        <w:spacing w:line="360" w:lineRule="auto"/>
        <w:jc w:val="both"/>
        <w:rPr>
          <w:rFonts w:ascii="Arial" w:hAnsi="Arial"/>
          <w:sz w:val="26"/>
          <w:rtl/>
        </w:rPr>
      </w:pPr>
    </w:p>
    <w:p w14:paraId="4995F258" w14:textId="77777777" w:rsidR="00BF5B01" w:rsidRDefault="00BF5B01" w:rsidP="00056A3E">
      <w:pPr>
        <w:spacing w:line="360" w:lineRule="auto"/>
        <w:jc w:val="both"/>
        <w:rPr>
          <w:rFonts w:ascii="Arial" w:hAnsi="Arial"/>
          <w:sz w:val="26"/>
          <w:rtl/>
        </w:rPr>
      </w:pPr>
    </w:p>
    <w:p w14:paraId="187EF41C" w14:textId="77777777" w:rsidR="00BF5B01" w:rsidRDefault="00BF5B01" w:rsidP="00056A3E">
      <w:pPr>
        <w:spacing w:line="360" w:lineRule="auto"/>
        <w:jc w:val="both"/>
        <w:rPr>
          <w:rFonts w:ascii="Arial" w:hAnsi="Arial"/>
          <w:sz w:val="26"/>
          <w:rtl/>
        </w:rPr>
      </w:pPr>
    </w:p>
    <w:p w14:paraId="59679D5A" w14:textId="77777777" w:rsidR="00BF5B01" w:rsidRDefault="00BF5B01" w:rsidP="00056A3E">
      <w:pPr>
        <w:spacing w:line="360" w:lineRule="auto"/>
        <w:jc w:val="both"/>
        <w:rPr>
          <w:rFonts w:ascii="Arial" w:hAnsi="Arial"/>
          <w:sz w:val="26"/>
          <w:rtl/>
        </w:rPr>
      </w:pPr>
      <w:r>
        <w:rPr>
          <w:rFonts w:ascii="Arial" w:hAnsi="Arial"/>
          <w:sz w:val="26"/>
          <w:u w:val="single"/>
          <w:rtl/>
        </w:rPr>
        <w:t>נסיבות שאינן קשורות לביצוע עבירה</w:t>
      </w:r>
    </w:p>
    <w:p w14:paraId="770C74F6" w14:textId="77777777" w:rsidR="00BF5B01" w:rsidRDefault="00BF5B01" w:rsidP="00056A3E">
      <w:pPr>
        <w:spacing w:line="360" w:lineRule="auto"/>
        <w:jc w:val="both"/>
        <w:rPr>
          <w:rFonts w:ascii="Arial" w:hAnsi="Arial"/>
          <w:sz w:val="26"/>
          <w:rtl/>
        </w:rPr>
      </w:pPr>
    </w:p>
    <w:p w14:paraId="33EFF775" w14:textId="77777777" w:rsidR="00BF5B01" w:rsidRDefault="00BF5B01" w:rsidP="00056A3E">
      <w:pPr>
        <w:spacing w:line="360" w:lineRule="auto"/>
        <w:jc w:val="both"/>
        <w:rPr>
          <w:rFonts w:ascii="Arial" w:hAnsi="Arial"/>
          <w:sz w:val="26"/>
          <w:rtl/>
        </w:rPr>
      </w:pPr>
      <w:r>
        <w:rPr>
          <w:rFonts w:ascii="Arial" w:hAnsi="Arial"/>
          <w:sz w:val="26"/>
          <w:rtl/>
        </w:rPr>
        <w:t xml:space="preserve">מדובר בנאשם יליד 1997, נעדר עבר פלילי, אשר נתון במעצר ממשי מאז 23/4/24. </w:t>
      </w:r>
    </w:p>
    <w:p w14:paraId="17F5012C" w14:textId="77777777" w:rsidR="00BF5B01" w:rsidRDefault="00BF5B01" w:rsidP="00056A3E">
      <w:pPr>
        <w:spacing w:line="360" w:lineRule="auto"/>
        <w:jc w:val="both"/>
        <w:rPr>
          <w:rFonts w:ascii="Arial" w:hAnsi="Arial"/>
          <w:sz w:val="26"/>
          <w:rtl/>
        </w:rPr>
      </w:pPr>
    </w:p>
    <w:p w14:paraId="2D3ABB45" w14:textId="77777777" w:rsidR="00BF5B01" w:rsidRDefault="00BF5B01" w:rsidP="00056A3E">
      <w:pPr>
        <w:spacing w:line="360" w:lineRule="auto"/>
        <w:jc w:val="both"/>
        <w:rPr>
          <w:rFonts w:ascii="Arial" w:hAnsi="Arial"/>
          <w:sz w:val="26"/>
          <w:rtl/>
        </w:rPr>
      </w:pPr>
      <w:r>
        <w:rPr>
          <w:rFonts w:ascii="Arial" w:hAnsi="Arial"/>
          <w:sz w:val="26"/>
          <w:rtl/>
        </w:rPr>
        <w:t xml:space="preserve">הנאשם הודה וחסך מזמנו של בית-המשפט, הביע חרטה על מעשיו. </w:t>
      </w:r>
    </w:p>
    <w:p w14:paraId="412F0814" w14:textId="77777777" w:rsidR="00BF5B01" w:rsidRDefault="00BF5B01" w:rsidP="00056A3E">
      <w:pPr>
        <w:spacing w:line="360" w:lineRule="auto"/>
        <w:jc w:val="both"/>
        <w:rPr>
          <w:rFonts w:ascii="Arial" w:hAnsi="Arial"/>
          <w:sz w:val="26"/>
          <w:rtl/>
        </w:rPr>
      </w:pPr>
    </w:p>
    <w:p w14:paraId="4455C214" w14:textId="77777777" w:rsidR="00BF5B01" w:rsidRDefault="00BF5B01" w:rsidP="00056A3E">
      <w:pPr>
        <w:spacing w:line="360" w:lineRule="auto"/>
        <w:jc w:val="both"/>
        <w:rPr>
          <w:rFonts w:ascii="Arial" w:hAnsi="Arial"/>
          <w:sz w:val="26"/>
          <w:rtl/>
        </w:rPr>
      </w:pPr>
      <w:r>
        <w:rPr>
          <w:rFonts w:ascii="Arial" w:hAnsi="Arial"/>
          <w:sz w:val="26"/>
          <w:rtl/>
        </w:rPr>
        <w:t>מעיון בדו"חות המחלקה לשירותים חברתיים (נ/1) של המועצה המקומית כיסרא-סמיע, עולה כי הנאשם מגיע מרקע סוציו-אקונומי נמוך, מצב בריאותם של הוריו של הנאשם בכי רע, במיוחד אמו של הנאשם, שלפי הנמסר הורע בהיבט הנפשי עקב מעצרו של הנאשם.</w:t>
      </w:r>
    </w:p>
    <w:p w14:paraId="290358CD" w14:textId="77777777" w:rsidR="00BF5B01" w:rsidRDefault="00BF5B01" w:rsidP="00056A3E">
      <w:pPr>
        <w:spacing w:line="360" w:lineRule="auto"/>
        <w:jc w:val="both"/>
        <w:rPr>
          <w:rFonts w:ascii="Arial" w:hAnsi="Arial"/>
          <w:sz w:val="26"/>
          <w:u w:val="single"/>
          <w:rtl/>
        </w:rPr>
      </w:pPr>
    </w:p>
    <w:p w14:paraId="00727AA8" w14:textId="77777777" w:rsidR="00BF5B01" w:rsidRDefault="00BF5B01" w:rsidP="00056A3E">
      <w:pPr>
        <w:spacing w:line="360" w:lineRule="auto"/>
        <w:jc w:val="both"/>
        <w:rPr>
          <w:rFonts w:ascii="Arial" w:hAnsi="Arial"/>
          <w:sz w:val="26"/>
          <w:u w:val="single"/>
          <w:rtl/>
        </w:rPr>
      </w:pPr>
      <w:r>
        <w:rPr>
          <w:rFonts w:ascii="Arial" w:hAnsi="Arial"/>
          <w:sz w:val="26"/>
          <w:u w:val="single"/>
          <w:rtl/>
        </w:rPr>
        <w:t>העונש המתאים</w:t>
      </w:r>
    </w:p>
    <w:p w14:paraId="42D82BC3" w14:textId="77777777" w:rsidR="00BF5B01" w:rsidRDefault="00BF5B01" w:rsidP="00056A3E">
      <w:pPr>
        <w:spacing w:line="360" w:lineRule="auto"/>
        <w:jc w:val="both"/>
        <w:rPr>
          <w:rFonts w:ascii="Arial" w:hAnsi="Arial"/>
          <w:sz w:val="26"/>
          <w:rtl/>
        </w:rPr>
      </w:pPr>
    </w:p>
    <w:p w14:paraId="7A13C289" w14:textId="77777777" w:rsidR="00BF5B01" w:rsidRDefault="00BF5B01" w:rsidP="00056A3E">
      <w:pPr>
        <w:spacing w:line="360" w:lineRule="auto"/>
        <w:jc w:val="both"/>
        <w:rPr>
          <w:rFonts w:ascii="Arial" w:hAnsi="Arial"/>
          <w:sz w:val="26"/>
          <w:rtl/>
        </w:rPr>
      </w:pPr>
      <w:r>
        <w:rPr>
          <w:rFonts w:ascii="Arial" w:hAnsi="Arial"/>
          <w:sz w:val="26"/>
          <w:rtl/>
        </w:rPr>
        <w:t>לחומרה יש לקחת בחשבון, כי הנאשם היה עם אחר ברכב כאשר האחרון מחזיק בנשק הארוך. הנאשם ביצע ירי מהנשק הארוך בצוותא חדא עם האחר, בשתי הזדמנויות, בשטח בנוי, סמוך לכניסה לשכונת מגורים, ירי של לפחות 23 כדורים באוויר, ירי אחד סמוך לשכונה ו-22 יריות עשרות מטרים משם מיד לאחר מכן. נתונים אלה מגבירים את חומרת האירוע הכולל, באשר טמון בכך סיכון אינהרנטי לסיכון שלום הציבור. בנוסף, הנאשם החזיק נשא והוביל ברכבו שני רימוני גז שבכוחם להזיק לאדם, מחסנית ותחמושת לנשק הארוך, וכן סכין. אלה מוסיפים ומגבירים את הסיכון הכולל שנשקף לציבור ממעשיו של הנאשם. העובדה שהיה מצויד בכלי נשק שונים ומגוונים, לרבות נשק קר (סכין), ברכבו, מעצימה את הסכנה שנשקפה לציבור מפניו.</w:t>
      </w:r>
    </w:p>
    <w:p w14:paraId="631B003F" w14:textId="77777777" w:rsidR="00BF5B01" w:rsidRDefault="00BF5B01" w:rsidP="00056A3E">
      <w:pPr>
        <w:spacing w:line="360" w:lineRule="auto"/>
        <w:jc w:val="both"/>
        <w:rPr>
          <w:rFonts w:ascii="Arial" w:hAnsi="Arial"/>
          <w:sz w:val="26"/>
          <w:rtl/>
        </w:rPr>
      </w:pPr>
    </w:p>
    <w:p w14:paraId="1DE5621B" w14:textId="77777777" w:rsidR="00BF5B01" w:rsidRDefault="00BF5B01" w:rsidP="00056A3E">
      <w:pPr>
        <w:spacing w:line="360" w:lineRule="auto"/>
        <w:jc w:val="both"/>
        <w:rPr>
          <w:rFonts w:ascii="Arial" w:hAnsi="Arial"/>
          <w:sz w:val="26"/>
          <w:rtl/>
        </w:rPr>
      </w:pPr>
      <w:r>
        <w:rPr>
          <w:rFonts w:ascii="Arial" w:hAnsi="Arial"/>
          <w:sz w:val="26"/>
          <w:rtl/>
        </w:rPr>
        <w:t>לקולא, אתחשב בכך שכתב האישום תוקן מהותית החזקת הנשק הארוך והובלתו נמחקה, נותרה חלופת העוון ביחס לנשק הארוך שהוא האירוע החמור, בשטח בנוי, ולא שטח מגורים. עבירות החזקת התחמושת התמצו בהחזקת רימוני אל הרג שרף חומרתם פחות במדרג החומרה ומס' בודד נמוך של כדורים חיים, והחזקת סכין שנמצאה ברכב אגב חיפוש ללא עבירה נלווית לה.</w:t>
      </w:r>
    </w:p>
    <w:p w14:paraId="03F16AE5" w14:textId="77777777" w:rsidR="00BF5B01" w:rsidRDefault="00BF5B01" w:rsidP="00056A3E">
      <w:pPr>
        <w:spacing w:line="360" w:lineRule="auto"/>
        <w:jc w:val="both"/>
        <w:rPr>
          <w:rFonts w:ascii="Arial" w:hAnsi="Arial"/>
          <w:sz w:val="26"/>
          <w:rtl/>
        </w:rPr>
      </w:pPr>
    </w:p>
    <w:p w14:paraId="5F9E98CC" w14:textId="77777777" w:rsidR="00BF5B01" w:rsidRDefault="00BF5B01" w:rsidP="00056A3E">
      <w:pPr>
        <w:spacing w:line="360" w:lineRule="auto"/>
        <w:jc w:val="both"/>
        <w:rPr>
          <w:rFonts w:ascii="Arial" w:hAnsi="Arial"/>
          <w:sz w:val="26"/>
          <w:rtl/>
        </w:rPr>
      </w:pPr>
      <w:r>
        <w:rPr>
          <w:rFonts w:ascii="Arial" w:hAnsi="Arial"/>
          <w:sz w:val="26"/>
          <w:rtl/>
        </w:rPr>
        <w:t>לפיכך, בהינתן המעשים אותם ביצע הנאשם, מכלול העבירות אותן ביצע, דרגת האשם שהופגנה והפגיעה בערכים המוגנים, מדיניות הענישה הנוהגת, ראוי היה למקם את עונשו של הנאשם שלא בתחתית המתחם. אולם, בהינתן שמדובר בנאשם ללא עבר פלילי, שזוהי לו הסתבכותו הראשונה עם החוק, וכן ההודאה והחסכון בזמן שיפוטי יקר, נמצא שלא למצות עם הנאשם את מלוא חומר הדין, ולמקם את עונשו בתחתית המתחם.</w:t>
      </w:r>
    </w:p>
    <w:p w14:paraId="6258C07F" w14:textId="77777777" w:rsidR="00BF5B01" w:rsidRDefault="00BF5B01" w:rsidP="00056A3E">
      <w:pPr>
        <w:spacing w:line="360" w:lineRule="auto"/>
        <w:jc w:val="both"/>
        <w:rPr>
          <w:rFonts w:ascii="Arial" w:hAnsi="Arial"/>
          <w:sz w:val="26"/>
          <w:u w:val="single"/>
          <w:rtl/>
        </w:rPr>
      </w:pPr>
    </w:p>
    <w:p w14:paraId="01DDA1AE" w14:textId="77777777" w:rsidR="00BF5B01" w:rsidRDefault="00BF5B01" w:rsidP="00056A3E">
      <w:pPr>
        <w:spacing w:line="360" w:lineRule="auto"/>
        <w:jc w:val="both"/>
        <w:rPr>
          <w:rFonts w:ascii="Arial" w:hAnsi="Arial"/>
          <w:sz w:val="26"/>
          <w:u w:val="single"/>
          <w:rtl/>
        </w:rPr>
      </w:pPr>
    </w:p>
    <w:p w14:paraId="2E904603" w14:textId="77777777" w:rsidR="00BF5B01" w:rsidRDefault="00BF5B01" w:rsidP="00056A3E">
      <w:pPr>
        <w:spacing w:line="360" w:lineRule="auto"/>
        <w:jc w:val="both"/>
        <w:rPr>
          <w:rFonts w:ascii="Arial" w:hAnsi="Arial"/>
          <w:sz w:val="26"/>
          <w:u w:val="single"/>
          <w:rtl/>
        </w:rPr>
      </w:pPr>
    </w:p>
    <w:p w14:paraId="6FDAA49A" w14:textId="77777777" w:rsidR="00BF5B01" w:rsidRDefault="00BF5B01" w:rsidP="00056A3E">
      <w:pPr>
        <w:spacing w:line="360" w:lineRule="auto"/>
        <w:jc w:val="both"/>
        <w:rPr>
          <w:rFonts w:ascii="Arial" w:hAnsi="Arial"/>
          <w:sz w:val="26"/>
          <w:u w:val="single"/>
          <w:rtl/>
        </w:rPr>
      </w:pPr>
    </w:p>
    <w:p w14:paraId="31E98BAD" w14:textId="77777777" w:rsidR="00BF5B01" w:rsidRDefault="00BF5B01" w:rsidP="00056A3E">
      <w:pPr>
        <w:spacing w:line="360" w:lineRule="auto"/>
        <w:jc w:val="both"/>
        <w:rPr>
          <w:rFonts w:ascii="Arial" w:hAnsi="Arial"/>
          <w:sz w:val="26"/>
          <w:rtl/>
        </w:rPr>
      </w:pPr>
      <w:r>
        <w:rPr>
          <w:rFonts w:ascii="Arial" w:hAnsi="Arial"/>
          <w:sz w:val="26"/>
          <w:u w:val="single"/>
          <w:rtl/>
        </w:rPr>
        <w:t>אשר על כן, אני גוזר על הנאשם את העונשים הבאים</w:t>
      </w:r>
      <w:r>
        <w:rPr>
          <w:rFonts w:ascii="Arial" w:hAnsi="Arial"/>
          <w:sz w:val="26"/>
          <w:rtl/>
        </w:rPr>
        <w:t>:</w:t>
      </w:r>
    </w:p>
    <w:p w14:paraId="67A03CB1" w14:textId="77777777" w:rsidR="00BF5B01" w:rsidRDefault="00BF5B01" w:rsidP="00056A3E">
      <w:pPr>
        <w:spacing w:line="360" w:lineRule="auto"/>
        <w:jc w:val="both"/>
        <w:rPr>
          <w:rFonts w:ascii="Arial" w:hAnsi="Arial"/>
          <w:sz w:val="26"/>
          <w:rtl/>
        </w:rPr>
      </w:pPr>
    </w:p>
    <w:p w14:paraId="09455222" w14:textId="77777777" w:rsidR="00BF5B01" w:rsidRDefault="00BF5B01" w:rsidP="00056A3E">
      <w:pPr>
        <w:pStyle w:val="ab"/>
        <w:numPr>
          <w:ilvl w:val="0"/>
          <w:numId w:val="3"/>
        </w:numPr>
        <w:spacing w:line="360" w:lineRule="auto"/>
        <w:jc w:val="both"/>
        <w:rPr>
          <w:rFonts w:ascii="Arial" w:hAnsi="Arial"/>
          <w:sz w:val="26"/>
          <w:rtl/>
        </w:rPr>
      </w:pPr>
      <w:r>
        <w:rPr>
          <w:rFonts w:ascii="Arial" w:hAnsi="Arial"/>
          <w:sz w:val="26"/>
          <w:rtl/>
        </w:rPr>
        <w:t>26  חודשי מאסר בפועל מיום מעצרו ב-23/4/24;</w:t>
      </w:r>
    </w:p>
    <w:p w14:paraId="436C912F" w14:textId="77777777" w:rsidR="00BF5B01" w:rsidRDefault="00BF5B01" w:rsidP="00056A3E">
      <w:pPr>
        <w:spacing w:line="360" w:lineRule="auto"/>
        <w:jc w:val="both"/>
        <w:rPr>
          <w:rFonts w:ascii="Arial" w:hAnsi="Arial"/>
          <w:sz w:val="26"/>
          <w:rtl/>
        </w:rPr>
      </w:pPr>
    </w:p>
    <w:p w14:paraId="370A7FB5" w14:textId="77777777" w:rsidR="00BF5B01" w:rsidRDefault="00BF5B01" w:rsidP="00056A3E">
      <w:pPr>
        <w:pStyle w:val="ab"/>
        <w:numPr>
          <w:ilvl w:val="0"/>
          <w:numId w:val="3"/>
        </w:numPr>
        <w:spacing w:line="360" w:lineRule="auto"/>
        <w:jc w:val="both"/>
        <w:rPr>
          <w:rFonts w:ascii="Arial" w:hAnsi="Arial"/>
          <w:sz w:val="26"/>
          <w:rtl/>
        </w:rPr>
      </w:pPr>
      <w:r>
        <w:rPr>
          <w:rFonts w:ascii="Arial" w:hAnsi="Arial"/>
          <w:sz w:val="26"/>
          <w:rtl/>
        </w:rPr>
        <w:t>9 חודשי מאסר על תנאי למשך 3 שנים מיום שחרורו שלא יעבור כל עבירת נשק מסוג פשע;</w:t>
      </w:r>
    </w:p>
    <w:p w14:paraId="28D20F1C" w14:textId="77777777" w:rsidR="00BF5B01" w:rsidRDefault="00BF5B01" w:rsidP="00056A3E">
      <w:pPr>
        <w:spacing w:line="360" w:lineRule="auto"/>
        <w:jc w:val="both"/>
        <w:rPr>
          <w:rFonts w:ascii="Arial" w:hAnsi="Arial"/>
          <w:sz w:val="26"/>
          <w:rtl/>
        </w:rPr>
      </w:pPr>
    </w:p>
    <w:p w14:paraId="1D9A5C2C" w14:textId="77777777" w:rsidR="00BF5B01" w:rsidRDefault="00BF5B01" w:rsidP="00056A3E">
      <w:pPr>
        <w:pStyle w:val="ab"/>
        <w:numPr>
          <w:ilvl w:val="0"/>
          <w:numId w:val="3"/>
        </w:numPr>
        <w:spacing w:line="360" w:lineRule="auto"/>
        <w:jc w:val="both"/>
        <w:rPr>
          <w:rFonts w:ascii="Arial" w:hAnsi="Arial"/>
          <w:sz w:val="26"/>
          <w:rtl/>
        </w:rPr>
      </w:pPr>
      <w:r>
        <w:rPr>
          <w:rFonts w:ascii="Arial" w:hAnsi="Arial"/>
          <w:sz w:val="26"/>
          <w:rtl/>
        </w:rPr>
        <w:t>6 חודשי מאסר על תנאי למשך 3 שנים מיום שחרורו, שלא יעבור כל עבירת נשק מסוג עוון;</w:t>
      </w:r>
    </w:p>
    <w:p w14:paraId="45CEC3E6" w14:textId="77777777" w:rsidR="00BF5B01" w:rsidRDefault="00BF5B01" w:rsidP="00056A3E">
      <w:pPr>
        <w:spacing w:line="360" w:lineRule="auto"/>
        <w:jc w:val="both"/>
        <w:rPr>
          <w:rFonts w:ascii="Arial" w:hAnsi="Arial"/>
          <w:sz w:val="26"/>
          <w:rtl/>
        </w:rPr>
      </w:pPr>
    </w:p>
    <w:p w14:paraId="283E2613" w14:textId="77777777" w:rsidR="00BF5B01" w:rsidRDefault="00BF5B01" w:rsidP="00056A3E">
      <w:pPr>
        <w:pStyle w:val="ab"/>
        <w:numPr>
          <w:ilvl w:val="0"/>
          <w:numId w:val="3"/>
        </w:numPr>
        <w:spacing w:line="360" w:lineRule="auto"/>
        <w:jc w:val="both"/>
        <w:rPr>
          <w:rFonts w:ascii="Arial" w:hAnsi="Arial"/>
          <w:sz w:val="26"/>
          <w:rtl/>
        </w:rPr>
      </w:pPr>
      <w:r>
        <w:rPr>
          <w:rFonts w:ascii="Arial" w:hAnsi="Arial"/>
          <w:sz w:val="26"/>
          <w:rtl/>
        </w:rPr>
        <w:t>10,000 ₪ קנס אשר ישולם בתוך 60 יום ממתן גזר-הדין.</w:t>
      </w:r>
    </w:p>
    <w:p w14:paraId="7347605F" w14:textId="77777777" w:rsidR="00BF5B01" w:rsidRPr="00D74603" w:rsidRDefault="00D74603" w:rsidP="00056A3E">
      <w:pPr>
        <w:spacing w:line="360" w:lineRule="auto"/>
        <w:jc w:val="both"/>
        <w:rPr>
          <w:rFonts w:ascii="Arial" w:hAnsi="Arial"/>
          <w:color w:val="FFFFFF"/>
          <w:sz w:val="2"/>
          <w:szCs w:val="2"/>
          <w:rtl/>
        </w:rPr>
      </w:pPr>
      <w:r w:rsidRPr="00D74603">
        <w:rPr>
          <w:rFonts w:ascii="Arial" w:hAnsi="Arial"/>
          <w:color w:val="FFFFFF"/>
          <w:sz w:val="2"/>
          <w:szCs w:val="2"/>
          <w:rtl/>
        </w:rPr>
        <w:t>5129371</w:t>
      </w:r>
    </w:p>
    <w:p w14:paraId="14490291" w14:textId="77777777" w:rsidR="00BF5B01" w:rsidRDefault="00D74603" w:rsidP="00056A3E">
      <w:pPr>
        <w:pStyle w:val="ab"/>
        <w:numPr>
          <w:ilvl w:val="0"/>
          <w:numId w:val="3"/>
        </w:numPr>
        <w:spacing w:line="360" w:lineRule="auto"/>
        <w:jc w:val="both"/>
        <w:rPr>
          <w:rFonts w:ascii="Arial" w:hAnsi="Arial"/>
          <w:sz w:val="26"/>
          <w:rtl/>
        </w:rPr>
      </w:pPr>
      <w:r w:rsidRPr="00D74603">
        <w:rPr>
          <w:rFonts w:ascii="Arial" w:hAnsi="Arial"/>
          <w:color w:val="FFFFFF"/>
          <w:sz w:val="2"/>
          <w:szCs w:val="2"/>
          <w:rtl/>
        </w:rPr>
        <w:t>54678313</w:t>
      </w:r>
      <w:r w:rsidR="00BF5B01">
        <w:rPr>
          <w:rFonts w:ascii="Arial" w:hAnsi="Arial"/>
          <w:sz w:val="26"/>
          <w:rtl/>
        </w:rPr>
        <w:t>מוצגי הנשק יושמדו בתוך 45 יום.</w:t>
      </w:r>
    </w:p>
    <w:p w14:paraId="4FF43770" w14:textId="77777777" w:rsidR="00BF5B01" w:rsidRDefault="00BF5B01" w:rsidP="00056A3E">
      <w:pPr>
        <w:pStyle w:val="ab"/>
        <w:spacing w:line="360" w:lineRule="auto"/>
        <w:jc w:val="both"/>
        <w:rPr>
          <w:rFonts w:ascii="Arial" w:hAnsi="Arial"/>
          <w:sz w:val="26"/>
        </w:rPr>
      </w:pPr>
    </w:p>
    <w:p w14:paraId="66FF9775" w14:textId="77777777" w:rsidR="00BF5B01" w:rsidRPr="000F2247" w:rsidRDefault="00BF5B01">
      <w:pPr>
        <w:rPr>
          <w:rFonts w:ascii="Arial" w:hAnsi="Arial"/>
          <w:b/>
          <w:bCs/>
          <w:sz w:val="26"/>
          <w:szCs w:val="26"/>
          <w:rtl/>
        </w:rPr>
      </w:pPr>
    </w:p>
    <w:p w14:paraId="76624030" w14:textId="77777777" w:rsidR="00BF5B01" w:rsidRPr="000F2247" w:rsidRDefault="00D74603" w:rsidP="00FD7CF9">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ו' אדר תשפ"ה, 06 מרץ 2025, בהעדר הצדדים. </w:t>
      </w:r>
      <w:bookmarkEnd w:id="7"/>
      <w:r w:rsidR="00BF5B01">
        <w:rPr>
          <w:rFonts w:ascii="Arial" w:hAnsi="Arial"/>
          <w:b/>
          <w:bCs/>
          <w:sz w:val="26"/>
          <w:szCs w:val="26"/>
          <w:rtl/>
        </w:rPr>
        <w:tab/>
      </w:r>
      <w:r w:rsidR="00BF5B01">
        <w:rPr>
          <w:rFonts w:ascii="Arial" w:hAnsi="Arial"/>
          <w:b/>
          <w:bCs/>
          <w:sz w:val="26"/>
          <w:szCs w:val="26"/>
          <w:rtl/>
        </w:rPr>
        <w:tab/>
      </w:r>
      <w:r w:rsidR="00BF5B01">
        <w:rPr>
          <w:rFonts w:ascii="Arial" w:hAnsi="Arial"/>
          <w:b/>
          <w:bCs/>
          <w:sz w:val="26"/>
          <w:szCs w:val="26"/>
          <w:rtl/>
        </w:rPr>
        <w:tab/>
      </w:r>
      <w:r w:rsidR="00BF5B01">
        <w:rPr>
          <w:rFonts w:ascii="Arial" w:hAnsi="Arial"/>
          <w:b/>
          <w:bCs/>
          <w:sz w:val="26"/>
          <w:szCs w:val="26"/>
          <w:rtl/>
        </w:rPr>
        <w:tab/>
      </w:r>
      <w:r w:rsidR="00BF5B01">
        <w:rPr>
          <w:rFonts w:ascii="Arial" w:hAnsi="Arial"/>
          <w:b/>
          <w:bCs/>
          <w:sz w:val="26"/>
          <w:szCs w:val="26"/>
          <w:rtl/>
        </w:rPr>
        <w:tab/>
      </w:r>
      <w:r w:rsidR="00BF5B01">
        <w:rPr>
          <w:rFonts w:ascii="Arial" w:hAnsi="Arial"/>
          <w:b/>
          <w:bCs/>
          <w:sz w:val="26"/>
          <w:szCs w:val="26"/>
          <w:rtl/>
        </w:rPr>
        <w:tab/>
      </w:r>
      <w:r w:rsidR="00BF5B01">
        <w:rPr>
          <w:rFonts w:ascii="Arial" w:hAnsi="Arial"/>
          <w:b/>
          <w:bCs/>
          <w:sz w:val="26"/>
          <w:szCs w:val="26"/>
          <w:rtl/>
        </w:rPr>
        <w:tab/>
        <w:t xml:space="preserve">         </w:t>
      </w:r>
    </w:p>
    <w:p w14:paraId="324565BA" w14:textId="77777777" w:rsidR="00BF5B01" w:rsidRPr="000F2247" w:rsidRDefault="00BF5B01" w:rsidP="00D7460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B5C66D0" w14:textId="77777777" w:rsidR="00BF5B01" w:rsidRPr="00D74603" w:rsidRDefault="00BF5B01" w:rsidP="00D74603">
      <w:pPr>
        <w:keepNext/>
        <w:rPr>
          <w:rFonts w:ascii="David" w:hAnsi="David"/>
          <w:color w:val="000000"/>
          <w:sz w:val="22"/>
          <w:szCs w:val="22"/>
          <w:rtl/>
        </w:rPr>
      </w:pPr>
    </w:p>
    <w:p w14:paraId="12E11607" w14:textId="77777777" w:rsidR="00D74603" w:rsidRPr="00D74603" w:rsidRDefault="00D74603" w:rsidP="00D74603">
      <w:pPr>
        <w:keepNext/>
        <w:rPr>
          <w:rFonts w:ascii="David" w:hAnsi="David"/>
          <w:color w:val="000000"/>
          <w:sz w:val="22"/>
          <w:szCs w:val="22"/>
          <w:rtl/>
        </w:rPr>
      </w:pPr>
      <w:r w:rsidRPr="00D74603">
        <w:rPr>
          <w:rFonts w:ascii="David" w:hAnsi="David"/>
          <w:color w:val="000000"/>
          <w:sz w:val="22"/>
          <w:szCs w:val="22"/>
          <w:rtl/>
        </w:rPr>
        <w:t>שלמה בנג'ו 54678313</w:t>
      </w:r>
    </w:p>
    <w:p w14:paraId="6016C390" w14:textId="77777777" w:rsidR="00D74603" w:rsidRDefault="00D74603" w:rsidP="00D74603">
      <w:pPr>
        <w:rPr>
          <w:rFonts w:ascii="Arial" w:hAnsi="Arial"/>
          <w:b/>
          <w:bCs/>
          <w:sz w:val="26"/>
          <w:szCs w:val="26"/>
          <w:rtl/>
        </w:rPr>
      </w:pPr>
      <w:r w:rsidRPr="00D74603">
        <w:rPr>
          <w:rFonts w:ascii="Arial" w:hAnsi="Arial"/>
          <w:b/>
          <w:bCs/>
          <w:color w:val="000000"/>
          <w:sz w:val="26"/>
          <w:szCs w:val="26"/>
          <w:rtl/>
        </w:rPr>
        <w:t>נוסח מסמך זה כפוף לשינויי ניסוח ועריכה</w:t>
      </w:r>
    </w:p>
    <w:p w14:paraId="64594DEB" w14:textId="77777777" w:rsidR="00D74603" w:rsidRDefault="00D74603" w:rsidP="00D74603">
      <w:pPr>
        <w:rPr>
          <w:rFonts w:ascii="Arial" w:hAnsi="Arial"/>
          <w:b/>
          <w:bCs/>
          <w:sz w:val="26"/>
          <w:szCs w:val="26"/>
          <w:rtl/>
        </w:rPr>
      </w:pPr>
    </w:p>
    <w:p w14:paraId="510F0BB5" w14:textId="77777777" w:rsidR="00D74603" w:rsidRDefault="00D74603" w:rsidP="00D74603">
      <w:pPr>
        <w:jc w:val="center"/>
        <w:rPr>
          <w:rFonts w:ascii="Arial" w:hAnsi="Arial"/>
          <w:b/>
          <w:bCs/>
          <w:color w:val="0000FF"/>
          <w:sz w:val="26"/>
          <w:u w:val="single"/>
          <w:rtl/>
        </w:rPr>
      </w:pPr>
      <w:hyperlink r:id="rId74" w:history="1">
        <w:r>
          <w:rPr>
            <w:rFonts w:ascii="Arial" w:hAnsi="Arial"/>
            <w:b/>
            <w:bCs/>
            <w:color w:val="0000FF"/>
            <w:sz w:val="26"/>
            <w:u w:val="single"/>
            <w:rtl/>
          </w:rPr>
          <w:t>בעניין עריכה ושינויים במסמכי פסיקה, חקיקה ועוד באתר נבו – הקש כאן</w:t>
        </w:r>
      </w:hyperlink>
    </w:p>
    <w:p w14:paraId="494108B4" w14:textId="77777777" w:rsidR="00D74603" w:rsidRPr="00D74603" w:rsidRDefault="00D74603" w:rsidP="00D74603">
      <w:pPr>
        <w:jc w:val="center"/>
        <w:rPr>
          <w:rFonts w:ascii="Arial" w:hAnsi="Arial"/>
          <w:b/>
          <w:bCs/>
          <w:color w:val="0000FF"/>
          <w:sz w:val="26"/>
          <w:u w:val="single"/>
          <w:rtl/>
        </w:rPr>
      </w:pPr>
    </w:p>
    <w:sectPr w:rsidR="00D74603" w:rsidRPr="00D74603" w:rsidSect="00D74603">
      <w:headerReference w:type="even" r:id="rId75"/>
      <w:headerReference w:type="default" r:id="rId76"/>
      <w:footerReference w:type="even" r:id="rId77"/>
      <w:footerReference w:type="default" r:id="rId7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C304C" w14:textId="77777777" w:rsidR="00D5044B" w:rsidRDefault="00D5044B">
      <w:r>
        <w:separator/>
      </w:r>
    </w:p>
  </w:endnote>
  <w:endnote w:type="continuationSeparator" w:id="0">
    <w:p w14:paraId="1C845A8E" w14:textId="77777777" w:rsidR="00D5044B" w:rsidRDefault="00D50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009C3" w14:textId="77777777" w:rsidR="00D74603" w:rsidRDefault="00D74603" w:rsidP="00D7460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737726" w14:textId="77777777" w:rsidR="00BF5B01" w:rsidRPr="00D74603" w:rsidRDefault="00D74603" w:rsidP="00D74603">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A7470" w14:textId="77777777" w:rsidR="00D74603" w:rsidRDefault="00D74603" w:rsidP="00D7460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6D53">
      <w:rPr>
        <w:rFonts w:ascii="FrankRuehl" w:hAnsi="FrankRuehl" w:cs="FrankRuehl"/>
        <w:noProof/>
        <w:rtl/>
      </w:rPr>
      <w:t>1</w:t>
    </w:r>
    <w:r>
      <w:rPr>
        <w:rFonts w:ascii="FrankRuehl" w:hAnsi="FrankRuehl" w:cs="FrankRuehl"/>
        <w:rtl/>
      </w:rPr>
      <w:fldChar w:fldCharType="end"/>
    </w:r>
  </w:p>
  <w:p w14:paraId="02D1E10E" w14:textId="77777777" w:rsidR="00BF5B01" w:rsidRPr="00D74603" w:rsidRDefault="00D74603" w:rsidP="00D74603">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C2B9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AE2B5" w14:textId="77777777" w:rsidR="00D5044B" w:rsidRDefault="00D5044B">
      <w:r>
        <w:separator/>
      </w:r>
    </w:p>
  </w:footnote>
  <w:footnote w:type="continuationSeparator" w:id="0">
    <w:p w14:paraId="42794B20" w14:textId="77777777" w:rsidR="00D5044B" w:rsidRDefault="00D50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14980" w14:textId="77777777" w:rsidR="00D74603" w:rsidRPr="00D74603" w:rsidRDefault="00D74603" w:rsidP="00D7460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31270-05-24</w:t>
    </w:r>
    <w:r>
      <w:rPr>
        <w:rFonts w:ascii="David" w:hAnsi="David"/>
        <w:color w:val="000000"/>
        <w:sz w:val="22"/>
        <w:szCs w:val="22"/>
        <w:rtl/>
      </w:rPr>
      <w:tab/>
      <w:t xml:space="preserve"> מדינת ישראל נ' תמיר נסראלדין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807DD" w14:textId="77777777" w:rsidR="00BF5B01" w:rsidRPr="00D74603" w:rsidRDefault="00D74603" w:rsidP="00D7460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31270-05-24</w:t>
    </w:r>
    <w:r>
      <w:rPr>
        <w:rFonts w:ascii="David" w:hAnsi="David"/>
        <w:color w:val="000000"/>
        <w:sz w:val="22"/>
        <w:szCs w:val="22"/>
        <w:rtl/>
      </w:rPr>
      <w:tab/>
      <w:t xml:space="preserve"> מדינת ישראל נ' תמיר נסראלדין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5DD8"/>
    <w:multiLevelType w:val="hybridMultilevel"/>
    <w:tmpl w:val="01986650"/>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828592110">
    <w:abstractNumId w:val="2"/>
  </w:num>
  <w:num w:numId="2" w16cid:durableId="1692024673">
    <w:abstractNumId w:val="1"/>
  </w:num>
  <w:num w:numId="3" w16cid:durableId="1076392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16BBE"/>
    <w:rsid w:val="00031F8A"/>
    <w:rsid w:val="000454A8"/>
    <w:rsid w:val="00054FC4"/>
    <w:rsid w:val="00056A3E"/>
    <w:rsid w:val="0006726A"/>
    <w:rsid w:val="000F2247"/>
    <w:rsid w:val="00100577"/>
    <w:rsid w:val="00124E35"/>
    <w:rsid w:val="001352F8"/>
    <w:rsid w:val="001434F7"/>
    <w:rsid w:val="00184309"/>
    <w:rsid w:val="00212125"/>
    <w:rsid w:val="00224AC0"/>
    <w:rsid w:val="002B7D23"/>
    <w:rsid w:val="002D6C61"/>
    <w:rsid w:val="00367565"/>
    <w:rsid w:val="003D7D8A"/>
    <w:rsid w:val="003E0C9F"/>
    <w:rsid w:val="00405997"/>
    <w:rsid w:val="004215DC"/>
    <w:rsid w:val="004902D6"/>
    <w:rsid w:val="0050749F"/>
    <w:rsid w:val="00507694"/>
    <w:rsid w:val="0055471F"/>
    <w:rsid w:val="0059567B"/>
    <w:rsid w:val="005C5B16"/>
    <w:rsid w:val="005C7B0B"/>
    <w:rsid w:val="00683ABD"/>
    <w:rsid w:val="00684E84"/>
    <w:rsid w:val="006C2095"/>
    <w:rsid w:val="00706644"/>
    <w:rsid w:val="00757983"/>
    <w:rsid w:val="007D46DD"/>
    <w:rsid w:val="00821F29"/>
    <w:rsid w:val="00822550"/>
    <w:rsid w:val="00832D73"/>
    <w:rsid w:val="008819B4"/>
    <w:rsid w:val="00947B38"/>
    <w:rsid w:val="009705CC"/>
    <w:rsid w:val="00973C24"/>
    <w:rsid w:val="009A3E2F"/>
    <w:rsid w:val="009A730D"/>
    <w:rsid w:val="009E35A7"/>
    <w:rsid w:val="009E49A1"/>
    <w:rsid w:val="009F504D"/>
    <w:rsid w:val="00A41E55"/>
    <w:rsid w:val="00A504C4"/>
    <w:rsid w:val="00A542BF"/>
    <w:rsid w:val="00B05847"/>
    <w:rsid w:val="00B22E0A"/>
    <w:rsid w:val="00B66D53"/>
    <w:rsid w:val="00BB2CAA"/>
    <w:rsid w:val="00BD67E7"/>
    <w:rsid w:val="00BE0015"/>
    <w:rsid w:val="00BF5B01"/>
    <w:rsid w:val="00C02463"/>
    <w:rsid w:val="00C45023"/>
    <w:rsid w:val="00C55E62"/>
    <w:rsid w:val="00C572E8"/>
    <w:rsid w:val="00D202F4"/>
    <w:rsid w:val="00D3203D"/>
    <w:rsid w:val="00D33BE7"/>
    <w:rsid w:val="00D43592"/>
    <w:rsid w:val="00D5044B"/>
    <w:rsid w:val="00D74603"/>
    <w:rsid w:val="00E70F9C"/>
    <w:rsid w:val="00E7762C"/>
    <w:rsid w:val="00ED4465"/>
    <w:rsid w:val="00F75AFC"/>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F7654D"/>
  <w15:chartTrackingRefBased/>
  <w15:docId w15:val="{50B83CFF-7A83-461A-9CE8-26A42E22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aa">
    <w:name w:val="Placeholder Text"/>
    <w:semiHidden/>
    <w:rsid w:val="003D7D8A"/>
    <w:rPr>
      <w:color w:val="808080"/>
    </w:rPr>
  </w:style>
  <w:style w:type="paragraph" w:styleId="ab">
    <w:name w:val="List Paragraph"/>
    <w:basedOn w:val="a"/>
    <w:qFormat/>
    <w:rsid w:val="00056A3E"/>
    <w:pPr>
      <w:ind w:left="720"/>
      <w:contextualSpacing/>
    </w:pPr>
  </w:style>
  <w:style w:type="character" w:styleId="Hyperlink">
    <w:name w:val="Hyperlink"/>
    <w:locked/>
    <w:rsid w:val="00D7460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5612982"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8660017" TargetMode="External"/><Relationship Id="rId47" Type="http://schemas.openxmlformats.org/officeDocument/2006/relationships/hyperlink" Target="http://www.nevo.co.il/law/70301/144.a" TargetMode="External"/><Relationship Id="rId63" Type="http://schemas.openxmlformats.org/officeDocument/2006/relationships/hyperlink" Target="http://www.nevo.co.il/law/70301/340a.a" TargetMode="External"/><Relationship Id="rId68" Type="http://schemas.openxmlformats.org/officeDocument/2006/relationships/hyperlink" Target="http://www.nevo.co.il/case/27309272" TargetMode="External"/><Relationship Id="rId16" Type="http://schemas.openxmlformats.org/officeDocument/2006/relationships/hyperlink" Target="http://www.nevo.co.il/law/70301/340a.a.2" TargetMode="External"/><Relationship Id="rId11" Type="http://schemas.openxmlformats.org/officeDocument/2006/relationships/hyperlink" Target="http://www.nevo.co.il/law/70301/144.c" TargetMode="External"/><Relationship Id="rId24" Type="http://schemas.openxmlformats.org/officeDocument/2006/relationships/hyperlink" Target="http://www.nevo.co.il/law/70301/186.a" TargetMode="External"/><Relationship Id="rId32" Type="http://schemas.openxmlformats.org/officeDocument/2006/relationships/hyperlink" Target="http://www.nevo.co.il/case/29445473" TargetMode="External"/><Relationship Id="rId37" Type="http://schemas.openxmlformats.org/officeDocument/2006/relationships/hyperlink" Target="http://www.nevo.co.il/case/28616914" TargetMode="External"/><Relationship Id="rId40" Type="http://schemas.openxmlformats.org/officeDocument/2006/relationships/hyperlink" Target="http://www.nevo.co.il/law/70301/340a.a.1" TargetMode="External"/><Relationship Id="rId45" Type="http://schemas.openxmlformats.org/officeDocument/2006/relationships/hyperlink" Target="http://www.nevo.co.il/case/26492590" TargetMode="External"/><Relationship Id="rId53" Type="http://schemas.openxmlformats.org/officeDocument/2006/relationships/hyperlink" Target="http://www.nevo.co.il/case/17030490" TargetMode="External"/><Relationship Id="rId58" Type="http://schemas.openxmlformats.org/officeDocument/2006/relationships/hyperlink" Target="http://www.nevo.co.il/case/5580957" TargetMode="External"/><Relationship Id="rId66" Type="http://schemas.openxmlformats.org/officeDocument/2006/relationships/hyperlink" Target="http://www.nevo.co.il/case/30019073"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21624482" TargetMode="External"/><Relationship Id="rId19" Type="http://schemas.openxmlformats.org/officeDocument/2006/relationships/hyperlink" Target="http://www.nevo.co.il/law/70301/144.b" TargetMode="External"/><Relationship Id="rId14" Type="http://schemas.openxmlformats.org/officeDocument/2006/relationships/hyperlink" Target="http://www.nevo.co.il/law/70301/340a.a" TargetMode="External"/><Relationship Id="rId22" Type="http://schemas.openxmlformats.org/officeDocument/2006/relationships/hyperlink" Target="http://www.nevo.co.il/law/70301/340a.a"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law/70301/144.g" TargetMode="External"/><Relationship Id="rId35" Type="http://schemas.openxmlformats.org/officeDocument/2006/relationships/hyperlink" Target="http://www.nevo.co.il/case/26815828" TargetMode="External"/><Relationship Id="rId43" Type="http://schemas.openxmlformats.org/officeDocument/2006/relationships/hyperlink" Target="http://www.nevo.co.il/case/29042932" TargetMode="External"/><Relationship Id="rId48" Type="http://schemas.openxmlformats.org/officeDocument/2006/relationships/hyperlink" Target="http://www.nevo.co.il/law/70301/144.b" TargetMode="External"/><Relationship Id="rId56" Type="http://schemas.openxmlformats.org/officeDocument/2006/relationships/hyperlink" Target="http://www.nevo.co.il/case/6152069"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28883087" TargetMode="External"/><Relationship Id="rId77"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case/5670124" TargetMode="External"/><Relationship Id="rId72" Type="http://schemas.openxmlformats.org/officeDocument/2006/relationships/hyperlink" Target="http://www.nevo.co.il/law/7030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340a.b" TargetMode="External"/><Relationship Id="rId25" Type="http://schemas.openxmlformats.org/officeDocument/2006/relationships/hyperlink" Target="http://www.nevo.co.il/case/23509035"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40a.a" TargetMode="External"/><Relationship Id="rId46" Type="http://schemas.openxmlformats.org/officeDocument/2006/relationships/hyperlink" Target="http://www.nevo.co.il/case/28259966" TargetMode="External"/><Relationship Id="rId59" Type="http://schemas.openxmlformats.org/officeDocument/2006/relationships/hyperlink" Target="http://www.nevo.co.il/case/5589617" TargetMode="External"/><Relationship Id="rId67" Type="http://schemas.openxmlformats.org/officeDocument/2006/relationships/hyperlink" Target="http://www.nevo.co.il/case/29867910" TargetMode="External"/><Relationship Id="rId20" Type="http://schemas.openxmlformats.org/officeDocument/2006/relationships/hyperlink" Target="http://www.nevo.co.il/law/70301/29" TargetMode="External"/><Relationship Id="rId41" Type="http://schemas.openxmlformats.org/officeDocument/2006/relationships/hyperlink" Target="http://www.nevo.co.il/law/70301/340a.a.2" TargetMode="External"/><Relationship Id="rId54" Type="http://schemas.openxmlformats.org/officeDocument/2006/relationships/hyperlink" Target="http://www.nevo.co.il/case/8448905" TargetMode="External"/><Relationship Id="rId62" Type="http://schemas.openxmlformats.org/officeDocument/2006/relationships/hyperlink" Target="http://www.nevo.co.il/case/30150287" TargetMode="External"/><Relationship Id="rId70" Type="http://schemas.openxmlformats.org/officeDocument/2006/relationships/hyperlink" Target="http://www.nevo.co.il/case/6473037"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a.1"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26263927" TargetMode="External"/><Relationship Id="rId36" Type="http://schemas.openxmlformats.org/officeDocument/2006/relationships/hyperlink" Target="http://www.nevo.co.il/case/30185243"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4429279"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7404359" TargetMode="External"/><Relationship Id="rId52" Type="http://schemas.openxmlformats.org/officeDocument/2006/relationships/hyperlink" Target="http://www.nevo.co.il/case/6116435" TargetMode="External"/><Relationship Id="rId60" Type="http://schemas.openxmlformats.org/officeDocument/2006/relationships/hyperlink" Target="http://www.nevo.co.il/case/20118367" TargetMode="External"/><Relationship Id="rId65" Type="http://schemas.openxmlformats.org/officeDocument/2006/relationships/hyperlink" Target="http://www.nevo.co.il/law/70301/340a.b" TargetMode="External"/><Relationship Id="rId73" Type="http://schemas.openxmlformats.org/officeDocument/2006/relationships/hyperlink" Target="http://www.nevo.co.il/case/5865581"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186.a"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28883087" TargetMode="External"/><Relationship Id="rId50" Type="http://schemas.openxmlformats.org/officeDocument/2006/relationships/hyperlink" Target="http://www.nevo.co.il/case/26648598" TargetMode="External"/><Relationship Id="rId55" Type="http://schemas.openxmlformats.org/officeDocument/2006/relationships/hyperlink" Target="http://www.nevo.co.il/case/5686959" TargetMode="External"/><Relationship Id="rId76"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law/70301/144.c" TargetMode="External"/><Relationship Id="rId2" Type="http://schemas.openxmlformats.org/officeDocument/2006/relationships/styles" Target="styles.xml"/><Relationship Id="rId2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3967</Words>
  <Characters>19836</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23756</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3604593</vt:i4>
      </vt:variant>
      <vt:variant>
        <vt:i4>198</vt:i4>
      </vt:variant>
      <vt:variant>
        <vt:i4>0</vt:i4>
      </vt:variant>
      <vt:variant>
        <vt:i4>5</vt:i4>
      </vt:variant>
      <vt:variant>
        <vt:lpwstr>http://www.nevo.co.il/case/5865581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5177424</vt:i4>
      </vt:variant>
      <vt:variant>
        <vt:i4>192</vt:i4>
      </vt:variant>
      <vt:variant>
        <vt:i4>0</vt:i4>
      </vt:variant>
      <vt:variant>
        <vt:i4>5</vt:i4>
      </vt:variant>
      <vt:variant>
        <vt:lpwstr>http://www.nevo.co.il/law/70301/144.c</vt:lpwstr>
      </vt:variant>
      <vt:variant>
        <vt:lpwstr/>
      </vt:variant>
      <vt:variant>
        <vt:i4>3539056</vt:i4>
      </vt:variant>
      <vt:variant>
        <vt:i4>189</vt:i4>
      </vt:variant>
      <vt:variant>
        <vt:i4>0</vt:i4>
      </vt:variant>
      <vt:variant>
        <vt:i4>5</vt:i4>
      </vt:variant>
      <vt:variant>
        <vt:lpwstr>http://www.nevo.co.il/case/6473037</vt:lpwstr>
      </vt:variant>
      <vt:variant>
        <vt:lpwstr/>
      </vt:variant>
      <vt:variant>
        <vt:i4>3211380</vt:i4>
      </vt:variant>
      <vt:variant>
        <vt:i4>186</vt:i4>
      </vt:variant>
      <vt:variant>
        <vt:i4>0</vt:i4>
      </vt:variant>
      <vt:variant>
        <vt:i4>5</vt:i4>
      </vt:variant>
      <vt:variant>
        <vt:lpwstr>http://www.nevo.co.il/case/28883087</vt:lpwstr>
      </vt:variant>
      <vt:variant>
        <vt:lpwstr/>
      </vt:variant>
      <vt:variant>
        <vt:i4>4128881</vt:i4>
      </vt:variant>
      <vt:variant>
        <vt:i4>183</vt:i4>
      </vt:variant>
      <vt:variant>
        <vt:i4>0</vt:i4>
      </vt:variant>
      <vt:variant>
        <vt:i4>5</vt:i4>
      </vt:variant>
      <vt:variant>
        <vt:lpwstr>http://www.nevo.co.il/case/27309272</vt:lpwstr>
      </vt:variant>
      <vt:variant>
        <vt:lpwstr/>
      </vt:variant>
      <vt:variant>
        <vt:i4>3932274</vt:i4>
      </vt:variant>
      <vt:variant>
        <vt:i4>180</vt:i4>
      </vt:variant>
      <vt:variant>
        <vt:i4>0</vt:i4>
      </vt:variant>
      <vt:variant>
        <vt:i4>5</vt:i4>
      </vt:variant>
      <vt:variant>
        <vt:lpwstr>http://www.nevo.co.il/case/29867910</vt:lpwstr>
      </vt:variant>
      <vt:variant>
        <vt:lpwstr/>
      </vt:variant>
      <vt:variant>
        <vt:i4>3997813</vt:i4>
      </vt:variant>
      <vt:variant>
        <vt:i4>177</vt:i4>
      </vt:variant>
      <vt:variant>
        <vt:i4>0</vt:i4>
      </vt:variant>
      <vt:variant>
        <vt:i4>5</vt:i4>
      </vt:variant>
      <vt:variant>
        <vt:lpwstr>http://www.nevo.co.il/case/30019073</vt:lpwstr>
      </vt:variant>
      <vt:variant>
        <vt:lpwstr/>
      </vt:variant>
      <vt:variant>
        <vt:i4>6422648</vt:i4>
      </vt:variant>
      <vt:variant>
        <vt:i4>174</vt:i4>
      </vt:variant>
      <vt:variant>
        <vt:i4>0</vt:i4>
      </vt:variant>
      <vt:variant>
        <vt:i4>5</vt:i4>
      </vt:variant>
      <vt:variant>
        <vt:lpwstr>http://www.nevo.co.il/law/70301/340a.b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6357112</vt:i4>
      </vt:variant>
      <vt:variant>
        <vt:i4>168</vt:i4>
      </vt:variant>
      <vt:variant>
        <vt:i4>0</vt:i4>
      </vt:variant>
      <vt:variant>
        <vt:i4>5</vt:i4>
      </vt:variant>
      <vt:variant>
        <vt:lpwstr>http://www.nevo.co.il/law/70301/340a.a</vt:lpwstr>
      </vt:variant>
      <vt:variant>
        <vt:lpwstr/>
      </vt:variant>
      <vt:variant>
        <vt:i4>3801203</vt:i4>
      </vt:variant>
      <vt:variant>
        <vt:i4>165</vt:i4>
      </vt:variant>
      <vt:variant>
        <vt:i4>0</vt:i4>
      </vt:variant>
      <vt:variant>
        <vt:i4>5</vt:i4>
      </vt:variant>
      <vt:variant>
        <vt:lpwstr>http://www.nevo.co.il/case/30150287</vt:lpwstr>
      </vt:variant>
      <vt:variant>
        <vt:lpwstr/>
      </vt:variant>
      <vt:variant>
        <vt:i4>3670131</vt:i4>
      </vt:variant>
      <vt:variant>
        <vt:i4>162</vt:i4>
      </vt:variant>
      <vt:variant>
        <vt:i4>0</vt:i4>
      </vt:variant>
      <vt:variant>
        <vt:i4>5</vt:i4>
      </vt:variant>
      <vt:variant>
        <vt:lpwstr>http://www.nevo.co.il/case/21624482</vt:lpwstr>
      </vt:variant>
      <vt:variant>
        <vt:lpwstr/>
      </vt:variant>
      <vt:variant>
        <vt:i4>3997814</vt:i4>
      </vt:variant>
      <vt:variant>
        <vt:i4>159</vt:i4>
      </vt:variant>
      <vt:variant>
        <vt:i4>0</vt:i4>
      </vt:variant>
      <vt:variant>
        <vt:i4>5</vt:i4>
      </vt:variant>
      <vt:variant>
        <vt:lpwstr>http://www.nevo.co.il/case/20118367</vt:lpwstr>
      </vt:variant>
      <vt:variant>
        <vt:lpwstr/>
      </vt:variant>
      <vt:variant>
        <vt:i4>3932281</vt:i4>
      </vt:variant>
      <vt:variant>
        <vt:i4>156</vt:i4>
      </vt:variant>
      <vt:variant>
        <vt:i4>0</vt:i4>
      </vt:variant>
      <vt:variant>
        <vt:i4>5</vt:i4>
      </vt:variant>
      <vt:variant>
        <vt:lpwstr>http://www.nevo.co.il/case/5589617</vt:lpwstr>
      </vt:variant>
      <vt:variant>
        <vt:lpwstr/>
      </vt:variant>
      <vt:variant>
        <vt:i4>3342452</vt:i4>
      </vt:variant>
      <vt:variant>
        <vt:i4>153</vt:i4>
      </vt:variant>
      <vt:variant>
        <vt:i4>0</vt:i4>
      </vt:variant>
      <vt:variant>
        <vt:i4>5</vt:i4>
      </vt:variant>
      <vt:variant>
        <vt:lpwstr>http://www.nevo.co.il/case/5580957</vt:lpwstr>
      </vt:variant>
      <vt:variant>
        <vt:lpwstr/>
      </vt:variant>
      <vt:variant>
        <vt:i4>3997822</vt:i4>
      </vt:variant>
      <vt:variant>
        <vt:i4>150</vt:i4>
      </vt:variant>
      <vt:variant>
        <vt:i4>0</vt:i4>
      </vt:variant>
      <vt:variant>
        <vt:i4>5</vt:i4>
      </vt:variant>
      <vt:variant>
        <vt:lpwstr>http://www.nevo.co.il/case/4429279</vt:lpwstr>
      </vt:variant>
      <vt:variant>
        <vt:lpwstr/>
      </vt:variant>
      <vt:variant>
        <vt:i4>3801201</vt:i4>
      </vt:variant>
      <vt:variant>
        <vt:i4>147</vt:i4>
      </vt:variant>
      <vt:variant>
        <vt:i4>0</vt:i4>
      </vt:variant>
      <vt:variant>
        <vt:i4>5</vt:i4>
      </vt:variant>
      <vt:variant>
        <vt:lpwstr>http://www.nevo.co.il/case/6152069</vt:lpwstr>
      </vt:variant>
      <vt:variant>
        <vt:lpwstr/>
      </vt:variant>
      <vt:variant>
        <vt:i4>3997809</vt:i4>
      </vt:variant>
      <vt:variant>
        <vt:i4>144</vt:i4>
      </vt:variant>
      <vt:variant>
        <vt:i4>0</vt:i4>
      </vt:variant>
      <vt:variant>
        <vt:i4>5</vt:i4>
      </vt:variant>
      <vt:variant>
        <vt:lpwstr>http://www.nevo.co.il/case/5686959</vt:lpwstr>
      </vt:variant>
      <vt:variant>
        <vt:lpwstr/>
      </vt:variant>
      <vt:variant>
        <vt:i4>3145848</vt:i4>
      </vt:variant>
      <vt:variant>
        <vt:i4>141</vt:i4>
      </vt:variant>
      <vt:variant>
        <vt:i4>0</vt:i4>
      </vt:variant>
      <vt:variant>
        <vt:i4>5</vt:i4>
      </vt:variant>
      <vt:variant>
        <vt:lpwstr>http://www.nevo.co.il/case/8448905</vt:lpwstr>
      </vt:variant>
      <vt:variant>
        <vt:lpwstr/>
      </vt:variant>
      <vt:variant>
        <vt:i4>3670132</vt:i4>
      </vt:variant>
      <vt:variant>
        <vt:i4>138</vt:i4>
      </vt:variant>
      <vt:variant>
        <vt:i4>0</vt:i4>
      </vt:variant>
      <vt:variant>
        <vt:i4>5</vt:i4>
      </vt:variant>
      <vt:variant>
        <vt:lpwstr>http://www.nevo.co.il/case/17030490</vt:lpwstr>
      </vt:variant>
      <vt:variant>
        <vt:lpwstr/>
      </vt:variant>
      <vt:variant>
        <vt:i4>3539056</vt:i4>
      </vt:variant>
      <vt:variant>
        <vt:i4>135</vt:i4>
      </vt:variant>
      <vt:variant>
        <vt:i4>0</vt:i4>
      </vt:variant>
      <vt:variant>
        <vt:i4>5</vt:i4>
      </vt:variant>
      <vt:variant>
        <vt:lpwstr>http://www.nevo.co.il/case/6116435</vt:lpwstr>
      </vt:variant>
      <vt:variant>
        <vt:lpwstr/>
      </vt:variant>
      <vt:variant>
        <vt:i4>3604592</vt:i4>
      </vt:variant>
      <vt:variant>
        <vt:i4>132</vt:i4>
      </vt:variant>
      <vt:variant>
        <vt:i4>0</vt:i4>
      </vt:variant>
      <vt:variant>
        <vt:i4>5</vt:i4>
      </vt:variant>
      <vt:variant>
        <vt:lpwstr>http://www.nevo.co.il/case/5670124</vt:lpwstr>
      </vt:variant>
      <vt:variant>
        <vt:lpwstr/>
      </vt:variant>
      <vt:variant>
        <vt:i4>3473523</vt:i4>
      </vt:variant>
      <vt:variant>
        <vt:i4>129</vt:i4>
      </vt:variant>
      <vt:variant>
        <vt:i4>0</vt:i4>
      </vt:variant>
      <vt:variant>
        <vt:i4>5</vt:i4>
      </vt:variant>
      <vt:variant>
        <vt:lpwstr>http://www.nevo.co.il/case/26648598</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4128880</vt:i4>
      </vt:variant>
      <vt:variant>
        <vt:i4>117</vt:i4>
      </vt:variant>
      <vt:variant>
        <vt:i4>0</vt:i4>
      </vt:variant>
      <vt:variant>
        <vt:i4>5</vt:i4>
      </vt:variant>
      <vt:variant>
        <vt:lpwstr>http://www.nevo.co.il/case/28259966</vt:lpwstr>
      </vt:variant>
      <vt:variant>
        <vt:lpwstr/>
      </vt:variant>
      <vt:variant>
        <vt:i4>3997822</vt:i4>
      </vt:variant>
      <vt:variant>
        <vt:i4>114</vt:i4>
      </vt:variant>
      <vt:variant>
        <vt:i4>0</vt:i4>
      </vt:variant>
      <vt:variant>
        <vt:i4>5</vt:i4>
      </vt:variant>
      <vt:variant>
        <vt:lpwstr>http://www.nevo.co.il/case/26492590</vt:lpwstr>
      </vt:variant>
      <vt:variant>
        <vt:lpwstr/>
      </vt:variant>
      <vt:variant>
        <vt:i4>3604592</vt:i4>
      </vt:variant>
      <vt:variant>
        <vt:i4>111</vt:i4>
      </vt:variant>
      <vt:variant>
        <vt:i4>0</vt:i4>
      </vt:variant>
      <vt:variant>
        <vt:i4>5</vt:i4>
      </vt:variant>
      <vt:variant>
        <vt:lpwstr>http://www.nevo.co.il/case/27404359</vt:lpwstr>
      </vt:variant>
      <vt:variant>
        <vt:lpwstr/>
      </vt:variant>
      <vt:variant>
        <vt:i4>3342448</vt:i4>
      </vt:variant>
      <vt:variant>
        <vt:i4>108</vt:i4>
      </vt:variant>
      <vt:variant>
        <vt:i4>0</vt:i4>
      </vt:variant>
      <vt:variant>
        <vt:i4>5</vt:i4>
      </vt:variant>
      <vt:variant>
        <vt:lpwstr>http://www.nevo.co.il/case/29042932</vt:lpwstr>
      </vt:variant>
      <vt:variant>
        <vt:lpwstr/>
      </vt:variant>
      <vt:variant>
        <vt:i4>3473530</vt:i4>
      </vt:variant>
      <vt:variant>
        <vt:i4>105</vt:i4>
      </vt:variant>
      <vt:variant>
        <vt:i4>0</vt:i4>
      </vt:variant>
      <vt:variant>
        <vt:i4>5</vt:i4>
      </vt:variant>
      <vt:variant>
        <vt:lpwstr>http://www.nevo.co.il/case/28660017</vt:lpwstr>
      </vt:variant>
      <vt:variant>
        <vt:lpwstr/>
      </vt:variant>
      <vt:variant>
        <vt:i4>5439574</vt:i4>
      </vt:variant>
      <vt:variant>
        <vt:i4>102</vt:i4>
      </vt:variant>
      <vt:variant>
        <vt:i4>0</vt:i4>
      </vt:variant>
      <vt:variant>
        <vt:i4>5</vt:i4>
      </vt:variant>
      <vt:variant>
        <vt:lpwstr>http://www.nevo.co.il/law/70301/340a.a.2</vt:lpwstr>
      </vt:variant>
      <vt:variant>
        <vt:lpwstr/>
      </vt:variant>
      <vt:variant>
        <vt:i4>5242966</vt:i4>
      </vt:variant>
      <vt:variant>
        <vt:i4>99</vt:i4>
      </vt:variant>
      <vt:variant>
        <vt:i4>0</vt:i4>
      </vt:variant>
      <vt:variant>
        <vt:i4>5</vt:i4>
      </vt:variant>
      <vt:variant>
        <vt:lpwstr>http://www.nevo.co.il/law/70301/340a.a.1</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6357112</vt:i4>
      </vt:variant>
      <vt:variant>
        <vt:i4>93</vt:i4>
      </vt:variant>
      <vt:variant>
        <vt:i4>0</vt:i4>
      </vt:variant>
      <vt:variant>
        <vt:i4>5</vt:i4>
      </vt:variant>
      <vt:variant>
        <vt:lpwstr>http://www.nevo.co.il/law/70301/340a.a</vt:lpwstr>
      </vt:variant>
      <vt:variant>
        <vt:lpwstr/>
      </vt:variant>
      <vt:variant>
        <vt:i4>3342452</vt:i4>
      </vt:variant>
      <vt:variant>
        <vt:i4>90</vt:i4>
      </vt:variant>
      <vt:variant>
        <vt:i4>0</vt:i4>
      </vt:variant>
      <vt:variant>
        <vt:i4>5</vt:i4>
      </vt:variant>
      <vt:variant>
        <vt:lpwstr>http://www.nevo.co.il/case/28616914</vt:lpwstr>
      </vt:variant>
      <vt:variant>
        <vt:lpwstr/>
      </vt:variant>
      <vt:variant>
        <vt:i4>3342462</vt:i4>
      </vt:variant>
      <vt:variant>
        <vt:i4>87</vt:i4>
      </vt:variant>
      <vt:variant>
        <vt:i4>0</vt:i4>
      </vt:variant>
      <vt:variant>
        <vt:i4>5</vt:i4>
      </vt:variant>
      <vt:variant>
        <vt:lpwstr>http://www.nevo.co.il/case/30185243</vt:lpwstr>
      </vt:variant>
      <vt:variant>
        <vt:lpwstr/>
      </vt:variant>
      <vt:variant>
        <vt:i4>3997819</vt:i4>
      </vt:variant>
      <vt:variant>
        <vt:i4>84</vt:i4>
      </vt:variant>
      <vt:variant>
        <vt:i4>0</vt:i4>
      </vt:variant>
      <vt:variant>
        <vt:i4>5</vt:i4>
      </vt:variant>
      <vt:variant>
        <vt:lpwstr>http://www.nevo.co.il/case/26815828</vt:lpwstr>
      </vt:variant>
      <vt:variant>
        <vt:lpwstr/>
      </vt:variant>
      <vt:variant>
        <vt:i4>3211380</vt:i4>
      </vt:variant>
      <vt:variant>
        <vt:i4>81</vt:i4>
      </vt:variant>
      <vt:variant>
        <vt:i4>0</vt:i4>
      </vt:variant>
      <vt:variant>
        <vt:i4>5</vt:i4>
      </vt:variant>
      <vt:variant>
        <vt:lpwstr>http://www.nevo.co.il/case/28883087</vt:lpwstr>
      </vt:variant>
      <vt:variant>
        <vt:lpwstr/>
      </vt:variant>
      <vt:variant>
        <vt:i4>7995492</vt:i4>
      </vt:variant>
      <vt:variant>
        <vt:i4>78</vt:i4>
      </vt:variant>
      <vt:variant>
        <vt:i4>0</vt:i4>
      </vt:variant>
      <vt:variant>
        <vt:i4>5</vt:i4>
      </vt:variant>
      <vt:variant>
        <vt:lpwstr>http://www.nevo.co.il/law/70301</vt:lpwstr>
      </vt:variant>
      <vt:variant>
        <vt:lpwstr/>
      </vt:variant>
      <vt:variant>
        <vt:i4>3407997</vt:i4>
      </vt:variant>
      <vt:variant>
        <vt:i4>75</vt:i4>
      </vt:variant>
      <vt:variant>
        <vt:i4>0</vt:i4>
      </vt:variant>
      <vt:variant>
        <vt:i4>5</vt:i4>
      </vt:variant>
      <vt:variant>
        <vt:lpwstr>http://www.nevo.co.il/case/29445473</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http://www.nevo.co.il/law/70301/144.g</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3211389</vt:i4>
      </vt:variant>
      <vt:variant>
        <vt:i4>63</vt:i4>
      </vt:variant>
      <vt:variant>
        <vt:i4>0</vt:i4>
      </vt:variant>
      <vt:variant>
        <vt:i4>5</vt:i4>
      </vt:variant>
      <vt:variant>
        <vt:lpwstr>http://www.nevo.co.il/case/26263927</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4063353</vt:i4>
      </vt:variant>
      <vt:variant>
        <vt:i4>57</vt:i4>
      </vt:variant>
      <vt:variant>
        <vt:i4>0</vt:i4>
      </vt:variant>
      <vt:variant>
        <vt:i4>5</vt:i4>
      </vt:variant>
      <vt:variant>
        <vt:lpwstr>http://www.nevo.co.il/case/25612982</vt:lpwstr>
      </vt:variant>
      <vt:variant>
        <vt:lpwstr/>
      </vt:variant>
      <vt:variant>
        <vt:i4>3997815</vt:i4>
      </vt:variant>
      <vt:variant>
        <vt:i4>54</vt:i4>
      </vt:variant>
      <vt:variant>
        <vt:i4>0</vt:i4>
      </vt:variant>
      <vt:variant>
        <vt:i4>5</vt:i4>
      </vt:variant>
      <vt:variant>
        <vt:lpwstr>http://www.nevo.co.il/case/23509035</vt:lpwstr>
      </vt:variant>
      <vt:variant>
        <vt:lpwstr/>
      </vt:variant>
      <vt:variant>
        <vt:i4>4390994</vt:i4>
      </vt:variant>
      <vt:variant>
        <vt:i4>51</vt:i4>
      </vt:variant>
      <vt:variant>
        <vt:i4>0</vt:i4>
      </vt:variant>
      <vt:variant>
        <vt:i4>5</vt:i4>
      </vt:variant>
      <vt:variant>
        <vt:lpwstr>http://www.nevo.co.il/law/70301/186.a</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6357112</vt:i4>
      </vt:variant>
      <vt:variant>
        <vt:i4>45</vt:i4>
      </vt:variant>
      <vt:variant>
        <vt:i4>0</vt:i4>
      </vt:variant>
      <vt:variant>
        <vt:i4>5</vt:i4>
      </vt:variant>
      <vt:variant>
        <vt:lpwstr>http://www.nevo.co.il/law/70301/340a.a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6422648</vt:i4>
      </vt:variant>
      <vt:variant>
        <vt:i4>30</vt:i4>
      </vt:variant>
      <vt:variant>
        <vt:i4>0</vt:i4>
      </vt:variant>
      <vt:variant>
        <vt:i4>5</vt:i4>
      </vt:variant>
      <vt:variant>
        <vt:lpwstr>http://www.nevo.co.il/law/70301/340a.b</vt:lpwstr>
      </vt:variant>
      <vt:variant>
        <vt:lpwstr/>
      </vt:variant>
      <vt:variant>
        <vt:i4>5439574</vt:i4>
      </vt:variant>
      <vt:variant>
        <vt:i4>27</vt:i4>
      </vt:variant>
      <vt:variant>
        <vt:i4>0</vt:i4>
      </vt:variant>
      <vt:variant>
        <vt:i4>5</vt:i4>
      </vt:variant>
      <vt:variant>
        <vt:lpwstr>http://www.nevo.co.il/law/70301/340a.a.2</vt:lpwstr>
      </vt:variant>
      <vt:variant>
        <vt:lpwstr/>
      </vt:variant>
      <vt:variant>
        <vt:i4>5242966</vt:i4>
      </vt:variant>
      <vt:variant>
        <vt:i4>24</vt:i4>
      </vt:variant>
      <vt:variant>
        <vt:i4>0</vt:i4>
      </vt:variant>
      <vt:variant>
        <vt:i4>5</vt:i4>
      </vt:variant>
      <vt:variant>
        <vt:lpwstr>http://www.nevo.co.il/law/70301/340a.a.1</vt:lpwstr>
      </vt:variant>
      <vt:variant>
        <vt:lpwstr/>
      </vt:variant>
      <vt:variant>
        <vt:i4>6357112</vt:i4>
      </vt:variant>
      <vt:variant>
        <vt:i4>21</vt:i4>
      </vt:variant>
      <vt:variant>
        <vt:i4>0</vt:i4>
      </vt:variant>
      <vt:variant>
        <vt:i4>5</vt:i4>
      </vt:variant>
      <vt:variant>
        <vt:lpwstr>http://www.nevo.co.il/law/70301/340a.a</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http://www.nevo.co.il/law/70301/144.c</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2025-04-25T11:02:00Z</dcterms:created>
  <dcterms:modified xsi:type="dcterms:W3CDTF">2025-04-25T11:02:00Z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31270</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תמיר נסראלדין</vt:lpwstr>
  </property>
  <property fmtid="{D5CDD505-2E9C-101B-9397-08002B2CF9AE}" pid="10" name="JUDGE">
    <vt:lpwstr>שלמה בנג'ו</vt:lpwstr>
  </property>
  <property fmtid="{D5CDD505-2E9C-101B-9397-08002B2CF9AE}" pid="11" name="CITY">
    <vt:lpwstr>חי'</vt:lpwstr>
  </property>
  <property fmtid="{D5CDD505-2E9C-101B-9397-08002B2CF9AE}" pid="12" name="DATE">
    <vt:lpwstr>20250306</vt:lpwstr>
  </property>
  <property fmtid="{D5CDD505-2E9C-101B-9397-08002B2CF9AE}" pid="13" name="TYPE_N_DATE">
    <vt:lpwstr>39020250306</vt:lpwstr>
  </property>
  <property fmtid="{D5CDD505-2E9C-101B-9397-08002B2CF9AE}" pid="14" name="CASESLISTTMP1">
    <vt:lpwstr>23509035;25612982;13093744;26263927;29445473;28883087:2;26815828;30185243;28616914;28660017;29042932;27404359;26492590;28259966;26648598;5670124;6116435;17030490;8448905;5686959;6152069;4429279;5580957;5589617;20118367;21624482;30150287;30019073</vt:lpwstr>
  </property>
  <property fmtid="{D5CDD505-2E9C-101B-9397-08002B2CF9AE}" pid="15" name="CASESLISTTMP2">
    <vt:lpwstr>29867910;27309272;6473037;5865581</vt:lpwstr>
  </property>
  <property fmtid="{D5CDD505-2E9C-101B-9397-08002B2CF9AE}" pid="16" name="CASENOTES1">
    <vt:lpwstr>ProcID=174;133;209&amp;PartA=2922&amp;PartC=08</vt:lpwstr>
  </property>
  <property fmtid="{D5CDD505-2E9C-101B-9397-08002B2CF9AE}" pid="17" name="CASENOTES2">
    <vt:lpwstr>ProcID=209&amp;PartA=16779&amp;PartB=06&amp;PartC=22</vt:lpwstr>
  </property>
  <property fmtid="{D5CDD505-2E9C-101B-9397-08002B2CF9AE}" pid="18" name="WORDNUMPAGES">
    <vt:lpwstr>11</vt:lpwstr>
  </property>
  <property fmtid="{D5CDD505-2E9C-101B-9397-08002B2CF9AE}" pid="19" name="TYPE_ABS_DATE">
    <vt:lpwstr>390020250306</vt:lpwstr>
  </property>
  <property fmtid="{D5CDD505-2E9C-101B-9397-08002B2CF9AE}" pid="20" name="ISABSTRACT">
    <vt:lpwstr>Y</vt:lpwstr>
  </property>
  <property fmtid="{D5CDD505-2E9C-101B-9397-08002B2CF9AE}" pid="21" name="LAWYER">
    <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70301/144.a:2;144.b:2;029:2;340a.a:3;186.a;144.g;340a.a.1;340a.a.2;340a.b;144.c</vt:lpwstr>
  </property>
</Properties>
</file>