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E568CA" w:rsidRPr="008B451A" w14:paraId="7386BC16" w14:textId="77777777" w:rsidTr="006F4E39">
        <w:trPr>
          <w:gridAfter w:val="1"/>
          <w:wAfter w:w="99" w:type="dxa"/>
          <w:trHeight w:hRule="exact" w:val="418"/>
          <w:jc w:val="center"/>
        </w:trPr>
        <w:tc>
          <w:tcPr>
            <w:tcW w:w="8721" w:type="dxa"/>
            <w:gridSpan w:val="4"/>
          </w:tcPr>
          <w:p w14:paraId="61D640F4" w14:textId="77777777" w:rsidR="00E568CA" w:rsidRPr="008B451A" w:rsidRDefault="00E568CA" w:rsidP="00820F80">
            <w:pPr>
              <w:pStyle w:val="a3"/>
              <w:jc w:val="center"/>
              <w:rPr>
                <w:rFonts w:ascii="Tahoma" w:hAnsi="Tahoma" w:cs="Tahoma"/>
                <w:color w:val="000080"/>
                <w:rtl/>
              </w:rPr>
            </w:pPr>
            <w:r w:rsidRPr="008B451A">
              <w:rPr>
                <w:rFonts w:ascii="Tahoma" w:hAnsi="Tahoma" w:cs="Tahoma"/>
                <w:b/>
                <w:bCs/>
                <w:color w:val="000080"/>
                <w:rtl/>
              </w:rPr>
              <w:t>בית המשפט המחוזי בחיפה</w:t>
            </w:r>
          </w:p>
        </w:tc>
      </w:tr>
      <w:tr w:rsidR="00E568CA" w:rsidRPr="008B451A" w14:paraId="1B702787" w14:textId="77777777" w:rsidTr="006F4E39">
        <w:trPr>
          <w:gridAfter w:val="1"/>
          <w:wAfter w:w="99" w:type="dxa"/>
          <w:trHeight w:val="337"/>
          <w:jc w:val="center"/>
        </w:trPr>
        <w:tc>
          <w:tcPr>
            <w:tcW w:w="5058" w:type="dxa"/>
            <w:gridSpan w:val="3"/>
          </w:tcPr>
          <w:p w14:paraId="12EA83F8" w14:textId="77777777" w:rsidR="00E568CA" w:rsidRPr="008B451A" w:rsidRDefault="00E568CA" w:rsidP="00820F80">
            <w:pPr>
              <w:rPr>
                <w:rFonts w:cs="FrankRuehl"/>
                <w:sz w:val="28"/>
                <w:szCs w:val="28"/>
                <w:rtl/>
              </w:rPr>
            </w:pPr>
            <w:r w:rsidRPr="008B451A">
              <w:rPr>
                <w:rFonts w:cs="FrankRuehl"/>
                <w:sz w:val="28"/>
                <w:szCs w:val="28"/>
                <w:rtl/>
              </w:rPr>
              <w:t>ת"פ</w:t>
            </w:r>
            <w:r w:rsidRPr="008B451A">
              <w:rPr>
                <w:rFonts w:cs="FrankRuehl" w:hint="cs"/>
                <w:sz w:val="28"/>
                <w:szCs w:val="28"/>
                <w:rtl/>
              </w:rPr>
              <w:t xml:space="preserve"> </w:t>
            </w:r>
            <w:r w:rsidRPr="008B451A">
              <w:rPr>
                <w:rFonts w:cs="FrankRuehl"/>
                <w:sz w:val="28"/>
                <w:szCs w:val="28"/>
                <w:rtl/>
              </w:rPr>
              <w:t>38624-05-24</w:t>
            </w:r>
            <w:r w:rsidRPr="008B451A">
              <w:rPr>
                <w:rFonts w:cs="FrankRuehl" w:hint="cs"/>
                <w:sz w:val="28"/>
                <w:szCs w:val="28"/>
                <w:rtl/>
              </w:rPr>
              <w:t xml:space="preserve"> </w:t>
            </w:r>
            <w:r w:rsidRPr="008B451A">
              <w:rPr>
                <w:rFonts w:cs="FrankRuehl"/>
                <w:sz w:val="28"/>
                <w:szCs w:val="28"/>
                <w:rtl/>
              </w:rPr>
              <w:t>מדינת ישראל נ' שאהין(עציר) ואח'</w:t>
            </w:r>
          </w:p>
        </w:tc>
        <w:tc>
          <w:tcPr>
            <w:tcW w:w="3663" w:type="dxa"/>
          </w:tcPr>
          <w:p w14:paraId="49D56AD4" w14:textId="77777777" w:rsidR="00E568CA" w:rsidRPr="008B451A" w:rsidRDefault="00E568CA" w:rsidP="00820F80">
            <w:pPr>
              <w:pStyle w:val="a3"/>
              <w:jc w:val="right"/>
              <w:rPr>
                <w:rFonts w:cs="FrankRuehl"/>
                <w:sz w:val="28"/>
                <w:szCs w:val="28"/>
                <w:rtl/>
              </w:rPr>
            </w:pPr>
          </w:p>
        </w:tc>
      </w:tr>
      <w:tr w:rsidR="00E568CA" w:rsidRPr="008B451A" w14:paraId="37B2766D" w14:textId="77777777" w:rsidTr="006F4E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8A917B9" w14:textId="77777777" w:rsidR="00E568CA" w:rsidRPr="008B451A" w:rsidRDefault="00E568CA" w:rsidP="00E568CA">
            <w:pPr>
              <w:jc w:val="both"/>
              <w:rPr>
                <w:rFonts w:ascii="David" w:hAnsi="David"/>
                <w:sz w:val="26"/>
                <w:szCs w:val="26"/>
              </w:rPr>
            </w:pPr>
            <w:r w:rsidRPr="008B451A">
              <w:rPr>
                <w:rFonts w:hint="cs"/>
                <w:rtl/>
              </w:rPr>
              <w:t xml:space="preserve"> </w:t>
            </w:r>
            <w:r w:rsidRPr="008B451A">
              <w:rPr>
                <w:rFonts w:ascii="David" w:hAnsi="David" w:hint="cs"/>
                <w:sz w:val="26"/>
                <w:szCs w:val="26"/>
                <w:rtl/>
              </w:rPr>
              <w:t>ל</w:t>
            </w:r>
            <w:r w:rsidRPr="008B451A">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49FFD817" w14:textId="77777777" w:rsidR="00E568CA" w:rsidRPr="008B451A" w:rsidRDefault="00E568CA" w:rsidP="00820F80">
            <w:pPr>
              <w:rPr>
                <w:rFonts w:ascii="David" w:hAnsi="David"/>
                <w:b/>
                <w:bCs/>
                <w:sz w:val="26"/>
                <w:szCs w:val="26"/>
                <w:rtl/>
              </w:rPr>
            </w:pPr>
            <w:r w:rsidRPr="008B451A">
              <w:rPr>
                <w:rFonts w:ascii="David" w:hAnsi="David" w:hint="cs"/>
                <w:b/>
                <w:bCs/>
                <w:sz w:val="26"/>
                <w:szCs w:val="26"/>
                <w:rtl/>
              </w:rPr>
              <w:t xml:space="preserve">סגן הנשיא, כב' השופט אבי לוי </w:t>
            </w:r>
          </w:p>
          <w:p w14:paraId="7711D9EC" w14:textId="77777777" w:rsidR="00E568CA" w:rsidRPr="008B451A" w:rsidRDefault="00E568CA" w:rsidP="00820F80">
            <w:pPr>
              <w:rPr>
                <w:rFonts w:ascii="David" w:hAnsi="David"/>
                <w:sz w:val="26"/>
                <w:szCs w:val="26"/>
                <w:rtl/>
              </w:rPr>
            </w:pPr>
          </w:p>
          <w:p w14:paraId="02E21E56" w14:textId="77777777" w:rsidR="00E568CA" w:rsidRPr="008B451A" w:rsidRDefault="00E568CA" w:rsidP="00E568CA">
            <w:pPr>
              <w:jc w:val="both"/>
              <w:rPr>
                <w:rFonts w:ascii="David" w:hAnsi="David"/>
                <w:sz w:val="26"/>
                <w:szCs w:val="26"/>
              </w:rPr>
            </w:pPr>
          </w:p>
        </w:tc>
      </w:tr>
      <w:tr w:rsidR="00E568CA" w:rsidRPr="008B451A" w14:paraId="1D41EF86" w14:textId="77777777" w:rsidTr="006F4E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475FB61" w14:textId="77777777" w:rsidR="00E568CA" w:rsidRPr="008B451A" w:rsidRDefault="00E568CA" w:rsidP="00E568CA">
            <w:pPr>
              <w:jc w:val="both"/>
              <w:rPr>
                <w:rFonts w:ascii="David" w:hAnsi="David"/>
                <w:sz w:val="26"/>
                <w:szCs w:val="26"/>
              </w:rPr>
            </w:pPr>
            <w:bookmarkStart w:id="0" w:name="FirstAppellant"/>
            <w:bookmarkStart w:id="1" w:name="LastJudge"/>
            <w:bookmarkEnd w:id="1"/>
            <w:r w:rsidRPr="008B451A">
              <w:rPr>
                <w:rFonts w:ascii="David" w:hAnsi="David"/>
                <w:sz w:val="26"/>
                <w:szCs w:val="26"/>
                <w:rtl/>
              </w:rPr>
              <w:t>בעניין:</w:t>
            </w:r>
          </w:p>
        </w:tc>
        <w:tc>
          <w:tcPr>
            <w:tcW w:w="3219" w:type="dxa"/>
            <w:tcBorders>
              <w:top w:val="nil"/>
              <w:left w:val="nil"/>
              <w:bottom w:val="nil"/>
              <w:right w:val="nil"/>
            </w:tcBorders>
            <w:shd w:val="clear" w:color="auto" w:fill="auto"/>
          </w:tcPr>
          <w:p w14:paraId="4D39A988" w14:textId="77777777" w:rsidR="00E568CA" w:rsidRPr="008B451A" w:rsidRDefault="00E568CA" w:rsidP="00E568CA">
            <w:pPr>
              <w:suppressLineNumbers/>
            </w:pPr>
            <w:r w:rsidRPr="008B451A">
              <w:rPr>
                <w:rFonts w:ascii="Arial" w:hAnsi="Arial" w:hint="cs"/>
                <w:b/>
                <w:bCs/>
                <w:sz w:val="26"/>
                <w:szCs w:val="26"/>
                <w:rtl/>
              </w:rPr>
              <w:t>ה</w:t>
            </w:r>
            <w:r w:rsidRPr="008B451A">
              <w:rPr>
                <w:rFonts w:ascii="Arial" w:hAnsi="Arial"/>
                <w:b/>
                <w:bCs/>
                <w:sz w:val="26"/>
                <w:szCs w:val="26"/>
                <w:rtl/>
              </w:rPr>
              <w:t>מאשימה</w:t>
            </w:r>
          </w:p>
          <w:p w14:paraId="38299276" w14:textId="77777777" w:rsidR="00E568CA" w:rsidRPr="008B451A" w:rsidRDefault="00E568CA" w:rsidP="00820F80">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DE47A5B" w14:textId="77777777" w:rsidR="00E568CA" w:rsidRPr="008B451A" w:rsidRDefault="00E568CA" w:rsidP="00E568CA">
            <w:pPr>
              <w:suppressLineNumbers/>
            </w:pPr>
            <w:r w:rsidRPr="008B451A">
              <w:rPr>
                <w:rFonts w:ascii="Arial" w:hAnsi="Arial" w:hint="cs"/>
                <w:b/>
                <w:bCs/>
                <w:sz w:val="26"/>
                <w:szCs w:val="26"/>
                <w:rtl/>
              </w:rPr>
              <w:t xml:space="preserve">מדינת ישראל </w:t>
            </w:r>
          </w:p>
          <w:p w14:paraId="3136C575" w14:textId="77777777" w:rsidR="00E568CA" w:rsidRPr="008B451A" w:rsidRDefault="00E568CA" w:rsidP="00820F80">
            <w:pPr>
              <w:rPr>
                <w:rFonts w:ascii="David" w:hAnsi="David"/>
                <w:sz w:val="26"/>
                <w:szCs w:val="26"/>
              </w:rPr>
            </w:pPr>
          </w:p>
        </w:tc>
      </w:tr>
      <w:bookmarkEnd w:id="0"/>
      <w:tr w:rsidR="00E568CA" w:rsidRPr="008B451A" w14:paraId="338F893F" w14:textId="77777777" w:rsidTr="006F4E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58EAF3D" w14:textId="77777777" w:rsidR="00E568CA" w:rsidRPr="008B451A" w:rsidRDefault="00E568CA" w:rsidP="00E568C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DE57C8B" w14:textId="77777777" w:rsidR="00E568CA" w:rsidRPr="008B451A" w:rsidRDefault="00E568CA" w:rsidP="00E568CA">
            <w:pPr>
              <w:jc w:val="center"/>
              <w:rPr>
                <w:rFonts w:ascii="David" w:hAnsi="David"/>
                <w:b/>
                <w:bCs/>
                <w:sz w:val="26"/>
                <w:szCs w:val="26"/>
                <w:rtl/>
              </w:rPr>
            </w:pPr>
          </w:p>
          <w:p w14:paraId="77E7C1FA" w14:textId="77777777" w:rsidR="00E568CA" w:rsidRPr="008B451A" w:rsidRDefault="00E568CA" w:rsidP="00E568CA">
            <w:pPr>
              <w:jc w:val="center"/>
              <w:rPr>
                <w:rFonts w:ascii="David" w:hAnsi="David"/>
                <w:b/>
                <w:bCs/>
                <w:sz w:val="26"/>
                <w:szCs w:val="26"/>
                <w:rtl/>
              </w:rPr>
            </w:pPr>
            <w:r w:rsidRPr="008B451A">
              <w:rPr>
                <w:rFonts w:ascii="David" w:hAnsi="David"/>
                <w:b/>
                <w:bCs/>
                <w:sz w:val="26"/>
                <w:szCs w:val="26"/>
                <w:rtl/>
              </w:rPr>
              <w:t>נגד</w:t>
            </w:r>
          </w:p>
          <w:p w14:paraId="110979BA" w14:textId="77777777" w:rsidR="00E568CA" w:rsidRPr="008B451A" w:rsidRDefault="00E568CA" w:rsidP="00E568CA">
            <w:pPr>
              <w:jc w:val="both"/>
              <w:rPr>
                <w:rFonts w:ascii="David" w:hAnsi="David"/>
                <w:sz w:val="26"/>
                <w:szCs w:val="26"/>
              </w:rPr>
            </w:pPr>
          </w:p>
        </w:tc>
      </w:tr>
      <w:tr w:rsidR="00E568CA" w:rsidRPr="008B451A" w14:paraId="02ACD92A" w14:textId="77777777" w:rsidTr="006F4E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49103F7" w14:textId="77777777" w:rsidR="00E568CA" w:rsidRPr="008B451A" w:rsidRDefault="00E568CA" w:rsidP="00820F80">
            <w:pPr>
              <w:rPr>
                <w:rFonts w:ascii="David" w:hAnsi="David"/>
                <w:sz w:val="26"/>
                <w:szCs w:val="26"/>
                <w:rtl/>
              </w:rPr>
            </w:pPr>
          </w:p>
        </w:tc>
        <w:tc>
          <w:tcPr>
            <w:tcW w:w="3219" w:type="dxa"/>
            <w:tcBorders>
              <w:top w:val="nil"/>
              <w:left w:val="nil"/>
              <w:bottom w:val="nil"/>
              <w:right w:val="nil"/>
            </w:tcBorders>
            <w:shd w:val="clear" w:color="auto" w:fill="auto"/>
          </w:tcPr>
          <w:p w14:paraId="6A51D88B" w14:textId="77777777" w:rsidR="00E568CA" w:rsidRPr="008B451A" w:rsidRDefault="00E568CA" w:rsidP="00820F80">
            <w:pPr>
              <w:rPr>
                <w:rFonts w:ascii="Arial" w:hAnsi="Arial"/>
                <w:b/>
                <w:bCs/>
                <w:sz w:val="26"/>
                <w:szCs w:val="26"/>
                <w:rtl/>
              </w:rPr>
            </w:pPr>
            <w:r w:rsidRPr="008B451A">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60ED4714" w14:textId="77777777" w:rsidR="00E568CA" w:rsidRPr="008B451A" w:rsidRDefault="00E568CA" w:rsidP="00820F80">
            <w:pPr>
              <w:rPr>
                <w:rFonts w:ascii="David" w:hAnsi="David"/>
                <w:sz w:val="26"/>
                <w:szCs w:val="26"/>
              </w:rPr>
            </w:pPr>
          </w:p>
          <w:p w14:paraId="09CCAA67" w14:textId="77777777" w:rsidR="00E568CA" w:rsidRPr="008B451A" w:rsidRDefault="00E568CA" w:rsidP="00E568CA">
            <w:pPr>
              <w:suppressLineNumbers/>
            </w:pPr>
            <w:r w:rsidRPr="008B451A">
              <w:rPr>
                <w:rFonts w:ascii="Arial" w:hAnsi="Arial"/>
                <w:b/>
                <w:bCs/>
                <w:sz w:val="26"/>
                <w:szCs w:val="26"/>
                <w:rtl/>
              </w:rPr>
              <w:t>1. עלי שאהין (עציר)</w:t>
            </w:r>
            <w:r w:rsidRPr="008B451A">
              <w:rPr>
                <w:rFonts w:ascii="Arial" w:hAnsi="Arial" w:hint="cs"/>
                <w:b/>
                <w:bCs/>
                <w:sz w:val="26"/>
                <w:szCs w:val="26"/>
                <w:rtl/>
              </w:rPr>
              <w:t xml:space="preserve"> </w:t>
            </w:r>
          </w:p>
          <w:p w14:paraId="0BB1E69F" w14:textId="77777777" w:rsidR="00E568CA" w:rsidRPr="008B451A" w:rsidRDefault="00E568CA" w:rsidP="00E568CA">
            <w:pPr>
              <w:suppressLineNumbers/>
              <w:rPr>
                <w:rFonts w:ascii="Arial" w:hAnsi="Arial"/>
                <w:b/>
                <w:bCs/>
                <w:sz w:val="26"/>
                <w:szCs w:val="26"/>
                <w:rtl/>
              </w:rPr>
            </w:pPr>
            <w:r w:rsidRPr="008B451A">
              <w:rPr>
                <w:rFonts w:ascii="Arial" w:hAnsi="Arial"/>
                <w:b/>
                <w:bCs/>
                <w:sz w:val="26"/>
                <w:szCs w:val="26"/>
                <w:rtl/>
              </w:rPr>
              <w:t>2. מוחמד שאהין (עציר)</w:t>
            </w:r>
          </w:p>
          <w:p w14:paraId="42E913E4" w14:textId="77777777" w:rsidR="00E568CA" w:rsidRPr="008B451A" w:rsidRDefault="00E568CA" w:rsidP="00E568CA">
            <w:pPr>
              <w:suppressLineNumbers/>
            </w:pPr>
            <w:r w:rsidRPr="008B451A">
              <w:rPr>
                <w:rFonts w:ascii="Arial" w:hAnsi="Arial"/>
                <w:b/>
                <w:bCs/>
                <w:sz w:val="26"/>
                <w:szCs w:val="26"/>
                <w:rtl/>
              </w:rPr>
              <w:t>3. סאבר חיג'אזי (עציר)</w:t>
            </w:r>
            <w:r w:rsidRPr="008B451A">
              <w:rPr>
                <w:rFonts w:ascii="Arial" w:hAnsi="Arial" w:hint="cs"/>
                <w:b/>
                <w:bCs/>
                <w:sz w:val="26"/>
                <w:szCs w:val="26"/>
                <w:rtl/>
              </w:rPr>
              <w:t xml:space="preserve"> </w:t>
            </w:r>
          </w:p>
        </w:tc>
      </w:tr>
    </w:tbl>
    <w:p w14:paraId="3C13D0BD" w14:textId="77777777" w:rsidR="008B451A" w:rsidRPr="008B451A" w:rsidRDefault="008B451A" w:rsidP="008B451A">
      <w:pPr>
        <w:spacing w:before="120" w:after="120" w:line="240" w:lineRule="exact"/>
        <w:ind w:left="283" w:hanging="283"/>
        <w:jc w:val="both"/>
        <w:rPr>
          <w:rFonts w:ascii="FrankRuehl" w:hAnsi="FrankRuehl" w:cs="FrankRuehl" w:hint="cs"/>
          <w:rtl/>
        </w:rPr>
      </w:pPr>
    </w:p>
    <w:p w14:paraId="5F3BAA24" w14:textId="77777777" w:rsidR="008B451A" w:rsidRPr="008B451A" w:rsidRDefault="008B451A" w:rsidP="008B451A">
      <w:pPr>
        <w:jc w:val="center"/>
        <w:rPr>
          <w:rFonts w:ascii="Arial" w:hAnsi="Arial"/>
          <w:sz w:val="26"/>
          <w:szCs w:val="26"/>
          <w:rtl/>
        </w:rPr>
      </w:pPr>
    </w:p>
    <w:p w14:paraId="0EFB22DD" w14:textId="77777777" w:rsidR="006F4E39" w:rsidRPr="006F4E39" w:rsidRDefault="006F4E39" w:rsidP="006F4E39">
      <w:pPr>
        <w:spacing w:before="120" w:after="120" w:line="240" w:lineRule="exact"/>
        <w:ind w:left="283" w:hanging="283"/>
        <w:jc w:val="both"/>
        <w:rPr>
          <w:rFonts w:ascii="FrankRuehl" w:hAnsi="FrankRuehl" w:cs="FrankRuehl"/>
          <w:rtl/>
        </w:rPr>
      </w:pPr>
      <w:bookmarkStart w:id="2" w:name="LawTable"/>
      <w:bookmarkEnd w:id="2"/>
    </w:p>
    <w:p w14:paraId="53752E75" w14:textId="77777777" w:rsidR="006F4E39" w:rsidRPr="006F4E39" w:rsidRDefault="006F4E39" w:rsidP="006F4E39">
      <w:pPr>
        <w:spacing w:before="120" w:after="120" w:line="240" w:lineRule="exact"/>
        <w:ind w:left="283" w:hanging="283"/>
        <w:jc w:val="both"/>
        <w:rPr>
          <w:rFonts w:ascii="FrankRuehl" w:hAnsi="FrankRuehl" w:cs="FrankRuehl"/>
          <w:rtl/>
        </w:rPr>
      </w:pPr>
      <w:r w:rsidRPr="006F4E39">
        <w:rPr>
          <w:rFonts w:ascii="FrankRuehl" w:hAnsi="FrankRuehl" w:cs="FrankRuehl"/>
          <w:rtl/>
        </w:rPr>
        <w:t xml:space="preserve">חקיקה שאוזכרה: </w:t>
      </w:r>
    </w:p>
    <w:p w14:paraId="518424DB" w14:textId="77777777" w:rsidR="006F4E39" w:rsidRPr="006F4E39" w:rsidRDefault="006F4E39" w:rsidP="006F4E39">
      <w:pPr>
        <w:spacing w:before="120" w:after="120" w:line="240" w:lineRule="exact"/>
        <w:ind w:left="283" w:hanging="283"/>
        <w:jc w:val="both"/>
        <w:rPr>
          <w:rFonts w:ascii="FrankRuehl" w:hAnsi="FrankRuehl" w:cs="FrankRuehl"/>
          <w:color w:val="0000FF"/>
          <w:rtl/>
        </w:rPr>
      </w:pPr>
      <w:hyperlink r:id="rId7" w:history="1">
        <w:r w:rsidRPr="006F4E39">
          <w:rPr>
            <w:rStyle w:val="Hyperlink"/>
            <w:rFonts w:ascii="FrankRuehl" w:hAnsi="FrankRuehl" w:cs="FrankRuehl"/>
            <w:u w:val="none"/>
            <w:rtl/>
          </w:rPr>
          <w:t>חוק העונשין, תשל"ז-1977</w:t>
        </w:r>
      </w:hyperlink>
      <w:r w:rsidRPr="006F4E39">
        <w:rPr>
          <w:rFonts w:ascii="FrankRuehl" w:hAnsi="FrankRuehl" w:cs="FrankRuehl"/>
          <w:color w:val="0000FF"/>
          <w:rtl/>
        </w:rPr>
        <w:t xml:space="preserve">: סע'  </w:t>
      </w:r>
      <w:hyperlink r:id="rId8" w:history="1">
        <w:r w:rsidRPr="006F4E39">
          <w:rPr>
            <w:rStyle w:val="Hyperlink"/>
            <w:rFonts w:ascii="FrankRuehl" w:hAnsi="FrankRuehl" w:cs="FrankRuehl"/>
            <w:u w:val="none"/>
          </w:rPr>
          <w:t>29</w:t>
        </w:r>
      </w:hyperlink>
      <w:r w:rsidRPr="006F4E39">
        <w:rPr>
          <w:rFonts w:ascii="FrankRuehl" w:hAnsi="FrankRuehl" w:cs="FrankRuehl"/>
          <w:color w:val="0000FF"/>
          <w:rtl/>
        </w:rPr>
        <w:t xml:space="preserve">, </w:t>
      </w:r>
      <w:hyperlink r:id="rId9" w:history="1">
        <w:r w:rsidRPr="006F4E39">
          <w:rPr>
            <w:rStyle w:val="Hyperlink"/>
            <w:rFonts w:ascii="FrankRuehl" w:hAnsi="FrankRuehl" w:cs="FrankRuehl"/>
            <w:u w:val="none"/>
          </w:rPr>
          <w:t>31</w:t>
        </w:r>
      </w:hyperlink>
      <w:r w:rsidRPr="006F4E39">
        <w:rPr>
          <w:rFonts w:ascii="FrankRuehl" w:hAnsi="FrankRuehl" w:cs="FrankRuehl"/>
          <w:color w:val="0000FF"/>
          <w:rtl/>
        </w:rPr>
        <w:t xml:space="preserve">, </w:t>
      </w:r>
      <w:hyperlink r:id="rId10" w:history="1">
        <w:r w:rsidRPr="006F4E39">
          <w:rPr>
            <w:rStyle w:val="Hyperlink"/>
            <w:rFonts w:ascii="FrankRuehl" w:hAnsi="FrankRuehl" w:cs="FrankRuehl"/>
            <w:u w:val="none"/>
          </w:rPr>
          <w:t>32</w:t>
        </w:r>
      </w:hyperlink>
      <w:r w:rsidRPr="006F4E39">
        <w:rPr>
          <w:rFonts w:ascii="FrankRuehl" w:hAnsi="FrankRuehl" w:cs="FrankRuehl"/>
          <w:color w:val="0000FF"/>
          <w:rtl/>
        </w:rPr>
        <w:t xml:space="preserve">(3), </w:t>
      </w:r>
      <w:hyperlink r:id="rId11" w:history="1">
        <w:r w:rsidRPr="006F4E39">
          <w:rPr>
            <w:rStyle w:val="Hyperlink"/>
            <w:rFonts w:ascii="FrankRuehl" w:hAnsi="FrankRuehl" w:cs="FrankRuehl"/>
            <w:u w:val="none"/>
          </w:rPr>
          <w:t>40</w:t>
        </w:r>
        <w:r w:rsidRPr="006F4E39">
          <w:rPr>
            <w:rStyle w:val="Hyperlink"/>
            <w:rFonts w:ascii="FrankRuehl" w:hAnsi="FrankRuehl" w:cs="FrankRuehl"/>
            <w:u w:val="none"/>
            <w:rtl/>
          </w:rPr>
          <w:t>ז</w:t>
        </w:r>
      </w:hyperlink>
      <w:r w:rsidRPr="006F4E39">
        <w:rPr>
          <w:rFonts w:ascii="FrankRuehl" w:hAnsi="FrankRuehl" w:cs="FrankRuehl"/>
          <w:color w:val="0000FF"/>
          <w:rtl/>
        </w:rPr>
        <w:t xml:space="preserve">, </w:t>
      </w:r>
      <w:hyperlink r:id="rId12" w:history="1">
        <w:r w:rsidRPr="006F4E39">
          <w:rPr>
            <w:rStyle w:val="Hyperlink"/>
            <w:rFonts w:ascii="FrankRuehl" w:hAnsi="FrankRuehl" w:cs="FrankRuehl"/>
            <w:u w:val="none"/>
          </w:rPr>
          <w:t>40</w:t>
        </w:r>
        <w:r w:rsidRPr="006F4E39">
          <w:rPr>
            <w:rStyle w:val="Hyperlink"/>
            <w:rFonts w:ascii="FrankRuehl" w:hAnsi="FrankRuehl" w:cs="FrankRuehl"/>
            <w:u w:val="none"/>
            <w:rtl/>
          </w:rPr>
          <w:t>ט</w:t>
        </w:r>
      </w:hyperlink>
      <w:r w:rsidRPr="006F4E39">
        <w:rPr>
          <w:rFonts w:ascii="FrankRuehl" w:hAnsi="FrankRuehl" w:cs="FrankRuehl"/>
          <w:color w:val="0000FF"/>
          <w:rtl/>
        </w:rPr>
        <w:t xml:space="preserve">, </w:t>
      </w:r>
      <w:hyperlink r:id="rId13" w:history="1">
        <w:r w:rsidRPr="006F4E39">
          <w:rPr>
            <w:rStyle w:val="Hyperlink"/>
            <w:rFonts w:ascii="FrankRuehl" w:hAnsi="FrankRuehl" w:cs="FrankRuehl"/>
            <w:u w:val="none"/>
          </w:rPr>
          <w:t>144</w:t>
        </w:r>
      </w:hyperlink>
      <w:r w:rsidRPr="006F4E39">
        <w:rPr>
          <w:rFonts w:ascii="FrankRuehl" w:hAnsi="FrankRuehl" w:cs="FrankRuehl"/>
          <w:color w:val="0000FF"/>
          <w:rtl/>
        </w:rPr>
        <w:t xml:space="preserve">, </w:t>
      </w:r>
      <w:hyperlink r:id="rId14" w:history="1">
        <w:r w:rsidRPr="006F4E39">
          <w:rPr>
            <w:rStyle w:val="Hyperlink"/>
            <w:rFonts w:ascii="FrankRuehl" w:hAnsi="FrankRuehl" w:cs="FrankRuehl"/>
            <w:u w:val="none"/>
          </w:rPr>
          <w:t>144</w:t>
        </w:r>
      </w:hyperlink>
      <w:r w:rsidRPr="006F4E39">
        <w:rPr>
          <w:rFonts w:ascii="FrankRuehl" w:hAnsi="FrankRuehl" w:cs="FrankRuehl"/>
          <w:color w:val="0000FF"/>
          <w:rtl/>
        </w:rPr>
        <w:t xml:space="preserve">(א), </w:t>
      </w:r>
      <w:hyperlink r:id="rId15" w:history="1">
        <w:r w:rsidRPr="006F4E39">
          <w:rPr>
            <w:rStyle w:val="Hyperlink"/>
            <w:rFonts w:ascii="FrankRuehl" w:hAnsi="FrankRuehl" w:cs="FrankRuehl"/>
            <w:u w:val="none"/>
          </w:rPr>
          <w:t>144</w:t>
        </w:r>
      </w:hyperlink>
      <w:r w:rsidRPr="006F4E39">
        <w:rPr>
          <w:rFonts w:ascii="FrankRuehl" w:hAnsi="FrankRuehl" w:cs="FrankRuehl"/>
          <w:color w:val="0000FF"/>
          <w:rtl/>
        </w:rPr>
        <w:t>(ז)</w:t>
      </w:r>
    </w:p>
    <w:p w14:paraId="5586C40B" w14:textId="77777777" w:rsidR="00E568CA" w:rsidRDefault="00E568CA" w:rsidP="006F4E39">
      <w:pPr>
        <w:jc w:val="center"/>
        <w:rPr>
          <w:rFonts w:ascii="Arial" w:hAnsi="Arial" w:hint="cs"/>
          <w:sz w:val="26"/>
          <w:szCs w:val="26"/>
          <w:rtl/>
        </w:rPr>
      </w:pPr>
      <w:bookmarkStart w:id="3" w:name="LawTable_End"/>
      <w:bookmarkEnd w:id="3"/>
    </w:p>
    <w:p w14:paraId="2E1BB5B6" w14:textId="77777777" w:rsidR="006F4E39" w:rsidRDefault="006F4E39" w:rsidP="006F4E39">
      <w:pPr>
        <w:jc w:val="center"/>
        <w:rPr>
          <w:rFonts w:ascii="Arial" w:hAnsi="Arial" w:hint="cs"/>
          <w:sz w:val="26"/>
          <w:szCs w:val="26"/>
          <w:rtl/>
        </w:rPr>
      </w:pPr>
    </w:p>
    <w:p w14:paraId="7816C72E" w14:textId="77777777" w:rsidR="006F4E39" w:rsidRPr="006F4E39" w:rsidRDefault="006F4E39" w:rsidP="006F4E39">
      <w:pPr>
        <w:jc w:val="cente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568CA" w14:paraId="05C80261" w14:textId="77777777" w:rsidTr="00E568CA">
        <w:trPr>
          <w:trHeight w:val="355"/>
          <w:jc w:val="center"/>
        </w:trPr>
        <w:tc>
          <w:tcPr>
            <w:tcW w:w="8820" w:type="dxa"/>
            <w:tcBorders>
              <w:top w:val="nil"/>
              <w:left w:val="nil"/>
              <w:bottom w:val="nil"/>
              <w:right w:val="nil"/>
            </w:tcBorders>
            <w:shd w:val="clear" w:color="auto" w:fill="auto"/>
          </w:tcPr>
          <w:p w14:paraId="1CE4152B" w14:textId="77777777" w:rsidR="008B451A" w:rsidRPr="008B451A" w:rsidRDefault="008B451A" w:rsidP="008B451A">
            <w:pPr>
              <w:jc w:val="center"/>
              <w:rPr>
                <w:rFonts w:ascii="David" w:hAnsi="David"/>
                <w:b/>
                <w:bCs/>
                <w:sz w:val="32"/>
                <w:szCs w:val="32"/>
                <w:u w:val="single"/>
                <w:rtl/>
              </w:rPr>
            </w:pPr>
            <w:bookmarkStart w:id="4" w:name="PsakDin" w:colFirst="0" w:colLast="0"/>
            <w:r w:rsidRPr="008B451A">
              <w:rPr>
                <w:rFonts w:ascii="David" w:hAnsi="David"/>
                <w:b/>
                <w:bCs/>
                <w:sz w:val="32"/>
                <w:szCs w:val="32"/>
                <w:u w:val="single"/>
                <w:rtl/>
              </w:rPr>
              <w:t>גזר דין</w:t>
            </w:r>
          </w:p>
          <w:p w14:paraId="750CC3FF" w14:textId="77777777" w:rsidR="00E568CA" w:rsidRPr="008B451A" w:rsidRDefault="00E568CA" w:rsidP="008B451A">
            <w:pPr>
              <w:jc w:val="center"/>
              <w:rPr>
                <w:rFonts w:ascii="David" w:hAnsi="David"/>
                <w:bCs/>
                <w:sz w:val="32"/>
                <w:szCs w:val="32"/>
                <w:u w:val="single"/>
                <w:rtl/>
              </w:rPr>
            </w:pPr>
          </w:p>
        </w:tc>
      </w:tr>
    </w:tbl>
    <w:bookmarkEnd w:id="4"/>
    <w:p w14:paraId="650FF6B6" w14:textId="77777777" w:rsidR="00E568CA" w:rsidRPr="009A40DB" w:rsidRDefault="00E568CA" w:rsidP="00E568CA">
      <w:pPr>
        <w:jc w:val="center"/>
        <w:rPr>
          <w:rFonts w:ascii="Arial" w:hAnsi="Arial"/>
          <w:b/>
          <w:bCs/>
          <w:sz w:val="26"/>
          <w:szCs w:val="26"/>
          <w:u w:val="single"/>
          <w:rtl/>
        </w:rPr>
      </w:pPr>
      <w:r w:rsidRPr="009A40DB">
        <w:rPr>
          <w:rFonts w:ascii="Arial" w:hAnsi="Arial" w:hint="cs"/>
          <w:b/>
          <w:bCs/>
          <w:sz w:val="26"/>
          <w:szCs w:val="26"/>
          <w:u w:val="single"/>
          <w:rtl/>
        </w:rPr>
        <w:t xml:space="preserve"> (בעניין הנאשמים 1 ו-3)</w:t>
      </w:r>
    </w:p>
    <w:p w14:paraId="30789C27" w14:textId="77777777" w:rsidR="00E568CA" w:rsidRDefault="00E568CA" w:rsidP="00E568CA">
      <w:pPr>
        <w:rPr>
          <w:rFonts w:ascii="Arial" w:hAnsi="Arial"/>
          <w:b/>
          <w:bCs/>
          <w:sz w:val="26"/>
          <w:szCs w:val="26"/>
          <w:rtl/>
        </w:rPr>
      </w:pPr>
    </w:p>
    <w:p w14:paraId="1E0B5D8F" w14:textId="77777777" w:rsidR="00E568CA" w:rsidRPr="009A40DB" w:rsidRDefault="00E568CA" w:rsidP="00E568CA">
      <w:pPr>
        <w:spacing w:after="200"/>
        <w:jc w:val="both"/>
        <w:rPr>
          <w:rFonts w:ascii="Calibri" w:eastAsia="Calibri" w:hAnsi="Calibri"/>
          <w:b/>
          <w:bCs/>
          <w:u w:val="single"/>
        </w:rPr>
      </w:pPr>
      <w:r w:rsidRPr="009A40DB">
        <w:rPr>
          <w:rFonts w:ascii="Calibri" w:eastAsia="Calibri" w:hAnsi="Calibri"/>
          <w:b/>
          <w:bCs/>
          <w:u w:val="single"/>
          <w:rtl/>
        </w:rPr>
        <w:t>כללי</w:t>
      </w:r>
    </w:p>
    <w:p w14:paraId="3511052D" w14:textId="77777777" w:rsidR="00E568CA" w:rsidRPr="009A40DB" w:rsidRDefault="00E568CA" w:rsidP="00E568CA">
      <w:pPr>
        <w:spacing w:after="200" w:line="360" w:lineRule="auto"/>
        <w:jc w:val="both"/>
        <w:rPr>
          <w:rFonts w:ascii="Calibri" w:eastAsia="Calibri" w:hAnsi="Calibri"/>
        </w:rPr>
      </w:pPr>
      <w:bookmarkStart w:id="5" w:name="ABSTRACT_START"/>
      <w:bookmarkEnd w:id="5"/>
      <w:r w:rsidRPr="009A40DB">
        <w:rPr>
          <w:rFonts w:ascii="Calibri" w:eastAsia="Calibri" w:hAnsi="Calibri"/>
          <w:rtl/>
        </w:rPr>
        <w:t xml:space="preserve">הנאשמים שלפניי, </w:t>
      </w:r>
      <w:r w:rsidRPr="009A40DB">
        <w:rPr>
          <w:rFonts w:ascii="Calibri" w:eastAsia="Calibri" w:hAnsi="Calibri"/>
          <w:b/>
          <w:bCs/>
          <w:rtl/>
        </w:rPr>
        <w:t xml:space="preserve">עלי שאהין </w:t>
      </w:r>
      <w:r w:rsidRPr="009A40DB">
        <w:rPr>
          <w:rFonts w:ascii="Calibri" w:eastAsia="Calibri" w:hAnsi="Calibri"/>
          <w:rtl/>
        </w:rPr>
        <w:t>(להלן: "</w:t>
      </w:r>
      <w:r w:rsidRPr="009A40DB">
        <w:rPr>
          <w:rFonts w:ascii="Calibri" w:eastAsia="Calibri" w:hAnsi="Calibri"/>
          <w:b/>
          <w:bCs/>
          <w:rtl/>
        </w:rPr>
        <w:t>הנאשם 1</w:t>
      </w:r>
      <w:r w:rsidRPr="009A40DB">
        <w:rPr>
          <w:rFonts w:ascii="Calibri" w:eastAsia="Calibri" w:hAnsi="Calibri"/>
          <w:rtl/>
        </w:rPr>
        <w:t xml:space="preserve">"), </w:t>
      </w:r>
      <w:r w:rsidRPr="009A40DB">
        <w:rPr>
          <w:rFonts w:ascii="Calibri" w:eastAsia="Calibri" w:hAnsi="Calibri"/>
          <w:b/>
          <w:bCs/>
          <w:rtl/>
        </w:rPr>
        <w:t xml:space="preserve">וסאבר חיג'אזי </w:t>
      </w:r>
      <w:r w:rsidRPr="009A40DB">
        <w:rPr>
          <w:rFonts w:ascii="Calibri" w:eastAsia="Calibri" w:hAnsi="Calibri"/>
          <w:rtl/>
        </w:rPr>
        <w:t>(להלן: "</w:t>
      </w:r>
      <w:r w:rsidRPr="009A40DB">
        <w:rPr>
          <w:rFonts w:ascii="Calibri" w:eastAsia="Calibri" w:hAnsi="Calibri"/>
          <w:b/>
          <w:bCs/>
          <w:rtl/>
        </w:rPr>
        <w:t>הנאשם 3</w:t>
      </w:r>
      <w:r w:rsidRPr="009A40DB">
        <w:rPr>
          <w:rFonts w:ascii="Calibri" w:eastAsia="Calibri" w:hAnsi="Calibri"/>
          <w:rtl/>
        </w:rPr>
        <w:t xml:space="preserve">") הורשעו ביום 17.6.24 על-סמך הודאתם בעובדות כתב אישום מתוקן אשר הוגש נגדם.  </w:t>
      </w:r>
    </w:p>
    <w:p w14:paraId="69005B19" w14:textId="77777777" w:rsidR="00E568CA" w:rsidRPr="009A40DB" w:rsidRDefault="00E568CA" w:rsidP="00E568CA">
      <w:pPr>
        <w:spacing w:after="200" w:line="360" w:lineRule="auto"/>
        <w:jc w:val="both"/>
        <w:rPr>
          <w:rFonts w:ascii="Calibri" w:eastAsia="Calibri" w:hAnsi="Calibri"/>
          <w:rtl/>
        </w:rPr>
      </w:pPr>
      <w:r w:rsidRPr="009A40DB">
        <w:rPr>
          <w:rFonts w:ascii="Calibri" w:eastAsia="Calibri" w:hAnsi="Calibri"/>
          <w:rtl/>
        </w:rPr>
        <w:t>כאן המקום לציין, כי נאשם משותף נוסף בכתב האישום,</w:t>
      </w:r>
      <w:r w:rsidRPr="009A40DB">
        <w:rPr>
          <w:rFonts w:ascii="Calibri" w:eastAsia="Calibri" w:hAnsi="Calibri"/>
          <w:b/>
          <w:bCs/>
          <w:rtl/>
        </w:rPr>
        <w:t xml:space="preserve"> מוחמד שאהין</w:t>
      </w:r>
      <w:r w:rsidRPr="009A40DB">
        <w:rPr>
          <w:rFonts w:ascii="Calibri" w:eastAsia="Calibri" w:hAnsi="Calibri"/>
          <w:rtl/>
        </w:rPr>
        <w:t xml:space="preserve"> (להלן: "</w:t>
      </w:r>
      <w:r w:rsidRPr="009A40DB">
        <w:rPr>
          <w:rFonts w:ascii="Calibri" w:eastAsia="Calibri" w:hAnsi="Calibri"/>
          <w:b/>
          <w:bCs/>
          <w:rtl/>
        </w:rPr>
        <w:t>הנאשם 2</w:t>
      </w:r>
      <w:r w:rsidRPr="009A40DB">
        <w:rPr>
          <w:rFonts w:ascii="Calibri" w:eastAsia="Calibri" w:hAnsi="Calibri"/>
          <w:rtl/>
        </w:rPr>
        <w:t xml:space="preserve">") הורשע אף הוא בדיון האמור. עם זאת, מאחר שבעניינו התבקש תסקיר לעניין העונש מאת שירות המבחן, ביקש צוות ההגנה שעניינם של הנאשמים 1 ו - 3 יידון ללא המתנה להפקת התסקיר בעניינו של הנאשם 2. </w:t>
      </w:r>
    </w:p>
    <w:p w14:paraId="4DB3C06C" w14:textId="77777777" w:rsidR="00E568CA" w:rsidRPr="009A40DB" w:rsidRDefault="00E568CA" w:rsidP="00E568CA">
      <w:pPr>
        <w:spacing w:after="200" w:line="360" w:lineRule="auto"/>
        <w:jc w:val="both"/>
        <w:rPr>
          <w:rFonts w:ascii="Calibri" w:eastAsia="Calibri" w:hAnsi="Calibri"/>
          <w:rtl/>
        </w:rPr>
      </w:pPr>
      <w:bookmarkStart w:id="6" w:name="ABSTRACT_END"/>
      <w:bookmarkEnd w:id="6"/>
      <w:r w:rsidRPr="009A40DB">
        <w:rPr>
          <w:rFonts w:ascii="Calibri" w:eastAsia="Calibri" w:hAnsi="Calibri"/>
          <w:rtl/>
        </w:rPr>
        <w:t xml:space="preserve">משאלה היו פני הדברים קבעתי (ראו החלטתי מיום 4.7.24), כי דיון הטיעונים לעניין עונשו של הנאשם 2 יתקיים בנפרד, לאחר קבלת התסקיר בענייננו. </w:t>
      </w:r>
    </w:p>
    <w:p w14:paraId="03E9D01F" w14:textId="77777777" w:rsidR="00E568CA" w:rsidRPr="009A40DB" w:rsidRDefault="00E568CA" w:rsidP="00E568CA">
      <w:pPr>
        <w:spacing w:after="200" w:line="360" w:lineRule="auto"/>
        <w:jc w:val="both"/>
        <w:rPr>
          <w:rFonts w:ascii="Calibri" w:eastAsia="Calibri" w:hAnsi="Calibri"/>
          <w:rtl/>
        </w:rPr>
      </w:pPr>
      <w:r w:rsidRPr="009A40DB">
        <w:rPr>
          <w:rFonts w:ascii="Calibri" w:eastAsia="Calibri" w:hAnsi="Calibri"/>
          <w:rtl/>
        </w:rPr>
        <w:t>לשם השלמת התמונה, אציין כי -</w:t>
      </w:r>
    </w:p>
    <w:p w14:paraId="3BE1E36B" w14:textId="77777777" w:rsidR="00E568CA" w:rsidRPr="009A40DB" w:rsidRDefault="00E568CA" w:rsidP="00E568CA">
      <w:pPr>
        <w:spacing w:after="200" w:line="360" w:lineRule="auto"/>
        <w:jc w:val="both"/>
        <w:rPr>
          <w:rFonts w:ascii="Calibri" w:eastAsia="Calibri" w:hAnsi="Calibri"/>
          <w:rtl/>
        </w:rPr>
      </w:pPr>
      <w:r w:rsidRPr="009A40DB">
        <w:rPr>
          <w:rFonts w:ascii="Calibri" w:eastAsia="Calibri" w:hAnsi="Calibri"/>
          <w:b/>
          <w:bCs/>
          <w:u w:val="single"/>
          <w:rtl/>
        </w:rPr>
        <w:lastRenderedPageBreak/>
        <w:t>הנאשמים  2 ו - 3</w:t>
      </w:r>
      <w:r w:rsidRPr="009A40DB">
        <w:rPr>
          <w:rFonts w:ascii="Calibri" w:eastAsia="Calibri" w:hAnsi="Calibri"/>
          <w:rtl/>
        </w:rPr>
        <w:t xml:space="preserve"> הורשעו בביצועה של עבירת</w:t>
      </w:r>
      <w:r w:rsidRPr="009A40DB">
        <w:rPr>
          <w:rFonts w:ascii="Calibri" w:eastAsia="Calibri" w:hAnsi="Calibri"/>
          <w:b/>
          <w:bCs/>
          <w:rtl/>
        </w:rPr>
        <w:t xml:space="preserve"> החזקת נשק בצוותא </w:t>
      </w:r>
      <w:r w:rsidRPr="009A40DB">
        <w:rPr>
          <w:rFonts w:ascii="Calibri" w:eastAsia="Calibri" w:hAnsi="Calibri"/>
          <w:rtl/>
        </w:rPr>
        <w:t xml:space="preserve">לפי </w:t>
      </w:r>
      <w:hyperlink r:id="rId16" w:history="1">
        <w:r w:rsidR="006F4E39" w:rsidRPr="006F4E39">
          <w:rPr>
            <w:rStyle w:val="Hyperlink"/>
            <w:rFonts w:ascii="Calibri" w:eastAsia="Calibri" w:hAnsi="Calibri"/>
            <w:color w:val="0000FF"/>
            <w:rtl/>
          </w:rPr>
          <w:t>סעיפים 144(א)</w:t>
        </w:r>
      </w:hyperlink>
      <w:r w:rsidRPr="009A40DB">
        <w:rPr>
          <w:rFonts w:ascii="Calibri" w:eastAsia="Calibri" w:hAnsi="Calibri"/>
          <w:rtl/>
        </w:rPr>
        <w:t xml:space="preserve"> ו - </w:t>
      </w:r>
      <w:hyperlink r:id="rId17" w:history="1">
        <w:r w:rsidR="006F4E39" w:rsidRPr="006F4E39">
          <w:rPr>
            <w:rStyle w:val="Hyperlink"/>
            <w:rFonts w:ascii="Calibri" w:eastAsia="Calibri" w:hAnsi="Calibri"/>
            <w:color w:val="0000FF"/>
            <w:rtl/>
          </w:rPr>
          <w:t>29</w:t>
        </w:r>
      </w:hyperlink>
      <w:r w:rsidRPr="009A40DB">
        <w:rPr>
          <w:rFonts w:ascii="Calibri" w:eastAsia="Calibri" w:hAnsi="Calibri"/>
          <w:rtl/>
        </w:rPr>
        <w:t xml:space="preserve"> ל</w:t>
      </w:r>
      <w:hyperlink r:id="rId18" w:history="1">
        <w:r w:rsidR="008B451A" w:rsidRPr="008B451A">
          <w:rPr>
            <w:rFonts w:ascii="Calibri" w:eastAsia="Calibri" w:hAnsi="Calibri" w:hint="cs"/>
            <w:color w:val="0000FF"/>
            <w:u w:val="single"/>
            <w:rtl/>
          </w:rPr>
          <w:t>חוק</w:t>
        </w:r>
        <w:r w:rsidR="008B451A" w:rsidRPr="008B451A">
          <w:rPr>
            <w:rFonts w:ascii="Calibri" w:eastAsia="Calibri" w:hAnsi="Calibri"/>
            <w:color w:val="0000FF"/>
            <w:u w:val="single"/>
            <w:rtl/>
          </w:rPr>
          <w:t xml:space="preserve"> </w:t>
        </w:r>
        <w:r w:rsidR="008B451A" w:rsidRPr="008B451A">
          <w:rPr>
            <w:rFonts w:ascii="Calibri" w:eastAsia="Calibri" w:hAnsi="Calibri" w:hint="cs"/>
            <w:color w:val="0000FF"/>
            <w:u w:val="single"/>
            <w:rtl/>
          </w:rPr>
          <w:t>העונשין</w:t>
        </w:r>
      </w:hyperlink>
      <w:r w:rsidRPr="009A40DB">
        <w:rPr>
          <w:rFonts w:ascii="Calibri" w:eastAsia="Calibri" w:hAnsi="Calibri"/>
          <w:rtl/>
        </w:rPr>
        <w:t xml:space="preserve"> (להלן: "</w:t>
      </w:r>
      <w:r w:rsidRPr="009A40DB">
        <w:rPr>
          <w:rFonts w:ascii="Calibri" w:eastAsia="Calibri" w:hAnsi="Calibri"/>
          <w:b/>
          <w:bCs/>
          <w:rtl/>
        </w:rPr>
        <w:t>חוק העונשין</w:t>
      </w:r>
      <w:r w:rsidRPr="009A40DB">
        <w:rPr>
          <w:rFonts w:ascii="Calibri" w:eastAsia="Calibri" w:hAnsi="Calibri"/>
          <w:rtl/>
        </w:rPr>
        <w:t>" או "</w:t>
      </w:r>
      <w:r w:rsidRPr="009A40DB">
        <w:rPr>
          <w:rFonts w:ascii="Calibri" w:eastAsia="Calibri" w:hAnsi="Calibri"/>
          <w:b/>
          <w:bCs/>
          <w:rtl/>
        </w:rPr>
        <w:t>החוק</w:t>
      </w:r>
      <w:r w:rsidRPr="009A40DB">
        <w:rPr>
          <w:rFonts w:ascii="Calibri" w:eastAsia="Calibri" w:hAnsi="Calibri"/>
          <w:rtl/>
        </w:rPr>
        <w:t>");</w:t>
      </w:r>
      <w:r w:rsidRPr="009A40DB">
        <w:rPr>
          <w:rFonts w:ascii="Calibri" w:eastAsia="Calibri" w:hAnsi="Calibri"/>
          <w:b/>
          <w:bCs/>
          <w:rtl/>
        </w:rPr>
        <w:t xml:space="preserve"> </w:t>
      </w:r>
    </w:p>
    <w:p w14:paraId="63DE5583" w14:textId="77777777" w:rsidR="00E568CA" w:rsidRPr="009A40DB" w:rsidRDefault="00E568CA" w:rsidP="00E568CA">
      <w:pPr>
        <w:spacing w:after="200" w:line="360" w:lineRule="auto"/>
        <w:jc w:val="both"/>
        <w:rPr>
          <w:rFonts w:ascii="Calibri" w:eastAsia="Calibri" w:hAnsi="Calibri"/>
          <w:rtl/>
        </w:rPr>
      </w:pPr>
      <w:r w:rsidRPr="009A40DB">
        <w:rPr>
          <w:rFonts w:ascii="Calibri" w:eastAsia="Calibri" w:hAnsi="Calibri"/>
          <w:rtl/>
        </w:rPr>
        <w:t>בעוד,</w:t>
      </w:r>
      <w:r w:rsidRPr="009A40DB">
        <w:rPr>
          <w:rFonts w:ascii="Calibri" w:eastAsia="Calibri" w:hAnsi="Calibri"/>
          <w:b/>
          <w:bCs/>
          <w:rtl/>
        </w:rPr>
        <w:t xml:space="preserve"> הנאשם</w:t>
      </w:r>
      <w:r w:rsidRPr="009A40DB">
        <w:rPr>
          <w:rFonts w:ascii="Calibri" w:eastAsia="Calibri" w:hAnsi="Calibri" w:hint="cs"/>
          <w:b/>
          <w:bCs/>
        </w:rPr>
        <w:t xml:space="preserve"> </w:t>
      </w:r>
      <w:r w:rsidRPr="009A40DB">
        <w:rPr>
          <w:rFonts w:ascii="David" w:eastAsia="Calibri" w:hAnsi="David"/>
          <w:b/>
          <w:bCs/>
        </w:rPr>
        <w:t>1</w:t>
      </w:r>
      <w:r w:rsidRPr="009A40DB">
        <w:rPr>
          <w:rFonts w:ascii="Calibri" w:eastAsia="Calibri" w:hAnsi="Calibri"/>
          <w:b/>
          <w:bCs/>
        </w:rPr>
        <w:t xml:space="preserve"> </w:t>
      </w:r>
      <w:r w:rsidRPr="009A40DB">
        <w:rPr>
          <w:rFonts w:ascii="Calibri" w:eastAsia="Calibri" w:hAnsi="Calibri"/>
          <w:rtl/>
        </w:rPr>
        <w:t xml:space="preserve">הורשע </w:t>
      </w:r>
      <w:r w:rsidRPr="009A40DB">
        <w:rPr>
          <w:rFonts w:ascii="Calibri" w:eastAsia="Calibri" w:hAnsi="Calibri"/>
          <w:b/>
          <w:bCs/>
          <w:u w:val="single"/>
          <w:rtl/>
        </w:rPr>
        <w:t>בסיוע</w:t>
      </w:r>
      <w:r w:rsidRPr="009A40DB">
        <w:rPr>
          <w:rFonts w:ascii="Calibri" w:eastAsia="Calibri" w:hAnsi="Calibri"/>
          <w:b/>
          <w:bCs/>
          <w:rtl/>
        </w:rPr>
        <w:t xml:space="preserve"> להחזקת נשק </w:t>
      </w:r>
      <w:r w:rsidRPr="009A40DB">
        <w:rPr>
          <w:rFonts w:ascii="Calibri" w:eastAsia="Calibri" w:hAnsi="Calibri"/>
          <w:rtl/>
        </w:rPr>
        <w:t xml:space="preserve">לפי </w:t>
      </w:r>
      <w:hyperlink r:id="rId19" w:history="1">
        <w:r w:rsidR="006F4E39" w:rsidRPr="006F4E39">
          <w:rPr>
            <w:rStyle w:val="Hyperlink"/>
            <w:rFonts w:ascii="Calibri" w:eastAsia="Calibri" w:hAnsi="Calibri"/>
            <w:color w:val="0000FF"/>
            <w:rtl/>
          </w:rPr>
          <w:t>סעיפים 144(א)</w:t>
        </w:r>
      </w:hyperlink>
      <w:r w:rsidRPr="009A40DB">
        <w:rPr>
          <w:rFonts w:ascii="Calibri" w:eastAsia="Calibri" w:hAnsi="Calibri"/>
          <w:rtl/>
        </w:rPr>
        <w:t xml:space="preserve"> ו - </w:t>
      </w:r>
      <w:hyperlink r:id="rId20" w:history="1">
        <w:r w:rsidR="006F4E39" w:rsidRPr="006F4E39">
          <w:rPr>
            <w:rStyle w:val="Hyperlink"/>
            <w:rFonts w:ascii="Calibri" w:eastAsia="Calibri" w:hAnsi="Calibri"/>
            <w:color w:val="0000FF"/>
            <w:rtl/>
          </w:rPr>
          <w:t>31</w:t>
        </w:r>
      </w:hyperlink>
      <w:r w:rsidRPr="009A40DB">
        <w:rPr>
          <w:rFonts w:ascii="Calibri" w:eastAsia="Calibri" w:hAnsi="Calibri"/>
          <w:rtl/>
        </w:rPr>
        <w:t xml:space="preserve"> ל</w:t>
      </w:r>
      <w:hyperlink r:id="rId21" w:history="1">
        <w:r w:rsidR="008B451A" w:rsidRPr="008B451A">
          <w:rPr>
            <w:rFonts w:ascii="Calibri" w:eastAsia="Calibri" w:hAnsi="Calibri" w:hint="cs"/>
            <w:color w:val="0000FF"/>
            <w:u w:val="single"/>
            <w:rtl/>
          </w:rPr>
          <w:t>חוק</w:t>
        </w:r>
        <w:r w:rsidR="008B451A" w:rsidRPr="008B451A">
          <w:rPr>
            <w:rFonts w:ascii="Calibri" w:eastAsia="Calibri" w:hAnsi="Calibri"/>
            <w:color w:val="0000FF"/>
            <w:u w:val="single"/>
            <w:rtl/>
          </w:rPr>
          <w:t xml:space="preserve"> </w:t>
        </w:r>
        <w:r w:rsidR="008B451A" w:rsidRPr="008B451A">
          <w:rPr>
            <w:rFonts w:ascii="Calibri" w:eastAsia="Calibri" w:hAnsi="Calibri" w:hint="cs"/>
            <w:color w:val="0000FF"/>
            <w:u w:val="single"/>
            <w:rtl/>
          </w:rPr>
          <w:t>העונשין</w:t>
        </w:r>
      </w:hyperlink>
      <w:r w:rsidRPr="009A40DB">
        <w:rPr>
          <w:rFonts w:ascii="Calibri" w:eastAsia="Calibri" w:hAnsi="Calibri"/>
          <w:rtl/>
        </w:rPr>
        <w:t xml:space="preserve">. </w:t>
      </w:r>
    </w:p>
    <w:p w14:paraId="63837408" w14:textId="77777777" w:rsidR="00E568CA" w:rsidRPr="009A40DB" w:rsidRDefault="00E568CA" w:rsidP="00E568CA">
      <w:pPr>
        <w:spacing w:after="200" w:line="360" w:lineRule="auto"/>
        <w:jc w:val="both"/>
        <w:rPr>
          <w:rFonts w:ascii="Calibri" w:eastAsia="Calibri" w:hAnsi="Calibri"/>
          <w:rtl/>
        </w:rPr>
      </w:pPr>
      <w:r w:rsidRPr="009A40DB">
        <w:rPr>
          <w:rFonts w:ascii="Calibri" w:eastAsia="Calibri" w:hAnsi="Calibri"/>
          <w:u w:val="single"/>
          <w:rtl/>
        </w:rPr>
        <w:t xml:space="preserve">עובדות ההרשעה </w:t>
      </w:r>
      <w:r w:rsidRPr="009A40DB">
        <w:rPr>
          <w:rFonts w:ascii="Calibri" w:eastAsia="Calibri" w:hAnsi="Calibri"/>
          <w:rtl/>
        </w:rPr>
        <w:t xml:space="preserve"> </w:t>
      </w:r>
    </w:p>
    <w:p w14:paraId="450730E5" w14:textId="77777777" w:rsidR="00E568CA" w:rsidRPr="009A40DB" w:rsidRDefault="00E568CA" w:rsidP="00E568CA">
      <w:pPr>
        <w:spacing w:after="200" w:line="360" w:lineRule="auto"/>
        <w:jc w:val="both"/>
        <w:rPr>
          <w:rFonts w:ascii="Calibri" w:eastAsia="Calibri" w:hAnsi="Calibri"/>
          <w:rtl/>
        </w:rPr>
      </w:pPr>
      <w:r w:rsidRPr="009A40DB">
        <w:rPr>
          <w:rFonts w:ascii="Calibri" w:eastAsia="Calibri" w:hAnsi="Calibri"/>
          <w:rtl/>
        </w:rPr>
        <w:t xml:space="preserve">עובדות הרשעתם של הנאשמים בכתב האישום המתוקן, הינן כדלהלן -   </w:t>
      </w:r>
    </w:p>
    <w:p w14:paraId="3FEBA0CD" w14:textId="77777777" w:rsidR="00E568CA" w:rsidRPr="009A40DB" w:rsidRDefault="00E568CA" w:rsidP="00E568CA">
      <w:pPr>
        <w:spacing w:after="200" w:line="360" w:lineRule="auto"/>
        <w:jc w:val="both"/>
        <w:rPr>
          <w:rFonts w:ascii="Calibri" w:eastAsia="Calibri" w:hAnsi="Calibri"/>
          <w:rtl/>
        </w:rPr>
      </w:pPr>
      <w:r w:rsidRPr="009A40DB">
        <w:rPr>
          <w:rFonts w:ascii="Calibri" w:eastAsia="Calibri" w:hAnsi="Calibri"/>
          <w:rtl/>
        </w:rPr>
        <w:t xml:space="preserve">נאשמים 1 ו -2 הם אחים, ובבעלות בני משפחתם רפת בעיר טמרה. נאשם 3 הוא חבר של נאשמים 1 ו-2.  </w:t>
      </w:r>
    </w:p>
    <w:p w14:paraId="4D84A99F" w14:textId="77777777" w:rsidR="00E568CA" w:rsidRPr="009A40DB" w:rsidRDefault="00E568CA" w:rsidP="00E568CA">
      <w:pPr>
        <w:spacing w:after="200" w:line="360" w:lineRule="auto"/>
        <w:jc w:val="both"/>
        <w:rPr>
          <w:rFonts w:ascii="Calibri" w:eastAsia="Calibri" w:hAnsi="Calibri"/>
          <w:rtl/>
        </w:rPr>
      </w:pPr>
      <w:r w:rsidRPr="009A40DB">
        <w:rPr>
          <w:rFonts w:ascii="Calibri" w:eastAsia="Calibri" w:hAnsi="Calibri"/>
          <w:rtl/>
        </w:rPr>
        <w:t xml:space="preserve">בתאריך 16.4.24, בסמוך לשעה 22:00, החזיקו הנאשמים 2 ו- 3 בחממה בסמוך לרפת, נשק דמוי רובה סער </w:t>
      </w:r>
      <w:r w:rsidRPr="009A40DB">
        <w:rPr>
          <w:rFonts w:ascii="Calibri" w:eastAsia="Calibri" w:hAnsi="Calibri"/>
        </w:rPr>
        <w:t>m-4</w:t>
      </w:r>
      <w:r w:rsidRPr="009A40DB">
        <w:rPr>
          <w:rFonts w:ascii="Calibri" w:eastAsia="Calibri" w:hAnsi="Calibri"/>
          <w:rtl/>
        </w:rPr>
        <w:t xml:space="preserve"> המיועד לירי כדוריות פלסטיק בקוטר 6 מ"מ ואשר הוסב לירי תחמושת בקליבר 5.56 מ"מ, ובתוכו מחסנית ריקה תואמת המהווה אביזר לנשק. וזאת בסיועו של נאשם 1 אשר אבטח אותם בעת החזקת הרובה הנ"ל.  הרובה הוא כלי שסוגל לירות כדור ובכוחו להמית אדם. </w:t>
      </w:r>
    </w:p>
    <w:p w14:paraId="756C07BC" w14:textId="77777777" w:rsidR="00E568CA" w:rsidRPr="009A40DB" w:rsidRDefault="00E568CA" w:rsidP="00E568CA">
      <w:pPr>
        <w:spacing w:after="200" w:line="360" w:lineRule="auto"/>
        <w:jc w:val="both"/>
        <w:rPr>
          <w:rFonts w:ascii="Calibri" w:eastAsia="Calibri" w:hAnsi="Calibri"/>
          <w:u w:val="single"/>
          <w:rtl/>
        </w:rPr>
      </w:pPr>
      <w:r w:rsidRPr="009A40DB">
        <w:rPr>
          <w:rFonts w:ascii="Calibri" w:eastAsia="Calibri" w:hAnsi="Calibri"/>
          <w:u w:val="single"/>
          <w:rtl/>
        </w:rPr>
        <w:t xml:space="preserve">ראיות לעניין העונש </w:t>
      </w:r>
    </w:p>
    <w:p w14:paraId="4C71A25E" w14:textId="77777777" w:rsidR="00E568CA" w:rsidRPr="009A40DB" w:rsidRDefault="00E568CA" w:rsidP="00E568CA">
      <w:pPr>
        <w:spacing w:after="200" w:line="360" w:lineRule="auto"/>
        <w:jc w:val="both"/>
        <w:rPr>
          <w:rFonts w:ascii="Calibri" w:eastAsia="Calibri" w:hAnsi="Calibri"/>
          <w:rtl/>
        </w:rPr>
      </w:pPr>
      <w:r w:rsidRPr="009A40DB">
        <w:rPr>
          <w:rFonts w:ascii="Calibri" w:eastAsia="Calibri" w:hAnsi="Calibri"/>
          <w:rtl/>
        </w:rPr>
        <w:t xml:space="preserve">ב"כ המאשימה, עו"ד קרן, ציין כי </w:t>
      </w:r>
      <w:r w:rsidRPr="009A40DB">
        <w:rPr>
          <w:rFonts w:ascii="Calibri" w:eastAsia="Calibri" w:hAnsi="Calibri"/>
          <w:b/>
          <w:bCs/>
          <w:rtl/>
        </w:rPr>
        <w:t>הנאשמים 1 ו -3 נעדרים עבר פלילי</w:t>
      </w:r>
      <w:r w:rsidRPr="009A40DB">
        <w:rPr>
          <w:rFonts w:ascii="Calibri" w:eastAsia="Calibri" w:hAnsi="Calibri"/>
          <w:rtl/>
        </w:rPr>
        <w:t>. לא הוצגו ראיות נוספות לעניין העונש בעניינם של הנאשמים.</w:t>
      </w:r>
    </w:p>
    <w:p w14:paraId="3E6EDFB8" w14:textId="77777777" w:rsidR="00E568CA" w:rsidRPr="009A40DB" w:rsidRDefault="00E568CA" w:rsidP="00E568CA">
      <w:pPr>
        <w:spacing w:after="200"/>
        <w:jc w:val="both"/>
        <w:rPr>
          <w:rFonts w:ascii="Calibri" w:eastAsia="Calibri" w:hAnsi="Calibri"/>
          <w:u w:val="single"/>
          <w:rtl/>
        </w:rPr>
      </w:pPr>
      <w:r w:rsidRPr="009A40DB">
        <w:rPr>
          <w:rFonts w:ascii="Calibri" w:eastAsia="Calibri" w:hAnsi="Calibri"/>
          <w:u w:val="single"/>
          <w:rtl/>
        </w:rPr>
        <w:t>טיעוני המאשימה לעניין העונש</w:t>
      </w:r>
    </w:p>
    <w:p w14:paraId="3E895B14" w14:textId="77777777" w:rsidR="00E568CA" w:rsidRPr="009A40DB" w:rsidRDefault="00E568CA" w:rsidP="00E568CA">
      <w:pPr>
        <w:spacing w:after="200" w:line="360" w:lineRule="auto"/>
        <w:jc w:val="both"/>
        <w:rPr>
          <w:rFonts w:ascii="Calibri" w:eastAsia="Calibri" w:hAnsi="Calibri"/>
          <w:rtl/>
        </w:rPr>
      </w:pPr>
      <w:r w:rsidRPr="009A40DB">
        <w:rPr>
          <w:rFonts w:ascii="Calibri" w:eastAsia="Calibri" w:hAnsi="Calibri"/>
          <w:rtl/>
        </w:rPr>
        <w:t xml:space="preserve">ב"כ המלומד של המאשימה הגיש טיעונים לעניין העונש בכתב והוסיף על אלו בע"פ. בקצירת האומר, המאשימה עמדה על החומרה הגלומה בעבירות הנשק ועל מגמת ההחמרה בענישה, נוכח העובדה שעבירות אלו הפכו למכת מדינה של ממש. הפרקליט המלומד עמד על הערכים המוגנים שנפגעו, פועל יוצא של עבירות החזקת הנשק. הוער, כי אין עסקינן בהחזקה "רגעית", אלא בהטמנה של כלי הנשק. מכאן עמדה המאשימה על מדיניות הענישה הנוהגת בנסיבות דומות ועל נסיבות ביצוע העבירה. לעמדת המאשימה יש לשרטט בעניינו של הנאשם 3 (כך גם בהתייחס לנאשם 2 שעניינו הופרד כאמור) מתחם ענישה הנע בין 24 ל - 48 חודשי מאסר לריצוי בפועל, ובעניינו של הנאשם 1 מתחם ענישה הנע בין 12 ל- 24 חודשי מאסר לריצוי בפועל, לצד מאסר מותנה וקנס כספי. הוער, כי מאחר והנאשמים הודו בעבירות המיוחסות להם, ובכך חסכו זמן שיפוטי יקר; ומאחר והם נעדרי עבר פלילי, אזי יש למקם את עונשם ברף הבינוני נמוך של מתחם הענישה המוצע, גם על רקע שיקולי הרתעת הרבים. </w:t>
      </w:r>
    </w:p>
    <w:p w14:paraId="3677E1D0" w14:textId="77777777" w:rsidR="00E568CA" w:rsidRPr="009A40DB" w:rsidRDefault="00E568CA" w:rsidP="00E568CA">
      <w:pPr>
        <w:spacing w:after="200"/>
        <w:jc w:val="both"/>
        <w:rPr>
          <w:rFonts w:ascii="Calibri" w:eastAsia="Calibri" w:hAnsi="Calibri"/>
          <w:u w:val="single"/>
          <w:rtl/>
        </w:rPr>
      </w:pPr>
      <w:r w:rsidRPr="009A40DB">
        <w:rPr>
          <w:rFonts w:ascii="Calibri" w:eastAsia="Calibri" w:hAnsi="Calibri"/>
          <w:u w:val="single"/>
          <w:rtl/>
        </w:rPr>
        <w:t>טיעוני ההגנה לעניין העונש</w:t>
      </w:r>
    </w:p>
    <w:p w14:paraId="301EB058" w14:textId="77777777" w:rsidR="00E568CA" w:rsidRPr="009A40DB" w:rsidRDefault="00E568CA" w:rsidP="00E568CA">
      <w:pPr>
        <w:spacing w:after="200"/>
        <w:jc w:val="both"/>
        <w:rPr>
          <w:rFonts w:ascii="Calibri" w:eastAsia="Calibri" w:hAnsi="Calibri"/>
          <w:u w:val="single"/>
          <w:rtl/>
        </w:rPr>
      </w:pPr>
      <w:r w:rsidRPr="009A40DB">
        <w:rPr>
          <w:rFonts w:ascii="Calibri" w:eastAsia="Calibri" w:hAnsi="Calibri"/>
          <w:u w:val="single"/>
          <w:rtl/>
        </w:rPr>
        <w:t>הנאשם 1</w:t>
      </w:r>
    </w:p>
    <w:p w14:paraId="245FFA42" w14:textId="77777777" w:rsidR="00E568CA" w:rsidRPr="009A40DB" w:rsidRDefault="00E568CA" w:rsidP="00E568CA">
      <w:pPr>
        <w:spacing w:after="200" w:line="360" w:lineRule="auto"/>
        <w:jc w:val="both"/>
        <w:rPr>
          <w:rFonts w:ascii="Calibri" w:eastAsia="Calibri" w:hAnsi="Calibri"/>
          <w:rtl/>
        </w:rPr>
      </w:pPr>
      <w:r w:rsidRPr="009A40DB">
        <w:rPr>
          <w:rFonts w:ascii="Calibri" w:eastAsia="Calibri" w:hAnsi="Calibri"/>
          <w:rtl/>
        </w:rPr>
        <w:lastRenderedPageBreak/>
        <w:t xml:space="preserve">סנגוריו המלומדים של הנאשם 1, עוה"ד זילברשלג ובן אשר, עמדו על כך, כי גילו של הנאשם 1 בבצעו את העבירה עמד על 21 ומחצה בקירוב. משמע, קרוב לסף המחייב הגשת תסקיר לעניין העונש. הסנגורים עמדו על כך, כי הנאשם נעדר עבר פלילי ועל כך שזו הסתבכותו הראשונה עם החוק. הודגש, כי עסקינן בעבירת סיוע שאיננה מתאפיינת בסיוע מהותי וברור, אלא בסיוע "עמום", כך על פי עובדות כתב האישום המתוקן. הודגש, כי הנאשם מתחרט על מעשיו; לראייה, הוא נטל אחריות על מעשיו. הוער, כי מדובר בנשק יחיד ומאולתר שאינו רובה סער תקני, ללא תחמושת שנתפסה לצדו, ובכך טמונים שיקולים לקולה.  הסנגורים הציגו לבית המשפט אסופת פסיקה ועתרו להשית על הנאשם 5 חודשי מאסר לריצוי בפועל (שכן הנאשם מצוי במעצר בתיק זה במשך 3 חודשים בקירוב).  </w:t>
      </w:r>
    </w:p>
    <w:p w14:paraId="11108B19" w14:textId="77777777" w:rsidR="00E568CA" w:rsidRPr="009A40DB" w:rsidRDefault="00E568CA" w:rsidP="00E568CA">
      <w:pPr>
        <w:spacing w:after="200" w:line="360" w:lineRule="auto"/>
        <w:jc w:val="both"/>
        <w:rPr>
          <w:rFonts w:ascii="Calibri" w:eastAsia="Calibri" w:hAnsi="Calibri"/>
          <w:rtl/>
        </w:rPr>
      </w:pPr>
      <w:r w:rsidRPr="009A40DB">
        <w:rPr>
          <w:rFonts w:ascii="Calibri" w:eastAsia="Calibri" w:hAnsi="Calibri"/>
          <w:b/>
          <w:bCs/>
          <w:rtl/>
        </w:rPr>
        <w:t>הנאשם 1, בדבריו אל בית המשפט</w:t>
      </w:r>
      <w:r w:rsidRPr="009A40DB">
        <w:rPr>
          <w:rFonts w:ascii="Calibri" w:eastAsia="Calibri" w:hAnsi="Calibri"/>
          <w:rtl/>
        </w:rPr>
        <w:t xml:space="preserve">, ציין כי הוא מצטער על מעשיו. הוא הוסיף שלא יחזור על מעשיו. </w:t>
      </w:r>
    </w:p>
    <w:p w14:paraId="42B4FEBF" w14:textId="77777777" w:rsidR="00E568CA" w:rsidRDefault="00E568CA" w:rsidP="00E568CA">
      <w:pPr>
        <w:spacing w:after="200" w:line="360" w:lineRule="auto"/>
        <w:jc w:val="both"/>
        <w:rPr>
          <w:rFonts w:ascii="Calibri" w:eastAsia="Calibri" w:hAnsi="Calibri"/>
          <w:u w:val="single"/>
          <w:rtl/>
        </w:rPr>
      </w:pPr>
    </w:p>
    <w:p w14:paraId="349DB5DC" w14:textId="77777777" w:rsidR="00E568CA" w:rsidRPr="009A40DB" w:rsidRDefault="00E568CA" w:rsidP="00E568CA">
      <w:pPr>
        <w:spacing w:after="200" w:line="360" w:lineRule="auto"/>
        <w:jc w:val="both"/>
        <w:rPr>
          <w:rFonts w:ascii="Calibri" w:eastAsia="Calibri" w:hAnsi="Calibri"/>
          <w:u w:val="single"/>
          <w:rtl/>
        </w:rPr>
      </w:pPr>
      <w:r w:rsidRPr="009A40DB">
        <w:rPr>
          <w:rFonts w:ascii="Calibri" w:eastAsia="Calibri" w:hAnsi="Calibri"/>
          <w:u w:val="single"/>
          <w:rtl/>
        </w:rPr>
        <w:t xml:space="preserve">הנאשם 3 </w:t>
      </w:r>
    </w:p>
    <w:p w14:paraId="215695E9" w14:textId="77777777" w:rsidR="00E568CA" w:rsidRPr="009A40DB" w:rsidRDefault="00E568CA" w:rsidP="00E568CA">
      <w:pPr>
        <w:spacing w:after="200" w:line="360" w:lineRule="auto"/>
        <w:jc w:val="both"/>
        <w:rPr>
          <w:rFonts w:ascii="Calibri" w:eastAsia="Calibri" w:hAnsi="Calibri"/>
          <w:rtl/>
        </w:rPr>
      </w:pPr>
      <w:r w:rsidRPr="009A40DB">
        <w:rPr>
          <w:rFonts w:ascii="Calibri" w:eastAsia="Calibri" w:hAnsi="Calibri"/>
          <w:rtl/>
        </w:rPr>
        <w:t xml:space="preserve">סנגורו המלומד של הנאשם 3, עו"ד סלימאן, הגיש לבית המשפט אסופת פסיקה המתאימה לשיטתו לעניינו של הנאשם וסקר את חלקה במהלך הדיון. לדידו, המתחם ההולם את נסיבות עניינו של הנאשם נע בין 10 חודשי מאסר לריצוי בפועל לבין 21 חודשי מאסר לריצוי בפועל. נוכח עברו הנקי של הנאשם, גילו, וסוג הנשק שהוחזק,  נטען, כי עונשו של הנאשם 3 צריך להיות ממוקם בתחתית מתחם הענישה המוצע. </w:t>
      </w:r>
    </w:p>
    <w:p w14:paraId="11C1CF15" w14:textId="77777777" w:rsidR="00E568CA" w:rsidRPr="009A40DB" w:rsidRDefault="00E568CA" w:rsidP="00E568CA">
      <w:pPr>
        <w:spacing w:after="200" w:line="360" w:lineRule="auto"/>
        <w:jc w:val="both"/>
        <w:rPr>
          <w:rFonts w:ascii="Calibri" w:eastAsia="Calibri" w:hAnsi="Calibri"/>
          <w:rtl/>
        </w:rPr>
      </w:pPr>
      <w:r w:rsidRPr="009A40DB">
        <w:rPr>
          <w:rFonts w:ascii="Calibri" w:eastAsia="Calibri" w:hAnsi="Calibri"/>
          <w:b/>
          <w:bCs/>
          <w:rtl/>
        </w:rPr>
        <w:t>הנאשם 3 פנה בדבריו אל בית המשפט</w:t>
      </w:r>
      <w:r w:rsidRPr="009A40DB">
        <w:rPr>
          <w:rFonts w:ascii="Calibri" w:eastAsia="Calibri" w:hAnsi="Calibri"/>
          <w:rtl/>
        </w:rPr>
        <w:t xml:space="preserve"> וציין כי הוא מצטער על מעשיו. הוא הוסיף שלא יחזור על מעשיו וביקש מבית המשפט לאפשר לו לבנות את חייו מחדש. </w:t>
      </w:r>
    </w:p>
    <w:p w14:paraId="53321E63" w14:textId="77777777" w:rsidR="00E568CA" w:rsidRPr="009A40DB" w:rsidRDefault="00E568CA" w:rsidP="00E568CA">
      <w:pPr>
        <w:spacing w:after="200"/>
        <w:jc w:val="both"/>
        <w:rPr>
          <w:rFonts w:ascii="Calibri" w:eastAsia="Calibri" w:hAnsi="Calibri"/>
          <w:b/>
          <w:bCs/>
          <w:u w:val="single"/>
          <w:rtl/>
        </w:rPr>
      </w:pPr>
      <w:r w:rsidRPr="009A40DB">
        <w:rPr>
          <w:rFonts w:ascii="Calibri" w:eastAsia="Calibri" w:hAnsi="Calibri"/>
          <w:b/>
          <w:bCs/>
          <w:u w:val="single"/>
          <w:rtl/>
        </w:rPr>
        <w:t>דיון והכרעה</w:t>
      </w:r>
    </w:p>
    <w:p w14:paraId="44C499ED" w14:textId="77777777" w:rsidR="00E568CA" w:rsidRPr="009A40DB" w:rsidRDefault="00E568CA" w:rsidP="00E568CA">
      <w:pPr>
        <w:spacing w:after="200" w:line="360" w:lineRule="auto"/>
        <w:jc w:val="both"/>
        <w:rPr>
          <w:rFonts w:ascii="David" w:eastAsia="Calibri" w:hAnsi="David"/>
          <w:rtl/>
        </w:rPr>
      </w:pPr>
      <w:r w:rsidRPr="009A40DB">
        <w:rPr>
          <w:rFonts w:ascii="David" w:eastAsia="Calibri" w:hAnsi="David"/>
          <w:b/>
          <w:bCs/>
          <w:rtl/>
        </w:rPr>
        <w:t>החזקת נשק</w:t>
      </w:r>
      <w:r w:rsidRPr="009A40DB">
        <w:rPr>
          <w:rFonts w:ascii="David" w:eastAsia="Calibri" w:hAnsi="David"/>
          <w:rtl/>
        </w:rPr>
        <w:t xml:space="preserve">, רכישתו, נשיאתו, הובלתו והשימוש בו הפכו למרבה הצער למכת מדינה (ראו לעניין זה למשל: </w:t>
      </w:r>
      <w:hyperlink r:id="rId22" w:history="1">
        <w:r w:rsidR="008B451A" w:rsidRPr="008B451A">
          <w:rPr>
            <w:rFonts w:ascii="David" w:eastAsia="Calibri" w:hAnsi="David"/>
            <w:color w:val="0000FF"/>
            <w:u w:val="single"/>
            <w:rtl/>
          </w:rPr>
          <w:t>ע"פ 1695/22</w:t>
        </w:r>
      </w:hyperlink>
      <w:r w:rsidRPr="009A40DB">
        <w:rPr>
          <w:rFonts w:ascii="David" w:eastAsia="Calibri" w:hAnsi="David"/>
          <w:rtl/>
        </w:rPr>
        <w:t xml:space="preserve"> </w:t>
      </w:r>
      <w:r w:rsidRPr="009A40DB">
        <w:rPr>
          <w:rFonts w:ascii="David" w:eastAsia="Calibri" w:hAnsi="David"/>
          <w:b/>
          <w:bCs/>
          <w:rtl/>
        </w:rPr>
        <w:t>מדינת ישראל נ' גנאים</w:t>
      </w:r>
      <w:r w:rsidRPr="009A40DB">
        <w:rPr>
          <w:rFonts w:ascii="David" w:eastAsia="Calibri" w:hAnsi="David"/>
          <w:rtl/>
        </w:rPr>
        <w:t xml:space="preserve">, פסקה 11, ביום 29.3.22). ברי, כי מדינה ריבונית ומתוקנת איננה יכולה לקבל כ"מכת-גורל" תופעה שבמסגרתה מוחזק נשק בלתי-חוקי בקרב אזרחיה ותושביה. תופעה שכזו חותרת תחת שלומם וביטחונם של אזרחיה, ועלולה חלילה, לכרסם ביסודות לחם חוקה. </w:t>
      </w:r>
    </w:p>
    <w:p w14:paraId="4551EA65" w14:textId="77777777" w:rsidR="00E568CA" w:rsidRPr="009A40DB" w:rsidRDefault="00E568CA" w:rsidP="00E568CA">
      <w:pPr>
        <w:spacing w:after="200" w:line="360" w:lineRule="auto"/>
        <w:jc w:val="both"/>
        <w:rPr>
          <w:rFonts w:ascii="David" w:eastAsia="Calibri" w:hAnsi="David"/>
          <w:rtl/>
        </w:rPr>
      </w:pPr>
      <w:r w:rsidRPr="009A40DB">
        <w:rPr>
          <w:rFonts w:ascii="David" w:eastAsia="Calibri" w:hAnsi="David"/>
          <w:rtl/>
        </w:rPr>
        <w:t xml:space="preserve">פעם אחר פעם בשנים האחרונות, חזר ועמד בית-המשפט העליון על כך, כי  בנשק בלתי-חוקי, המוחזק בידיים בלתי-מוסמכות, עלול לבסוף להגיע לכלל שימוש מסוכן. מתאימים לעניין זה הדברים שנכתבו במסגרתו של  </w:t>
      </w:r>
      <w:hyperlink r:id="rId23" w:history="1">
        <w:r w:rsidR="008B451A" w:rsidRPr="008B451A">
          <w:rPr>
            <w:rFonts w:ascii="David" w:eastAsia="Calibri" w:hAnsi="David"/>
            <w:color w:val="0000FF"/>
            <w:u w:val="single"/>
            <w:rtl/>
          </w:rPr>
          <w:t>ע"פ 4406/19</w:t>
        </w:r>
      </w:hyperlink>
      <w:r w:rsidRPr="009A40DB">
        <w:rPr>
          <w:rFonts w:ascii="David" w:eastAsia="Calibri" w:hAnsi="David"/>
          <w:rtl/>
        </w:rPr>
        <w:t xml:space="preserve"> </w:t>
      </w:r>
      <w:r w:rsidRPr="009A40DB">
        <w:rPr>
          <w:rFonts w:ascii="David" w:eastAsia="Calibri" w:hAnsi="David"/>
          <w:b/>
          <w:bCs/>
          <w:rtl/>
        </w:rPr>
        <w:t>מדינת ישראל נ' סובח</w:t>
      </w:r>
      <w:r w:rsidRPr="009A40DB">
        <w:rPr>
          <w:rFonts w:ascii="David" w:eastAsia="Calibri" w:hAnsi="David"/>
          <w:rtl/>
        </w:rPr>
        <w:t xml:space="preserve">, פסקאות 17-16 (ניתן ביום 5.11.2019) ולפיהם - </w:t>
      </w:r>
    </w:p>
    <w:p w14:paraId="729A019A" w14:textId="77777777" w:rsidR="00E568CA" w:rsidRPr="009A40DB" w:rsidRDefault="00E568CA" w:rsidP="00E568CA">
      <w:pPr>
        <w:spacing w:after="200" w:line="276" w:lineRule="auto"/>
        <w:ind w:left="793" w:right="851"/>
        <w:jc w:val="both"/>
        <w:rPr>
          <w:rFonts w:ascii="Miriam" w:eastAsia="Calibri" w:hAnsi="Miriam" w:cs="Miriam"/>
          <w:rtl/>
        </w:rPr>
      </w:pPr>
      <w:r w:rsidRPr="009A40DB">
        <w:rPr>
          <w:rFonts w:ascii="Miriam" w:eastAsia="Calibri" w:hAnsi="Miriam" w:cs="Miriam"/>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 (2018)).על רקע המציאות אותה אנו חווים למרבה הצער מדי יום, אנו עדים לקריאה ציבורית נרגשת להגברת האכיפה כלפי עבירות נשק – ולהחמרה במדיניות הענישה הנוהגת.</w:t>
      </w:r>
    </w:p>
    <w:p w14:paraId="193C53C7" w14:textId="77777777" w:rsidR="00E568CA" w:rsidRPr="009A40DB" w:rsidRDefault="00E568CA" w:rsidP="00E568CA">
      <w:pPr>
        <w:spacing w:after="200" w:line="276" w:lineRule="auto"/>
        <w:ind w:left="793" w:right="851"/>
        <w:jc w:val="both"/>
        <w:rPr>
          <w:rFonts w:ascii="Miriam" w:eastAsia="Calibri" w:hAnsi="Miriam" w:cs="Miriam"/>
          <w:rtl/>
        </w:rPr>
      </w:pPr>
      <w:r w:rsidRPr="009A40DB">
        <w:rPr>
          <w:rFonts w:ascii="Miriam" w:eastAsia="Calibri" w:hAnsi="Miriam" w:cs="Miriam"/>
          <w:rtl/>
        </w:rPr>
        <w:t>[...]</w:t>
      </w:r>
    </w:p>
    <w:p w14:paraId="3A66C33F" w14:textId="77777777" w:rsidR="00E568CA" w:rsidRPr="009A40DB" w:rsidRDefault="00E568CA" w:rsidP="00E568CA">
      <w:pPr>
        <w:spacing w:after="200" w:line="276" w:lineRule="auto"/>
        <w:ind w:left="793" w:right="851"/>
        <w:jc w:val="both"/>
        <w:rPr>
          <w:rFonts w:ascii="David" w:eastAsia="Calibri" w:hAnsi="David"/>
          <w:rtl/>
        </w:rPr>
      </w:pPr>
      <w:r w:rsidRPr="009A40DB">
        <w:rPr>
          <w:rFonts w:ascii="Miriam" w:eastAsia="Calibri" w:hAnsi="Miriam" w:cs="Miriam"/>
          <w:rtl/>
        </w:rPr>
        <w:t xml:space="preserve">בהתאם לכך ולנוכח ריבוי מקרי הירי, </w:t>
      </w:r>
      <w:r w:rsidRPr="009A40DB">
        <w:rPr>
          <w:rFonts w:ascii="Miriam" w:eastAsia="Calibri" w:hAnsi="Miriam" w:cs="Miriam"/>
          <w:b/>
          <w:bCs/>
          <w:u w:val="single"/>
          <w:rtl/>
        </w:rPr>
        <w:t>יש לנקוט במדיניות ענישה מחמירה כלפי ביצוע עבירות החזקת נשק שלא כדין,</w:t>
      </w:r>
      <w:r w:rsidRPr="009A40DB">
        <w:rPr>
          <w:rFonts w:ascii="Miriam" w:eastAsia="Calibri" w:hAnsi="Miriam" w:cs="Miriam"/>
          <w:rtl/>
        </w:rPr>
        <w:t xml:space="preserve"> ועל אחת כמה וכמה שימוש בנשק חם ופציעתם של קורבנות שונים עקב כך. 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 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r w:rsidRPr="009A40DB">
        <w:rPr>
          <w:rFonts w:ascii="David" w:eastAsia="Calibri" w:hAnsi="David"/>
          <w:rtl/>
        </w:rPr>
        <w:t xml:space="preserve"> (ההדגשה אינה במקור).  </w:t>
      </w:r>
    </w:p>
    <w:p w14:paraId="135D2C72" w14:textId="77777777" w:rsidR="00E568CA" w:rsidRPr="009A40DB" w:rsidRDefault="00E568CA" w:rsidP="00E568CA">
      <w:pPr>
        <w:spacing w:line="360" w:lineRule="auto"/>
        <w:jc w:val="both"/>
        <w:rPr>
          <w:rFonts w:ascii="David" w:eastAsia="Calibri" w:hAnsi="David"/>
          <w:b/>
          <w:bCs/>
          <w:u w:val="single"/>
          <w:rtl/>
        </w:rPr>
      </w:pPr>
      <w:r w:rsidRPr="009A40DB">
        <w:rPr>
          <w:rFonts w:ascii="David" w:eastAsia="Calibri" w:hAnsi="David"/>
          <w:rtl/>
        </w:rPr>
        <w:t xml:space="preserve">כידוע, עת נפנים לבצע את מלאכת הענישה, העיקרון המנחה שנקבע במסגרת תורת הבניית שיקול-הדעת השיפוטי, הוא עקרון ההלימה: משמע, </w:t>
      </w:r>
      <w:r w:rsidRPr="009A40DB">
        <w:rPr>
          <w:rFonts w:ascii="David" w:eastAsia="Calibri" w:hAnsi="David"/>
          <w:u w:val="single"/>
          <w:rtl/>
        </w:rPr>
        <w:t>שימור יחס הולם בין חומרת מעשה העבירה בנסיבותיו ומידת אשמו של הנאשם ובין סוג העונש המוטל עליו ומידתו</w:t>
      </w:r>
      <w:r w:rsidRPr="009A40DB">
        <w:rPr>
          <w:rFonts w:ascii="David" w:eastAsia="Calibri" w:hAnsi="David"/>
          <w:rtl/>
        </w:rPr>
        <w:t xml:space="preserve">. על מנת לשמר יחס זה, עובר לקביעת העונש יש לשרטט מתחם עונש הולם, מתוך התחשבות בערך החברתי בו פגע המעשה, במידת הפגיעה בו, במדיניות הענישה הנוהגת ובנסיבות הקשורות בביצוע העבירה. מכאן, לאחר קביעת המתחם, וככל שבית-המשפט לא מצא לנכון לסטות הימנו מטעמים של שיקום או של הגנה על הציבור, ייקבע העונש המתאים לנאשם בשים לב לנסיבותיו האישיות ולנתונים נוספים, הללו שאינם קשורות בביצוע העבירה. </w:t>
      </w:r>
    </w:p>
    <w:p w14:paraId="787EBBBF" w14:textId="77777777" w:rsidR="00E568CA" w:rsidRPr="009A40DB" w:rsidRDefault="00E568CA" w:rsidP="00E568CA">
      <w:pPr>
        <w:spacing w:line="360" w:lineRule="auto"/>
        <w:jc w:val="both"/>
        <w:rPr>
          <w:rFonts w:ascii="David" w:eastAsia="Calibri" w:hAnsi="David"/>
          <w:b/>
          <w:bCs/>
          <w:u w:val="single"/>
          <w:rtl/>
        </w:rPr>
      </w:pPr>
    </w:p>
    <w:p w14:paraId="30F58047" w14:textId="77777777" w:rsidR="00E568CA" w:rsidRPr="009A40DB" w:rsidRDefault="00E568CA" w:rsidP="00E568CA">
      <w:pPr>
        <w:spacing w:line="360" w:lineRule="auto"/>
        <w:jc w:val="both"/>
        <w:rPr>
          <w:rFonts w:ascii="David" w:eastAsia="Calibri" w:hAnsi="David"/>
          <w:rtl/>
        </w:rPr>
      </w:pPr>
      <w:r w:rsidRPr="009A40DB">
        <w:rPr>
          <w:rFonts w:ascii="David" w:eastAsia="Calibri" w:hAnsi="David"/>
          <w:rtl/>
        </w:rPr>
        <w:t xml:space="preserve">ראשית, אפנה לדון </w:t>
      </w:r>
      <w:r w:rsidRPr="009A40DB">
        <w:rPr>
          <w:rFonts w:ascii="David" w:eastAsia="Calibri" w:hAnsi="David"/>
          <w:b/>
          <w:bCs/>
          <w:rtl/>
        </w:rPr>
        <w:t>בעניינו של הנאשם</w:t>
      </w:r>
      <w:r w:rsidRPr="009A40DB">
        <w:rPr>
          <w:rFonts w:ascii="David" w:eastAsia="Calibri" w:hAnsi="David"/>
          <w:rtl/>
        </w:rPr>
        <w:t xml:space="preserve"> </w:t>
      </w:r>
      <w:r w:rsidRPr="009A40DB">
        <w:rPr>
          <w:rFonts w:ascii="David" w:eastAsia="Calibri" w:hAnsi="David"/>
          <w:b/>
          <w:bCs/>
          <w:rtl/>
        </w:rPr>
        <w:t>3</w:t>
      </w:r>
      <w:r w:rsidRPr="009A40DB">
        <w:rPr>
          <w:rFonts w:ascii="David" w:eastAsia="Calibri" w:hAnsi="David"/>
          <w:rtl/>
        </w:rPr>
        <w:t xml:space="preserve">. </w:t>
      </w:r>
    </w:p>
    <w:p w14:paraId="5547013A" w14:textId="77777777" w:rsidR="00E568CA" w:rsidRPr="009A40DB" w:rsidRDefault="00E568CA" w:rsidP="00E568CA">
      <w:pPr>
        <w:spacing w:line="360" w:lineRule="auto"/>
        <w:jc w:val="both"/>
        <w:rPr>
          <w:rFonts w:ascii="David" w:eastAsia="Calibri" w:hAnsi="David"/>
          <w:rtl/>
        </w:rPr>
      </w:pPr>
    </w:p>
    <w:p w14:paraId="2006FB51" w14:textId="77777777" w:rsidR="00E568CA" w:rsidRPr="009A40DB" w:rsidRDefault="00E568CA" w:rsidP="00E568CA">
      <w:pPr>
        <w:spacing w:after="200" w:line="360" w:lineRule="auto"/>
        <w:ind w:right="-284"/>
        <w:jc w:val="both"/>
        <w:rPr>
          <w:rFonts w:ascii="David" w:eastAsia="Calibri" w:hAnsi="David"/>
          <w:rtl/>
        </w:rPr>
      </w:pPr>
      <w:r w:rsidRPr="009A40DB">
        <w:rPr>
          <w:rFonts w:ascii="David" w:eastAsia="Calibri" w:hAnsi="David"/>
          <w:rtl/>
        </w:rPr>
        <w:t xml:space="preserve">בכל הנוגע לערכים החברתיים המוגנים שנפגעו כפועל יוצא ממעשיו של נאשם זה, הרי שהדברים מובנים מאליהם: המחזיק נשק בלא רשות על פי דין פוגע בראש ובראשונה </w:t>
      </w:r>
      <w:r w:rsidRPr="009A40DB">
        <w:rPr>
          <w:rFonts w:ascii="David" w:eastAsia="Calibri" w:hAnsi="David"/>
          <w:b/>
          <w:bCs/>
          <w:rtl/>
        </w:rPr>
        <w:t>בביטחון המדינה ובמנגנוני שלטונה</w:t>
      </w:r>
      <w:r w:rsidRPr="009A40DB">
        <w:rPr>
          <w:rFonts w:ascii="David" w:eastAsia="Calibri" w:hAnsi="David"/>
          <w:rtl/>
        </w:rPr>
        <w:t>;</w:t>
      </w:r>
      <w:r w:rsidRPr="009A40DB">
        <w:rPr>
          <w:rFonts w:ascii="David" w:eastAsia="Calibri" w:hAnsi="David"/>
        </w:rPr>
        <w:t xml:space="preserve"> </w:t>
      </w:r>
      <w:r w:rsidRPr="009A40DB">
        <w:rPr>
          <w:rFonts w:ascii="David" w:eastAsia="Calibri" w:hAnsi="David"/>
          <w:b/>
          <w:bCs/>
          <w:rtl/>
        </w:rPr>
        <w:t>בשלום הציבור ובסדר הציבורי</w:t>
      </w:r>
      <w:r w:rsidRPr="009A40DB">
        <w:rPr>
          <w:rFonts w:ascii="David" w:eastAsia="Calibri" w:hAnsi="David"/>
          <w:rtl/>
        </w:rPr>
        <w:t xml:space="preserve">. הוא פוגע בביטחון הציבור </w:t>
      </w:r>
      <w:r w:rsidRPr="009A40DB">
        <w:rPr>
          <w:rFonts w:ascii="David" w:eastAsia="Calibri" w:hAnsi="David"/>
          <w:b/>
          <w:bCs/>
          <w:rtl/>
        </w:rPr>
        <w:t>וחושף אותו לאירועי טרור עוין כמו גם פלילי המבוצעים באמצעות נשק</w:t>
      </w:r>
      <w:r w:rsidRPr="009A40DB">
        <w:rPr>
          <w:rFonts w:ascii="David" w:eastAsia="Calibri" w:hAnsi="David"/>
          <w:rtl/>
        </w:rPr>
        <w:t xml:space="preserve"> </w:t>
      </w:r>
      <w:r w:rsidRPr="009A40DB">
        <w:rPr>
          <w:rFonts w:ascii="David" w:eastAsia="Calibri" w:hAnsi="David"/>
          <w:b/>
          <w:bCs/>
          <w:rtl/>
        </w:rPr>
        <w:t>המוחזק והמושג שלא כחוק.</w:t>
      </w:r>
      <w:r w:rsidRPr="009A40DB">
        <w:rPr>
          <w:rFonts w:ascii="David" w:eastAsia="Calibri" w:hAnsi="David"/>
          <w:rtl/>
        </w:rPr>
        <w:t xml:space="preserve"> הפגיעה בערכים אלו ממשית. </w:t>
      </w:r>
    </w:p>
    <w:p w14:paraId="46E425D2" w14:textId="77777777" w:rsidR="00E568CA" w:rsidRPr="009A40DB" w:rsidRDefault="00E568CA" w:rsidP="00E568CA">
      <w:pPr>
        <w:spacing w:after="200" w:line="360" w:lineRule="auto"/>
        <w:ind w:right="-284"/>
        <w:jc w:val="both"/>
        <w:rPr>
          <w:rFonts w:ascii="David" w:eastAsia="Calibri" w:hAnsi="David"/>
          <w:rtl/>
        </w:rPr>
      </w:pPr>
      <w:r w:rsidRPr="009A40DB">
        <w:rPr>
          <w:rFonts w:ascii="David" w:eastAsia="Calibri" w:hAnsi="David"/>
          <w:rtl/>
        </w:rPr>
        <w:t xml:space="preserve">תופעה זו יש לבער. הדברים בוטאו כך מפי כב' השופט מזוז במסגרתו של </w:t>
      </w:r>
      <w:hyperlink r:id="rId24" w:history="1">
        <w:r w:rsidR="008B451A" w:rsidRPr="008B451A">
          <w:rPr>
            <w:rFonts w:ascii="David" w:eastAsia="Calibri" w:hAnsi="David"/>
            <w:color w:val="0000FF"/>
            <w:u w:val="single"/>
            <w:rtl/>
          </w:rPr>
          <w:t>ע"פ 4406/19</w:t>
        </w:r>
      </w:hyperlink>
      <w:r w:rsidRPr="009A40DB">
        <w:rPr>
          <w:rFonts w:ascii="David" w:eastAsia="Calibri" w:hAnsi="David"/>
          <w:rtl/>
        </w:rPr>
        <w:t xml:space="preserve"> </w:t>
      </w:r>
      <w:r w:rsidRPr="009A40DB">
        <w:rPr>
          <w:rFonts w:ascii="David" w:eastAsia="Calibri" w:hAnsi="David"/>
          <w:b/>
          <w:bCs/>
          <w:rtl/>
        </w:rPr>
        <w:t>מדינת ישראל נ' סובח</w:t>
      </w:r>
      <w:r w:rsidRPr="009A40DB">
        <w:rPr>
          <w:rFonts w:ascii="David" w:eastAsia="Calibri" w:hAnsi="David"/>
          <w:rtl/>
        </w:rPr>
        <w:t xml:space="preserve"> (ניתן ביום 15.11.19) בציינו כדלהלן: </w:t>
      </w:r>
    </w:p>
    <w:p w14:paraId="398BC97F" w14:textId="77777777" w:rsidR="00E568CA" w:rsidRPr="009A40DB" w:rsidRDefault="00E568CA" w:rsidP="00E568CA">
      <w:pPr>
        <w:spacing w:after="200" w:line="276" w:lineRule="auto"/>
        <w:ind w:left="1371" w:right="851"/>
        <w:jc w:val="both"/>
        <w:rPr>
          <w:rFonts w:ascii="Miriam" w:eastAsia="Calibri" w:hAnsi="Miriam" w:cs="Miriam"/>
          <w:rtl/>
        </w:rPr>
      </w:pPr>
      <w:r w:rsidRPr="009A40DB">
        <w:rPr>
          <w:rFonts w:ascii="Miriam" w:eastAsia="Calibri" w:hAnsi="Miriam" w:cs="Miriam"/>
          <w:b/>
          <w:rtl/>
        </w:rPr>
        <w:t xml:space="preserve">"ביעור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w:t>
      </w:r>
      <w:r w:rsidRPr="009A40DB">
        <w:rPr>
          <w:rFonts w:ascii="Miriam" w:eastAsia="Calibri" w:hAnsi="Miriam" w:cs="Miriam"/>
          <w:bCs/>
          <w:rtl/>
        </w:rPr>
        <w:t>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r w:rsidRPr="009A40DB">
        <w:rPr>
          <w:rFonts w:ascii="Miriam" w:eastAsia="Calibri" w:hAnsi="Miriam" w:cs="Miriam"/>
          <w:rtl/>
        </w:rPr>
        <w:t xml:space="preserve">           (</w:t>
      </w:r>
      <w:r w:rsidRPr="009A40DB">
        <w:rPr>
          <w:rFonts w:ascii="David" w:eastAsia="Calibri" w:hAnsi="David"/>
          <w:rtl/>
        </w:rPr>
        <w:t>ההדגשה אינה במקור</w:t>
      </w:r>
      <w:r w:rsidRPr="009A40DB">
        <w:rPr>
          <w:rFonts w:ascii="Miriam" w:eastAsia="Calibri" w:hAnsi="Miriam" w:cs="Miriam"/>
          <w:rtl/>
        </w:rPr>
        <w:t xml:space="preserve">).  </w:t>
      </w:r>
    </w:p>
    <w:p w14:paraId="42BDEFAB" w14:textId="77777777" w:rsidR="00E568CA" w:rsidRPr="009A40DB" w:rsidRDefault="00E568CA" w:rsidP="00E568CA">
      <w:pPr>
        <w:spacing w:after="200" w:line="360" w:lineRule="auto"/>
        <w:ind w:right="-284"/>
        <w:jc w:val="both"/>
        <w:rPr>
          <w:rFonts w:ascii="David" w:eastAsia="Calibri" w:hAnsi="David"/>
          <w:rtl/>
        </w:rPr>
      </w:pPr>
    </w:p>
    <w:p w14:paraId="0BA0477E" w14:textId="77777777" w:rsidR="00E568CA" w:rsidRPr="009A40DB" w:rsidRDefault="00E568CA" w:rsidP="00E568CA">
      <w:pPr>
        <w:spacing w:after="200" w:line="360" w:lineRule="auto"/>
        <w:ind w:right="-284"/>
        <w:jc w:val="both"/>
        <w:rPr>
          <w:rFonts w:ascii="David" w:eastAsia="Calibri" w:hAnsi="David"/>
          <w:rtl/>
        </w:rPr>
      </w:pPr>
    </w:p>
    <w:p w14:paraId="1EE3747B" w14:textId="77777777" w:rsidR="00E568CA" w:rsidRPr="009A40DB" w:rsidRDefault="00E568CA" w:rsidP="00E568CA">
      <w:pPr>
        <w:spacing w:after="200" w:line="360" w:lineRule="auto"/>
        <w:jc w:val="both"/>
        <w:rPr>
          <w:rFonts w:ascii="Calibri" w:eastAsia="Calibri" w:hAnsi="Calibri"/>
          <w:rtl/>
        </w:rPr>
      </w:pPr>
      <w:r w:rsidRPr="009A40DB">
        <w:rPr>
          <w:rFonts w:ascii="Calibri" w:eastAsia="Calibri" w:hAnsi="Calibri"/>
          <w:rtl/>
        </w:rPr>
        <w:t xml:space="preserve">על מנת לשרטט כדבעי את מתחם העונש ההולם בעניינו של הנאשם 3, עיינתי בפסיקה רחבה העוסקת בעבירת החזקת נשק. </w:t>
      </w:r>
      <w:r w:rsidRPr="009A40DB">
        <w:rPr>
          <w:rFonts w:ascii="David" w:eastAsia="Calibri" w:hAnsi="David"/>
          <w:rtl/>
        </w:rPr>
        <w:t xml:space="preserve"> נמצאתי למד, כי בשנים האחרונות חלה אט אט מגמת החמרה בענישה, הבאה לידי ביטוי בפסיקת הערכאות השונות הנוגעת לעבירה זו. עם זאת, ברי, כי </w:t>
      </w:r>
      <w:r w:rsidRPr="009A40DB">
        <w:rPr>
          <w:rFonts w:ascii="Calibri" w:eastAsia="Calibri" w:hAnsi="Calibri"/>
          <w:rtl/>
        </w:rPr>
        <w:t xml:space="preserve">משקל ניכר בקביעת העונש בעבירות של החזקת נשק יש לתלות </w:t>
      </w:r>
      <w:r w:rsidRPr="009A40DB">
        <w:rPr>
          <w:rFonts w:ascii="Calibri" w:eastAsia="Calibri" w:hAnsi="Calibri"/>
          <w:b/>
          <w:bCs/>
          <w:rtl/>
        </w:rPr>
        <w:t>באופי הנשק</w:t>
      </w:r>
      <w:r w:rsidRPr="009A40DB">
        <w:rPr>
          <w:rFonts w:ascii="Calibri" w:eastAsia="Calibri" w:hAnsi="Calibri"/>
          <w:rtl/>
        </w:rPr>
        <w:t>, במידת קטלניותו, בכמות הנשקים המוחזקים, בתחמושת שנתפסה לצדו וכיוצ"ב. למעשה, "</w:t>
      </w:r>
      <w:r w:rsidRPr="009A40DB">
        <w:rPr>
          <w:rFonts w:ascii="Calibri Light" w:eastAsia="Calibri" w:hAnsi="Calibri Light" w:cs="Times New Roman"/>
          <w:rtl/>
        </w:rPr>
        <w:t>כבכל עבירה</w:t>
      </w:r>
      <w:r w:rsidRPr="009A40DB">
        <w:rPr>
          <w:rFonts w:ascii="Calibri Light" w:eastAsia="Calibri" w:hAnsi="Calibri Light" w:cs="Calibri Light"/>
          <w:rtl/>
        </w:rPr>
        <w:t xml:space="preserve">, </w:t>
      </w:r>
      <w:r w:rsidRPr="009A40DB">
        <w:rPr>
          <w:rFonts w:ascii="Calibri Light" w:eastAsia="Calibri" w:hAnsi="Calibri Light" w:cs="Times New Roman"/>
          <w:rtl/>
        </w:rPr>
        <w:t>גם בעבירות נשק קיים מדרג של חומרה</w:t>
      </w:r>
      <w:r w:rsidRPr="009A40DB">
        <w:rPr>
          <w:rFonts w:ascii="Calibri Light" w:eastAsia="Calibri" w:hAnsi="Calibri Light" w:cs="Calibri Light"/>
          <w:rtl/>
        </w:rPr>
        <w:t xml:space="preserve">, </w:t>
      </w:r>
      <w:r w:rsidRPr="009A40DB">
        <w:rPr>
          <w:rFonts w:ascii="Calibri Light" w:eastAsia="Calibri" w:hAnsi="Calibri Light" w:cs="Times New Roman"/>
          <w:rtl/>
        </w:rPr>
        <w:t>ושומה על בית המשפט להביאו בחשבון בבואו לקבוע את מתחם העונש ההולם</w:t>
      </w:r>
      <w:r w:rsidRPr="009A40DB">
        <w:rPr>
          <w:rFonts w:ascii="Calibri" w:eastAsia="Calibri" w:hAnsi="Calibri" w:cs="Miriam"/>
          <w:rtl/>
        </w:rPr>
        <w:t>"</w:t>
      </w:r>
      <w:r w:rsidRPr="009A40DB">
        <w:rPr>
          <w:rFonts w:ascii="David" w:eastAsia="Calibri" w:hAnsi="David"/>
          <w:rtl/>
        </w:rPr>
        <w:t>(</w:t>
      </w:r>
      <w:hyperlink r:id="rId25" w:history="1">
        <w:r w:rsidR="008B451A" w:rsidRPr="008B451A">
          <w:rPr>
            <w:rFonts w:ascii="Calibri" w:eastAsia="Calibri" w:hAnsi="Calibri" w:hint="cs"/>
            <w:color w:val="0000FF"/>
            <w:u w:val="single"/>
            <w:rtl/>
          </w:rPr>
          <w:t>ע</w:t>
        </w:r>
        <w:r w:rsidR="008B451A" w:rsidRPr="008B451A">
          <w:rPr>
            <w:rFonts w:ascii="Calibri" w:eastAsia="Calibri" w:hAnsi="Calibri"/>
            <w:color w:val="0000FF"/>
            <w:u w:val="single"/>
            <w:rtl/>
          </w:rPr>
          <w:t>"</w:t>
        </w:r>
        <w:r w:rsidR="008B451A" w:rsidRPr="008B451A">
          <w:rPr>
            <w:rFonts w:ascii="Calibri" w:eastAsia="Calibri" w:hAnsi="Calibri" w:hint="cs"/>
            <w:color w:val="0000FF"/>
            <w:u w:val="single"/>
            <w:rtl/>
          </w:rPr>
          <w:t>פ</w:t>
        </w:r>
        <w:r w:rsidR="008B451A" w:rsidRPr="008B451A">
          <w:rPr>
            <w:rFonts w:ascii="Calibri" w:eastAsia="Calibri" w:hAnsi="Calibri"/>
            <w:color w:val="0000FF"/>
            <w:u w:val="single"/>
            <w:rtl/>
          </w:rPr>
          <w:t xml:space="preserve"> 9702/16</w:t>
        </w:r>
      </w:hyperlink>
      <w:r w:rsidRPr="009A40DB">
        <w:rPr>
          <w:rFonts w:ascii="Calibri" w:eastAsia="Calibri" w:hAnsi="Calibri"/>
          <w:rtl/>
        </w:rPr>
        <w:t xml:space="preserve"> </w:t>
      </w:r>
      <w:r w:rsidRPr="009A40DB">
        <w:rPr>
          <w:rFonts w:ascii="Calibri" w:eastAsia="Calibri" w:hAnsi="Calibri"/>
          <w:b/>
          <w:bCs/>
          <w:rtl/>
        </w:rPr>
        <w:t>אלוליאיה נ' מדינת ישראל</w:t>
      </w:r>
      <w:r w:rsidRPr="009A40DB">
        <w:rPr>
          <w:rFonts w:ascii="Calibri" w:eastAsia="Calibri" w:hAnsi="Calibri"/>
          <w:rtl/>
        </w:rPr>
        <w:t xml:space="preserve">, פסקה 8, ניתן ביום 13.9.17) (ראו בנוסף לעניין זה: </w:t>
      </w:r>
      <w:hyperlink r:id="rId26" w:history="1">
        <w:r w:rsidR="008B451A" w:rsidRPr="008B451A">
          <w:rPr>
            <w:rFonts w:ascii="Calibri" w:eastAsia="Calibri" w:hAnsi="Calibri" w:hint="cs"/>
            <w:color w:val="0000FF"/>
            <w:u w:val="single"/>
            <w:rtl/>
          </w:rPr>
          <w:t>ע</w:t>
        </w:r>
        <w:r w:rsidR="008B451A" w:rsidRPr="008B451A">
          <w:rPr>
            <w:rFonts w:ascii="Calibri" w:eastAsia="Calibri" w:hAnsi="Calibri"/>
            <w:color w:val="0000FF"/>
            <w:u w:val="single"/>
            <w:rtl/>
          </w:rPr>
          <w:t>"</w:t>
        </w:r>
        <w:r w:rsidR="008B451A" w:rsidRPr="008B451A">
          <w:rPr>
            <w:rFonts w:ascii="Calibri" w:eastAsia="Calibri" w:hAnsi="Calibri" w:hint="cs"/>
            <w:color w:val="0000FF"/>
            <w:u w:val="single"/>
            <w:rtl/>
          </w:rPr>
          <w:t>פ</w:t>
        </w:r>
        <w:r w:rsidR="008B451A" w:rsidRPr="008B451A">
          <w:rPr>
            <w:rFonts w:ascii="Calibri" w:eastAsia="Calibri" w:hAnsi="Calibri"/>
            <w:color w:val="0000FF"/>
            <w:u w:val="single"/>
            <w:rtl/>
          </w:rPr>
          <w:t xml:space="preserve">  4059/17</w:t>
        </w:r>
      </w:hyperlink>
      <w:r w:rsidRPr="009A40DB">
        <w:rPr>
          <w:rFonts w:ascii="Calibri" w:eastAsia="Calibri" w:hAnsi="Calibri"/>
          <w:rtl/>
        </w:rPr>
        <w:t xml:space="preserve"> </w:t>
      </w:r>
      <w:r w:rsidRPr="009A40DB">
        <w:rPr>
          <w:rFonts w:ascii="Calibri" w:eastAsia="Calibri" w:hAnsi="Calibri"/>
          <w:b/>
          <w:bCs/>
          <w:rtl/>
        </w:rPr>
        <w:t>סלמה נ' מדינת ישראל</w:t>
      </w:r>
      <w:r w:rsidRPr="009A40DB">
        <w:rPr>
          <w:rFonts w:ascii="Calibri" w:eastAsia="Calibri" w:hAnsi="Calibri"/>
          <w:rtl/>
        </w:rPr>
        <w:t>, פסקה 5,  ניתן ביום 24.4.18)</w:t>
      </w:r>
      <w:r w:rsidRPr="009A40DB">
        <w:rPr>
          <w:rFonts w:ascii="Calibri" w:eastAsia="Calibri" w:hAnsi="Calibri" w:cs="Miriam"/>
          <w:rtl/>
        </w:rPr>
        <w:t xml:space="preserve">.  </w:t>
      </w:r>
      <w:r w:rsidRPr="009A40DB">
        <w:rPr>
          <w:rFonts w:ascii="Calibri" w:eastAsia="Calibri" w:hAnsi="Calibri"/>
          <w:rtl/>
        </w:rPr>
        <w:t xml:space="preserve">  </w:t>
      </w:r>
    </w:p>
    <w:p w14:paraId="16F86602" w14:textId="77777777" w:rsidR="00E568CA" w:rsidRPr="009A40DB" w:rsidRDefault="00E568CA" w:rsidP="00E568CA">
      <w:pPr>
        <w:spacing w:after="200" w:line="360" w:lineRule="auto"/>
        <w:ind w:right="-426"/>
        <w:jc w:val="both"/>
        <w:rPr>
          <w:rFonts w:ascii="David" w:eastAsia="Calibri" w:hAnsi="David"/>
          <w:rtl/>
        </w:rPr>
      </w:pPr>
      <w:r w:rsidRPr="009A40DB">
        <w:rPr>
          <w:rFonts w:ascii="David" w:eastAsia="Calibri" w:hAnsi="David"/>
          <w:rtl/>
        </w:rPr>
        <w:t xml:space="preserve">כך למשל: במסגרת </w:t>
      </w:r>
      <w:hyperlink r:id="rId27" w:history="1">
        <w:r w:rsidR="008B451A" w:rsidRPr="008B451A">
          <w:rPr>
            <w:rFonts w:ascii="David" w:eastAsia="Calibri" w:hAnsi="David"/>
            <w:color w:val="0000FF"/>
            <w:u w:val="single"/>
            <w:rtl/>
          </w:rPr>
          <w:t>עפ"ג 15295-08-23</w:t>
        </w:r>
      </w:hyperlink>
      <w:r w:rsidRPr="009A40DB">
        <w:rPr>
          <w:rFonts w:ascii="David" w:eastAsia="Calibri" w:hAnsi="David"/>
          <w:rtl/>
        </w:rPr>
        <w:t xml:space="preserve"> (מחוזי ב"ש) </w:t>
      </w:r>
      <w:r w:rsidRPr="009A40DB">
        <w:rPr>
          <w:rFonts w:ascii="David" w:eastAsia="Calibri" w:hAnsi="David"/>
          <w:b/>
          <w:bCs/>
          <w:rtl/>
        </w:rPr>
        <w:t xml:space="preserve">אלגרינאוי נ' מדינת ישראל </w:t>
      </w:r>
      <w:r w:rsidRPr="009A40DB">
        <w:rPr>
          <w:rFonts w:ascii="David" w:eastAsia="Calibri" w:hAnsi="David"/>
          <w:rtl/>
        </w:rPr>
        <w:t xml:space="preserve">(ניתן ביום 10.1.24), </w:t>
      </w:r>
      <w:r w:rsidRPr="009A40DB">
        <w:rPr>
          <w:rFonts w:ascii="David" w:eastAsia="Calibri" w:hAnsi="David"/>
          <w:b/>
          <w:bCs/>
          <w:rtl/>
        </w:rPr>
        <w:t>הושתו 26 חודשי מאסר לריצוי בפועל,</w:t>
      </w:r>
      <w:r w:rsidRPr="009A40DB">
        <w:rPr>
          <w:rFonts w:ascii="David" w:eastAsia="Calibri" w:hAnsi="David"/>
          <w:rtl/>
        </w:rPr>
        <w:t xml:space="preserve"> בגין החזקת נשק דמוי רובה סער מסוג </w:t>
      </w:r>
      <w:r w:rsidRPr="009A40DB">
        <w:rPr>
          <w:rFonts w:ascii="David" w:eastAsia="Calibri" w:hAnsi="David"/>
        </w:rPr>
        <w:t xml:space="preserve">m- 16 </w:t>
      </w:r>
      <w:r w:rsidRPr="009A40DB">
        <w:rPr>
          <w:rFonts w:ascii="David" w:eastAsia="Calibri" w:hAnsi="David"/>
          <w:rtl/>
        </w:rPr>
        <w:t xml:space="preserve"> שהוסב לירי תחמושת 5.56, ביחד עם שלוש מחסניות המכילות כמה עשרות כדורי 5.56; במסגרתו של </w:t>
      </w:r>
      <w:hyperlink r:id="rId28" w:history="1">
        <w:r w:rsidR="008B451A" w:rsidRPr="008B451A">
          <w:rPr>
            <w:rFonts w:ascii="David" w:eastAsia="Calibri" w:hAnsi="David"/>
            <w:color w:val="0000FF"/>
            <w:u w:val="single"/>
            <w:rtl/>
          </w:rPr>
          <w:t>עפ"ג 2024-04-21</w:t>
        </w:r>
      </w:hyperlink>
      <w:r w:rsidRPr="009A40DB">
        <w:rPr>
          <w:rFonts w:ascii="David" w:eastAsia="Calibri" w:hAnsi="David"/>
          <w:rtl/>
        </w:rPr>
        <w:t xml:space="preserve"> (מחוזי נצרת) </w:t>
      </w:r>
      <w:r w:rsidRPr="009A40DB">
        <w:rPr>
          <w:rFonts w:ascii="David" w:eastAsia="Calibri" w:hAnsi="David"/>
          <w:b/>
          <w:bCs/>
          <w:rtl/>
        </w:rPr>
        <w:t xml:space="preserve">מדינת ישראל נ' חוסיין מנדורי </w:t>
      </w:r>
      <w:r w:rsidRPr="009A40DB">
        <w:rPr>
          <w:rFonts w:ascii="David" w:eastAsia="Calibri" w:hAnsi="David"/>
          <w:rtl/>
        </w:rPr>
        <w:t>(ניתן ביום</w:t>
      </w:r>
      <w:r w:rsidRPr="009A40DB">
        <w:rPr>
          <w:rFonts w:ascii="David" w:eastAsia="Calibri" w:hAnsi="David"/>
          <w:b/>
          <w:bCs/>
          <w:rtl/>
        </w:rPr>
        <w:t xml:space="preserve"> </w:t>
      </w:r>
      <w:r w:rsidRPr="009A40DB">
        <w:rPr>
          <w:rFonts w:ascii="David" w:eastAsia="Calibri" w:hAnsi="David"/>
          <w:rtl/>
        </w:rPr>
        <w:t xml:space="preserve">29.06.2021), בגין החזקת רובה דמוי סער מסוג </w:t>
      </w:r>
      <w:r w:rsidRPr="009A40DB">
        <w:rPr>
          <w:rFonts w:ascii="David" w:eastAsia="Calibri" w:hAnsi="David"/>
        </w:rPr>
        <w:t>M-16</w:t>
      </w:r>
      <w:r w:rsidRPr="009A40DB">
        <w:rPr>
          <w:rFonts w:ascii="David" w:eastAsia="Calibri" w:hAnsi="David"/>
          <w:rtl/>
        </w:rPr>
        <w:t xml:space="preserve"> (איר סופט) וחלק תחתון של רובה </w:t>
      </w:r>
      <w:r w:rsidRPr="009A40DB">
        <w:rPr>
          <w:rFonts w:ascii="David" w:eastAsia="Calibri" w:hAnsi="David"/>
        </w:rPr>
        <w:t>M-16</w:t>
      </w:r>
      <w:r w:rsidRPr="009A40DB">
        <w:rPr>
          <w:rFonts w:ascii="David" w:eastAsia="Calibri" w:hAnsi="David"/>
          <w:rtl/>
        </w:rPr>
        <w:t xml:space="preserve"> ומחסנית תואמת (עם 30 כדורים) </w:t>
      </w:r>
      <w:r w:rsidRPr="009A40DB">
        <w:rPr>
          <w:rFonts w:ascii="David" w:eastAsia="Calibri" w:hAnsi="David"/>
          <w:b/>
          <w:bCs/>
          <w:rtl/>
        </w:rPr>
        <w:t xml:space="preserve">הושתו 20 חודשי </w:t>
      </w:r>
      <w:r w:rsidRPr="009A40DB">
        <w:rPr>
          <w:rFonts w:ascii="David" w:eastAsia="Calibri" w:hAnsi="David"/>
          <w:rtl/>
        </w:rPr>
        <w:t xml:space="preserve">מאסר לריצוי בפועל; במסגרתו של </w:t>
      </w:r>
      <w:hyperlink r:id="rId29" w:history="1">
        <w:r w:rsidR="008B451A" w:rsidRPr="008B451A">
          <w:rPr>
            <w:rFonts w:ascii="David" w:eastAsia="Calibri" w:hAnsi="David"/>
            <w:color w:val="0000FF"/>
            <w:u w:val="single"/>
            <w:rtl/>
          </w:rPr>
          <w:t>ע"פ 1806/22</w:t>
        </w:r>
      </w:hyperlink>
      <w:r w:rsidRPr="009A40DB">
        <w:rPr>
          <w:rFonts w:ascii="David" w:eastAsia="Calibri" w:hAnsi="David"/>
          <w:rtl/>
        </w:rPr>
        <w:t xml:space="preserve"> </w:t>
      </w:r>
      <w:r w:rsidRPr="009A40DB">
        <w:rPr>
          <w:rFonts w:ascii="David" w:eastAsia="Calibri" w:hAnsi="David"/>
          <w:b/>
          <w:bCs/>
          <w:rtl/>
        </w:rPr>
        <w:t>נבארי נ' מדינת ישראל</w:t>
      </w:r>
      <w:r w:rsidRPr="009A40DB">
        <w:rPr>
          <w:rFonts w:ascii="David" w:eastAsia="Calibri" w:hAnsi="David"/>
          <w:rtl/>
        </w:rPr>
        <w:t xml:space="preserve"> (ניתן ביום 15.6.22 </w:t>
      </w:r>
      <w:r w:rsidRPr="009A40DB">
        <w:rPr>
          <w:rFonts w:ascii="David" w:eastAsia="Calibri" w:hAnsi="David"/>
        </w:rPr>
        <w:t xml:space="preserve"> (</w:t>
      </w:r>
      <w:r w:rsidRPr="009A40DB">
        <w:rPr>
          <w:rFonts w:ascii="David" w:eastAsia="Calibri" w:hAnsi="David"/>
          <w:rtl/>
        </w:rPr>
        <w:t xml:space="preserve">הושתו </w:t>
      </w:r>
      <w:r w:rsidRPr="009A40DB">
        <w:rPr>
          <w:rFonts w:ascii="David" w:eastAsia="Calibri" w:hAnsi="David"/>
          <w:b/>
          <w:bCs/>
          <w:rtl/>
        </w:rPr>
        <w:t>16 חודשי מאסר לריצוי בפועל</w:t>
      </w:r>
      <w:r w:rsidRPr="009A40DB">
        <w:rPr>
          <w:rFonts w:ascii="David" w:eastAsia="Calibri" w:hAnsi="David"/>
          <w:rtl/>
        </w:rPr>
        <w:t xml:space="preserve"> בגין החזקת אקדח חצי אוטומטי טעון במחסנית ובכדורים; במסגרתו של </w:t>
      </w:r>
      <w:hyperlink r:id="rId30" w:history="1">
        <w:r w:rsidR="008B451A" w:rsidRPr="008B451A">
          <w:rPr>
            <w:rFonts w:ascii="David" w:eastAsia="Calibri" w:hAnsi="David"/>
            <w:color w:val="0000FF"/>
            <w:u w:val="single"/>
            <w:rtl/>
          </w:rPr>
          <w:t>ת"פ (מחוזי ב"ש) 54607-07-19</w:t>
        </w:r>
      </w:hyperlink>
      <w:r w:rsidRPr="009A40DB">
        <w:rPr>
          <w:rFonts w:ascii="David" w:eastAsia="Calibri" w:hAnsi="David"/>
          <w:rtl/>
        </w:rPr>
        <w:t xml:space="preserve"> </w:t>
      </w:r>
      <w:r w:rsidRPr="009A40DB">
        <w:rPr>
          <w:rFonts w:ascii="David" w:eastAsia="Calibri" w:hAnsi="David"/>
          <w:b/>
          <w:bCs/>
          <w:rtl/>
        </w:rPr>
        <w:t xml:space="preserve">מדינת ישראל נ' גבור </w:t>
      </w:r>
      <w:r w:rsidRPr="009A40DB">
        <w:rPr>
          <w:rFonts w:ascii="David" w:eastAsia="Calibri" w:hAnsi="David"/>
          <w:rtl/>
        </w:rPr>
        <w:t xml:space="preserve">(ניתן ביום 12.01.2020). </w:t>
      </w:r>
      <w:r w:rsidRPr="009A40DB">
        <w:rPr>
          <w:rFonts w:ascii="David" w:eastAsia="Calibri" w:hAnsi="David"/>
          <w:b/>
          <w:bCs/>
          <w:rtl/>
        </w:rPr>
        <w:t>הושתו 22 חודשי מאסר לריצוי בפועל</w:t>
      </w:r>
      <w:r w:rsidRPr="009A40DB">
        <w:rPr>
          <w:rFonts w:ascii="David" w:eastAsia="Calibri" w:hAnsi="David"/>
          <w:rtl/>
        </w:rPr>
        <w:t xml:space="preserve">, בגין החזקת רוס"ר </w:t>
      </w:r>
      <w:r w:rsidRPr="009A40DB">
        <w:rPr>
          <w:rFonts w:ascii="David" w:eastAsia="Calibri" w:hAnsi="David"/>
        </w:rPr>
        <w:t>M-16</w:t>
      </w:r>
      <w:r w:rsidRPr="009A40DB">
        <w:rPr>
          <w:rFonts w:ascii="David" w:eastAsia="Calibri" w:hAnsi="David"/>
          <w:rtl/>
        </w:rPr>
        <w:t xml:space="preserve"> ומחסנית ריקה;</w:t>
      </w:r>
      <w:r w:rsidRPr="009A40DB">
        <w:rPr>
          <w:rFonts w:ascii="David" w:eastAsia="Calibri" w:hAnsi="David"/>
        </w:rPr>
        <w:t xml:space="preserve"> </w:t>
      </w:r>
      <w:hyperlink r:id="rId31" w:history="1">
        <w:r w:rsidR="008B451A" w:rsidRPr="008B451A">
          <w:rPr>
            <w:rFonts w:ascii="David" w:eastAsia="Calibri" w:hAnsi="David"/>
            <w:color w:val="0000FF"/>
            <w:u w:val="single"/>
            <w:rtl/>
          </w:rPr>
          <w:t>ע"פ 5646/15</w:t>
        </w:r>
      </w:hyperlink>
      <w:r w:rsidRPr="009A40DB">
        <w:rPr>
          <w:rFonts w:ascii="David" w:eastAsia="Calibri" w:hAnsi="David"/>
          <w:rtl/>
        </w:rPr>
        <w:t xml:space="preserve"> </w:t>
      </w:r>
      <w:r w:rsidRPr="009A40DB">
        <w:rPr>
          <w:rFonts w:ascii="David" w:eastAsia="Calibri" w:hAnsi="David"/>
          <w:b/>
          <w:bCs/>
          <w:rtl/>
        </w:rPr>
        <w:t>תיהאווי נ' מדינת ישראל</w:t>
      </w:r>
      <w:r w:rsidRPr="009A40DB">
        <w:rPr>
          <w:rFonts w:ascii="David" w:eastAsia="Calibri" w:hAnsi="David"/>
          <w:rtl/>
        </w:rPr>
        <w:t xml:space="preserve">, ניתן ביום 14.2.16- במסגרתו הושתו </w:t>
      </w:r>
      <w:r w:rsidRPr="009A40DB">
        <w:rPr>
          <w:rFonts w:ascii="David" w:eastAsia="Calibri" w:hAnsi="David"/>
          <w:b/>
          <w:bCs/>
          <w:rtl/>
        </w:rPr>
        <w:t xml:space="preserve">15 חודשי מאסר לריצוי בפועל </w:t>
      </w:r>
      <w:r w:rsidRPr="009A40DB">
        <w:rPr>
          <w:rFonts w:ascii="David" w:eastAsia="Calibri" w:hAnsi="David"/>
          <w:rtl/>
        </w:rPr>
        <w:t>בגין החזקת אקדח טעון במחסנית ובה כדורים.</w:t>
      </w:r>
      <w:r w:rsidRPr="009A40DB">
        <w:rPr>
          <w:rFonts w:ascii="David" w:eastAsia="Calibri" w:hAnsi="David"/>
        </w:rPr>
        <w:t xml:space="preserve"> </w:t>
      </w:r>
      <w:r w:rsidRPr="009A40DB">
        <w:rPr>
          <w:rFonts w:ascii="David" w:eastAsia="Calibri" w:hAnsi="David"/>
          <w:rtl/>
        </w:rPr>
        <w:t xml:space="preserve">במסגרתו של </w:t>
      </w:r>
      <w:hyperlink r:id="rId32" w:history="1">
        <w:r w:rsidR="008B451A" w:rsidRPr="008B451A">
          <w:rPr>
            <w:rFonts w:ascii="David" w:eastAsia="Calibri" w:hAnsi="David"/>
            <w:color w:val="0000FF"/>
            <w:u w:val="single"/>
            <w:rtl/>
          </w:rPr>
          <w:t>ע"פ 2141/21</w:t>
        </w:r>
      </w:hyperlink>
      <w:r w:rsidRPr="009A40DB">
        <w:rPr>
          <w:rFonts w:ascii="David" w:eastAsia="Calibri" w:hAnsi="David"/>
          <w:rtl/>
        </w:rPr>
        <w:t xml:space="preserve"> </w:t>
      </w:r>
      <w:r w:rsidRPr="009A40DB">
        <w:rPr>
          <w:rFonts w:ascii="David" w:eastAsia="Calibri" w:hAnsi="David"/>
          <w:b/>
          <w:bCs/>
          <w:rtl/>
        </w:rPr>
        <w:t>חניני נ' מדינת ישראל</w:t>
      </w:r>
      <w:r w:rsidRPr="009A40DB">
        <w:rPr>
          <w:rFonts w:ascii="David" w:eastAsia="Calibri" w:hAnsi="David"/>
          <w:rtl/>
        </w:rPr>
        <w:t xml:space="preserve"> (ניתן ביום 27.5.21) – </w:t>
      </w:r>
      <w:r w:rsidRPr="009A40DB">
        <w:rPr>
          <w:rFonts w:ascii="David" w:eastAsia="Calibri" w:hAnsi="David"/>
          <w:b/>
          <w:bCs/>
          <w:rtl/>
        </w:rPr>
        <w:t>הושתו 20 חודשי מאסר לריצוי בפועל</w:t>
      </w:r>
      <w:r w:rsidRPr="009A40DB">
        <w:rPr>
          <w:rFonts w:ascii="David" w:eastAsia="Calibri" w:hAnsi="David"/>
          <w:rtl/>
        </w:rPr>
        <w:t xml:space="preserve"> בגין החזקת אקדח אוויר שבוצעו בו שינויים וכדורים תואמים. </w:t>
      </w:r>
    </w:p>
    <w:p w14:paraId="526E0D9A" w14:textId="77777777" w:rsidR="00E568CA" w:rsidRPr="009A40DB" w:rsidRDefault="00E568CA" w:rsidP="00E568CA">
      <w:pPr>
        <w:spacing w:after="200" w:line="360" w:lineRule="auto"/>
        <w:ind w:right="-426"/>
        <w:jc w:val="both"/>
        <w:rPr>
          <w:rFonts w:ascii="David" w:eastAsia="Calibri" w:hAnsi="David"/>
          <w:rtl/>
        </w:rPr>
      </w:pPr>
      <w:r w:rsidRPr="009A40DB">
        <w:rPr>
          <w:rFonts w:ascii="David" w:eastAsia="Calibri" w:hAnsi="David"/>
          <w:rtl/>
        </w:rPr>
        <w:t xml:space="preserve">כאן המקום לציין, כי בהקשרה של עבירת הנשק המיוחסת לנאשם, נכנסה לתוקף זה לא כבר (מיום 8.12.21) הוראת תיקון מס' 140 לחוק, שבמסגרתו עוגנו </w:t>
      </w:r>
      <w:r w:rsidRPr="009A40DB">
        <w:rPr>
          <w:rFonts w:ascii="David" w:eastAsia="Calibri" w:hAnsi="David"/>
          <w:b/>
          <w:bCs/>
          <w:rtl/>
        </w:rPr>
        <w:t xml:space="preserve">עונשים מזעריים </w:t>
      </w:r>
      <w:r w:rsidRPr="009A40DB">
        <w:rPr>
          <w:rFonts w:ascii="David" w:eastAsia="Calibri" w:hAnsi="David"/>
          <w:rtl/>
        </w:rPr>
        <w:t>בכל הנוגע לעבירות שעניינן החזקה, הובלה או סחר בנשק שלא כדין (</w:t>
      </w:r>
      <w:hyperlink r:id="rId33" w:history="1">
        <w:r w:rsidR="006F4E39" w:rsidRPr="006F4E39">
          <w:rPr>
            <w:rStyle w:val="Hyperlink"/>
            <w:rFonts w:ascii="David" w:eastAsia="Calibri" w:hAnsi="David"/>
            <w:color w:val="0000FF"/>
            <w:rtl/>
          </w:rPr>
          <w:t>סעיף 144(ז)</w:t>
        </w:r>
      </w:hyperlink>
      <w:r w:rsidRPr="009A40DB">
        <w:rPr>
          <w:rFonts w:ascii="David" w:eastAsia="Calibri" w:hAnsi="David"/>
          <w:rtl/>
        </w:rPr>
        <w:t xml:space="preserve"> לחוק). בתיקון זה נקבע, כי העונש שיוטל על העבריין במקרים אלו "...</w:t>
      </w:r>
      <w:r w:rsidRPr="009A40DB">
        <w:rPr>
          <w:rFonts w:ascii="David" w:eastAsia="Calibri" w:hAnsi="David"/>
          <w:b/>
          <w:bCs/>
          <w:rtl/>
        </w:rPr>
        <w:t>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w:t>
      </w:r>
      <w:r w:rsidRPr="009A40DB">
        <w:rPr>
          <w:rFonts w:ascii="David" w:eastAsia="Calibri" w:hAnsi="David"/>
          <w:rtl/>
        </w:rPr>
        <w:t xml:space="preserve">". בהקשר זה יש להזכיר, כי העונש המרבי הקבוע לצדה של עבירת ההחזקה לפי </w:t>
      </w:r>
      <w:hyperlink r:id="rId34" w:history="1">
        <w:r w:rsidR="006F4E39" w:rsidRPr="006F4E39">
          <w:rPr>
            <w:rStyle w:val="Hyperlink"/>
            <w:rFonts w:ascii="David" w:eastAsia="Calibri" w:hAnsi="David"/>
            <w:color w:val="0000FF"/>
            <w:rtl/>
          </w:rPr>
          <w:t>סעיף 144(א)</w:t>
        </w:r>
      </w:hyperlink>
      <w:r w:rsidRPr="009A40DB">
        <w:rPr>
          <w:rFonts w:ascii="David" w:eastAsia="Calibri" w:hAnsi="David"/>
          <w:rtl/>
        </w:rPr>
        <w:t xml:space="preserve"> לחוק עומד על שבע שנות מאסר.   </w:t>
      </w:r>
    </w:p>
    <w:p w14:paraId="630CB398" w14:textId="77777777" w:rsidR="00E568CA" w:rsidRPr="009A40DB" w:rsidRDefault="00E568CA" w:rsidP="00E568CA">
      <w:pPr>
        <w:spacing w:after="200" w:line="360" w:lineRule="auto"/>
        <w:ind w:right="-426"/>
        <w:jc w:val="both"/>
        <w:rPr>
          <w:rFonts w:ascii="David" w:eastAsia="Calibri" w:hAnsi="David"/>
          <w:rtl/>
        </w:rPr>
      </w:pPr>
      <w:r w:rsidRPr="009A40DB">
        <w:rPr>
          <w:rFonts w:ascii="David" w:eastAsia="Calibri" w:hAnsi="David"/>
          <w:rtl/>
        </w:rPr>
        <w:t xml:space="preserve">בשלב זה, יש להתייחס אל </w:t>
      </w:r>
      <w:r w:rsidRPr="009A40DB">
        <w:rPr>
          <w:rFonts w:ascii="David" w:eastAsia="Calibri" w:hAnsi="David"/>
          <w:b/>
          <w:bCs/>
          <w:rtl/>
        </w:rPr>
        <w:t xml:space="preserve">הנסיבות הקשורות לביצוע העבירה </w:t>
      </w:r>
      <w:r w:rsidRPr="009A40DB">
        <w:rPr>
          <w:rFonts w:ascii="David" w:eastAsia="Calibri" w:hAnsi="David"/>
          <w:rtl/>
        </w:rPr>
        <w:t xml:space="preserve">(אלו המצוינות </w:t>
      </w:r>
      <w:hyperlink r:id="rId35" w:history="1">
        <w:r w:rsidR="006F4E39" w:rsidRPr="006F4E39">
          <w:rPr>
            <w:rStyle w:val="Hyperlink"/>
            <w:rFonts w:ascii="David" w:eastAsia="Calibri" w:hAnsi="David"/>
            <w:color w:val="0000FF"/>
            <w:rtl/>
          </w:rPr>
          <w:t>בסעיף 40ט</w:t>
        </w:r>
      </w:hyperlink>
      <w:r w:rsidRPr="009A40DB">
        <w:rPr>
          <w:rFonts w:ascii="David" w:eastAsia="Calibri" w:hAnsi="David"/>
          <w:rtl/>
        </w:rPr>
        <w:t xml:space="preserve"> לחוק). </w:t>
      </w:r>
    </w:p>
    <w:p w14:paraId="7952C893" w14:textId="77777777" w:rsidR="00E568CA" w:rsidRPr="009A40DB" w:rsidRDefault="00E568CA" w:rsidP="00E568CA">
      <w:pPr>
        <w:spacing w:after="200" w:line="360" w:lineRule="auto"/>
        <w:ind w:right="-426"/>
        <w:jc w:val="both"/>
        <w:rPr>
          <w:rFonts w:ascii="David" w:eastAsia="Calibri" w:hAnsi="David"/>
          <w:color w:val="FF0000"/>
          <w:rtl/>
        </w:rPr>
      </w:pPr>
      <w:r w:rsidRPr="009A40DB">
        <w:rPr>
          <w:rFonts w:ascii="David" w:eastAsia="Calibri" w:hAnsi="David"/>
          <w:rtl/>
        </w:rPr>
        <w:t>עובדות כתב האישום המתוקן מלמדות</w:t>
      </w:r>
      <w:r w:rsidRPr="009A40DB">
        <w:rPr>
          <w:rFonts w:ascii="David" w:eastAsia="Calibri" w:hAnsi="David"/>
          <w:b/>
          <w:bCs/>
          <w:rtl/>
        </w:rPr>
        <w:t>,</w:t>
      </w:r>
      <w:r w:rsidRPr="009A40DB">
        <w:rPr>
          <w:rFonts w:ascii="David" w:eastAsia="Calibri" w:hAnsi="David"/>
          <w:rtl/>
        </w:rPr>
        <w:t xml:space="preserve"> כי עסקינן ב</w:t>
      </w:r>
      <w:r w:rsidRPr="009A40DB">
        <w:rPr>
          <w:rFonts w:ascii="Calibri" w:eastAsia="Calibri" w:hAnsi="Calibri"/>
          <w:rtl/>
        </w:rPr>
        <w:t xml:space="preserve">נשק דמוי רובה סער </w:t>
      </w:r>
      <w:r w:rsidRPr="009A40DB">
        <w:rPr>
          <w:rFonts w:ascii="Calibri" w:eastAsia="Calibri" w:hAnsi="Calibri"/>
        </w:rPr>
        <w:t>m-4</w:t>
      </w:r>
      <w:r w:rsidRPr="009A40DB">
        <w:rPr>
          <w:rFonts w:ascii="Calibri" w:eastAsia="Calibri" w:hAnsi="Calibri"/>
          <w:rtl/>
        </w:rPr>
        <w:t xml:space="preserve"> המיועד לירי כדוריות פלסטיק בקוטר 6 מ"מ ואשר הוסב לירי תחמושת בקליבר 5.56 מ"מ,  כאשר לצדו נתפסה מחסנית ריקה תואמת המהווה אביזר לנשקף ללא תחמושת. </w:t>
      </w:r>
      <w:r w:rsidRPr="009A40DB">
        <w:rPr>
          <w:rFonts w:ascii="David" w:eastAsia="Calibri" w:hAnsi="David"/>
          <w:b/>
          <w:bCs/>
          <w:rtl/>
        </w:rPr>
        <w:t xml:space="preserve">חלקו של הנאשם 3 בהחזקת הנשק הנ"ל הוא משמעותי ועיקרי </w:t>
      </w:r>
      <w:r w:rsidRPr="009A40DB">
        <w:rPr>
          <w:rFonts w:ascii="David" w:eastAsia="Calibri" w:hAnsi="David"/>
          <w:rtl/>
        </w:rPr>
        <w:t xml:space="preserve">(בצוותא חדא עם הנאשם 2).  </w:t>
      </w:r>
      <w:r w:rsidRPr="009A40DB">
        <w:rPr>
          <w:rFonts w:ascii="David" w:eastAsia="Calibri" w:hAnsi="David"/>
          <w:b/>
          <w:bCs/>
          <w:rtl/>
        </w:rPr>
        <w:t>הנאשם יכול והיה צריך לשלוט על מעשיו</w:t>
      </w:r>
      <w:r w:rsidRPr="009A40DB">
        <w:rPr>
          <w:rFonts w:ascii="David" w:eastAsia="Calibri" w:hAnsi="David"/>
          <w:rtl/>
        </w:rPr>
        <w:t>.</w:t>
      </w:r>
      <w:r w:rsidRPr="009A40DB">
        <w:rPr>
          <w:rFonts w:ascii="David" w:eastAsia="Calibri" w:hAnsi="David"/>
          <w:b/>
          <w:bCs/>
          <w:rtl/>
        </w:rPr>
        <w:t xml:space="preserve"> אין בנמצא כל סייג לאחריות פלילית בהקשר זה הנזקף להגנתו של הנאשם</w:t>
      </w:r>
      <w:r w:rsidRPr="009A40DB">
        <w:rPr>
          <w:rFonts w:ascii="David" w:eastAsia="Calibri" w:hAnsi="David"/>
          <w:rtl/>
        </w:rPr>
        <w:t>. ברי, כי עלול היה להיגרם נזק נוסף כפועל יוצא משימוש שלא כדין בנשק לצרכים פליליים או אחרים.</w:t>
      </w:r>
      <w:r w:rsidRPr="009A40DB">
        <w:rPr>
          <w:rFonts w:ascii="David" w:eastAsia="Calibri" w:hAnsi="David"/>
          <w:color w:val="FF0000"/>
          <w:rtl/>
        </w:rPr>
        <w:t xml:space="preserve">  </w:t>
      </w:r>
      <w:r w:rsidRPr="009A40DB">
        <w:rPr>
          <w:rFonts w:ascii="David" w:eastAsia="Calibri" w:hAnsi="David"/>
          <w:b/>
          <w:bCs/>
          <w:rtl/>
        </w:rPr>
        <w:t xml:space="preserve">למרבה המזל תפיסתו של הנשק </w:t>
      </w:r>
      <w:r w:rsidRPr="009A40DB">
        <w:rPr>
          <w:rFonts w:ascii="Calibri" w:eastAsia="Calibri" w:hAnsi="Calibri"/>
          <w:rtl/>
        </w:rPr>
        <w:t>בתוככי רפת בעיר טמרה</w:t>
      </w:r>
      <w:r w:rsidRPr="009A40DB">
        <w:rPr>
          <w:rFonts w:ascii="David" w:eastAsia="Calibri" w:hAnsi="David"/>
          <w:b/>
          <w:bCs/>
          <w:rtl/>
        </w:rPr>
        <w:t xml:space="preserve"> מנעה זאת.</w:t>
      </w:r>
      <w:r w:rsidRPr="009A40DB">
        <w:rPr>
          <w:rFonts w:ascii="David" w:eastAsia="Calibri" w:hAnsi="David"/>
          <w:rtl/>
        </w:rPr>
        <w:t xml:space="preserve"> הסיבות שהביאו את הנאשם 3 לביצוע עבירה זו נותרו עלומות ולא הובהרו דיין. </w:t>
      </w:r>
    </w:p>
    <w:p w14:paraId="77E5A0FE" w14:textId="77777777" w:rsidR="00E568CA" w:rsidRPr="009A40DB" w:rsidRDefault="00E568CA" w:rsidP="00E568CA">
      <w:pPr>
        <w:spacing w:after="200" w:line="360" w:lineRule="auto"/>
        <w:ind w:right="-426"/>
        <w:jc w:val="both"/>
        <w:rPr>
          <w:rFonts w:ascii="David" w:eastAsia="Calibri" w:hAnsi="David"/>
          <w:rtl/>
        </w:rPr>
      </w:pPr>
      <w:r w:rsidRPr="009A40DB">
        <w:rPr>
          <w:rFonts w:ascii="David" w:eastAsia="Calibri" w:hAnsi="David"/>
          <w:rtl/>
        </w:rPr>
        <w:t>לאור כל המקובץ, מצאתי לנכון לקבוע</w:t>
      </w:r>
      <w:r w:rsidRPr="009A40DB">
        <w:rPr>
          <w:rFonts w:ascii="David" w:eastAsia="Calibri" w:hAnsi="David"/>
          <w:b/>
          <w:bCs/>
          <w:rtl/>
        </w:rPr>
        <w:t xml:space="preserve"> מתחם ענישה בעניינו של הנאשם 3 אשר נע בין 18 לבין 30 חודשי מאסר לריצוי בפועל, </w:t>
      </w:r>
      <w:r w:rsidRPr="009A40DB">
        <w:rPr>
          <w:rFonts w:ascii="David" w:eastAsia="Calibri" w:hAnsi="David"/>
          <w:rtl/>
        </w:rPr>
        <w:t xml:space="preserve">לצד עונשים נלווים.  </w:t>
      </w:r>
    </w:p>
    <w:p w14:paraId="3F5E1833" w14:textId="77777777" w:rsidR="00E568CA" w:rsidRPr="009A40DB" w:rsidRDefault="00E568CA" w:rsidP="00E568CA">
      <w:pPr>
        <w:overflowPunct w:val="0"/>
        <w:autoSpaceDE w:val="0"/>
        <w:autoSpaceDN w:val="0"/>
        <w:spacing w:line="360" w:lineRule="auto"/>
        <w:ind w:right="-426"/>
        <w:jc w:val="both"/>
        <w:rPr>
          <w:rFonts w:ascii="David" w:hAnsi="David"/>
          <w:rtl/>
        </w:rPr>
      </w:pPr>
      <w:r w:rsidRPr="009A40DB">
        <w:rPr>
          <w:rFonts w:ascii="David" w:hAnsi="David"/>
          <w:rtl/>
        </w:rPr>
        <w:t xml:space="preserve">מכאן, ראוי לבחון מהו העונש המתאים לנאשם בשים לב </w:t>
      </w:r>
      <w:r w:rsidRPr="009A40DB">
        <w:rPr>
          <w:rFonts w:ascii="David" w:hAnsi="David"/>
          <w:b/>
          <w:bCs/>
          <w:rtl/>
        </w:rPr>
        <w:t xml:space="preserve">לנסיבות שאינן קשורות בביצוע העבירה. </w:t>
      </w:r>
    </w:p>
    <w:p w14:paraId="17D333F9" w14:textId="77777777" w:rsidR="00E568CA" w:rsidRPr="009A40DB" w:rsidRDefault="00E568CA" w:rsidP="00E568CA">
      <w:pPr>
        <w:overflowPunct w:val="0"/>
        <w:autoSpaceDE w:val="0"/>
        <w:autoSpaceDN w:val="0"/>
        <w:spacing w:line="360" w:lineRule="auto"/>
        <w:ind w:right="-426"/>
        <w:jc w:val="both"/>
        <w:rPr>
          <w:rFonts w:ascii="David" w:hAnsi="David"/>
          <w:highlight w:val="yellow"/>
          <w:rtl/>
        </w:rPr>
      </w:pPr>
    </w:p>
    <w:p w14:paraId="1C7D89F6" w14:textId="77777777" w:rsidR="00E568CA" w:rsidRPr="009A40DB" w:rsidRDefault="00E568CA" w:rsidP="00E568CA">
      <w:pPr>
        <w:spacing w:line="360" w:lineRule="auto"/>
        <w:jc w:val="both"/>
        <w:rPr>
          <w:rFonts w:ascii="David" w:eastAsia="Calibri" w:hAnsi="David"/>
          <w:b/>
          <w:bCs/>
          <w:rtl/>
        </w:rPr>
      </w:pPr>
      <w:r w:rsidRPr="009A40DB">
        <w:rPr>
          <w:rFonts w:ascii="David" w:eastAsia="Calibri" w:hAnsi="David"/>
          <w:rtl/>
        </w:rPr>
        <w:t xml:space="preserve">יש לזקוף לזכותו של הנאשם 3 את </w:t>
      </w:r>
      <w:r w:rsidRPr="009A40DB">
        <w:rPr>
          <w:rFonts w:ascii="David" w:eastAsia="Calibri" w:hAnsi="David"/>
          <w:b/>
          <w:bCs/>
          <w:rtl/>
        </w:rPr>
        <w:t>החיסכון המשמעותי בזמן שיפוטי יקר, הנגזר מהודאתו ומנטילת האחריות שביצע</w:t>
      </w:r>
      <w:r w:rsidRPr="009A40DB">
        <w:rPr>
          <w:rFonts w:ascii="David" w:eastAsia="Calibri" w:hAnsi="David"/>
          <w:rtl/>
        </w:rPr>
        <w:t>.</w:t>
      </w:r>
      <w:r w:rsidRPr="009A40DB">
        <w:rPr>
          <w:rFonts w:ascii="David" w:eastAsia="Calibri" w:hAnsi="David"/>
          <w:b/>
          <w:bCs/>
          <w:rtl/>
        </w:rPr>
        <w:t xml:space="preserve"> </w:t>
      </w:r>
      <w:r w:rsidRPr="009A40DB">
        <w:rPr>
          <w:rFonts w:ascii="David" w:eastAsia="Calibri" w:hAnsi="David"/>
          <w:rtl/>
        </w:rPr>
        <w:t xml:space="preserve">ברי, כי </w:t>
      </w:r>
      <w:r w:rsidRPr="009A40DB">
        <w:rPr>
          <w:rFonts w:ascii="David" w:eastAsia="Calibri" w:hAnsi="David"/>
          <w:b/>
          <w:bCs/>
          <w:rtl/>
        </w:rPr>
        <w:t xml:space="preserve">עונש מאסר ממושך יפגע בנאשם.  </w:t>
      </w:r>
      <w:r w:rsidRPr="009A40DB">
        <w:rPr>
          <w:rFonts w:ascii="David" w:eastAsia="Calibri" w:hAnsi="David"/>
          <w:rtl/>
        </w:rPr>
        <w:t>אזכיר, כי לא הופק תסקיר לעניין העונש.</w:t>
      </w:r>
      <w:r w:rsidRPr="009A40DB">
        <w:rPr>
          <w:rFonts w:ascii="David" w:eastAsia="Calibri" w:hAnsi="David"/>
          <w:b/>
          <w:bCs/>
          <w:rtl/>
        </w:rPr>
        <w:t xml:space="preserve"> במובן זה, לא קיימת בנמצא המלצה שיקומית בעניינו. הנאשם נעדר עבר פלילי. </w:t>
      </w:r>
    </w:p>
    <w:p w14:paraId="1722662E" w14:textId="77777777" w:rsidR="00E568CA" w:rsidRPr="009A40DB" w:rsidRDefault="00E568CA" w:rsidP="00E568CA">
      <w:pPr>
        <w:spacing w:line="360" w:lineRule="auto"/>
        <w:jc w:val="both"/>
        <w:rPr>
          <w:rFonts w:ascii="David" w:eastAsia="Calibri" w:hAnsi="David"/>
          <w:b/>
          <w:bCs/>
          <w:rtl/>
        </w:rPr>
      </w:pPr>
    </w:p>
    <w:p w14:paraId="1DB6B4F3" w14:textId="77777777" w:rsidR="00E568CA" w:rsidRPr="009A40DB" w:rsidRDefault="00E568CA" w:rsidP="00E568CA">
      <w:pPr>
        <w:overflowPunct w:val="0"/>
        <w:autoSpaceDE w:val="0"/>
        <w:autoSpaceDN w:val="0"/>
        <w:spacing w:line="360" w:lineRule="auto"/>
        <w:ind w:right="-426"/>
        <w:jc w:val="both"/>
        <w:rPr>
          <w:rFonts w:ascii="David" w:hAnsi="David"/>
          <w:rtl/>
        </w:rPr>
      </w:pPr>
      <w:r w:rsidRPr="009A40DB">
        <w:rPr>
          <w:rFonts w:ascii="David" w:eastAsia="Calibri" w:hAnsi="David"/>
          <w:rtl/>
        </w:rPr>
        <w:t xml:space="preserve">בנוסף לאמור לעיל, נוכח התנהגותו של הנאשם, סברתי כי בהחלט יש מקום לשכלל בגדרי מתחם הענישה את השיקול שעניינו </w:t>
      </w:r>
      <w:r w:rsidRPr="009A40DB">
        <w:rPr>
          <w:rFonts w:ascii="David" w:eastAsia="Calibri" w:hAnsi="David"/>
          <w:b/>
          <w:bCs/>
          <w:rtl/>
        </w:rPr>
        <w:t>בהרתעת הרבים</w:t>
      </w:r>
      <w:r w:rsidRPr="009A40DB">
        <w:rPr>
          <w:rFonts w:ascii="David" w:eastAsia="Calibri" w:hAnsi="David"/>
          <w:rtl/>
        </w:rPr>
        <w:t xml:space="preserve"> (בהתאם </w:t>
      </w:r>
      <w:hyperlink r:id="rId36" w:history="1">
        <w:r w:rsidR="006F4E39" w:rsidRPr="006F4E39">
          <w:rPr>
            <w:rStyle w:val="Hyperlink"/>
            <w:rFonts w:ascii="David" w:eastAsia="Calibri" w:hAnsi="David"/>
            <w:color w:val="0000FF"/>
            <w:rtl/>
          </w:rPr>
          <w:t>לסעיף 40ז</w:t>
        </w:r>
      </w:hyperlink>
      <w:r w:rsidRPr="009A40DB">
        <w:rPr>
          <w:rFonts w:ascii="David" w:eastAsia="Calibri" w:hAnsi="David"/>
          <w:rtl/>
        </w:rPr>
        <w:t xml:space="preserve"> לחוק);</w:t>
      </w:r>
      <w:r w:rsidRPr="009A40DB">
        <w:rPr>
          <w:rFonts w:ascii="David" w:eastAsia="Calibri" w:hAnsi="David"/>
        </w:rPr>
        <w:t xml:space="preserve"> </w:t>
      </w:r>
      <w:r w:rsidRPr="009A40DB">
        <w:rPr>
          <w:rFonts w:ascii="David" w:eastAsia="Calibri" w:hAnsi="David"/>
          <w:rtl/>
        </w:rPr>
        <w:t xml:space="preserve">תוך העברת מסר לציבור הרחב שהתנהגות דומה ומסוכנת שכזו אינה מקובלת במחוזותינו.  </w:t>
      </w:r>
    </w:p>
    <w:p w14:paraId="054897A3" w14:textId="77777777" w:rsidR="00E568CA" w:rsidRPr="009A40DB" w:rsidRDefault="00E568CA" w:rsidP="00E568CA">
      <w:pPr>
        <w:spacing w:line="360" w:lineRule="auto"/>
        <w:jc w:val="both"/>
        <w:rPr>
          <w:rFonts w:ascii="David" w:eastAsia="Calibri" w:hAnsi="David"/>
          <w:rtl/>
        </w:rPr>
      </w:pPr>
    </w:p>
    <w:p w14:paraId="4CEDF506" w14:textId="77777777" w:rsidR="00E568CA" w:rsidRPr="009A40DB" w:rsidRDefault="00E568CA" w:rsidP="00E568CA">
      <w:pPr>
        <w:spacing w:line="360" w:lineRule="auto"/>
        <w:jc w:val="both"/>
        <w:rPr>
          <w:rFonts w:ascii="David" w:eastAsia="Calibri" w:hAnsi="David"/>
          <w:rtl/>
        </w:rPr>
      </w:pPr>
      <w:r w:rsidRPr="009A40DB">
        <w:rPr>
          <w:rFonts w:ascii="David" w:eastAsia="Calibri" w:hAnsi="David"/>
          <w:rtl/>
        </w:rPr>
        <w:t>לאחר ששקלתי את כל השיקולים הדרושים לכך, מצאתי לנכון להטיל על הנאשם 3 את העונשים הבאים:</w:t>
      </w:r>
    </w:p>
    <w:p w14:paraId="5FDDB27B" w14:textId="77777777" w:rsidR="00E568CA" w:rsidRPr="009A40DB" w:rsidRDefault="00E568CA" w:rsidP="00E568CA">
      <w:pPr>
        <w:spacing w:line="360" w:lineRule="auto"/>
        <w:jc w:val="both"/>
        <w:rPr>
          <w:rFonts w:ascii="David" w:eastAsia="Calibri" w:hAnsi="David"/>
          <w:rtl/>
        </w:rPr>
      </w:pPr>
    </w:p>
    <w:p w14:paraId="57150794" w14:textId="77777777" w:rsidR="00E568CA" w:rsidRPr="009A40DB" w:rsidRDefault="00E568CA" w:rsidP="00E568CA">
      <w:pPr>
        <w:numPr>
          <w:ilvl w:val="0"/>
          <w:numId w:val="1"/>
        </w:numPr>
        <w:overflowPunct w:val="0"/>
        <w:autoSpaceDE w:val="0"/>
        <w:autoSpaceDN w:val="0"/>
        <w:spacing w:after="200" w:line="360" w:lineRule="auto"/>
        <w:jc w:val="both"/>
        <w:rPr>
          <w:rFonts w:ascii="David" w:hAnsi="David"/>
          <w:b/>
          <w:bCs/>
          <w:rtl/>
        </w:rPr>
      </w:pPr>
      <w:r w:rsidRPr="009A40DB">
        <w:rPr>
          <w:rFonts w:ascii="David" w:hAnsi="David"/>
          <w:b/>
          <w:bCs/>
          <w:rtl/>
        </w:rPr>
        <w:t>20 חודשי מאסר לריצוי בפועל מיום מעצרו.</w:t>
      </w:r>
    </w:p>
    <w:p w14:paraId="5CD08C02" w14:textId="77777777" w:rsidR="00E568CA" w:rsidRPr="009A40DB" w:rsidRDefault="00E568CA" w:rsidP="00E568CA">
      <w:pPr>
        <w:numPr>
          <w:ilvl w:val="0"/>
          <w:numId w:val="1"/>
        </w:numPr>
        <w:overflowPunct w:val="0"/>
        <w:autoSpaceDE w:val="0"/>
        <w:autoSpaceDN w:val="0"/>
        <w:spacing w:after="200" w:line="360" w:lineRule="auto"/>
        <w:jc w:val="both"/>
        <w:rPr>
          <w:rFonts w:ascii="David" w:hAnsi="David"/>
        </w:rPr>
      </w:pPr>
      <w:r w:rsidRPr="009A40DB">
        <w:rPr>
          <w:rFonts w:ascii="David" w:hAnsi="David"/>
          <w:rtl/>
        </w:rPr>
        <w:t>12 חודשי מאסר על תנאי שלא יעבור במשך 3 שנים עבירות בנשק</w:t>
      </w:r>
      <w:r w:rsidRPr="009A40DB">
        <w:rPr>
          <w:rtl/>
        </w:rPr>
        <w:t xml:space="preserve"> לפי </w:t>
      </w:r>
      <w:hyperlink r:id="rId37" w:history="1">
        <w:r w:rsidR="006F4E39" w:rsidRPr="006F4E39">
          <w:rPr>
            <w:rStyle w:val="Hyperlink"/>
            <w:color w:val="0000FF"/>
            <w:rtl/>
          </w:rPr>
          <w:t>סעיף 144</w:t>
        </w:r>
      </w:hyperlink>
      <w:r w:rsidRPr="009A40DB">
        <w:rPr>
          <w:rtl/>
        </w:rPr>
        <w:t xml:space="preserve"> ל</w:t>
      </w:r>
      <w:hyperlink r:id="rId38" w:history="1">
        <w:r w:rsidR="008B451A" w:rsidRPr="008B451A">
          <w:rPr>
            <w:color w:val="0000FF"/>
            <w:u w:val="single"/>
            <w:rtl/>
          </w:rPr>
          <w:t>חוק העונשין</w:t>
        </w:r>
      </w:hyperlink>
      <w:r w:rsidRPr="009A40DB">
        <w:rPr>
          <w:rtl/>
        </w:rPr>
        <w:t xml:space="preserve"> </w:t>
      </w:r>
    </w:p>
    <w:p w14:paraId="4798215C" w14:textId="77777777" w:rsidR="00E568CA" w:rsidRPr="009A40DB" w:rsidRDefault="00E568CA" w:rsidP="00E568CA">
      <w:pPr>
        <w:numPr>
          <w:ilvl w:val="0"/>
          <w:numId w:val="1"/>
        </w:numPr>
        <w:overflowPunct w:val="0"/>
        <w:autoSpaceDE w:val="0"/>
        <w:autoSpaceDN w:val="0"/>
        <w:spacing w:after="200" w:line="360" w:lineRule="auto"/>
        <w:jc w:val="both"/>
        <w:rPr>
          <w:rFonts w:ascii="David" w:hAnsi="David"/>
        </w:rPr>
      </w:pPr>
      <w:r w:rsidRPr="009A40DB">
        <w:rPr>
          <w:rFonts w:ascii="David" w:hAnsi="David"/>
          <w:rtl/>
        </w:rPr>
        <w:t>קנס ע"ס 2000</w:t>
      </w:r>
      <w:r w:rsidRPr="009A40DB">
        <w:rPr>
          <w:rFonts w:ascii="David" w:hAnsi="David"/>
        </w:rPr>
        <w:t xml:space="preserve"> </w:t>
      </w:r>
      <w:r w:rsidRPr="009A40DB">
        <w:rPr>
          <w:rFonts w:ascii="David" w:hAnsi="David"/>
          <w:rtl/>
        </w:rPr>
        <w:t xml:space="preserve">ש"ח או 10 ימי מאסר תמורתו. הקנס ישולם עד יום 1.1.25. </w:t>
      </w:r>
    </w:p>
    <w:p w14:paraId="3244B132" w14:textId="77777777" w:rsidR="00E568CA" w:rsidRPr="009A40DB" w:rsidRDefault="00E568CA" w:rsidP="00E568CA">
      <w:pPr>
        <w:overflowPunct w:val="0"/>
        <w:autoSpaceDE w:val="0"/>
        <w:autoSpaceDN w:val="0"/>
        <w:spacing w:line="360" w:lineRule="auto"/>
        <w:ind w:left="1543"/>
        <w:jc w:val="both"/>
        <w:rPr>
          <w:rFonts w:ascii="David" w:hAnsi="David"/>
        </w:rPr>
      </w:pPr>
    </w:p>
    <w:p w14:paraId="104E9ECA" w14:textId="77777777" w:rsidR="00E568CA" w:rsidRPr="009A40DB" w:rsidRDefault="00E568CA" w:rsidP="00E568CA">
      <w:pPr>
        <w:overflowPunct w:val="0"/>
        <w:autoSpaceDE w:val="0"/>
        <w:autoSpaceDN w:val="0"/>
        <w:spacing w:line="360" w:lineRule="auto"/>
        <w:jc w:val="both"/>
        <w:rPr>
          <w:rFonts w:ascii="David" w:hAnsi="David"/>
          <w:rtl/>
        </w:rPr>
      </w:pPr>
      <w:r w:rsidRPr="009A40DB">
        <w:rPr>
          <w:rFonts w:ascii="David" w:hAnsi="David"/>
          <w:rtl/>
        </w:rPr>
        <w:t xml:space="preserve">אפנה כעת לדון </w:t>
      </w:r>
      <w:r w:rsidRPr="009A40DB">
        <w:rPr>
          <w:rFonts w:ascii="David" w:hAnsi="David"/>
          <w:b/>
          <w:bCs/>
          <w:rtl/>
        </w:rPr>
        <w:t>בעניינו של הנאשם</w:t>
      </w:r>
      <w:r w:rsidRPr="009A40DB">
        <w:rPr>
          <w:rFonts w:ascii="David" w:hAnsi="David"/>
          <w:rtl/>
        </w:rPr>
        <w:t xml:space="preserve"> </w:t>
      </w:r>
      <w:r w:rsidRPr="009A40DB">
        <w:rPr>
          <w:rFonts w:ascii="David" w:hAnsi="David"/>
          <w:b/>
          <w:bCs/>
          <w:rtl/>
        </w:rPr>
        <w:t>1</w:t>
      </w:r>
      <w:r w:rsidRPr="009A40DB">
        <w:rPr>
          <w:rFonts w:ascii="David" w:hAnsi="David"/>
          <w:rtl/>
        </w:rPr>
        <w:t xml:space="preserve">. </w:t>
      </w:r>
    </w:p>
    <w:p w14:paraId="332E53C5" w14:textId="77777777" w:rsidR="00E568CA" w:rsidRPr="009A40DB" w:rsidRDefault="00E568CA" w:rsidP="00E568CA">
      <w:pPr>
        <w:overflowPunct w:val="0"/>
        <w:autoSpaceDE w:val="0"/>
        <w:autoSpaceDN w:val="0"/>
        <w:spacing w:line="360" w:lineRule="auto"/>
        <w:jc w:val="both"/>
        <w:rPr>
          <w:rFonts w:ascii="David" w:hAnsi="David"/>
          <w:rtl/>
        </w:rPr>
      </w:pPr>
    </w:p>
    <w:p w14:paraId="135082BD" w14:textId="77777777" w:rsidR="00E568CA" w:rsidRPr="009A40DB" w:rsidRDefault="00E568CA" w:rsidP="00E568CA">
      <w:pPr>
        <w:spacing w:after="200" w:line="360" w:lineRule="auto"/>
        <w:ind w:right="-284"/>
        <w:jc w:val="both"/>
        <w:rPr>
          <w:rFonts w:ascii="Calibri" w:eastAsia="Calibri" w:hAnsi="Calibri"/>
          <w:rtl/>
        </w:rPr>
      </w:pPr>
      <w:r w:rsidRPr="009A40DB">
        <w:rPr>
          <w:rFonts w:ascii="David" w:eastAsia="Calibri" w:hAnsi="David"/>
          <w:rtl/>
        </w:rPr>
        <w:t xml:space="preserve">אזכיר לקורא, כי נאשם זה (בניגוד לנאשם 3) הורשע </w:t>
      </w:r>
      <w:r w:rsidRPr="009A40DB">
        <w:rPr>
          <w:rFonts w:ascii="Calibri" w:eastAsia="Calibri" w:hAnsi="Calibri"/>
          <w:rtl/>
        </w:rPr>
        <w:t xml:space="preserve">בעבירה שעניינה </w:t>
      </w:r>
      <w:r w:rsidRPr="009A40DB">
        <w:rPr>
          <w:rFonts w:ascii="Calibri" w:eastAsia="Calibri" w:hAnsi="Calibri"/>
          <w:b/>
          <w:bCs/>
          <w:u w:val="single"/>
          <w:rtl/>
        </w:rPr>
        <w:t>סיוע</w:t>
      </w:r>
      <w:r w:rsidRPr="009A40DB">
        <w:rPr>
          <w:rFonts w:ascii="Calibri" w:eastAsia="Calibri" w:hAnsi="Calibri"/>
          <w:b/>
          <w:bCs/>
          <w:rtl/>
        </w:rPr>
        <w:t xml:space="preserve"> להחזקת נשק </w:t>
      </w:r>
      <w:r w:rsidRPr="009A40DB">
        <w:rPr>
          <w:rFonts w:ascii="Calibri" w:eastAsia="Calibri" w:hAnsi="Calibri"/>
          <w:rtl/>
        </w:rPr>
        <w:t xml:space="preserve">לפי </w:t>
      </w:r>
      <w:hyperlink r:id="rId39" w:history="1">
        <w:r w:rsidR="006F4E39" w:rsidRPr="006F4E39">
          <w:rPr>
            <w:rStyle w:val="Hyperlink"/>
            <w:rFonts w:ascii="Calibri" w:eastAsia="Calibri" w:hAnsi="Calibri"/>
            <w:color w:val="0000FF"/>
            <w:rtl/>
          </w:rPr>
          <w:t>סעיפים 144(א)</w:t>
        </w:r>
      </w:hyperlink>
      <w:r w:rsidRPr="009A40DB">
        <w:rPr>
          <w:rFonts w:ascii="Calibri" w:eastAsia="Calibri" w:hAnsi="Calibri"/>
          <w:rtl/>
        </w:rPr>
        <w:t xml:space="preserve"> ו - </w:t>
      </w:r>
      <w:hyperlink r:id="rId40" w:history="1">
        <w:r w:rsidR="006F4E39" w:rsidRPr="006F4E39">
          <w:rPr>
            <w:rStyle w:val="Hyperlink"/>
            <w:rFonts w:ascii="Calibri" w:eastAsia="Calibri" w:hAnsi="Calibri"/>
            <w:color w:val="0000FF"/>
            <w:rtl/>
          </w:rPr>
          <w:t>31</w:t>
        </w:r>
      </w:hyperlink>
      <w:r w:rsidRPr="009A40DB">
        <w:rPr>
          <w:rFonts w:ascii="Calibri" w:eastAsia="Calibri" w:hAnsi="Calibri"/>
          <w:rtl/>
        </w:rPr>
        <w:t xml:space="preserve"> ל</w:t>
      </w:r>
      <w:hyperlink r:id="rId41" w:history="1">
        <w:r w:rsidR="008B451A" w:rsidRPr="008B451A">
          <w:rPr>
            <w:rFonts w:ascii="Calibri" w:eastAsia="Calibri" w:hAnsi="Calibri" w:hint="cs"/>
            <w:color w:val="0000FF"/>
            <w:u w:val="single"/>
            <w:rtl/>
          </w:rPr>
          <w:t>חוק</w:t>
        </w:r>
        <w:r w:rsidR="008B451A" w:rsidRPr="008B451A">
          <w:rPr>
            <w:rFonts w:ascii="Calibri" w:eastAsia="Calibri" w:hAnsi="Calibri"/>
            <w:color w:val="0000FF"/>
            <w:u w:val="single"/>
            <w:rtl/>
          </w:rPr>
          <w:t xml:space="preserve"> </w:t>
        </w:r>
        <w:r w:rsidR="008B451A" w:rsidRPr="008B451A">
          <w:rPr>
            <w:rFonts w:ascii="Calibri" w:eastAsia="Calibri" w:hAnsi="Calibri" w:hint="cs"/>
            <w:color w:val="0000FF"/>
            <w:u w:val="single"/>
            <w:rtl/>
          </w:rPr>
          <w:t>העונשין</w:t>
        </w:r>
      </w:hyperlink>
      <w:r w:rsidRPr="009A40DB">
        <w:rPr>
          <w:rFonts w:ascii="Calibri" w:eastAsia="Calibri" w:hAnsi="Calibri"/>
          <w:rtl/>
        </w:rPr>
        <w:t>. ככלל, בהתאם ל</w:t>
      </w:r>
      <w:hyperlink r:id="rId42" w:history="1">
        <w:r w:rsidR="008B451A" w:rsidRPr="008B451A">
          <w:rPr>
            <w:rFonts w:ascii="Calibri" w:eastAsia="Calibri" w:hAnsi="Calibri" w:hint="cs"/>
            <w:color w:val="0000FF"/>
            <w:u w:val="single"/>
            <w:rtl/>
          </w:rPr>
          <w:t>חוק</w:t>
        </w:r>
        <w:r w:rsidR="008B451A" w:rsidRPr="008B451A">
          <w:rPr>
            <w:rFonts w:ascii="Calibri" w:eastAsia="Calibri" w:hAnsi="Calibri"/>
            <w:color w:val="0000FF"/>
            <w:u w:val="single"/>
            <w:rtl/>
          </w:rPr>
          <w:t xml:space="preserve"> </w:t>
        </w:r>
        <w:r w:rsidR="008B451A" w:rsidRPr="008B451A">
          <w:rPr>
            <w:rFonts w:ascii="Calibri" w:eastAsia="Calibri" w:hAnsi="Calibri" w:hint="cs"/>
            <w:color w:val="0000FF"/>
            <w:u w:val="single"/>
            <w:rtl/>
          </w:rPr>
          <w:t>העונשין</w:t>
        </w:r>
      </w:hyperlink>
      <w:r w:rsidRPr="009A40DB">
        <w:rPr>
          <w:rFonts w:ascii="Calibri" w:eastAsia="Calibri" w:hAnsi="Calibri"/>
          <w:rtl/>
        </w:rPr>
        <w:t xml:space="preserve"> העונש על סיוע עומד על מחצית הענישה הנוגעת לעבירה העיקרית, בעוד כאשר עסקינן בעונש מזערי - העונש לא יפחת ממחציתו (ראו </w:t>
      </w:r>
      <w:hyperlink r:id="rId43" w:history="1">
        <w:r w:rsidR="006F4E39" w:rsidRPr="006F4E39">
          <w:rPr>
            <w:rStyle w:val="Hyperlink"/>
            <w:rFonts w:ascii="Calibri" w:eastAsia="Calibri" w:hAnsi="Calibri"/>
            <w:color w:val="0000FF"/>
            <w:rtl/>
          </w:rPr>
          <w:t>סעיף 32(3)</w:t>
        </w:r>
      </w:hyperlink>
      <w:r w:rsidRPr="009A40DB">
        <w:rPr>
          <w:rFonts w:ascii="Calibri" w:eastAsia="Calibri" w:hAnsi="Calibri"/>
          <w:rtl/>
        </w:rPr>
        <w:t xml:space="preserve"> לחוק העונשין). </w:t>
      </w:r>
    </w:p>
    <w:p w14:paraId="12B43BCB" w14:textId="77777777" w:rsidR="00E568CA" w:rsidRPr="009A40DB" w:rsidRDefault="00E568CA" w:rsidP="00E568CA">
      <w:pPr>
        <w:spacing w:after="200" w:line="360" w:lineRule="auto"/>
        <w:ind w:right="-284"/>
        <w:jc w:val="both"/>
        <w:rPr>
          <w:rFonts w:ascii="David" w:eastAsia="Calibri" w:hAnsi="David"/>
          <w:rtl/>
        </w:rPr>
      </w:pPr>
      <w:r w:rsidRPr="009A40DB">
        <w:rPr>
          <w:rFonts w:ascii="David" w:eastAsia="Calibri" w:hAnsi="David"/>
          <w:rtl/>
        </w:rPr>
        <w:t xml:space="preserve">בכל הנוגע לערכים החברתיים המוגנים שנפגעו כפועל יוצא ממעשיו של נאשם 1, הרי שגם בעניינו הדברים מובנים מאליהם. המסייע להחזיק נשק בלא רשות על פי דין פוגע בראש ובראשונה </w:t>
      </w:r>
      <w:r w:rsidRPr="009A40DB">
        <w:rPr>
          <w:rFonts w:ascii="David" w:eastAsia="Calibri" w:hAnsi="David"/>
          <w:b/>
          <w:bCs/>
          <w:rtl/>
        </w:rPr>
        <w:t>בביטחון המדינה ובמנגנוני שלטונה</w:t>
      </w:r>
      <w:r w:rsidRPr="009A40DB">
        <w:rPr>
          <w:rFonts w:ascii="David" w:eastAsia="Calibri" w:hAnsi="David"/>
          <w:rtl/>
        </w:rPr>
        <w:t>;</w:t>
      </w:r>
      <w:r w:rsidRPr="009A40DB">
        <w:rPr>
          <w:rFonts w:ascii="David" w:eastAsia="Calibri" w:hAnsi="David"/>
        </w:rPr>
        <w:t xml:space="preserve"> </w:t>
      </w:r>
      <w:r w:rsidRPr="009A40DB">
        <w:rPr>
          <w:rFonts w:ascii="David" w:eastAsia="Calibri" w:hAnsi="David"/>
          <w:b/>
          <w:bCs/>
          <w:rtl/>
        </w:rPr>
        <w:t>בשלום הציבור ובסדר הציבורי</w:t>
      </w:r>
      <w:r w:rsidRPr="009A40DB">
        <w:rPr>
          <w:rFonts w:ascii="David" w:eastAsia="Calibri" w:hAnsi="David"/>
          <w:rtl/>
        </w:rPr>
        <w:t xml:space="preserve">. הוא פוגע בביטחון הציבור </w:t>
      </w:r>
      <w:r w:rsidRPr="009A40DB">
        <w:rPr>
          <w:rFonts w:ascii="David" w:eastAsia="Calibri" w:hAnsi="David"/>
          <w:b/>
          <w:bCs/>
          <w:rtl/>
        </w:rPr>
        <w:t>וחושף אותו לאירועי טרור עוין כמו גם פלילי המבוצעים באמצעות נשק</w:t>
      </w:r>
      <w:r w:rsidRPr="009A40DB">
        <w:rPr>
          <w:rFonts w:ascii="David" w:eastAsia="Calibri" w:hAnsi="David"/>
          <w:rtl/>
        </w:rPr>
        <w:t xml:space="preserve"> </w:t>
      </w:r>
      <w:r w:rsidRPr="009A40DB">
        <w:rPr>
          <w:rFonts w:ascii="David" w:eastAsia="Calibri" w:hAnsi="David"/>
          <w:b/>
          <w:bCs/>
          <w:rtl/>
        </w:rPr>
        <w:t>המוחזק והמושג שלא כחוק.</w:t>
      </w:r>
      <w:r w:rsidRPr="009A40DB">
        <w:rPr>
          <w:rFonts w:ascii="David" w:eastAsia="Calibri" w:hAnsi="David"/>
          <w:rtl/>
        </w:rPr>
        <w:t xml:space="preserve"> הפגיעה בערכים אלו במקרה זה היא ממשית, אך ברי כי זו פחותה ורחוקה יותר מעניינו של הנאשם 3 - מבצעה העיקרי. </w:t>
      </w:r>
    </w:p>
    <w:p w14:paraId="276697E4" w14:textId="77777777" w:rsidR="00E568CA" w:rsidRPr="009A40DB" w:rsidRDefault="00E568CA" w:rsidP="00E568CA">
      <w:pPr>
        <w:spacing w:after="200" w:line="360" w:lineRule="auto"/>
        <w:ind w:right="-284"/>
        <w:jc w:val="both"/>
        <w:rPr>
          <w:rFonts w:ascii="David" w:eastAsia="Calibri" w:hAnsi="David"/>
          <w:rtl/>
        </w:rPr>
      </w:pPr>
      <w:r w:rsidRPr="009A40DB">
        <w:rPr>
          <w:rFonts w:ascii="David" w:eastAsia="Calibri" w:hAnsi="David"/>
          <w:rtl/>
        </w:rPr>
        <w:t xml:space="preserve">את מדיניות הענישה הנוגעת לביצועה של העבירה העיקרית סקרתי בעניינו של הנאשם 3, ולא מצאתי כי קיים צורך לסרוק את זו פעם נוספת כאן. ברי, כי ממדינות הענישה לעיל ניתן לגזור מהו העונש הנוהג גם בעניינו של מי שמסייע. יש לעשות כן גם כפועל יוצא של "אחידות הענישה", </w:t>
      </w:r>
      <w:r w:rsidRPr="009A40DB">
        <w:rPr>
          <w:rFonts w:ascii="David" w:eastAsia="Calibri" w:hAnsi="David"/>
          <w:u w:val="single"/>
          <w:rtl/>
        </w:rPr>
        <w:t>אך תוך הבחנות נדרשות</w:t>
      </w:r>
      <w:r w:rsidRPr="009A40DB">
        <w:rPr>
          <w:rFonts w:ascii="David" w:eastAsia="Calibri" w:hAnsi="David"/>
          <w:rtl/>
        </w:rPr>
        <w:t xml:space="preserve">. </w:t>
      </w:r>
    </w:p>
    <w:p w14:paraId="25DDC1B3" w14:textId="77777777" w:rsidR="00E568CA" w:rsidRPr="009A40DB" w:rsidRDefault="00E568CA" w:rsidP="00E568CA">
      <w:pPr>
        <w:spacing w:after="200" w:line="360" w:lineRule="auto"/>
        <w:ind w:right="-426"/>
        <w:jc w:val="both"/>
        <w:rPr>
          <w:rFonts w:ascii="David" w:eastAsia="Calibri" w:hAnsi="David"/>
          <w:rtl/>
        </w:rPr>
      </w:pPr>
      <w:r w:rsidRPr="009A40DB">
        <w:rPr>
          <w:rFonts w:ascii="David" w:eastAsia="Calibri" w:hAnsi="David"/>
          <w:rtl/>
        </w:rPr>
        <w:t xml:space="preserve">משכך, יש להתייחס בהקשר זה כדבעי אל </w:t>
      </w:r>
      <w:r w:rsidRPr="009A40DB">
        <w:rPr>
          <w:rFonts w:ascii="David" w:eastAsia="Calibri" w:hAnsi="David"/>
          <w:b/>
          <w:bCs/>
          <w:rtl/>
        </w:rPr>
        <w:t xml:space="preserve">הנסיבות הקשורות לביצוע העבירה </w:t>
      </w:r>
      <w:r w:rsidRPr="009A40DB">
        <w:rPr>
          <w:rFonts w:ascii="David" w:eastAsia="Calibri" w:hAnsi="David"/>
          <w:rtl/>
        </w:rPr>
        <w:t xml:space="preserve">(אלו המצוינות </w:t>
      </w:r>
      <w:hyperlink r:id="rId44" w:history="1">
        <w:r w:rsidR="006F4E39" w:rsidRPr="006F4E39">
          <w:rPr>
            <w:rStyle w:val="Hyperlink"/>
            <w:rFonts w:ascii="David" w:eastAsia="Calibri" w:hAnsi="David"/>
            <w:color w:val="0000FF"/>
            <w:rtl/>
          </w:rPr>
          <w:t>בסעיף 40ט</w:t>
        </w:r>
      </w:hyperlink>
      <w:r w:rsidRPr="009A40DB">
        <w:rPr>
          <w:rFonts w:ascii="David" w:eastAsia="Calibri" w:hAnsi="David"/>
          <w:rtl/>
        </w:rPr>
        <w:t xml:space="preserve"> לחוק).</w:t>
      </w:r>
    </w:p>
    <w:p w14:paraId="475CA886" w14:textId="77777777" w:rsidR="00E568CA" w:rsidRPr="009A40DB" w:rsidRDefault="00E568CA" w:rsidP="00E568CA">
      <w:pPr>
        <w:spacing w:after="200" w:line="360" w:lineRule="auto"/>
        <w:ind w:right="-426"/>
        <w:jc w:val="both"/>
        <w:rPr>
          <w:rFonts w:ascii="David" w:eastAsia="Calibri" w:hAnsi="David"/>
          <w:color w:val="FF0000"/>
          <w:rtl/>
        </w:rPr>
      </w:pPr>
      <w:r w:rsidRPr="009A40DB">
        <w:rPr>
          <w:rFonts w:ascii="David" w:eastAsia="Calibri" w:hAnsi="David"/>
          <w:rtl/>
        </w:rPr>
        <w:t>כאמור, עסקינן ב</w:t>
      </w:r>
      <w:r w:rsidRPr="009A40DB">
        <w:rPr>
          <w:rFonts w:ascii="Calibri" w:eastAsia="Calibri" w:hAnsi="Calibri"/>
          <w:rtl/>
        </w:rPr>
        <w:t xml:space="preserve">נשק דמוי רובה סער </w:t>
      </w:r>
      <w:r w:rsidRPr="009A40DB">
        <w:rPr>
          <w:rFonts w:ascii="Calibri" w:eastAsia="Calibri" w:hAnsi="Calibri"/>
        </w:rPr>
        <w:t>m-4</w:t>
      </w:r>
      <w:r w:rsidRPr="009A40DB">
        <w:rPr>
          <w:rFonts w:ascii="Calibri" w:eastAsia="Calibri" w:hAnsi="Calibri"/>
          <w:rtl/>
        </w:rPr>
        <w:t xml:space="preserve"> המיועד לירי כדוריות פלסטיק בקוטר 6 מ"מ ואשר הוסב לירי תחמושת בקליבר 5.56 מ"מ,  כאשר לצדו נתפסה מחסנית ריקה תואמת המהווה אביזר לנשקף ללא תחמושת. </w:t>
      </w:r>
      <w:r w:rsidRPr="009A40DB">
        <w:rPr>
          <w:rFonts w:ascii="David" w:eastAsia="Calibri" w:hAnsi="David"/>
          <w:b/>
          <w:bCs/>
          <w:rtl/>
        </w:rPr>
        <w:t xml:space="preserve">חלקו של הנאשם 1 בביצוע עבירת ההחזקה אינו העיקרי, שכן עסקינן בסיוע </w:t>
      </w:r>
      <w:r w:rsidRPr="009A40DB">
        <w:rPr>
          <w:rFonts w:ascii="David" w:eastAsia="Calibri" w:hAnsi="David"/>
          <w:b/>
          <w:bCs/>
          <w:u w:val="single"/>
          <w:rtl/>
        </w:rPr>
        <w:t>להחזקת הנשק</w:t>
      </w:r>
      <w:r w:rsidRPr="009A40DB">
        <w:rPr>
          <w:rFonts w:ascii="David" w:eastAsia="Calibri" w:hAnsi="David"/>
          <w:b/>
          <w:bCs/>
          <w:rtl/>
        </w:rPr>
        <w:t xml:space="preserve"> הנ"ל, כזה מצוי מחוץ למעגל העיקרי של ביצועה עבירת ההחזקה.</w:t>
      </w:r>
      <w:r w:rsidRPr="009A40DB">
        <w:rPr>
          <w:rFonts w:ascii="Calibri" w:eastAsia="Calibri" w:hAnsi="Calibri"/>
          <w:rtl/>
        </w:rPr>
        <w:t xml:space="preserve"> בהתאם לעובדות כתב האישום המתוקן, הרי שנאשם 1 "אבטח" את הנאשמים האחרים לשם החזקת הרובה הנ"ל</w:t>
      </w:r>
      <w:r w:rsidRPr="009A40DB">
        <w:rPr>
          <w:rFonts w:ascii="David" w:eastAsia="Calibri" w:hAnsi="David"/>
          <w:rtl/>
        </w:rPr>
        <w:t>.</w:t>
      </w:r>
      <w:r w:rsidRPr="009A40DB">
        <w:rPr>
          <w:rFonts w:ascii="David" w:eastAsia="Calibri" w:hAnsi="David"/>
          <w:b/>
          <w:bCs/>
          <w:rtl/>
        </w:rPr>
        <w:t xml:space="preserve"> </w:t>
      </w:r>
      <w:r w:rsidRPr="009A40DB">
        <w:rPr>
          <w:rFonts w:ascii="David" w:eastAsia="Calibri" w:hAnsi="David"/>
          <w:rtl/>
        </w:rPr>
        <w:t>מכל מקום,</w:t>
      </w:r>
      <w:r w:rsidRPr="009A40DB">
        <w:rPr>
          <w:rFonts w:ascii="David" w:eastAsia="Calibri" w:hAnsi="David"/>
          <w:b/>
          <w:bCs/>
          <w:rtl/>
        </w:rPr>
        <w:t xml:space="preserve"> הנאשם 1 היה צריך לשלוט על מעשיו</w:t>
      </w:r>
      <w:r w:rsidRPr="009A40DB">
        <w:rPr>
          <w:rFonts w:ascii="David" w:eastAsia="Calibri" w:hAnsi="David"/>
          <w:rtl/>
        </w:rPr>
        <w:t>.</w:t>
      </w:r>
      <w:r w:rsidRPr="009A40DB">
        <w:rPr>
          <w:rFonts w:ascii="David" w:eastAsia="Calibri" w:hAnsi="David"/>
          <w:b/>
          <w:bCs/>
          <w:rtl/>
        </w:rPr>
        <w:t xml:space="preserve"> אין בנמצא כל סייג לאחריות פלילית בהקשר זה הנזקף להגנתו של הנאשם</w:t>
      </w:r>
      <w:r w:rsidRPr="009A40DB">
        <w:rPr>
          <w:rFonts w:ascii="David" w:eastAsia="Calibri" w:hAnsi="David"/>
          <w:rtl/>
        </w:rPr>
        <w:t>. ברי, כי עלול היה להיגרם נזק נוסף מן הסיוע לעבירה העיקרית, היה וחלילה הנשק היה משמש לצרכים פליליים או אחרים.</w:t>
      </w:r>
      <w:r w:rsidRPr="009A40DB">
        <w:rPr>
          <w:rFonts w:ascii="David" w:eastAsia="Calibri" w:hAnsi="David"/>
          <w:color w:val="FF0000"/>
          <w:rtl/>
        </w:rPr>
        <w:t xml:space="preserve">  </w:t>
      </w:r>
      <w:r w:rsidRPr="009A40DB">
        <w:rPr>
          <w:rFonts w:ascii="David" w:eastAsia="Calibri" w:hAnsi="David"/>
          <w:b/>
          <w:bCs/>
          <w:rtl/>
        </w:rPr>
        <w:t>למרבה המזל תפיסתו של הנשק מנעה זאת.</w:t>
      </w:r>
      <w:r w:rsidRPr="009A40DB">
        <w:rPr>
          <w:rFonts w:ascii="David" w:eastAsia="Calibri" w:hAnsi="David"/>
          <w:rtl/>
        </w:rPr>
        <w:t xml:space="preserve"> הסיבות שהביאו את הנאשם 1 לביצוע הסיוע נותרו עלומות ולא הובהרו דיין.</w:t>
      </w:r>
      <w:r w:rsidRPr="009A40DB">
        <w:rPr>
          <w:rFonts w:ascii="David" w:eastAsia="Calibri" w:hAnsi="David"/>
          <w:u w:val="single"/>
          <w:rtl/>
        </w:rPr>
        <w:t xml:space="preserve"> </w:t>
      </w:r>
    </w:p>
    <w:p w14:paraId="48B9F4DF" w14:textId="77777777" w:rsidR="00E568CA" w:rsidRPr="009A40DB" w:rsidRDefault="00E568CA" w:rsidP="00E568CA">
      <w:pPr>
        <w:spacing w:after="200" w:line="360" w:lineRule="auto"/>
        <w:ind w:right="-426"/>
        <w:jc w:val="both"/>
        <w:rPr>
          <w:rFonts w:ascii="David" w:eastAsia="Calibri" w:hAnsi="David"/>
          <w:rtl/>
        </w:rPr>
      </w:pPr>
      <w:r w:rsidRPr="009A40DB">
        <w:rPr>
          <w:rFonts w:ascii="David" w:eastAsia="Calibri" w:hAnsi="David"/>
          <w:rtl/>
        </w:rPr>
        <w:t>לאור המקובץ, מצאתי לנכון לקבוע</w:t>
      </w:r>
      <w:r w:rsidRPr="009A40DB">
        <w:rPr>
          <w:rFonts w:ascii="David" w:eastAsia="Calibri" w:hAnsi="David"/>
          <w:b/>
          <w:bCs/>
          <w:rtl/>
        </w:rPr>
        <w:t xml:space="preserve"> מתחם ענישה בעניינו של הנאשם 1 אשר נע בין 9 לבין 18 חודשי מאסר לריצוי בפועל, </w:t>
      </w:r>
      <w:r w:rsidRPr="009A40DB">
        <w:rPr>
          <w:rFonts w:ascii="David" w:eastAsia="Calibri" w:hAnsi="David"/>
          <w:rtl/>
        </w:rPr>
        <w:t xml:space="preserve">לצד עונשים נלווים.  </w:t>
      </w:r>
    </w:p>
    <w:p w14:paraId="20F3E0D6" w14:textId="77777777" w:rsidR="00E568CA" w:rsidRPr="009A40DB" w:rsidRDefault="00E568CA" w:rsidP="00E568CA">
      <w:pPr>
        <w:spacing w:line="360" w:lineRule="auto"/>
        <w:jc w:val="both"/>
        <w:rPr>
          <w:rFonts w:ascii="David" w:eastAsia="Calibri" w:hAnsi="David"/>
          <w:b/>
          <w:bCs/>
          <w:rtl/>
        </w:rPr>
      </w:pPr>
      <w:r w:rsidRPr="009A40DB">
        <w:rPr>
          <w:rFonts w:ascii="David" w:eastAsia="Calibri" w:hAnsi="David"/>
          <w:rtl/>
        </w:rPr>
        <w:t xml:space="preserve">יש לזקוף לזכותו של הנאשם 1 את </w:t>
      </w:r>
      <w:r w:rsidRPr="009A40DB">
        <w:rPr>
          <w:rFonts w:ascii="David" w:eastAsia="Calibri" w:hAnsi="David"/>
          <w:b/>
          <w:bCs/>
          <w:rtl/>
        </w:rPr>
        <w:t>החיסכון המשמעותי בזמן שיפוטי יקר, הנגזר מהודאתו ומנטילת האחריות שביצע</w:t>
      </w:r>
      <w:r w:rsidRPr="009A40DB">
        <w:rPr>
          <w:rFonts w:ascii="David" w:eastAsia="Calibri" w:hAnsi="David"/>
          <w:rtl/>
        </w:rPr>
        <w:t>.</w:t>
      </w:r>
      <w:r w:rsidRPr="009A40DB">
        <w:rPr>
          <w:rFonts w:ascii="David" w:eastAsia="Calibri" w:hAnsi="David"/>
          <w:b/>
          <w:bCs/>
          <w:rtl/>
        </w:rPr>
        <w:t xml:space="preserve"> </w:t>
      </w:r>
      <w:r w:rsidRPr="009A40DB">
        <w:rPr>
          <w:rFonts w:ascii="David" w:eastAsia="Calibri" w:hAnsi="David"/>
          <w:rtl/>
        </w:rPr>
        <w:t xml:space="preserve">ברי, כי </w:t>
      </w:r>
      <w:r w:rsidRPr="009A40DB">
        <w:rPr>
          <w:rFonts w:ascii="David" w:eastAsia="Calibri" w:hAnsi="David"/>
          <w:b/>
          <w:bCs/>
          <w:rtl/>
        </w:rPr>
        <w:t xml:space="preserve">עונש מאסר ממושך יפגע בנאשם. גילו יחסית צעיר (½21) בעניינו של הנאשם לא הופק תסקיר לעניין העונש. במובן זה , לא קיימת המלצה שיקומית בעניינו. הנאשם נעדר עבר פלילי. </w:t>
      </w:r>
    </w:p>
    <w:p w14:paraId="470532B4" w14:textId="77777777" w:rsidR="00E568CA" w:rsidRPr="009A40DB" w:rsidRDefault="00E568CA" w:rsidP="00E568CA">
      <w:pPr>
        <w:spacing w:line="360" w:lineRule="auto"/>
        <w:jc w:val="both"/>
        <w:rPr>
          <w:rFonts w:ascii="David" w:eastAsia="Calibri" w:hAnsi="David"/>
          <w:b/>
          <w:bCs/>
          <w:rtl/>
        </w:rPr>
      </w:pPr>
    </w:p>
    <w:p w14:paraId="2D770FBD" w14:textId="77777777" w:rsidR="00E568CA" w:rsidRPr="009A40DB" w:rsidRDefault="00E568CA" w:rsidP="00E568CA">
      <w:pPr>
        <w:overflowPunct w:val="0"/>
        <w:autoSpaceDE w:val="0"/>
        <w:autoSpaceDN w:val="0"/>
        <w:spacing w:line="360" w:lineRule="auto"/>
        <w:ind w:right="-426"/>
        <w:jc w:val="both"/>
        <w:rPr>
          <w:rFonts w:ascii="David" w:hAnsi="David"/>
          <w:rtl/>
        </w:rPr>
      </w:pPr>
      <w:r w:rsidRPr="009A40DB">
        <w:rPr>
          <w:rFonts w:ascii="David" w:eastAsia="Calibri" w:hAnsi="David"/>
          <w:rtl/>
        </w:rPr>
        <w:t xml:space="preserve">בנוסף לאמור לעיל, נוכח התנהגותו של הנאשם, סברתי כי בהחלט יש מקום לשכלל בגדרי מתחם הענישה את השיקול שעניינו </w:t>
      </w:r>
      <w:r w:rsidRPr="009A40DB">
        <w:rPr>
          <w:rFonts w:ascii="David" w:eastAsia="Calibri" w:hAnsi="David"/>
          <w:b/>
          <w:bCs/>
          <w:rtl/>
        </w:rPr>
        <w:t>בהרתעת הרבים</w:t>
      </w:r>
      <w:r w:rsidRPr="009A40DB">
        <w:rPr>
          <w:rFonts w:ascii="David" w:eastAsia="Calibri" w:hAnsi="David"/>
          <w:rtl/>
        </w:rPr>
        <w:t xml:space="preserve"> (בהתאם </w:t>
      </w:r>
      <w:hyperlink r:id="rId45" w:history="1">
        <w:r w:rsidR="006F4E39" w:rsidRPr="006F4E39">
          <w:rPr>
            <w:rStyle w:val="Hyperlink"/>
            <w:rFonts w:ascii="David" w:eastAsia="Calibri" w:hAnsi="David"/>
            <w:color w:val="0000FF"/>
            <w:rtl/>
          </w:rPr>
          <w:t>לסעיף 40ז</w:t>
        </w:r>
      </w:hyperlink>
      <w:r w:rsidRPr="009A40DB">
        <w:rPr>
          <w:rFonts w:ascii="David" w:eastAsia="Calibri" w:hAnsi="David"/>
          <w:rtl/>
        </w:rPr>
        <w:t xml:space="preserve"> לחוק);</w:t>
      </w:r>
      <w:r w:rsidRPr="009A40DB">
        <w:rPr>
          <w:rFonts w:ascii="David" w:eastAsia="Calibri" w:hAnsi="David"/>
        </w:rPr>
        <w:t xml:space="preserve"> </w:t>
      </w:r>
      <w:r w:rsidRPr="009A40DB">
        <w:rPr>
          <w:rFonts w:ascii="David" w:eastAsia="Calibri" w:hAnsi="David"/>
          <w:rtl/>
        </w:rPr>
        <w:t xml:space="preserve">תוך העברת מסר לציבור הרחב שגם סיוע להתנהגות דומה ומסוכנת שכזו אינה מקובלת במחוזותינו.  </w:t>
      </w:r>
    </w:p>
    <w:p w14:paraId="4BA39229" w14:textId="77777777" w:rsidR="00E568CA" w:rsidRDefault="00E568CA" w:rsidP="00E568CA">
      <w:pPr>
        <w:spacing w:line="360" w:lineRule="auto"/>
        <w:jc w:val="both"/>
        <w:rPr>
          <w:rFonts w:ascii="David" w:eastAsia="Calibri" w:hAnsi="David"/>
          <w:rtl/>
        </w:rPr>
      </w:pPr>
    </w:p>
    <w:p w14:paraId="5D2B1A31" w14:textId="77777777" w:rsidR="00E568CA" w:rsidRDefault="00E568CA" w:rsidP="00E568CA">
      <w:pPr>
        <w:spacing w:line="360" w:lineRule="auto"/>
        <w:jc w:val="both"/>
        <w:rPr>
          <w:rFonts w:ascii="David" w:eastAsia="Calibri" w:hAnsi="David"/>
          <w:rtl/>
        </w:rPr>
      </w:pPr>
    </w:p>
    <w:p w14:paraId="5998A7D6" w14:textId="77777777" w:rsidR="00E568CA" w:rsidRDefault="00E568CA" w:rsidP="00E568CA">
      <w:pPr>
        <w:spacing w:line="360" w:lineRule="auto"/>
        <w:jc w:val="both"/>
        <w:rPr>
          <w:rFonts w:ascii="David" w:eastAsia="Calibri" w:hAnsi="David"/>
          <w:rtl/>
        </w:rPr>
      </w:pPr>
    </w:p>
    <w:p w14:paraId="506B9502" w14:textId="77777777" w:rsidR="00E568CA" w:rsidRDefault="00E568CA" w:rsidP="00E568CA">
      <w:pPr>
        <w:spacing w:line="360" w:lineRule="auto"/>
        <w:jc w:val="both"/>
        <w:rPr>
          <w:rFonts w:ascii="David" w:eastAsia="Calibri" w:hAnsi="David"/>
          <w:rtl/>
        </w:rPr>
      </w:pPr>
    </w:p>
    <w:p w14:paraId="4A404684" w14:textId="77777777" w:rsidR="00E568CA" w:rsidRDefault="00E568CA" w:rsidP="00E568CA">
      <w:pPr>
        <w:spacing w:line="360" w:lineRule="auto"/>
        <w:jc w:val="both"/>
        <w:rPr>
          <w:rFonts w:ascii="David" w:eastAsia="Calibri" w:hAnsi="David"/>
          <w:rtl/>
        </w:rPr>
      </w:pPr>
    </w:p>
    <w:p w14:paraId="1EDE1929" w14:textId="77777777" w:rsidR="00E568CA" w:rsidRPr="009A40DB" w:rsidRDefault="00E568CA" w:rsidP="00E568CA">
      <w:pPr>
        <w:spacing w:line="360" w:lineRule="auto"/>
        <w:jc w:val="both"/>
        <w:rPr>
          <w:rFonts w:ascii="David" w:eastAsia="Calibri" w:hAnsi="David"/>
          <w:rtl/>
        </w:rPr>
      </w:pPr>
    </w:p>
    <w:p w14:paraId="49780040" w14:textId="77777777" w:rsidR="00E568CA" w:rsidRPr="009A40DB" w:rsidRDefault="00E568CA" w:rsidP="00E568CA">
      <w:pPr>
        <w:spacing w:line="360" w:lineRule="auto"/>
        <w:jc w:val="both"/>
        <w:rPr>
          <w:rFonts w:ascii="David" w:eastAsia="Calibri" w:hAnsi="David"/>
          <w:rtl/>
        </w:rPr>
      </w:pPr>
      <w:r w:rsidRPr="009A40DB">
        <w:rPr>
          <w:rFonts w:ascii="David" w:eastAsia="Calibri" w:hAnsi="David"/>
          <w:rtl/>
        </w:rPr>
        <w:t>לאחר ששקלתי את כל השיקולים הדרושים לכך, מצאתי לנכון להטיל על הנאשם את העונשים הבאים:</w:t>
      </w:r>
    </w:p>
    <w:p w14:paraId="1BAE8699" w14:textId="77777777" w:rsidR="00E568CA" w:rsidRPr="009A40DB" w:rsidRDefault="00E568CA" w:rsidP="00E568CA">
      <w:pPr>
        <w:spacing w:line="360" w:lineRule="auto"/>
        <w:jc w:val="both"/>
        <w:rPr>
          <w:rFonts w:ascii="David" w:eastAsia="Calibri" w:hAnsi="David"/>
          <w:rtl/>
        </w:rPr>
      </w:pPr>
    </w:p>
    <w:p w14:paraId="116E4BEA" w14:textId="77777777" w:rsidR="00E568CA" w:rsidRPr="009A40DB" w:rsidRDefault="00E568CA" w:rsidP="00E568CA">
      <w:pPr>
        <w:numPr>
          <w:ilvl w:val="0"/>
          <w:numId w:val="2"/>
        </w:numPr>
        <w:overflowPunct w:val="0"/>
        <w:autoSpaceDE w:val="0"/>
        <w:autoSpaceDN w:val="0"/>
        <w:spacing w:after="200" w:line="360" w:lineRule="auto"/>
        <w:jc w:val="both"/>
        <w:rPr>
          <w:rFonts w:ascii="David" w:hAnsi="David"/>
          <w:b/>
          <w:bCs/>
          <w:rtl/>
        </w:rPr>
      </w:pPr>
      <w:r w:rsidRPr="009A40DB">
        <w:rPr>
          <w:rFonts w:ascii="David" w:hAnsi="David"/>
          <w:b/>
          <w:bCs/>
          <w:rtl/>
        </w:rPr>
        <w:t>10 חודשי מאסר לריצוי בפועל מיום מעצרו.</w:t>
      </w:r>
    </w:p>
    <w:p w14:paraId="4F63098D" w14:textId="77777777" w:rsidR="00E568CA" w:rsidRPr="009A40DB" w:rsidRDefault="00E568CA" w:rsidP="00E568CA">
      <w:pPr>
        <w:numPr>
          <w:ilvl w:val="0"/>
          <w:numId w:val="2"/>
        </w:numPr>
        <w:overflowPunct w:val="0"/>
        <w:autoSpaceDE w:val="0"/>
        <w:autoSpaceDN w:val="0"/>
        <w:spacing w:after="200" w:line="360" w:lineRule="auto"/>
        <w:jc w:val="both"/>
        <w:rPr>
          <w:rFonts w:ascii="David" w:hAnsi="David"/>
        </w:rPr>
      </w:pPr>
      <w:r w:rsidRPr="009A40DB">
        <w:rPr>
          <w:rFonts w:ascii="David" w:hAnsi="David"/>
          <w:rtl/>
        </w:rPr>
        <w:t>6 חודשי מאסר על תנאי שלא יעבור במשך 3 שנים עבירות בנשק</w:t>
      </w:r>
      <w:r w:rsidRPr="009A40DB">
        <w:rPr>
          <w:rtl/>
        </w:rPr>
        <w:t xml:space="preserve"> (הכוללות סיוע להן) לפי </w:t>
      </w:r>
      <w:hyperlink r:id="rId46" w:history="1">
        <w:r w:rsidR="006F4E39" w:rsidRPr="006F4E39">
          <w:rPr>
            <w:rStyle w:val="Hyperlink"/>
            <w:color w:val="0000FF"/>
            <w:rtl/>
          </w:rPr>
          <w:t>סעיף 144</w:t>
        </w:r>
      </w:hyperlink>
      <w:r w:rsidRPr="009A40DB">
        <w:rPr>
          <w:rtl/>
        </w:rPr>
        <w:t xml:space="preserve"> ל</w:t>
      </w:r>
      <w:hyperlink r:id="rId47" w:history="1">
        <w:r w:rsidR="008B451A" w:rsidRPr="008B451A">
          <w:rPr>
            <w:color w:val="0000FF"/>
            <w:u w:val="single"/>
            <w:rtl/>
          </w:rPr>
          <w:t>חוק העונשין</w:t>
        </w:r>
      </w:hyperlink>
      <w:r w:rsidRPr="009A40DB">
        <w:rPr>
          <w:rtl/>
        </w:rPr>
        <w:t xml:space="preserve">.  </w:t>
      </w:r>
    </w:p>
    <w:p w14:paraId="2572533F" w14:textId="77777777" w:rsidR="00E568CA" w:rsidRPr="009A40DB" w:rsidRDefault="00E568CA" w:rsidP="00E568CA">
      <w:pPr>
        <w:spacing w:line="360" w:lineRule="auto"/>
        <w:contextualSpacing/>
        <w:jc w:val="both"/>
        <w:rPr>
          <w:rFonts w:ascii="David" w:eastAsia="Calibri" w:hAnsi="David"/>
        </w:rPr>
      </w:pPr>
    </w:p>
    <w:p w14:paraId="2DF05661" w14:textId="77777777" w:rsidR="00E568CA" w:rsidRPr="009A40DB" w:rsidRDefault="00E568CA" w:rsidP="00E568CA">
      <w:pPr>
        <w:spacing w:line="360" w:lineRule="auto"/>
        <w:contextualSpacing/>
        <w:jc w:val="both"/>
        <w:rPr>
          <w:rFonts w:ascii="David" w:eastAsia="Calibri" w:hAnsi="David"/>
          <w:b/>
          <w:bCs/>
          <w:rtl/>
        </w:rPr>
      </w:pPr>
      <w:r w:rsidRPr="009A40DB">
        <w:rPr>
          <w:rFonts w:ascii="David" w:eastAsia="Calibri" w:hAnsi="David"/>
          <w:b/>
          <w:bCs/>
          <w:rtl/>
        </w:rPr>
        <w:t xml:space="preserve">הנשק  והאביזרים יושמדו  לאחר שגזר דינם של כל הנאשמים בפרשה זו יהפוך לחלוט. </w:t>
      </w:r>
    </w:p>
    <w:p w14:paraId="782E8D71" w14:textId="77777777" w:rsidR="00E568CA" w:rsidRPr="009A40DB" w:rsidRDefault="00E568CA" w:rsidP="00E568CA">
      <w:pPr>
        <w:spacing w:line="360" w:lineRule="auto"/>
        <w:contextualSpacing/>
        <w:jc w:val="both"/>
        <w:rPr>
          <w:rFonts w:ascii="David" w:eastAsia="Calibri" w:hAnsi="David"/>
          <w:b/>
          <w:bCs/>
          <w:rtl/>
        </w:rPr>
      </w:pPr>
    </w:p>
    <w:p w14:paraId="2CF52FD3" w14:textId="77777777" w:rsidR="00E568CA" w:rsidRPr="009A40DB" w:rsidRDefault="00E568CA" w:rsidP="00E568CA">
      <w:pPr>
        <w:spacing w:line="360" w:lineRule="auto"/>
        <w:contextualSpacing/>
        <w:jc w:val="both"/>
        <w:rPr>
          <w:rFonts w:ascii="David" w:eastAsia="Calibri" w:hAnsi="David"/>
          <w:b/>
          <w:bCs/>
          <w:rtl/>
        </w:rPr>
      </w:pPr>
      <w:r w:rsidRPr="009A40DB">
        <w:rPr>
          <w:rFonts w:ascii="David" w:eastAsia="Calibri" w:hAnsi="David"/>
          <w:b/>
          <w:bCs/>
          <w:rtl/>
        </w:rPr>
        <w:t xml:space="preserve">זכות ערעור כחוק. </w:t>
      </w:r>
    </w:p>
    <w:p w14:paraId="55386A39" w14:textId="77777777" w:rsidR="00E568CA" w:rsidRPr="000F2247" w:rsidRDefault="00E568CA" w:rsidP="00E568CA">
      <w:pPr>
        <w:rPr>
          <w:rFonts w:ascii="Arial" w:hAnsi="Arial"/>
          <w:b/>
          <w:bCs/>
          <w:sz w:val="26"/>
          <w:szCs w:val="26"/>
          <w:rtl/>
        </w:rPr>
      </w:pPr>
    </w:p>
    <w:p w14:paraId="704FEBDD" w14:textId="77777777" w:rsidR="00E568CA" w:rsidRDefault="008B451A" w:rsidP="00E568CA">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ה' אלול תשפ"ד, 08 ספטמבר 2024, במעמד הצדדים. </w:t>
      </w:r>
      <w:bookmarkEnd w:id="7"/>
      <w:r w:rsidR="00E568CA">
        <w:rPr>
          <w:rFonts w:ascii="Arial" w:hAnsi="Arial"/>
          <w:b/>
          <w:bCs/>
          <w:sz w:val="26"/>
          <w:szCs w:val="26"/>
          <w:rtl/>
        </w:rPr>
        <w:tab/>
      </w:r>
    </w:p>
    <w:tbl>
      <w:tblPr>
        <w:tblpPr w:leftFromText="180" w:rightFromText="180" w:vertAnchor="text" w:horzAnchor="margin" w:tblpY="220"/>
        <w:bidiVisual/>
        <w:tblW w:w="0" w:type="auto"/>
        <w:tblLook w:val="01E0" w:firstRow="1" w:lastRow="1" w:firstColumn="1" w:lastColumn="1" w:noHBand="0" w:noVBand="0"/>
      </w:tblPr>
      <w:tblGrid>
        <w:gridCol w:w="2693"/>
      </w:tblGrid>
      <w:tr w:rsidR="00E568CA" w14:paraId="55C14B1B" w14:textId="77777777" w:rsidTr="00E568CA">
        <w:tc>
          <w:tcPr>
            <w:tcW w:w="2693" w:type="dxa"/>
            <w:tcBorders>
              <w:top w:val="nil"/>
              <w:left w:val="nil"/>
              <w:bottom w:val="single" w:sz="4" w:space="0" w:color="auto"/>
              <w:right w:val="nil"/>
            </w:tcBorders>
            <w:shd w:val="clear" w:color="auto" w:fill="auto"/>
            <w:vAlign w:val="bottom"/>
          </w:tcPr>
          <w:p w14:paraId="45187159" w14:textId="77777777" w:rsidR="00E568CA" w:rsidRPr="00E568CA" w:rsidRDefault="00E568CA" w:rsidP="00E568CA">
            <w:pPr>
              <w:jc w:val="center"/>
              <w:rPr>
                <w:rFonts w:ascii="Courier New" w:hAnsi="Courier New"/>
                <w:b/>
                <w:bCs/>
                <w:lang w:eastAsia="he-IL"/>
              </w:rPr>
            </w:pPr>
          </w:p>
        </w:tc>
      </w:tr>
      <w:tr w:rsidR="00E568CA" w14:paraId="5B74133F" w14:textId="77777777" w:rsidTr="00E568CA">
        <w:tc>
          <w:tcPr>
            <w:tcW w:w="2693" w:type="dxa"/>
            <w:tcBorders>
              <w:top w:val="single" w:sz="4" w:space="0" w:color="auto"/>
              <w:left w:val="nil"/>
              <w:bottom w:val="nil"/>
              <w:right w:val="nil"/>
            </w:tcBorders>
            <w:shd w:val="clear" w:color="auto" w:fill="auto"/>
          </w:tcPr>
          <w:p w14:paraId="736B3A99" w14:textId="77777777" w:rsidR="00E568CA" w:rsidRPr="00E568CA" w:rsidRDefault="00E568CA" w:rsidP="00E568CA">
            <w:pPr>
              <w:jc w:val="center"/>
              <w:rPr>
                <w:b/>
                <w:bCs/>
                <w:noProof/>
                <w:rtl/>
                <w:lang w:eastAsia="he-IL"/>
              </w:rPr>
            </w:pPr>
            <w:r w:rsidRPr="00E568CA">
              <w:rPr>
                <w:rFonts w:hint="cs"/>
                <w:b/>
                <w:bCs/>
                <w:rtl/>
              </w:rPr>
              <w:t>א. לוי, ס. נשיא</w:t>
            </w:r>
          </w:p>
          <w:p w14:paraId="73B40015" w14:textId="77777777" w:rsidR="00E568CA" w:rsidRPr="00E568CA" w:rsidRDefault="00E568CA" w:rsidP="00E568CA">
            <w:pPr>
              <w:jc w:val="center"/>
              <w:rPr>
                <w:b/>
                <w:bCs/>
                <w:noProof/>
                <w:lang w:eastAsia="he-IL"/>
              </w:rPr>
            </w:pPr>
          </w:p>
        </w:tc>
      </w:tr>
    </w:tbl>
    <w:p w14:paraId="0F134E34" w14:textId="77777777" w:rsidR="00E568CA" w:rsidRDefault="00E568CA" w:rsidP="00E568CA">
      <w:pPr>
        <w:spacing w:line="360" w:lineRule="auto"/>
        <w:jc w:val="both"/>
        <w:rPr>
          <w:rFonts w:ascii="Arial" w:hAnsi="Arial"/>
          <w:b/>
          <w:bCs/>
          <w:sz w:val="26"/>
          <w:szCs w:val="26"/>
          <w:rtl/>
        </w:rPr>
      </w:pPr>
    </w:p>
    <w:p w14:paraId="72ABCD18" w14:textId="77777777" w:rsidR="00E568CA" w:rsidRDefault="00E568CA" w:rsidP="00E568CA"/>
    <w:p w14:paraId="43E8185D" w14:textId="77777777" w:rsidR="00E568CA" w:rsidRDefault="00E568CA" w:rsidP="00E568CA">
      <w:pPr>
        <w:rPr>
          <w:lang w:eastAsia="he-IL"/>
        </w:rPr>
      </w:pPr>
    </w:p>
    <w:p w14:paraId="39FB915C" w14:textId="77777777" w:rsidR="00E568CA" w:rsidRPr="008B451A" w:rsidRDefault="008B451A" w:rsidP="00E568CA">
      <w:pPr>
        <w:rPr>
          <w:color w:val="FFFFFF"/>
          <w:sz w:val="2"/>
          <w:szCs w:val="2"/>
          <w:rtl/>
        </w:rPr>
      </w:pPr>
      <w:r w:rsidRPr="008B451A">
        <w:rPr>
          <w:color w:val="FFFFFF"/>
          <w:sz w:val="2"/>
          <w:szCs w:val="2"/>
          <w:rtl/>
        </w:rPr>
        <w:t>5129371</w:t>
      </w:r>
    </w:p>
    <w:p w14:paraId="03044DA4" w14:textId="77777777" w:rsidR="00E568CA" w:rsidRPr="008B451A" w:rsidRDefault="008B451A" w:rsidP="00E568CA">
      <w:pPr>
        <w:rPr>
          <w:color w:val="FFFFFF"/>
          <w:sz w:val="2"/>
          <w:szCs w:val="2"/>
          <w:rtl/>
        </w:rPr>
      </w:pPr>
      <w:r w:rsidRPr="008B451A">
        <w:rPr>
          <w:color w:val="FFFFFF"/>
          <w:sz w:val="2"/>
          <w:szCs w:val="2"/>
          <w:rtl/>
        </w:rPr>
        <w:t>54678313</w:t>
      </w:r>
    </w:p>
    <w:p w14:paraId="57235089" w14:textId="77777777" w:rsidR="00E568CA" w:rsidRDefault="00E568CA" w:rsidP="00E568CA">
      <w:pPr>
        <w:rPr>
          <w:rtl/>
        </w:rPr>
      </w:pPr>
    </w:p>
    <w:p w14:paraId="00D58E50" w14:textId="77777777" w:rsidR="00E568CA" w:rsidRDefault="00E568CA" w:rsidP="00E568CA">
      <w:pPr>
        <w:rPr>
          <w:rtl/>
        </w:rPr>
      </w:pPr>
    </w:p>
    <w:p w14:paraId="1BC144D1" w14:textId="77777777" w:rsidR="00E568CA" w:rsidRDefault="00E568CA" w:rsidP="00E568CA"/>
    <w:p w14:paraId="6079D0C7" w14:textId="77777777" w:rsidR="00E568CA" w:rsidRPr="000F2247" w:rsidRDefault="00E568CA" w:rsidP="00E568CA">
      <w:pPr>
        <w:spacing w:line="360" w:lineRule="auto"/>
        <w:jc w:val="both"/>
        <w:rPr>
          <w:rFonts w:ascii="Arial" w:hAnsi="Arial"/>
          <w:b/>
          <w:bCs/>
          <w:sz w:val="26"/>
          <w:szCs w:val="26"/>
          <w:rtl/>
        </w:rPr>
      </w:pPr>
    </w:p>
    <w:p w14:paraId="3C4B593E" w14:textId="77777777" w:rsidR="00EA3D80" w:rsidRPr="008B451A" w:rsidRDefault="00EA3D80" w:rsidP="008B451A">
      <w:pPr>
        <w:keepNext/>
        <w:rPr>
          <w:rFonts w:ascii="David" w:hAnsi="David"/>
          <w:color w:val="000000"/>
          <w:sz w:val="22"/>
          <w:szCs w:val="22"/>
          <w:rtl/>
        </w:rPr>
      </w:pPr>
    </w:p>
    <w:p w14:paraId="31AB73BE" w14:textId="77777777" w:rsidR="008B451A" w:rsidRPr="008B451A" w:rsidRDefault="008B451A" w:rsidP="008B451A">
      <w:pPr>
        <w:keepNext/>
        <w:rPr>
          <w:rFonts w:ascii="David" w:hAnsi="David"/>
          <w:color w:val="000000"/>
          <w:sz w:val="22"/>
          <w:szCs w:val="22"/>
          <w:rtl/>
        </w:rPr>
      </w:pPr>
      <w:r w:rsidRPr="008B451A">
        <w:rPr>
          <w:rFonts w:ascii="David" w:hAnsi="David"/>
          <w:color w:val="000000"/>
          <w:sz w:val="22"/>
          <w:szCs w:val="22"/>
          <w:rtl/>
        </w:rPr>
        <w:t>אבי לוי 54678313</w:t>
      </w:r>
    </w:p>
    <w:p w14:paraId="19842029" w14:textId="77777777" w:rsidR="008B451A" w:rsidRDefault="008B451A" w:rsidP="008B451A">
      <w:r w:rsidRPr="008B451A">
        <w:rPr>
          <w:color w:val="000000"/>
          <w:rtl/>
        </w:rPr>
        <w:t>נוסח מסמך זה כפוף לשינויי ניסוח ועריכה</w:t>
      </w:r>
    </w:p>
    <w:p w14:paraId="7CD27A17" w14:textId="77777777" w:rsidR="008B451A" w:rsidRDefault="008B451A" w:rsidP="008B451A">
      <w:pPr>
        <w:rPr>
          <w:rtl/>
        </w:rPr>
      </w:pPr>
    </w:p>
    <w:p w14:paraId="31A2C336" w14:textId="77777777" w:rsidR="008B451A" w:rsidRDefault="008B451A" w:rsidP="008B451A">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4C27B606" w14:textId="77777777" w:rsidR="008B451A" w:rsidRPr="008B451A" w:rsidRDefault="008B451A" w:rsidP="008B451A">
      <w:pPr>
        <w:jc w:val="center"/>
        <w:rPr>
          <w:color w:val="0000FF"/>
          <w:u w:val="single"/>
        </w:rPr>
      </w:pPr>
    </w:p>
    <w:sectPr w:rsidR="008B451A" w:rsidRPr="008B451A" w:rsidSect="008B451A">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FE58D" w14:textId="77777777" w:rsidR="00AD4C33" w:rsidRDefault="00AD4C33" w:rsidP="004E3703">
      <w:r>
        <w:separator/>
      </w:r>
    </w:p>
  </w:endnote>
  <w:endnote w:type="continuationSeparator" w:id="0">
    <w:p w14:paraId="59E70BF1" w14:textId="77777777" w:rsidR="00AD4C33" w:rsidRDefault="00AD4C33" w:rsidP="004E3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8B352" w14:textId="77777777" w:rsidR="008B451A" w:rsidRDefault="008B451A" w:rsidP="008B451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D3413C6" w14:textId="77777777" w:rsidR="00820F80" w:rsidRPr="008B451A" w:rsidRDefault="008B451A" w:rsidP="008B451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DB9B5" w14:textId="77777777" w:rsidR="008B451A" w:rsidRDefault="008B451A" w:rsidP="008B451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05A07">
      <w:rPr>
        <w:rFonts w:ascii="FrankRuehl" w:hAnsi="FrankRuehl" w:cs="FrankRuehl"/>
        <w:noProof/>
        <w:rtl/>
      </w:rPr>
      <w:t>1</w:t>
    </w:r>
    <w:r>
      <w:rPr>
        <w:rFonts w:ascii="FrankRuehl" w:hAnsi="FrankRuehl" w:cs="FrankRuehl"/>
        <w:rtl/>
      </w:rPr>
      <w:fldChar w:fldCharType="end"/>
    </w:r>
  </w:p>
  <w:p w14:paraId="7A4A2AC5" w14:textId="77777777" w:rsidR="00820F80" w:rsidRPr="008B451A" w:rsidRDefault="008B451A" w:rsidP="008B451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B91A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090A2" w14:textId="77777777" w:rsidR="00AD4C33" w:rsidRDefault="00AD4C33" w:rsidP="004E3703">
      <w:r>
        <w:separator/>
      </w:r>
    </w:p>
  </w:footnote>
  <w:footnote w:type="continuationSeparator" w:id="0">
    <w:p w14:paraId="31071472" w14:textId="77777777" w:rsidR="00AD4C33" w:rsidRDefault="00AD4C33" w:rsidP="004E3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24D39" w14:textId="77777777" w:rsidR="008B451A" w:rsidRPr="008B451A" w:rsidRDefault="008B451A" w:rsidP="008B451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38624-05-24</w:t>
    </w:r>
    <w:r>
      <w:rPr>
        <w:rFonts w:ascii="David" w:hAnsi="David"/>
        <w:color w:val="000000"/>
        <w:sz w:val="22"/>
        <w:szCs w:val="22"/>
        <w:rtl/>
      </w:rPr>
      <w:tab/>
      <w:t xml:space="preserve"> מדינת ישראל נ' עלי שאהין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3BBD1" w14:textId="77777777" w:rsidR="008B451A" w:rsidRPr="008B451A" w:rsidRDefault="008B451A" w:rsidP="008B451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38624-05-24</w:t>
    </w:r>
    <w:r>
      <w:rPr>
        <w:rFonts w:ascii="David" w:hAnsi="David"/>
        <w:color w:val="000000"/>
        <w:sz w:val="22"/>
        <w:szCs w:val="22"/>
        <w:rtl/>
      </w:rPr>
      <w:tab/>
      <w:t xml:space="preserve"> מדינת ישראל נ' עלי שאהין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675F0"/>
    <w:multiLevelType w:val="hybridMultilevel"/>
    <w:tmpl w:val="F3D4C91A"/>
    <w:lvl w:ilvl="0" w:tplc="04090013">
      <w:start w:val="1"/>
      <w:numFmt w:val="hebrew1"/>
      <w:lvlText w:val="%1."/>
      <w:lvlJc w:val="center"/>
      <w:pPr>
        <w:ind w:left="1543" w:hanging="360"/>
      </w:pPr>
    </w:lvl>
    <w:lvl w:ilvl="1" w:tplc="04090019">
      <w:start w:val="1"/>
      <w:numFmt w:val="lowerLetter"/>
      <w:lvlText w:val="%2."/>
      <w:lvlJc w:val="left"/>
      <w:pPr>
        <w:ind w:left="2263" w:hanging="360"/>
      </w:pPr>
    </w:lvl>
    <w:lvl w:ilvl="2" w:tplc="0409001B">
      <w:start w:val="1"/>
      <w:numFmt w:val="lowerRoman"/>
      <w:lvlText w:val="%3."/>
      <w:lvlJc w:val="right"/>
      <w:pPr>
        <w:ind w:left="2983" w:hanging="180"/>
      </w:pPr>
    </w:lvl>
    <w:lvl w:ilvl="3" w:tplc="0409000F">
      <w:start w:val="1"/>
      <w:numFmt w:val="decimal"/>
      <w:lvlText w:val="%4."/>
      <w:lvlJc w:val="left"/>
      <w:pPr>
        <w:ind w:left="3703" w:hanging="360"/>
      </w:pPr>
    </w:lvl>
    <w:lvl w:ilvl="4" w:tplc="04090019">
      <w:start w:val="1"/>
      <w:numFmt w:val="lowerLetter"/>
      <w:lvlText w:val="%5."/>
      <w:lvlJc w:val="left"/>
      <w:pPr>
        <w:ind w:left="4423" w:hanging="360"/>
      </w:pPr>
    </w:lvl>
    <w:lvl w:ilvl="5" w:tplc="0409001B">
      <w:start w:val="1"/>
      <w:numFmt w:val="lowerRoman"/>
      <w:lvlText w:val="%6."/>
      <w:lvlJc w:val="right"/>
      <w:pPr>
        <w:ind w:left="5143" w:hanging="180"/>
      </w:pPr>
    </w:lvl>
    <w:lvl w:ilvl="6" w:tplc="0409000F">
      <w:start w:val="1"/>
      <w:numFmt w:val="decimal"/>
      <w:lvlText w:val="%7."/>
      <w:lvlJc w:val="left"/>
      <w:pPr>
        <w:ind w:left="5863" w:hanging="360"/>
      </w:pPr>
    </w:lvl>
    <w:lvl w:ilvl="7" w:tplc="04090019">
      <w:start w:val="1"/>
      <w:numFmt w:val="lowerLetter"/>
      <w:lvlText w:val="%8."/>
      <w:lvlJc w:val="left"/>
      <w:pPr>
        <w:ind w:left="6583" w:hanging="360"/>
      </w:pPr>
    </w:lvl>
    <w:lvl w:ilvl="8" w:tplc="0409001B">
      <w:start w:val="1"/>
      <w:numFmt w:val="lowerRoman"/>
      <w:lvlText w:val="%9."/>
      <w:lvlJc w:val="right"/>
      <w:pPr>
        <w:ind w:left="7303" w:hanging="180"/>
      </w:pPr>
    </w:lvl>
  </w:abstractNum>
  <w:abstractNum w:abstractNumId="1" w15:restartNumberingAfterBreak="0">
    <w:nsid w:val="75551F1B"/>
    <w:multiLevelType w:val="hybridMultilevel"/>
    <w:tmpl w:val="F3D4C91A"/>
    <w:lvl w:ilvl="0" w:tplc="04090013">
      <w:start w:val="1"/>
      <w:numFmt w:val="hebrew1"/>
      <w:lvlText w:val="%1."/>
      <w:lvlJc w:val="center"/>
      <w:pPr>
        <w:ind w:left="1543" w:hanging="360"/>
      </w:pPr>
    </w:lvl>
    <w:lvl w:ilvl="1" w:tplc="04090019">
      <w:start w:val="1"/>
      <w:numFmt w:val="lowerLetter"/>
      <w:lvlText w:val="%2."/>
      <w:lvlJc w:val="left"/>
      <w:pPr>
        <w:ind w:left="2263" w:hanging="360"/>
      </w:pPr>
    </w:lvl>
    <w:lvl w:ilvl="2" w:tplc="0409001B">
      <w:start w:val="1"/>
      <w:numFmt w:val="lowerRoman"/>
      <w:lvlText w:val="%3."/>
      <w:lvlJc w:val="right"/>
      <w:pPr>
        <w:ind w:left="2983" w:hanging="180"/>
      </w:pPr>
    </w:lvl>
    <w:lvl w:ilvl="3" w:tplc="0409000F">
      <w:start w:val="1"/>
      <w:numFmt w:val="decimal"/>
      <w:lvlText w:val="%4."/>
      <w:lvlJc w:val="left"/>
      <w:pPr>
        <w:ind w:left="3703" w:hanging="360"/>
      </w:pPr>
    </w:lvl>
    <w:lvl w:ilvl="4" w:tplc="04090019">
      <w:start w:val="1"/>
      <w:numFmt w:val="lowerLetter"/>
      <w:lvlText w:val="%5."/>
      <w:lvlJc w:val="left"/>
      <w:pPr>
        <w:ind w:left="4423" w:hanging="360"/>
      </w:pPr>
    </w:lvl>
    <w:lvl w:ilvl="5" w:tplc="0409001B">
      <w:start w:val="1"/>
      <w:numFmt w:val="lowerRoman"/>
      <w:lvlText w:val="%6."/>
      <w:lvlJc w:val="right"/>
      <w:pPr>
        <w:ind w:left="5143" w:hanging="180"/>
      </w:pPr>
    </w:lvl>
    <w:lvl w:ilvl="6" w:tplc="0409000F">
      <w:start w:val="1"/>
      <w:numFmt w:val="decimal"/>
      <w:lvlText w:val="%7."/>
      <w:lvlJc w:val="left"/>
      <w:pPr>
        <w:ind w:left="5863" w:hanging="360"/>
      </w:pPr>
    </w:lvl>
    <w:lvl w:ilvl="7" w:tplc="04090019">
      <w:start w:val="1"/>
      <w:numFmt w:val="lowerLetter"/>
      <w:lvlText w:val="%8."/>
      <w:lvlJc w:val="left"/>
      <w:pPr>
        <w:ind w:left="6583" w:hanging="360"/>
      </w:pPr>
    </w:lvl>
    <w:lvl w:ilvl="8" w:tplc="0409001B">
      <w:start w:val="1"/>
      <w:numFmt w:val="lowerRoman"/>
      <w:lvlText w:val="%9."/>
      <w:lvlJc w:val="right"/>
      <w:pPr>
        <w:ind w:left="7303" w:hanging="180"/>
      </w:pPr>
    </w:lvl>
  </w:abstractNum>
  <w:num w:numId="1" w16cid:durableId="9373283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51810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568CA"/>
    <w:rsid w:val="004E3703"/>
    <w:rsid w:val="00605A07"/>
    <w:rsid w:val="006F4E39"/>
    <w:rsid w:val="00820F80"/>
    <w:rsid w:val="008B451A"/>
    <w:rsid w:val="009A4E4C"/>
    <w:rsid w:val="00AD4C33"/>
    <w:rsid w:val="00E568CA"/>
    <w:rsid w:val="00EA3D80"/>
    <w:rsid w:val="00FC76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AC4A2E"/>
  <w15:chartTrackingRefBased/>
  <w15:docId w15:val="{A2A7ADE3-28CD-4E13-A81B-D3E0B4F3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68C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568CA"/>
    <w:pPr>
      <w:tabs>
        <w:tab w:val="center" w:pos="4153"/>
        <w:tab w:val="right" w:pos="8306"/>
      </w:tabs>
    </w:pPr>
  </w:style>
  <w:style w:type="character" w:customStyle="1" w:styleId="a4">
    <w:name w:val="כותרת עליונה תו"/>
    <w:link w:val="a3"/>
    <w:rsid w:val="00E568CA"/>
    <w:rPr>
      <w:rFonts w:ascii="Times New Roman" w:eastAsia="Times New Roman" w:hAnsi="Times New Roman" w:cs="David"/>
      <w:sz w:val="24"/>
      <w:szCs w:val="24"/>
    </w:rPr>
  </w:style>
  <w:style w:type="paragraph" w:styleId="a5">
    <w:name w:val="footer"/>
    <w:basedOn w:val="a"/>
    <w:link w:val="a6"/>
    <w:rsid w:val="00E568CA"/>
    <w:pPr>
      <w:tabs>
        <w:tab w:val="center" w:pos="4153"/>
        <w:tab w:val="right" w:pos="8306"/>
      </w:tabs>
    </w:pPr>
  </w:style>
  <w:style w:type="character" w:customStyle="1" w:styleId="a6">
    <w:name w:val="כותרת תחתונה תו"/>
    <w:link w:val="a5"/>
    <w:rsid w:val="00E568CA"/>
    <w:rPr>
      <w:rFonts w:ascii="Times New Roman" w:eastAsia="Times New Roman" w:hAnsi="Times New Roman" w:cs="David"/>
      <w:sz w:val="24"/>
      <w:szCs w:val="24"/>
    </w:rPr>
  </w:style>
  <w:style w:type="table" w:styleId="a7">
    <w:name w:val="Table Grid"/>
    <w:basedOn w:val="a1"/>
    <w:rsid w:val="00E568C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568CA"/>
  </w:style>
  <w:style w:type="character" w:styleId="Hyperlink">
    <w:name w:val="Hyperlink"/>
    <w:rsid w:val="008B451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2690203" TargetMode="External"/><Relationship Id="rId39" Type="http://schemas.openxmlformats.org/officeDocument/2006/relationships/hyperlink" Target="http://www.nevo.co.il/law/70301/144.a"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144.a"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50"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case/28400048" TargetMode="External"/><Relationship Id="rId11" Type="http://schemas.openxmlformats.org/officeDocument/2006/relationships/hyperlink" Target="http://www.nevo.co.il/law/70301/40g" TargetMode="External"/><Relationship Id="rId24" Type="http://schemas.openxmlformats.org/officeDocument/2006/relationships/hyperlink" Target="http://www.nevo.co.il/case/25824863" TargetMode="External"/><Relationship Id="rId32" Type="http://schemas.openxmlformats.org/officeDocument/2006/relationships/hyperlink" Target="http://www.nevo.co.il/case/27502726" TargetMode="External"/><Relationship Id="rId37" Type="http://schemas.openxmlformats.org/officeDocument/2006/relationships/hyperlink" Target="http://www.nevo.co.il/law/70301/144" TargetMode="External"/><Relationship Id="rId40" Type="http://schemas.openxmlformats.org/officeDocument/2006/relationships/hyperlink" Target="http://www.nevo.co.il/law/70301/31" TargetMode="External"/><Relationship Id="rId45" Type="http://schemas.openxmlformats.org/officeDocument/2006/relationships/hyperlink" Target="http://www.nevo.co.il/law/70301/40g"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0301/32.3"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case/20531134" TargetMode="External"/><Relationship Id="rId44" Type="http://schemas.openxmlformats.org/officeDocument/2006/relationships/hyperlink" Target="http://www.nevo.co.il/law/70301/40i"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8384637" TargetMode="External"/><Relationship Id="rId27" Type="http://schemas.openxmlformats.org/officeDocument/2006/relationships/hyperlink" Target="http://www.nevo.co.il/case/29903642" TargetMode="External"/><Relationship Id="rId30" Type="http://schemas.openxmlformats.org/officeDocument/2006/relationships/hyperlink" Target="http://www.nevo.co.il/case/25890687" TargetMode="External"/><Relationship Id="rId35" Type="http://schemas.openxmlformats.org/officeDocument/2006/relationships/hyperlink" Target="http://www.nevo.co.il/law/70301/40i" TargetMode="External"/><Relationship Id="rId43" Type="http://schemas.openxmlformats.org/officeDocument/2006/relationships/hyperlink" Target="http://www.nevo.co.il/law/70301/32.3"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29"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29" TargetMode="External"/><Relationship Id="rId25" Type="http://schemas.openxmlformats.org/officeDocument/2006/relationships/hyperlink" Target="http://www.nevo.co.il/case/21771409" TargetMode="External"/><Relationship Id="rId33" Type="http://schemas.openxmlformats.org/officeDocument/2006/relationships/hyperlink" Target="http://www.nevo.co.il/law/70301/144.g"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144" TargetMode="External"/><Relationship Id="rId20" Type="http://schemas.openxmlformats.org/officeDocument/2006/relationships/hyperlink" Target="http://www.nevo.co.il/law/70301/31" TargetMode="External"/><Relationship Id="rId41" Type="http://schemas.openxmlformats.org/officeDocument/2006/relationships/hyperlink" Target="http://www.nevo.co.il/law/7030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g" TargetMode="External"/><Relationship Id="rId23" Type="http://schemas.openxmlformats.org/officeDocument/2006/relationships/hyperlink" Target="http://www.nevo.co.il/case/25824863" TargetMode="External"/><Relationship Id="rId28" Type="http://schemas.openxmlformats.org/officeDocument/2006/relationships/hyperlink" Target="http://www.nevo.co.il/case/27510949" TargetMode="External"/><Relationship Id="rId36" Type="http://schemas.openxmlformats.org/officeDocument/2006/relationships/hyperlink" Target="http://www.nevo.co.il/law/70301/40g"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2750</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16468</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6357092</vt:i4>
      </vt:variant>
      <vt:variant>
        <vt:i4>117</vt:i4>
      </vt:variant>
      <vt:variant>
        <vt:i4>0</vt:i4>
      </vt:variant>
      <vt:variant>
        <vt:i4>5</vt:i4>
      </vt:variant>
      <vt:variant>
        <vt:lpwstr>http://www.nevo.co.il/law/70301/144</vt:lpwstr>
      </vt:variant>
      <vt:variant>
        <vt:lpwstr/>
      </vt:variant>
      <vt:variant>
        <vt:i4>6619233</vt:i4>
      </vt:variant>
      <vt:variant>
        <vt:i4>114</vt:i4>
      </vt:variant>
      <vt:variant>
        <vt:i4>0</vt:i4>
      </vt:variant>
      <vt:variant>
        <vt:i4>5</vt:i4>
      </vt:variant>
      <vt:variant>
        <vt:lpwstr>http://www.nevo.co.il/law/70301/40g</vt:lpwstr>
      </vt:variant>
      <vt:variant>
        <vt:lpwstr/>
      </vt:variant>
      <vt:variant>
        <vt:i4>6619233</vt:i4>
      </vt:variant>
      <vt:variant>
        <vt:i4>111</vt:i4>
      </vt:variant>
      <vt:variant>
        <vt:i4>0</vt:i4>
      </vt:variant>
      <vt:variant>
        <vt:i4>5</vt:i4>
      </vt:variant>
      <vt:variant>
        <vt:lpwstr>http://www.nevo.co.il/law/70301/40i</vt:lpwstr>
      </vt:variant>
      <vt:variant>
        <vt:lpwstr/>
      </vt:variant>
      <vt:variant>
        <vt:i4>5505096</vt:i4>
      </vt:variant>
      <vt:variant>
        <vt:i4>108</vt:i4>
      </vt:variant>
      <vt:variant>
        <vt:i4>0</vt:i4>
      </vt:variant>
      <vt:variant>
        <vt:i4>5</vt:i4>
      </vt:variant>
      <vt:variant>
        <vt:lpwstr>http://www.nevo.co.il/law/70301/32.3</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6553702</vt:i4>
      </vt:variant>
      <vt:variant>
        <vt:i4>99</vt:i4>
      </vt:variant>
      <vt:variant>
        <vt:i4>0</vt:i4>
      </vt:variant>
      <vt:variant>
        <vt:i4>5</vt:i4>
      </vt:variant>
      <vt:variant>
        <vt:lpwstr>http://www.nevo.co.il/law/70301/31</vt:lpwstr>
      </vt:variant>
      <vt:variant>
        <vt:lpwstr/>
      </vt:variant>
      <vt:variant>
        <vt:i4>5177424</vt:i4>
      </vt:variant>
      <vt:variant>
        <vt:i4>96</vt:i4>
      </vt:variant>
      <vt:variant>
        <vt:i4>0</vt:i4>
      </vt:variant>
      <vt:variant>
        <vt:i4>5</vt:i4>
      </vt:variant>
      <vt:variant>
        <vt:lpwstr>http://www.nevo.co.il/law/70301/144.a</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6357092</vt:i4>
      </vt:variant>
      <vt:variant>
        <vt:i4>90</vt:i4>
      </vt:variant>
      <vt:variant>
        <vt:i4>0</vt:i4>
      </vt:variant>
      <vt:variant>
        <vt:i4>5</vt:i4>
      </vt:variant>
      <vt:variant>
        <vt:lpwstr>http://www.nevo.co.il/law/70301/144</vt:lpwstr>
      </vt:variant>
      <vt:variant>
        <vt:lpwstr/>
      </vt:variant>
      <vt:variant>
        <vt:i4>6619233</vt:i4>
      </vt:variant>
      <vt:variant>
        <vt:i4>87</vt:i4>
      </vt:variant>
      <vt:variant>
        <vt:i4>0</vt:i4>
      </vt:variant>
      <vt:variant>
        <vt:i4>5</vt:i4>
      </vt:variant>
      <vt:variant>
        <vt:lpwstr>http://www.nevo.co.il/law/70301/40g</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5177424</vt:i4>
      </vt:variant>
      <vt:variant>
        <vt:i4>81</vt:i4>
      </vt:variant>
      <vt:variant>
        <vt:i4>0</vt:i4>
      </vt:variant>
      <vt:variant>
        <vt:i4>5</vt:i4>
      </vt:variant>
      <vt:variant>
        <vt:lpwstr>http://www.nevo.co.il/law/70301/144.a</vt:lpwstr>
      </vt:variant>
      <vt:variant>
        <vt:lpwstr/>
      </vt:variant>
      <vt:variant>
        <vt:i4>5177424</vt:i4>
      </vt:variant>
      <vt:variant>
        <vt:i4>78</vt:i4>
      </vt:variant>
      <vt:variant>
        <vt:i4>0</vt:i4>
      </vt:variant>
      <vt:variant>
        <vt:i4>5</vt:i4>
      </vt:variant>
      <vt:variant>
        <vt:lpwstr>http://www.nevo.co.il/law/70301/144.g</vt:lpwstr>
      </vt:variant>
      <vt:variant>
        <vt:lpwstr/>
      </vt:variant>
      <vt:variant>
        <vt:i4>3604596</vt:i4>
      </vt:variant>
      <vt:variant>
        <vt:i4>75</vt:i4>
      </vt:variant>
      <vt:variant>
        <vt:i4>0</vt:i4>
      </vt:variant>
      <vt:variant>
        <vt:i4>5</vt:i4>
      </vt:variant>
      <vt:variant>
        <vt:lpwstr>http://www.nevo.co.il/case/27502726</vt:lpwstr>
      </vt:variant>
      <vt:variant>
        <vt:lpwstr/>
      </vt:variant>
      <vt:variant>
        <vt:i4>3473526</vt:i4>
      </vt:variant>
      <vt:variant>
        <vt:i4>72</vt:i4>
      </vt:variant>
      <vt:variant>
        <vt:i4>0</vt:i4>
      </vt:variant>
      <vt:variant>
        <vt:i4>5</vt:i4>
      </vt:variant>
      <vt:variant>
        <vt:lpwstr>http://www.nevo.co.il/case/20531134</vt:lpwstr>
      </vt:variant>
      <vt:variant>
        <vt:lpwstr/>
      </vt:variant>
      <vt:variant>
        <vt:i4>3276926</vt:i4>
      </vt:variant>
      <vt:variant>
        <vt:i4>69</vt:i4>
      </vt:variant>
      <vt:variant>
        <vt:i4>0</vt:i4>
      </vt:variant>
      <vt:variant>
        <vt:i4>5</vt:i4>
      </vt:variant>
      <vt:variant>
        <vt:lpwstr>http://www.nevo.co.il/case/25890687</vt:lpwstr>
      </vt:variant>
      <vt:variant>
        <vt:lpwstr/>
      </vt:variant>
      <vt:variant>
        <vt:i4>3276924</vt:i4>
      </vt:variant>
      <vt:variant>
        <vt:i4>66</vt:i4>
      </vt:variant>
      <vt:variant>
        <vt:i4>0</vt:i4>
      </vt:variant>
      <vt:variant>
        <vt:i4>5</vt:i4>
      </vt:variant>
      <vt:variant>
        <vt:lpwstr>http://www.nevo.co.il/case/28400048</vt:lpwstr>
      </vt:variant>
      <vt:variant>
        <vt:lpwstr/>
      </vt:variant>
      <vt:variant>
        <vt:i4>3342459</vt:i4>
      </vt:variant>
      <vt:variant>
        <vt:i4>63</vt:i4>
      </vt:variant>
      <vt:variant>
        <vt:i4>0</vt:i4>
      </vt:variant>
      <vt:variant>
        <vt:i4>5</vt:i4>
      </vt:variant>
      <vt:variant>
        <vt:lpwstr>http://www.nevo.co.il/case/27510949</vt:lpwstr>
      </vt:variant>
      <vt:variant>
        <vt:lpwstr/>
      </vt:variant>
      <vt:variant>
        <vt:i4>3932283</vt:i4>
      </vt:variant>
      <vt:variant>
        <vt:i4>60</vt:i4>
      </vt:variant>
      <vt:variant>
        <vt:i4>0</vt:i4>
      </vt:variant>
      <vt:variant>
        <vt:i4>5</vt:i4>
      </vt:variant>
      <vt:variant>
        <vt:lpwstr>http://www.nevo.co.il/case/29903642</vt:lpwstr>
      </vt:variant>
      <vt:variant>
        <vt:lpwstr/>
      </vt:variant>
      <vt:variant>
        <vt:i4>3407997</vt:i4>
      </vt:variant>
      <vt:variant>
        <vt:i4>57</vt:i4>
      </vt:variant>
      <vt:variant>
        <vt:i4>0</vt:i4>
      </vt:variant>
      <vt:variant>
        <vt:i4>5</vt:i4>
      </vt:variant>
      <vt:variant>
        <vt:lpwstr>http://www.nevo.co.il/case/22690203</vt:lpwstr>
      </vt:variant>
      <vt:variant>
        <vt:lpwstr/>
      </vt:variant>
      <vt:variant>
        <vt:i4>3407990</vt:i4>
      </vt:variant>
      <vt:variant>
        <vt:i4>54</vt:i4>
      </vt:variant>
      <vt:variant>
        <vt:i4>0</vt:i4>
      </vt:variant>
      <vt:variant>
        <vt:i4>5</vt:i4>
      </vt:variant>
      <vt:variant>
        <vt:lpwstr>http://www.nevo.co.il/case/21771409</vt:lpwstr>
      </vt:variant>
      <vt:variant>
        <vt:lpwstr/>
      </vt:variant>
      <vt:variant>
        <vt:i4>3670139</vt:i4>
      </vt:variant>
      <vt:variant>
        <vt:i4>51</vt:i4>
      </vt:variant>
      <vt:variant>
        <vt:i4>0</vt:i4>
      </vt:variant>
      <vt:variant>
        <vt:i4>5</vt:i4>
      </vt:variant>
      <vt:variant>
        <vt:lpwstr>http://www.nevo.co.il/case/25824863</vt:lpwstr>
      </vt:variant>
      <vt:variant>
        <vt:lpwstr/>
      </vt:variant>
      <vt:variant>
        <vt:i4>3670139</vt:i4>
      </vt:variant>
      <vt:variant>
        <vt:i4>48</vt:i4>
      </vt:variant>
      <vt:variant>
        <vt:i4>0</vt:i4>
      </vt:variant>
      <vt:variant>
        <vt:i4>5</vt:i4>
      </vt:variant>
      <vt:variant>
        <vt:lpwstr>http://www.nevo.co.il/case/25824863</vt:lpwstr>
      </vt:variant>
      <vt:variant>
        <vt:lpwstr/>
      </vt:variant>
      <vt:variant>
        <vt:i4>3539058</vt:i4>
      </vt:variant>
      <vt:variant>
        <vt:i4>45</vt:i4>
      </vt:variant>
      <vt:variant>
        <vt:i4>0</vt:i4>
      </vt:variant>
      <vt:variant>
        <vt:i4>5</vt:i4>
      </vt:variant>
      <vt:variant>
        <vt:lpwstr>http://www.nevo.co.il/case/28384637</vt:lpwstr>
      </vt:variant>
      <vt:variant>
        <vt:lpwstr/>
      </vt:variant>
      <vt:variant>
        <vt:i4>7995492</vt:i4>
      </vt:variant>
      <vt:variant>
        <vt:i4>42</vt:i4>
      </vt:variant>
      <vt:variant>
        <vt:i4>0</vt:i4>
      </vt:variant>
      <vt:variant>
        <vt:i4>5</vt:i4>
      </vt:variant>
      <vt:variant>
        <vt:lpwstr>http://www.nevo.co.il/law/70301</vt:lpwstr>
      </vt:variant>
      <vt:variant>
        <vt:lpwstr/>
      </vt:variant>
      <vt:variant>
        <vt:i4>6553702</vt:i4>
      </vt:variant>
      <vt:variant>
        <vt:i4>39</vt:i4>
      </vt:variant>
      <vt:variant>
        <vt:i4>0</vt:i4>
      </vt:variant>
      <vt:variant>
        <vt:i4>5</vt:i4>
      </vt:variant>
      <vt:variant>
        <vt:lpwstr>http://www.nevo.co.il/law/70301/31</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5177424</vt:i4>
      </vt:variant>
      <vt:variant>
        <vt:i4>24</vt:i4>
      </vt:variant>
      <vt:variant>
        <vt:i4>0</vt:i4>
      </vt:variant>
      <vt:variant>
        <vt:i4>5</vt:i4>
      </vt:variant>
      <vt:variant>
        <vt:lpwstr>http://www.nevo.co.il/law/70301/144.g</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6357092</vt:i4>
      </vt:variant>
      <vt:variant>
        <vt:i4>18</vt:i4>
      </vt:variant>
      <vt:variant>
        <vt:i4>0</vt:i4>
      </vt:variant>
      <vt:variant>
        <vt:i4>5</vt:i4>
      </vt:variant>
      <vt:variant>
        <vt:lpwstr>http://www.nevo.co.il/law/70301/144</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http://www.nevo.co.il/law/70301/40g</vt:lpwstr>
      </vt:variant>
      <vt:variant>
        <vt:lpwstr/>
      </vt:variant>
      <vt:variant>
        <vt:i4>5505096</vt:i4>
      </vt:variant>
      <vt:variant>
        <vt:i4>9</vt:i4>
      </vt:variant>
      <vt:variant>
        <vt:i4>0</vt:i4>
      </vt:variant>
      <vt:variant>
        <vt:i4>5</vt:i4>
      </vt:variant>
      <vt:variant>
        <vt:lpwstr>http://www.nevo.co.il/law/70301/32.3</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2025-04-25T11:02:00Z</dcterms:created>
  <dcterms:modified xsi:type="dcterms:W3CDTF">2025-04-25T11:02:00Z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38624</vt:lpwstr>
  </property>
  <property fmtid="{D5CDD505-2E9C-101B-9397-08002B2CF9AE}" pid="6" name="NEWPARTB">
    <vt:lpwstr>05</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עלי שאהין;מוחמד שאהין;סאבר חיג'אזי</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20240908</vt:lpwstr>
  </property>
  <property fmtid="{D5CDD505-2E9C-101B-9397-08002B2CF9AE}" pid="13" name="TYPE_N_DATE">
    <vt:lpwstr>39020240908</vt:lpwstr>
  </property>
  <property fmtid="{D5CDD505-2E9C-101B-9397-08002B2CF9AE}" pid="14" name="CASESLISTTMP1">
    <vt:lpwstr>28384637;25824863:2;21771409;22690203;29903642;27510949;28400048;25890687;20531134;27502726</vt:lpwstr>
  </property>
  <property fmtid="{D5CDD505-2E9C-101B-9397-08002B2CF9AE}" pid="15" name="WORDNUMPAGES">
    <vt:lpwstr>8</vt:lpwstr>
  </property>
  <property fmtid="{D5CDD505-2E9C-101B-9397-08002B2CF9AE}" pid="16" name="TYPE_ABS_DATE">
    <vt:lpwstr>390020240908</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70301/144.a:4;029;031:2;144.g;040i:2;040g:2;144:2;032.3</vt:lpwstr>
  </property>
</Properties>
</file>