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381"/>
        <w:gridCol w:w="3124"/>
      </w:tblGrid>
      <w:tr w:rsidR="003E3156" w:rsidRPr="0006437F" w14:paraId="2F7AD99C" w14:textId="77777777" w:rsidTr="005C61FF">
        <w:trPr>
          <w:trHeight w:hRule="exact" w:val="418"/>
          <w:jc w:val="center"/>
        </w:trPr>
        <w:tc>
          <w:tcPr>
            <w:tcW w:w="8505" w:type="dxa"/>
            <w:gridSpan w:val="2"/>
          </w:tcPr>
          <w:p w14:paraId="30EDD7C1" w14:textId="77777777" w:rsidR="003E3156" w:rsidRPr="0006437F" w:rsidRDefault="003E3156" w:rsidP="005C61FF">
            <w:pPr>
              <w:pStyle w:val="a3"/>
              <w:jc w:val="center"/>
              <w:rPr>
                <w:rFonts w:ascii="Tahoma" w:hAnsi="Tahoma" w:cs="Tahoma"/>
                <w:color w:val="000080"/>
                <w:rtl/>
              </w:rPr>
            </w:pPr>
            <w:bookmarkStart w:id="0" w:name="LastJudge"/>
            <w:r w:rsidRPr="0006437F">
              <w:rPr>
                <w:rFonts w:ascii="Tahoma" w:hAnsi="Tahoma" w:cs="Tahoma"/>
                <w:b/>
                <w:bCs/>
                <w:color w:val="000080"/>
                <w:rtl/>
              </w:rPr>
              <w:t>בית המשפט המחוזי בחיפה</w:t>
            </w:r>
          </w:p>
        </w:tc>
      </w:tr>
      <w:tr w:rsidR="003E3156" w:rsidRPr="0006437F" w14:paraId="59378C7E" w14:textId="77777777" w:rsidTr="005C61FF">
        <w:trPr>
          <w:trHeight w:val="337"/>
          <w:jc w:val="center"/>
        </w:trPr>
        <w:tc>
          <w:tcPr>
            <w:tcW w:w="5381" w:type="dxa"/>
          </w:tcPr>
          <w:p w14:paraId="16FB0EFD" w14:textId="77777777" w:rsidR="003E3156" w:rsidRPr="0006437F" w:rsidRDefault="003E3156" w:rsidP="005C61FF">
            <w:pPr>
              <w:rPr>
                <w:rFonts w:cs="FrankRuehl"/>
                <w:sz w:val="28"/>
                <w:szCs w:val="28"/>
                <w:rtl/>
              </w:rPr>
            </w:pPr>
            <w:r w:rsidRPr="0006437F">
              <w:rPr>
                <w:rFonts w:ascii="David" w:hAnsi="David"/>
                <w:b/>
                <w:bCs/>
                <w:sz w:val="28"/>
                <w:szCs w:val="28"/>
                <w:rtl/>
              </w:rPr>
              <w:t>ת"פ 45098-05-24 מדינת ישראל נ' מחמוד(עציר)</w:t>
            </w:r>
          </w:p>
        </w:tc>
        <w:tc>
          <w:tcPr>
            <w:tcW w:w="3124" w:type="dxa"/>
          </w:tcPr>
          <w:p w14:paraId="387AC72B" w14:textId="77777777" w:rsidR="003E3156" w:rsidRPr="0006437F" w:rsidRDefault="003E3156" w:rsidP="005C61FF">
            <w:pPr>
              <w:pStyle w:val="a3"/>
              <w:jc w:val="right"/>
              <w:rPr>
                <w:rFonts w:cs="FrankRuehl"/>
                <w:sz w:val="28"/>
                <w:szCs w:val="28"/>
                <w:rtl/>
              </w:rPr>
            </w:pPr>
          </w:p>
        </w:tc>
      </w:tr>
    </w:tbl>
    <w:p w14:paraId="4315AFBD" w14:textId="77777777" w:rsidR="003E3156" w:rsidRPr="0006437F" w:rsidRDefault="003E3156" w:rsidP="00DC5A8A">
      <w:pPr>
        <w:pStyle w:val="a3"/>
        <w:rPr>
          <w:rFonts w:ascii="Arial" w:hAnsi="Arial"/>
          <w:szCs w:val="26"/>
          <w:rtl/>
        </w:rPr>
      </w:pPr>
      <w:r w:rsidRPr="0006437F">
        <w:rPr>
          <w:rFonts w:hint="cs"/>
          <w:rtl/>
        </w:rPr>
        <w:t xml:space="preserve"> </w:t>
      </w:r>
    </w:p>
    <w:tbl>
      <w:tblPr>
        <w:bidiVisual/>
        <w:tblW w:w="8802" w:type="dxa"/>
        <w:tblInd w:w="-28" w:type="dxa"/>
        <w:tblLook w:val="01E0" w:firstRow="1" w:lastRow="1" w:firstColumn="1" w:lastColumn="1" w:noHBand="0" w:noVBand="0"/>
      </w:tblPr>
      <w:tblGrid>
        <w:gridCol w:w="2880"/>
        <w:gridCol w:w="5838"/>
        <w:gridCol w:w="84"/>
      </w:tblGrid>
      <w:tr w:rsidR="003E3156" w:rsidRPr="0006437F" w14:paraId="7C6FBAF4" w14:textId="77777777" w:rsidTr="003E3156">
        <w:trPr>
          <w:gridAfter w:val="1"/>
          <w:wAfter w:w="56" w:type="dxa"/>
        </w:trPr>
        <w:tc>
          <w:tcPr>
            <w:tcW w:w="8718" w:type="dxa"/>
            <w:gridSpan w:val="2"/>
            <w:shd w:val="clear" w:color="auto" w:fill="auto"/>
          </w:tcPr>
          <w:p w14:paraId="3203CA11" w14:textId="77777777" w:rsidR="003E3156" w:rsidRPr="0006437F" w:rsidRDefault="003E3156" w:rsidP="003E3156">
            <w:pPr>
              <w:jc w:val="both"/>
              <w:rPr>
                <w:b/>
                <w:bCs/>
                <w:sz w:val="26"/>
                <w:szCs w:val="26"/>
                <w:rtl/>
              </w:rPr>
            </w:pPr>
            <w:r w:rsidRPr="0006437F">
              <w:rPr>
                <w:rFonts w:hint="cs"/>
                <w:b/>
                <w:bCs/>
                <w:sz w:val="26"/>
                <w:szCs w:val="26"/>
                <w:rtl/>
              </w:rPr>
              <w:t>לפני כבוד השופט שלמה בנג'ו</w:t>
            </w:r>
          </w:p>
          <w:p w14:paraId="566BB0F0" w14:textId="77777777" w:rsidR="003E3156" w:rsidRPr="0006437F" w:rsidRDefault="003E3156" w:rsidP="003E3156">
            <w:pPr>
              <w:jc w:val="both"/>
              <w:rPr>
                <w:b/>
                <w:bCs/>
                <w:sz w:val="26"/>
                <w:szCs w:val="26"/>
                <w:rtl/>
              </w:rPr>
            </w:pPr>
          </w:p>
        </w:tc>
      </w:tr>
      <w:tr w:rsidR="003E3156" w:rsidRPr="0006437F" w14:paraId="4FFCFB6A" w14:textId="77777777" w:rsidTr="003E3156">
        <w:trPr>
          <w:cantSplit/>
          <w:trHeight w:val="501"/>
        </w:trPr>
        <w:tc>
          <w:tcPr>
            <w:tcW w:w="2880" w:type="dxa"/>
            <w:shd w:val="clear" w:color="auto" w:fill="auto"/>
          </w:tcPr>
          <w:p w14:paraId="656425B0" w14:textId="77777777" w:rsidR="003E3156" w:rsidRPr="0006437F" w:rsidRDefault="003E3156" w:rsidP="003E3156">
            <w:pPr>
              <w:ind w:left="26"/>
              <w:jc w:val="both"/>
              <w:rPr>
                <w:b/>
                <w:bCs/>
                <w:sz w:val="26"/>
                <w:szCs w:val="26"/>
                <w:rtl/>
              </w:rPr>
            </w:pPr>
            <w:bookmarkStart w:id="1" w:name="FirstAppellant"/>
            <w:r w:rsidRPr="0006437F">
              <w:rPr>
                <w:rFonts w:hint="cs"/>
                <w:b/>
                <w:bCs/>
                <w:sz w:val="26"/>
                <w:szCs w:val="26"/>
                <w:rtl/>
              </w:rPr>
              <w:t>המאשימה:</w:t>
            </w:r>
          </w:p>
          <w:p w14:paraId="4E06C54D" w14:textId="77777777" w:rsidR="003E3156" w:rsidRPr="0006437F" w:rsidRDefault="003E3156" w:rsidP="003E3156">
            <w:pPr>
              <w:jc w:val="both"/>
              <w:rPr>
                <w:b/>
                <w:bCs/>
                <w:sz w:val="26"/>
                <w:szCs w:val="26"/>
                <w:rtl/>
              </w:rPr>
            </w:pPr>
          </w:p>
        </w:tc>
        <w:tc>
          <w:tcPr>
            <w:tcW w:w="5922" w:type="dxa"/>
            <w:gridSpan w:val="2"/>
            <w:shd w:val="clear" w:color="auto" w:fill="auto"/>
          </w:tcPr>
          <w:p w14:paraId="74CBF82E" w14:textId="77777777" w:rsidR="003E3156" w:rsidRPr="0006437F" w:rsidRDefault="003E3156" w:rsidP="003E3156">
            <w:pPr>
              <w:jc w:val="both"/>
              <w:rPr>
                <w:b/>
                <w:bCs/>
                <w:sz w:val="26"/>
                <w:szCs w:val="26"/>
                <w:rtl/>
              </w:rPr>
            </w:pPr>
            <w:r w:rsidRPr="0006437F">
              <w:rPr>
                <w:rFonts w:hint="cs"/>
                <w:b/>
                <w:bCs/>
                <w:sz w:val="26"/>
                <w:szCs w:val="26"/>
                <w:rtl/>
              </w:rPr>
              <w:t>מדינת ישראל</w:t>
            </w:r>
          </w:p>
        </w:tc>
      </w:tr>
      <w:bookmarkEnd w:id="1"/>
      <w:tr w:rsidR="003E3156" w:rsidRPr="0006437F" w14:paraId="389C6C8F" w14:textId="77777777" w:rsidTr="003E3156">
        <w:tc>
          <w:tcPr>
            <w:tcW w:w="8802" w:type="dxa"/>
            <w:gridSpan w:val="3"/>
            <w:shd w:val="clear" w:color="auto" w:fill="auto"/>
            <w:vAlign w:val="center"/>
          </w:tcPr>
          <w:p w14:paraId="3745F158" w14:textId="77777777" w:rsidR="003E3156" w:rsidRPr="0006437F" w:rsidRDefault="003E3156" w:rsidP="003E3156">
            <w:pPr>
              <w:jc w:val="center"/>
              <w:rPr>
                <w:rFonts w:ascii="Arial" w:hAnsi="Arial"/>
                <w:b/>
                <w:bCs/>
                <w:sz w:val="26"/>
                <w:szCs w:val="26"/>
                <w:rtl/>
              </w:rPr>
            </w:pPr>
          </w:p>
          <w:p w14:paraId="11487CA9" w14:textId="77777777" w:rsidR="003E3156" w:rsidRPr="0006437F" w:rsidRDefault="003E3156" w:rsidP="003E3156">
            <w:pPr>
              <w:jc w:val="center"/>
              <w:rPr>
                <w:rFonts w:ascii="Arial" w:hAnsi="Arial"/>
                <w:b/>
                <w:bCs/>
                <w:sz w:val="26"/>
                <w:szCs w:val="26"/>
                <w:rtl/>
              </w:rPr>
            </w:pPr>
            <w:r w:rsidRPr="0006437F">
              <w:rPr>
                <w:rFonts w:ascii="Arial" w:hAnsi="Arial" w:hint="cs"/>
                <w:b/>
                <w:bCs/>
                <w:sz w:val="26"/>
                <w:szCs w:val="26"/>
                <w:rtl/>
              </w:rPr>
              <w:t>- נגד -</w:t>
            </w:r>
          </w:p>
          <w:p w14:paraId="24E32202" w14:textId="77777777" w:rsidR="003E3156" w:rsidRPr="0006437F" w:rsidRDefault="003E3156" w:rsidP="003E3156">
            <w:pPr>
              <w:jc w:val="center"/>
              <w:rPr>
                <w:rFonts w:ascii="Arial" w:hAnsi="Arial"/>
                <w:b/>
                <w:bCs/>
                <w:sz w:val="26"/>
                <w:szCs w:val="26"/>
                <w:rtl/>
              </w:rPr>
            </w:pPr>
          </w:p>
        </w:tc>
      </w:tr>
      <w:tr w:rsidR="003E3156" w:rsidRPr="0006437F" w14:paraId="58B2FC8E" w14:textId="77777777" w:rsidTr="003E3156">
        <w:tc>
          <w:tcPr>
            <w:tcW w:w="2880" w:type="dxa"/>
            <w:shd w:val="clear" w:color="auto" w:fill="auto"/>
          </w:tcPr>
          <w:p w14:paraId="63FD8EE0" w14:textId="77777777" w:rsidR="003E3156" w:rsidRPr="0006437F" w:rsidRDefault="003E3156" w:rsidP="003E3156">
            <w:pPr>
              <w:ind w:left="26"/>
              <w:jc w:val="both"/>
              <w:rPr>
                <w:b/>
                <w:bCs/>
                <w:sz w:val="26"/>
                <w:szCs w:val="26"/>
                <w:rtl/>
              </w:rPr>
            </w:pPr>
            <w:bookmarkStart w:id="2" w:name="FirstLawyer"/>
            <w:r w:rsidRPr="0006437F">
              <w:rPr>
                <w:rFonts w:hint="cs"/>
                <w:b/>
                <w:bCs/>
                <w:sz w:val="26"/>
                <w:szCs w:val="26"/>
                <w:rtl/>
              </w:rPr>
              <w:t>הנאשם:</w:t>
            </w:r>
          </w:p>
        </w:tc>
        <w:tc>
          <w:tcPr>
            <w:tcW w:w="5922" w:type="dxa"/>
            <w:gridSpan w:val="2"/>
            <w:shd w:val="clear" w:color="auto" w:fill="auto"/>
          </w:tcPr>
          <w:p w14:paraId="115F1AEB" w14:textId="77777777" w:rsidR="003E3156" w:rsidRPr="0006437F" w:rsidRDefault="003E3156" w:rsidP="003E3156">
            <w:pPr>
              <w:jc w:val="both"/>
              <w:rPr>
                <w:b/>
                <w:bCs/>
                <w:sz w:val="26"/>
                <w:szCs w:val="26"/>
                <w:rtl/>
              </w:rPr>
            </w:pPr>
            <w:r w:rsidRPr="0006437F">
              <w:rPr>
                <w:rFonts w:hint="cs"/>
                <w:b/>
                <w:bCs/>
                <w:sz w:val="26"/>
                <w:szCs w:val="26"/>
                <w:rtl/>
              </w:rPr>
              <w:t xml:space="preserve">עומר מחמוד (עציר) ת"ז </w:t>
            </w:r>
            <w:r w:rsidR="0006437F">
              <w:rPr>
                <w:b/>
                <w:bCs/>
                <w:sz w:val="26"/>
                <w:szCs w:val="26"/>
              </w:rPr>
              <w:t>xxxxxxxxx</w:t>
            </w:r>
          </w:p>
          <w:p w14:paraId="0898604C" w14:textId="77777777" w:rsidR="003E3156" w:rsidRPr="0006437F" w:rsidRDefault="003E3156" w:rsidP="003E3156">
            <w:pPr>
              <w:jc w:val="both"/>
              <w:rPr>
                <w:b/>
                <w:bCs/>
                <w:sz w:val="26"/>
                <w:szCs w:val="26"/>
              </w:rPr>
            </w:pPr>
            <w:r w:rsidRPr="0006437F">
              <w:rPr>
                <w:rFonts w:hint="cs"/>
                <w:sz w:val="26"/>
                <w:szCs w:val="26"/>
                <w:rtl/>
              </w:rPr>
              <w:t>ע"י ב"כ עו"ד באסל פלאח</w:t>
            </w:r>
          </w:p>
        </w:tc>
      </w:tr>
      <w:bookmarkEnd w:id="2"/>
    </w:tbl>
    <w:p w14:paraId="658FAF39" w14:textId="77777777" w:rsidR="0006437F" w:rsidRPr="0006437F" w:rsidRDefault="0006437F" w:rsidP="0006437F">
      <w:pPr>
        <w:spacing w:before="120" w:after="120" w:line="240" w:lineRule="exact"/>
        <w:ind w:left="283" w:hanging="283"/>
        <w:jc w:val="both"/>
        <w:rPr>
          <w:rFonts w:ascii="FrankRuehl" w:hAnsi="FrankRuehl" w:cs="FrankRuehl"/>
          <w:rtl/>
        </w:rPr>
      </w:pPr>
    </w:p>
    <w:p w14:paraId="5441FD2A" w14:textId="77777777" w:rsidR="0006437F" w:rsidRPr="0006437F" w:rsidRDefault="0006437F" w:rsidP="0006437F">
      <w:pPr>
        <w:rPr>
          <w:rFonts w:ascii="Arial" w:hAnsi="Arial"/>
          <w:sz w:val="26"/>
          <w:szCs w:val="26"/>
          <w:rtl/>
        </w:rPr>
      </w:pPr>
    </w:p>
    <w:p w14:paraId="029A1DD6" w14:textId="77777777" w:rsidR="00DC5A8A" w:rsidRPr="00DC5A8A" w:rsidRDefault="00DC5A8A" w:rsidP="00DC5A8A">
      <w:pPr>
        <w:spacing w:before="120" w:after="120" w:line="240" w:lineRule="exact"/>
        <w:ind w:left="283" w:hanging="283"/>
        <w:jc w:val="both"/>
        <w:rPr>
          <w:rFonts w:ascii="FrankRuehl" w:hAnsi="FrankRuehl" w:cs="FrankRuehl"/>
          <w:rtl/>
        </w:rPr>
      </w:pPr>
      <w:bookmarkStart w:id="3" w:name="LawTable"/>
      <w:bookmarkEnd w:id="3"/>
    </w:p>
    <w:p w14:paraId="6D774B98" w14:textId="77777777" w:rsidR="00DC5A8A" w:rsidRPr="00DC5A8A" w:rsidRDefault="00DC5A8A" w:rsidP="00DC5A8A">
      <w:pPr>
        <w:spacing w:before="120" w:after="120" w:line="240" w:lineRule="exact"/>
        <w:ind w:left="283" w:hanging="283"/>
        <w:jc w:val="both"/>
        <w:rPr>
          <w:rFonts w:ascii="FrankRuehl" w:hAnsi="FrankRuehl" w:cs="FrankRuehl"/>
          <w:rtl/>
        </w:rPr>
      </w:pPr>
      <w:r w:rsidRPr="00DC5A8A">
        <w:rPr>
          <w:rFonts w:ascii="FrankRuehl" w:hAnsi="FrankRuehl" w:cs="FrankRuehl"/>
          <w:rtl/>
        </w:rPr>
        <w:t xml:space="preserve">חקיקה שאוזכרה: </w:t>
      </w:r>
    </w:p>
    <w:p w14:paraId="149BF08C" w14:textId="77777777" w:rsidR="00DC5A8A" w:rsidRPr="00DC5A8A" w:rsidRDefault="00DC5A8A" w:rsidP="00DC5A8A">
      <w:pPr>
        <w:spacing w:before="120" w:after="120" w:line="240" w:lineRule="exact"/>
        <w:ind w:left="283" w:hanging="283"/>
        <w:jc w:val="both"/>
        <w:rPr>
          <w:rFonts w:ascii="FrankRuehl" w:hAnsi="FrankRuehl" w:cs="FrankRuehl"/>
          <w:color w:val="0000FF"/>
          <w:rtl/>
        </w:rPr>
      </w:pPr>
      <w:hyperlink r:id="rId7" w:history="1">
        <w:r w:rsidRPr="00DC5A8A">
          <w:rPr>
            <w:rStyle w:val="Hyperlink"/>
            <w:rFonts w:ascii="FrankRuehl" w:hAnsi="FrankRuehl" w:cs="FrankRuehl"/>
            <w:u w:val="none"/>
            <w:rtl/>
          </w:rPr>
          <w:t>חוק העונשין, תשל"ז-1977</w:t>
        </w:r>
      </w:hyperlink>
      <w:r w:rsidRPr="00DC5A8A">
        <w:rPr>
          <w:rFonts w:ascii="FrankRuehl" w:hAnsi="FrankRuehl" w:cs="FrankRuehl"/>
          <w:color w:val="0000FF"/>
          <w:rtl/>
        </w:rPr>
        <w:t xml:space="preserve">: סע'  </w:t>
      </w:r>
      <w:hyperlink r:id="rId8" w:history="1">
        <w:r w:rsidRPr="00DC5A8A">
          <w:rPr>
            <w:rStyle w:val="Hyperlink"/>
            <w:rFonts w:ascii="FrankRuehl" w:hAnsi="FrankRuehl" w:cs="FrankRuehl"/>
            <w:u w:val="none"/>
          </w:rPr>
          <w:t>29</w:t>
        </w:r>
      </w:hyperlink>
      <w:r w:rsidRPr="00DC5A8A">
        <w:rPr>
          <w:rFonts w:ascii="FrankRuehl" w:hAnsi="FrankRuehl" w:cs="FrankRuehl"/>
          <w:color w:val="0000FF"/>
          <w:rtl/>
        </w:rPr>
        <w:t xml:space="preserve">, </w:t>
      </w:r>
      <w:hyperlink r:id="rId9" w:history="1">
        <w:r w:rsidRPr="00DC5A8A">
          <w:rPr>
            <w:rStyle w:val="Hyperlink"/>
            <w:rFonts w:ascii="FrankRuehl" w:hAnsi="FrankRuehl" w:cs="FrankRuehl"/>
            <w:u w:val="none"/>
          </w:rPr>
          <w:t>144</w:t>
        </w:r>
      </w:hyperlink>
      <w:r w:rsidRPr="00DC5A8A">
        <w:rPr>
          <w:rFonts w:ascii="FrankRuehl" w:hAnsi="FrankRuehl" w:cs="FrankRuehl"/>
          <w:color w:val="0000FF"/>
          <w:rtl/>
        </w:rPr>
        <w:t xml:space="preserve">(א), </w:t>
      </w:r>
      <w:hyperlink r:id="rId10" w:history="1">
        <w:r w:rsidRPr="00DC5A8A">
          <w:rPr>
            <w:rStyle w:val="Hyperlink"/>
            <w:rFonts w:ascii="FrankRuehl" w:hAnsi="FrankRuehl" w:cs="FrankRuehl"/>
            <w:u w:val="none"/>
          </w:rPr>
          <w:t>144</w:t>
        </w:r>
      </w:hyperlink>
      <w:r w:rsidRPr="00DC5A8A">
        <w:rPr>
          <w:rFonts w:ascii="FrankRuehl" w:hAnsi="FrankRuehl" w:cs="FrankRuehl"/>
          <w:color w:val="0000FF"/>
          <w:rtl/>
        </w:rPr>
        <w:t xml:space="preserve">(ב), </w:t>
      </w:r>
      <w:hyperlink r:id="rId11" w:history="1">
        <w:r w:rsidRPr="00DC5A8A">
          <w:rPr>
            <w:rStyle w:val="Hyperlink"/>
            <w:rFonts w:ascii="FrankRuehl" w:hAnsi="FrankRuehl" w:cs="FrankRuehl"/>
            <w:u w:val="none"/>
          </w:rPr>
          <w:t>144</w:t>
        </w:r>
      </w:hyperlink>
      <w:r w:rsidRPr="00DC5A8A">
        <w:rPr>
          <w:rFonts w:ascii="FrankRuehl" w:hAnsi="FrankRuehl" w:cs="FrankRuehl"/>
          <w:color w:val="0000FF"/>
          <w:rtl/>
        </w:rPr>
        <w:t xml:space="preserve">(ג), </w:t>
      </w:r>
      <w:hyperlink r:id="rId12" w:history="1">
        <w:r w:rsidRPr="00DC5A8A">
          <w:rPr>
            <w:rStyle w:val="Hyperlink"/>
            <w:rFonts w:ascii="FrankRuehl" w:hAnsi="FrankRuehl" w:cs="FrankRuehl"/>
            <w:u w:val="none"/>
          </w:rPr>
          <w:t>144</w:t>
        </w:r>
      </w:hyperlink>
      <w:r w:rsidRPr="00DC5A8A">
        <w:rPr>
          <w:rFonts w:ascii="FrankRuehl" w:hAnsi="FrankRuehl" w:cs="FrankRuehl"/>
          <w:color w:val="0000FF"/>
          <w:rtl/>
        </w:rPr>
        <w:t xml:space="preserve">(ג)(3), </w:t>
      </w:r>
      <w:hyperlink r:id="rId13" w:history="1">
        <w:r w:rsidRPr="00DC5A8A">
          <w:rPr>
            <w:rStyle w:val="Hyperlink"/>
            <w:rFonts w:ascii="FrankRuehl" w:hAnsi="FrankRuehl" w:cs="FrankRuehl"/>
            <w:u w:val="none"/>
          </w:rPr>
          <w:t>144</w:t>
        </w:r>
      </w:hyperlink>
      <w:r w:rsidRPr="00DC5A8A">
        <w:rPr>
          <w:rFonts w:ascii="FrankRuehl" w:hAnsi="FrankRuehl" w:cs="FrankRuehl"/>
          <w:color w:val="0000FF"/>
          <w:rtl/>
        </w:rPr>
        <w:t xml:space="preserve">(ז), </w:t>
      </w:r>
      <w:hyperlink r:id="rId14" w:history="1">
        <w:r w:rsidRPr="00DC5A8A">
          <w:rPr>
            <w:rStyle w:val="Hyperlink"/>
            <w:rFonts w:ascii="FrankRuehl" w:hAnsi="FrankRuehl" w:cs="FrankRuehl"/>
            <w:u w:val="none"/>
          </w:rPr>
          <w:t xml:space="preserve">338 </w:t>
        </w:r>
      </w:hyperlink>
      <w:r w:rsidRPr="00DC5A8A">
        <w:rPr>
          <w:rFonts w:ascii="FrankRuehl" w:hAnsi="FrankRuehl" w:cs="FrankRuehl"/>
          <w:color w:val="0000FF"/>
          <w:rtl/>
        </w:rPr>
        <w:t>(א) (5)</w:t>
      </w:r>
    </w:p>
    <w:p w14:paraId="3D67EBAC" w14:textId="77777777" w:rsidR="003E3156" w:rsidRDefault="003E3156" w:rsidP="00DC5A8A">
      <w:pPr>
        <w:rPr>
          <w:rFonts w:ascii="Arial" w:hAnsi="Arial" w:hint="cs"/>
          <w:sz w:val="26"/>
          <w:szCs w:val="26"/>
          <w:rtl/>
        </w:rPr>
      </w:pPr>
      <w:bookmarkStart w:id="4" w:name="LawTable_End"/>
      <w:bookmarkEnd w:id="4"/>
    </w:p>
    <w:p w14:paraId="56C903E5" w14:textId="77777777" w:rsidR="00DC5A8A" w:rsidRDefault="00DC5A8A" w:rsidP="00DC5A8A">
      <w:pPr>
        <w:rPr>
          <w:rFonts w:ascii="Arial" w:hAnsi="Arial" w:hint="cs"/>
          <w:sz w:val="26"/>
          <w:szCs w:val="26"/>
          <w:rtl/>
        </w:rPr>
      </w:pPr>
    </w:p>
    <w:p w14:paraId="78A73CEF" w14:textId="77777777" w:rsidR="00DC5A8A" w:rsidRPr="00DC5A8A" w:rsidRDefault="00DC5A8A" w:rsidP="00DC5A8A">
      <w:pPr>
        <w:rPr>
          <w:rFonts w:ascii="Arial" w:hAnsi="Arial" w:hint="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E3156" w14:paraId="496037B6" w14:textId="77777777" w:rsidTr="003E3156">
        <w:trPr>
          <w:trHeight w:val="355"/>
          <w:jc w:val="center"/>
        </w:trPr>
        <w:tc>
          <w:tcPr>
            <w:tcW w:w="8820" w:type="dxa"/>
            <w:tcBorders>
              <w:top w:val="nil"/>
              <w:left w:val="nil"/>
              <w:bottom w:val="nil"/>
              <w:right w:val="nil"/>
            </w:tcBorders>
            <w:shd w:val="clear" w:color="auto" w:fill="auto"/>
          </w:tcPr>
          <w:p w14:paraId="42D9875F" w14:textId="77777777" w:rsidR="0006437F" w:rsidRPr="0006437F" w:rsidRDefault="0006437F" w:rsidP="0006437F">
            <w:pPr>
              <w:jc w:val="center"/>
              <w:rPr>
                <w:rFonts w:ascii="David" w:hAnsi="David"/>
                <w:b/>
                <w:bCs/>
                <w:sz w:val="32"/>
                <w:szCs w:val="32"/>
                <w:u w:val="single"/>
                <w:rtl/>
              </w:rPr>
            </w:pPr>
            <w:bookmarkStart w:id="5" w:name="PsakDin" w:colFirst="0" w:colLast="0"/>
            <w:bookmarkEnd w:id="0"/>
            <w:r w:rsidRPr="0006437F">
              <w:rPr>
                <w:rFonts w:ascii="David" w:hAnsi="David"/>
                <w:b/>
                <w:bCs/>
                <w:sz w:val="32"/>
                <w:szCs w:val="32"/>
                <w:u w:val="single"/>
                <w:rtl/>
              </w:rPr>
              <w:t>גזר דין</w:t>
            </w:r>
          </w:p>
          <w:p w14:paraId="2E2B2CBE" w14:textId="77777777" w:rsidR="003E3156" w:rsidRPr="0006437F" w:rsidRDefault="003E3156" w:rsidP="0006437F">
            <w:pPr>
              <w:jc w:val="center"/>
              <w:rPr>
                <w:rFonts w:ascii="David" w:hAnsi="David"/>
                <w:bCs/>
                <w:sz w:val="32"/>
                <w:szCs w:val="32"/>
                <w:u w:val="single"/>
                <w:rtl/>
              </w:rPr>
            </w:pPr>
          </w:p>
        </w:tc>
      </w:tr>
      <w:bookmarkEnd w:id="5"/>
    </w:tbl>
    <w:p w14:paraId="0B460DEC" w14:textId="77777777" w:rsidR="003E3156" w:rsidRPr="000F2247" w:rsidRDefault="003E3156" w:rsidP="003E3156">
      <w:pPr>
        <w:rPr>
          <w:rFonts w:ascii="Arial" w:hAnsi="Arial"/>
          <w:b/>
          <w:bCs/>
          <w:sz w:val="26"/>
          <w:szCs w:val="26"/>
          <w:rtl/>
        </w:rPr>
      </w:pPr>
    </w:p>
    <w:p w14:paraId="1990D12E" w14:textId="77777777" w:rsidR="003E3156" w:rsidRDefault="003E3156" w:rsidP="003E3156">
      <w:pPr>
        <w:rPr>
          <w:rFonts w:ascii="Arial" w:hAnsi="Arial"/>
          <w:b/>
          <w:bCs/>
          <w:sz w:val="26"/>
          <w:szCs w:val="26"/>
          <w:rtl/>
        </w:rPr>
      </w:pPr>
    </w:p>
    <w:p w14:paraId="63B59F43" w14:textId="77777777" w:rsidR="003E3156" w:rsidRDefault="003E3156" w:rsidP="003E3156">
      <w:pPr>
        <w:pStyle w:val="a9"/>
        <w:spacing w:after="0" w:line="360" w:lineRule="auto"/>
        <w:ind w:left="0"/>
        <w:jc w:val="both"/>
        <w:rPr>
          <w:rFonts w:ascii="David" w:hAnsi="David" w:cs="David"/>
          <w:b/>
          <w:bCs/>
          <w:sz w:val="24"/>
          <w:szCs w:val="24"/>
          <w:u w:val="single"/>
          <w:rtl/>
        </w:rPr>
      </w:pPr>
      <w:r>
        <w:rPr>
          <w:rFonts w:ascii="David" w:hAnsi="David" w:cs="David"/>
          <w:b/>
          <w:bCs/>
          <w:sz w:val="24"/>
          <w:szCs w:val="24"/>
          <w:u w:val="single"/>
          <w:rtl/>
        </w:rPr>
        <w:t>כתב האישום המתוקן</w:t>
      </w:r>
    </w:p>
    <w:p w14:paraId="49ABA71B" w14:textId="77777777" w:rsidR="003E3156" w:rsidRDefault="003E3156" w:rsidP="003E3156">
      <w:pPr>
        <w:pStyle w:val="a9"/>
        <w:spacing w:after="0" w:line="360" w:lineRule="auto"/>
        <w:ind w:left="0"/>
        <w:jc w:val="both"/>
        <w:rPr>
          <w:rFonts w:ascii="David" w:hAnsi="David" w:cs="David"/>
          <w:b/>
          <w:bCs/>
          <w:sz w:val="24"/>
          <w:szCs w:val="24"/>
          <w:u w:val="single"/>
          <w:rtl/>
        </w:rPr>
      </w:pPr>
      <w:r>
        <w:rPr>
          <w:rFonts w:ascii="David" w:hAnsi="David" w:cs="David"/>
          <w:b/>
          <w:bCs/>
          <w:sz w:val="24"/>
          <w:szCs w:val="24"/>
          <w:u w:val="single"/>
          <w:rtl/>
        </w:rPr>
        <w:t xml:space="preserve"> </w:t>
      </w:r>
      <w:bookmarkStart w:id="6" w:name="ABSTRACT_START"/>
      <w:bookmarkEnd w:id="6"/>
    </w:p>
    <w:p w14:paraId="59368183" w14:textId="77777777" w:rsidR="003E3156" w:rsidRDefault="003E3156" w:rsidP="003E3156">
      <w:pPr>
        <w:pStyle w:val="a9"/>
        <w:spacing w:after="0" w:line="360" w:lineRule="auto"/>
        <w:ind w:hanging="720"/>
        <w:jc w:val="both"/>
        <w:rPr>
          <w:rFonts w:ascii="David" w:hAnsi="David" w:cs="David"/>
          <w:sz w:val="24"/>
          <w:szCs w:val="24"/>
          <w:rtl/>
        </w:rPr>
      </w:pPr>
      <w:r>
        <w:rPr>
          <w:rFonts w:ascii="David" w:hAnsi="David" w:cs="David"/>
          <w:sz w:val="24"/>
          <w:szCs w:val="24"/>
          <w:rtl/>
        </w:rPr>
        <w:t>1.</w:t>
      </w:r>
      <w:r>
        <w:rPr>
          <w:rFonts w:ascii="David" w:hAnsi="David" w:cs="David"/>
          <w:sz w:val="24"/>
          <w:szCs w:val="24"/>
          <w:rtl/>
        </w:rPr>
        <w:tab/>
        <w:t xml:space="preserve">הנאשם הורשע על פי הודאתו במסגרת הסדר טיעון בביצוע עבירה של החזקת נשק, עבירה לפי </w:t>
      </w:r>
      <w:hyperlink r:id="rId15" w:history="1">
        <w:r w:rsidR="00DC5A8A" w:rsidRPr="00DC5A8A">
          <w:rPr>
            <w:rStyle w:val="Hyperlink"/>
            <w:rFonts w:ascii="David" w:hAnsi="David" w:cs="David"/>
            <w:color w:val="0000FF"/>
            <w:sz w:val="24"/>
            <w:szCs w:val="24"/>
            <w:rtl/>
          </w:rPr>
          <w:t>סעיף 144(א)</w:t>
        </w:r>
      </w:hyperlink>
      <w:r>
        <w:rPr>
          <w:rFonts w:ascii="David" w:hAnsi="David" w:cs="David"/>
          <w:sz w:val="24"/>
          <w:szCs w:val="24"/>
          <w:rtl/>
        </w:rPr>
        <w:t xml:space="preserve"> רישא ו-</w:t>
      </w:r>
      <w:hyperlink r:id="rId16" w:history="1">
        <w:r w:rsidR="00DC5A8A" w:rsidRPr="00DC5A8A">
          <w:rPr>
            <w:rStyle w:val="Hyperlink"/>
            <w:rFonts w:ascii="David" w:hAnsi="David" w:cs="David"/>
            <w:color w:val="0000FF"/>
            <w:sz w:val="24"/>
            <w:szCs w:val="24"/>
            <w:rtl/>
          </w:rPr>
          <w:t>144(ג)</w:t>
        </w:r>
      </w:hyperlink>
      <w:r>
        <w:rPr>
          <w:rFonts w:ascii="David" w:hAnsi="David" w:cs="David"/>
          <w:sz w:val="24"/>
          <w:szCs w:val="24"/>
          <w:rtl/>
        </w:rPr>
        <w:t xml:space="preserve"> סיפא ל</w:t>
      </w:r>
      <w:hyperlink r:id="rId17" w:history="1">
        <w:r w:rsidR="0006437F" w:rsidRPr="0006437F">
          <w:rPr>
            <w:rFonts w:ascii="David" w:hAnsi="David" w:cs="David"/>
            <w:color w:val="0000FF"/>
            <w:sz w:val="24"/>
            <w:szCs w:val="24"/>
            <w:u w:val="single"/>
            <w:rtl/>
          </w:rPr>
          <w:t>חוק העונשין</w:t>
        </w:r>
      </w:hyperlink>
      <w:r>
        <w:rPr>
          <w:rFonts w:ascii="David" w:hAnsi="David" w:cs="David"/>
          <w:sz w:val="24"/>
          <w:szCs w:val="24"/>
          <w:rtl/>
        </w:rPr>
        <w:t xml:space="preserve">. </w:t>
      </w:r>
    </w:p>
    <w:p w14:paraId="1B135C1A" w14:textId="77777777" w:rsidR="003E3156" w:rsidRDefault="003E3156" w:rsidP="003E3156">
      <w:pPr>
        <w:pStyle w:val="a9"/>
        <w:spacing w:after="0" w:line="360" w:lineRule="auto"/>
        <w:ind w:left="0"/>
        <w:jc w:val="both"/>
        <w:rPr>
          <w:rFonts w:ascii="David" w:hAnsi="David" w:cs="David"/>
          <w:sz w:val="24"/>
          <w:szCs w:val="24"/>
        </w:rPr>
      </w:pPr>
    </w:p>
    <w:p w14:paraId="50C11F4C" w14:textId="77777777" w:rsidR="003E3156" w:rsidRDefault="003E3156" w:rsidP="003E3156">
      <w:pPr>
        <w:pStyle w:val="a9"/>
        <w:spacing w:after="0" w:line="360" w:lineRule="auto"/>
        <w:ind w:hanging="720"/>
        <w:jc w:val="both"/>
        <w:rPr>
          <w:rFonts w:ascii="David" w:hAnsi="David" w:cs="David"/>
          <w:sz w:val="24"/>
          <w:szCs w:val="24"/>
        </w:rPr>
      </w:pPr>
      <w:r>
        <w:rPr>
          <w:rFonts w:ascii="David" w:hAnsi="David" w:cs="David"/>
          <w:sz w:val="24"/>
          <w:szCs w:val="24"/>
          <w:rtl/>
        </w:rPr>
        <w:t>2.</w:t>
      </w:r>
      <w:r>
        <w:rPr>
          <w:rFonts w:ascii="David" w:hAnsi="David" w:cs="David"/>
          <w:sz w:val="24"/>
          <w:szCs w:val="24"/>
          <w:rtl/>
        </w:rPr>
        <w:tab/>
        <w:t xml:space="preserve">לפי עובדות כתב האישום בהן הודה הנאשם, חסן מחמוד הוא בן דודו של הנאשם. במועד הרלוונטי לכתב האישום החזיק הנאשם והשתמש ברכב מסוג מרצדס אשר בבעלות אביו. </w:t>
      </w:r>
    </w:p>
    <w:p w14:paraId="1BDA75E3" w14:textId="77777777" w:rsidR="003E3156" w:rsidRDefault="003E3156" w:rsidP="003E3156">
      <w:pPr>
        <w:pStyle w:val="a9"/>
        <w:spacing w:after="0" w:line="360" w:lineRule="auto"/>
        <w:ind w:left="0"/>
        <w:jc w:val="both"/>
        <w:rPr>
          <w:rFonts w:ascii="David" w:hAnsi="David" w:cs="David"/>
          <w:sz w:val="24"/>
          <w:szCs w:val="24"/>
        </w:rPr>
      </w:pPr>
    </w:p>
    <w:p w14:paraId="26E93FB0" w14:textId="77777777" w:rsidR="003E3156" w:rsidRDefault="003E3156" w:rsidP="003E3156">
      <w:pPr>
        <w:pStyle w:val="a9"/>
        <w:spacing w:after="0" w:line="360" w:lineRule="auto"/>
        <w:ind w:hanging="720"/>
        <w:jc w:val="both"/>
        <w:rPr>
          <w:rFonts w:ascii="David" w:hAnsi="David" w:cs="David"/>
          <w:sz w:val="24"/>
          <w:szCs w:val="24"/>
        </w:rPr>
      </w:pPr>
      <w:bookmarkStart w:id="7" w:name="ABSTRACT_END"/>
      <w:bookmarkEnd w:id="7"/>
      <w:r>
        <w:rPr>
          <w:rFonts w:ascii="David" w:hAnsi="David" w:cs="David"/>
          <w:sz w:val="24"/>
          <w:szCs w:val="24"/>
          <w:rtl/>
        </w:rPr>
        <w:t>3.</w:t>
      </w:r>
      <w:r>
        <w:rPr>
          <w:rFonts w:ascii="David" w:hAnsi="David" w:cs="David"/>
          <w:sz w:val="24"/>
          <w:szCs w:val="24"/>
          <w:rtl/>
        </w:rPr>
        <w:tab/>
        <w:t xml:space="preserve">בתאריך 01.05.2024 סמוך לשעה 22:30, בקטע הדרך שבין פקיעין לבית ג'אן, החזיק הנאשם חפץ מתכתי מאולתר, המכיל חומר נפץ, ללא רשות על פי דין להחזקתו </w:t>
      </w:r>
      <w:r>
        <w:rPr>
          <w:rFonts w:ascii="David" w:hAnsi="David" w:cs="David"/>
          <w:b/>
          <w:bCs/>
          <w:sz w:val="24"/>
          <w:szCs w:val="24"/>
          <w:rtl/>
        </w:rPr>
        <w:t>(להלן: "החפץ המאולתר").</w:t>
      </w:r>
      <w:r>
        <w:rPr>
          <w:rFonts w:ascii="David" w:hAnsi="David" w:cs="David"/>
          <w:sz w:val="24"/>
          <w:szCs w:val="24"/>
          <w:rtl/>
        </w:rPr>
        <w:t xml:space="preserve"> </w:t>
      </w:r>
    </w:p>
    <w:p w14:paraId="5D3CFB95" w14:textId="77777777" w:rsidR="003E3156" w:rsidRDefault="003E3156" w:rsidP="003E3156">
      <w:pPr>
        <w:pStyle w:val="a9"/>
        <w:spacing w:after="0" w:line="360" w:lineRule="auto"/>
        <w:ind w:left="0"/>
        <w:jc w:val="both"/>
        <w:rPr>
          <w:rFonts w:ascii="David" w:hAnsi="David" w:cs="David"/>
          <w:sz w:val="24"/>
          <w:szCs w:val="24"/>
        </w:rPr>
      </w:pPr>
    </w:p>
    <w:p w14:paraId="078C6943" w14:textId="77777777" w:rsidR="003E3156" w:rsidRDefault="003E3156" w:rsidP="003E3156">
      <w:pPr>
        <w:pStyle w:val="a9"/>
        <w:spacing w:after="0" w:line="360" w:lineRule="auto"/>
        <w:ind w:hanging="720"/>
        <w:jc w:val="both"/>
        <w:rPr>
          <w:rFonts w:ascii="David" w:hAnsi="David" w:cs="David"/>
          <w:sz w:val="24"/>
          <w:szCs w:val="24"/>
        </w:rPr>
      </w:pPr>
      <w:r>
        <w:rPr>
          <w:rFonts w:ascii="David" w:hAnsi="David" w:cs="David"/>
          <w:sz w:val="24"/>
          <w:szCs w:val="24"/>
          <w:rtl/>
        </w:rPr>
        <w:t>4.</w:t>
      </w:r>
      <w:r>
        <w:rPr>
          <w:rFonts w:ascii="David" w:hAnsi="David" w:cs="David"/>
          <w:sz w:val="24"/>
          <w:szCs w:val="24"/>
          <w:rtl/>
        </w:rPr>
        <w:tab/>
        <w:t xml:space="preserve">החפץ המאולתר הכיל חומר נפץ, והינו "נשק" שסוּגל להזיק לאדם כהגדרתו בחוק. הנאשם  החזיק בו בידו הימנית במטרה להשליכו, או אז, התפוצץ החפץ המאולתר בידו של הנאשם. כתוצאה מכך, נגרמו לנאשם החבלות הבאות: קטיעה של ידו הימנית, מתחת למפרק כף </w:t>
      </w:r>
      <w:r>
        <w:rPr>
          <w:rFonts w:ascii="David" w:hAnsi="David" w:cs="David"/>
          <w:sz w:val="24"/>
          <w:szCs w:val="24"/>
          <w:rtl/>
        </w:rPr>
        <w:lastRenderedPageBreak/>
        <w:t xml:space="preserve">היד, שני פצעים בחזה מעל הסטרנום, שני חתכים ביד ימין, עד לשומן תת עורי בצד לאטריאלי של האמה הימנית, שני פצעים במפרק ברך ימין, עם סימני דימום ורידי, פצע באזור האכילס של רגל שמאל, רסיסים מרובים לאזור בפנים והבטן. </w:t>
      </w:r>
    </w:p>
    <w:p w14:paraId="30AED28F" w14:textId="77777777" w:rsidR="003E3156" w:rsidRDefault="003E3156" w:rsidP="003E3156">
      <w:pPr>
        <w:pStyle w:val="a9"/>
        <w:spacing w:after="0" w:line="360" w:lineRule="auto"/>
        <w:ind w:left="0"/>
        <w:jc w:val="both"/>
        <w:rPr>
          <w:rFonts w:ascii="David" w:hAnsi="David" w:cs="David"/>
          <w:sz w:val="24"/>
          <w:szCs w:val="24"/>
        </w:rPr>
      </w:pPr>
    </w:p>
    <w:p w14:paraId="3DD079A9" w14:textId="77777777" w:rsidR="003E3156" w:rsidRDefault="003E3156" w:rsidP="003E3156">
      <w:pPr>
        <w:spacing w:line="360" w:lineRule="auto"/>
        <w:jc w:val="both"/>
        <w:rPr>
          <w:rFonts w:ascii="David" w:hAnsi="David"/>
          <w:b/>
          <w:bCs/>
          <w:u w:val="single"/>
        </w:rPr>
      </w:pPr>
      <w:r>
        <w:rPr>
          <w:rFonts w:ascii="David" w:hAnsi="David"/>
          <w:b/>
          <w:bCs/>
          <w:u w:val="single"/>
          <w:rtl/>
        </w:rPr>
        <w:t>טענות הצדדים לעונש</w:t>
      </w:r>
    </w:p>
    <w:p w14:paraId="01D82DB4" w14:textId="77777777" w:rsidR="003E3156" w:rsidRDefault="003E3156" w:rsidP="003E3156">
      <w:pPr>
        <w:pStyle w:val="a9"/>
        <w:spacing w:after="0" w:line="360" w:lineRule="auto"/>
        <w:ind w:left="0"/>
        <w:jc w:val="both"/>
        <w:rPr>
          <w:rFonts w:ascii="David" w:hAnsi="David" w:cs="David"/>
          <w:sz w:val="24"/>
          <w:szCs w:val="24"/>
          <w:rtl/>
        </w:rPr>
      </w:pPr>
    </w:p>
    <w:p w14:paraId="5D5DF5AE" w14:textId="77777777" w:rsidR="003E3156" w:rsidRDefault="003E3156" w:rsidP="003E3156">
      <w:pPr>
        <w:pStyle w:val="a9"/>
        <w:spacing w:after="0" w:line="360" w:lineRule="auto"/>
        <w:ind w:hanging="720"/>
        <w:jc w:val="both"/>
        <w:rPr>
          <w:rFonts w:ascii="David" w:hAnsi="David" w:cs="David"/>
          <w:b/>
          <w:bCs/>
          <w:sz w:val="24"/>
          <w:szCs w:val="24"/>
          <w:u w:val="single"/>
          <w:rtl/>
        </w:rPr>
      </w:pPr>
      <w:r>
        <w:rPr>
          <w:rFonts w:ascii="David" w:hAnsi="David" w:cs="David"/>
          <w:sz w:val="24"/>
          <w:szCs w:val="24"/>
          <w:rtl/>
        </w:rPr>
        <w:t>5.</w:t>
      </w:r>
      <w:r>
        <w:rPr>
          <w:rFonts w:ascii="David" w:hAnsi="David" w:cs="David"/>
          <w:sz w:val="24"/>
          <w:szCs w:val="24"/>
          <w:rtl/>
        </w:rPr>
        <w:tab/>
        <w:t xml:space="preserve">הצדדים לא הגישו ראיות לעונש. ב"כ המאשימה המלומד טען, כי מדובר בנאשם ללא עבר פלילי, אשר הורשע בהחזקת חפץ מאולתר שבכוחו להזיק לאדם. הודגשה חומרת עבירות הנשק בכלל, והצורך להילחם בתופעה זו, תוך הדגשת החומרה הספציפית בהחזקת נשק אשר אמנם אינו יורה אך בעל רדיוס פגיעה רחב. צוין הנזק הפוטנציאלי הטמון בנשק כזה. בית המשפט התבקש לקבוע מתחם עונש שנע בין 24 ל- 48 חודשי מאסר בפועל, ולמקם את עונשו של הנאשם ברף התחתון של המתחם לצד ענישה נלווית. </w:t>
      </w:r>
    </w:p>
    <w:p w14:paraId="78A70341" w14:textId="77777777" w:rsidR="003E3156" w:rsidRDefault="003E3156" w:rsidP="003E3156">
      <w:pPr>
        <w:pStyle w:val="a9"/>
        <w:spacing w:after="0" w:line="360" w:lineRule="auto"/>
        <w:ind w:left="0"/>
        <w:jc w:val="both"/>
        <w:rPr>
          <w:rFonts w:ascii="David" w:hAnsi="David" w:cs="David"/>
          <w:b/>
          <w:bCs/>
          <w:sz w:val="24"/>
          <w:szCs w:val="24"/>
          <w:u w:val="single"/>
        </w:rPr>
      </w:pPr>
    </w:p>
    <w:p w14:paraId="3A34CCCD" w14:textId="77777777" w:rsidR="003E3156" w:rsidRDefault="003E3156" w:rsidP="003E3156">
      <w:pPr>
        <w:pStyle w:val="a9"/>
        <w:spacing w:after="0" w:line="360" w:lineRule="auto"/>
        <w:ind w:hanging="720"/>
        <w:jc w:val="both"/>
        <w:rPr>
          <w:rFonts w:ascii="David" w:hAnsi="David" w:cs="David"/>
          <w:b/>
          <w:bCs/>
          <w:sz w:val="24"/>
          <w:szCs w:val="24"/>
          <w:u w:val="single"/>
        </w:rPr>
      </w:pPr>
      <w:r>
        <w:rPr>
          <w:rFonts w:ascii="David" w:hAnsi="David" w:cs="David"/>
          <w:sz w:val="24"/>
          <w:szCs w:val="24"/>
          <w:rtl/>
        </w:rPr>
        <w:t>6.</w:t>
      </w:r>
      <w:r>
        <w:rPr>
          <w:rFonts w:ascii="David" w:hAnsi="David" w:cs="David"/>
          <w:sz w:val="24"/>
          <w:szCs w:val="24"/>
          <w:rtl/>
        </w:rPr>
        <w:tab/>
        <w:t>מנגד, עמד ב"כ הנאשם המלומד על תיקון כתב האישום ועל נסיבות ביצוע העבירה. נטען כי תיקונו של כתב האישום, כך שחלף המונח "מטען חבלה", נכתב בכתב האישום המתוקן "חפץ מתכתי המכיל חומר נפץ", מלמד על הירידה בחומרת המעשה להבדיל ממטען חבלה שחומרתו רבה הרבה יותר. כמו כן ציין, כי המאשימה הסכימה למחוק מכתב האישום את עבירת נשיאה והובלת המטען המאולתר, כך שכתב האישום נותר עם עבירת "החזקת נשק" שבסמכות בית המשפט השלום, נתון התורם אף הוא להפחתת חומרת המעשה. עוד נטען, כי ההגנה לא יודעת מהו סוגו ומשקלו של חומר הנפץ שבמטען המאולתר, וגם נתון זה פועל לזכות הנאשם.</w:t>
      </w:r>
    </w:p>
    <w:p w14:paraId="16A19570" w14:textId="77777777" w:rsidR="003E3156" w:rsidRDefault="003E3156" w:rsidP="003E3156">
      <w:pPr>
        <w:pStyle w:val="a9"/>
        <w:spacing w:after="0" w:line="360" w:lineRule="auto"/>
        <w:ind w:left="0"/>
        <w:jc w:val="both"/>
        <w:rPr>
          <w:rFonts w:ascii="David" w:hAnsi="David" w:cs="David"/>
          <w:b/>
          <w:bCs/>
          <w:sz w:val="24"/>
          <w:szCs w:val="24"/>
          <w:u w:val="single"/>
        </w:rPr>
      </w:pPr>
    </w:p>
    <w:p w14:paraId="4FEEAFAB" w14:textId="77777777" w:rsidR="003E3156" w:rsidRDefault="003E3156" w:rsidP="003E3156">
      <w:pPr>
        <w:pStyle w:val="a9"/>
        <w:spacing w:after="0" w:line="360" w:lineRule="auto"/>
        <w:ind w:hanging="720"/>
        <w:jc w:val="both"/>
        <w:rPr>
          <w:rFonts w:ascii="David" w:hAnsi="David" w:cs="David"/>
          <w:b/>
          <w:bCs/>
          <w:sz w:val="24"/>
          <w:szCs w:val="24"/>
          <w:u w:val="single"/>
        </w:rPr>
      </w:pPr>
      <w:r>
        <w:rPr>
          <w:rFonts w:ascii="David" w:hAnsi="David" w:cs="David"/>
          <w:sz w:val="24"/>
          <w:szCs w:val="24"/>
          <w:rtl/>
        </w:rPr>
        <w:t>7.</w:t>
      </w:r>
      <w:r>
        <w:rPr>
          <w:rFonts w:ascii="David" w:hAnsi="David" w:cs="David"/>
          <w:sz w:val="24"/>
          <w:szCs w:val="24"/>
          <w:rtl/>
        </w:rPr>
        <w:tab/>
        <w:t xml:space="preserve">ב"כ הנאשם המלומד התייחס לנסיבותיו של הנאשם וציין כי האחרון סובל מאז האירוע מכאבים, מצבו הרפואי החמיר, והמעצר קשה עבורו. </w:t>
      </w:r>
    </w:p>
    <w:p w14:paraId="12D625FD" w14:textId="77777777" w:rsidR="003E3156" w:rsidRDefault="003E3156" w:rsidP="003E3156">
      <w:pPr>
        <w:pStyle w:val="a9"/>
        <w:spacing w:after="0" w:line="360" w:lineRule="auto"/>
        <w:ind w:left="0"/>
        <w:jc w:val="both"/>
        <w:rPr>
          <w:rFonts w:ascii="David" w:hAnsi="David" w:cs="David"/>
          <w:b/>
          <w:bCs/>
          <w:sz w:val="24"/>
          <w:szCs w:val="24"/>
          <w:u w:val="single"/>
        </w:rPr>
      </w:pPr>
    </w:p>
    <w:p w14:paraId="3C7C1FD8" w14:textId="77777777" w:rsidR="003E3156" w:rsidRDefault="003E3156" w:rsidP="003E3156">
      <w:pPr>
        <w:pStyle w:val="a9"/>
        <w:spacing w:after="0" w:line="360" w:lineRule="auto"/>
        <w:ind w:hanging="720"/>
        <w:jc w:val="both"/>
        <w:rPr>
          <w:rFonts w:ascii="David" w:hAnsi="David" w:cs="David"/>
          <w:sz w:val="24"/>
          <w:szCs w:val="24"/>
        </w:rPr>
      </w:pPr>
      <w:r>
        <w:rPr>
          <w:rFonts w:ascii="David" w:hAnsi="David" w:cs="David"/>
          <w:sz w:val="24"/>
          <w:szCs w:val="24"/>
          <w:rtl/>
        </w:rPr>
        <w:t>8.</w:t>
      </w:r>
      <w:r>
        <w:rPr>
          <w:rFonts w:ascii="David" w:hAnsi="David" w:cs="David"/>
          <w:sz w:val="24"/>
          <w:szCs w:val="24"/>
          <w:rtl/>
        </w:rPr>
        <w:tab/>
        <w:t>בסופו של יום ביקש ב"כ הנאשם המלומד כי בית המשפט ייקבע מתחם עונש הולם שנע בין 6 חודשי מאסר בפועל שיכול שירוצו בעבודות שירות לבין 18 חודשי מאסר בפועל ולהסתפק בתקופת מעצרו של הנאשם. בית המשפט הופנה לפסיקה ובעיקר לגזר הדין ב</w:t>
      </w:r>
      <w:hyperlink r:id="rId18" w:history="1">
        <w:r w:rsidR="0006437F" w:rsidRPr="0006437F">
          <w:rPr>
            <w:rFonts w:ascii="David" w:hAnsi="David" w:cs="David"/>
            <w:color w:val="0000FF"/>
            <w:sz w:val="24"/>
            <w:szCs w:val="24"/>
            <w:u w:val="single"/>
            <w:rtl/>
          </w:rPr>
          <w:t>ת"פ (מחוזי חיפה) 49995-09-17</w:t>
        </w:r>
      </w:hyperlink>
      <w:r>
        <w:rPr>
          <w:rFonts w:ascii="David" w:hAnsi="David" w:cs="David"/>
          <w:sz w:val="24"/>
          <w:szCs w:val="24"/>
          <w:rtl/>
        </w:rPr>
        <w:t xml:space="preserve"> </w:t>
      </w:r>
      <w:r>
        <w:rPr>
          <w:rFonts w:ascii="David" w:hAnsi="David" w:cs="David"/>
          <w:b/>
          <w:bCs/>
          <w:sz w:val="24"/>
          <w:szCs w:val="24"/>
          <w:rtl/>
        </w:rPr>
        <w:t xml:space="preserve">מדינת ישראל נ' סאמר עלי </w:t>
      </w:r>
      <w:r>
        <w:rPr>
          <w:rFonts w:ascii="David" w:hAnsi="David" w:cs="David"/>
          <w:sz w:val="24"/>
          <w:szCs w:val="24"/>
          <w:rtl/>
        </w:rPr>
        <w:t>(4.12.18).</w:t>
      </w:r>
    </w:p>
    <w:p w14:paraId="00DE7F82" w14:textId="77777777" w:rsidR="003E3156" w:rsidRDefault="003E3156" w:rsidP="003E3156">
      <w:pPr>
        <w:pStyle w:val="a9"/>
        <w:spacing w:after="0" w:line="360" w:lineRule="auto"/>
        <w:ind w:left="0"/>
        <w:jc w:val="both"/>
        <w:rPr>
          <w:rFonts w:ascii="David" w:hAnsi="David" w:cs="David"/>
          <w:b/>
          <w:bCs/>
          <w:sz w:val="24"/>
          <w:szCs w:val="24"/>
          <w:u w:val="single"/>
        </w:rPr>
      </w:pPr>
    </w:p>
    <w:p w14:paraId="72CE5020" w14:textId="77777777" w:rsidR="003E3156" w:rsidRDefault="003E3156" w:rsidP="003E3156">
      <w:pPr>
        <w:spacing w:line="360" w:lineRule="auto"/>
        <w:jc w:val="both"/>
        <w:rPr>
          <w:rFonts w:ascii="David" w:hAnsi="David"/>
          <w:b/>
          <w:bCs/>
          <w:u w:val="single"/>
          <w:rtl/>
        </w:rPr>
      </w:pPr>
      <w:r>
        <w:rPr>
          <w:rFonts w:ascii="David" w:hAnsi="David"/>
          <w:b/>
          <w:bCs/>
          <w:u w:val="single"/>
          <w:rtl/>
        </w:rPr>
        <w:t xml:space="preserve">דבר הנאשם לפני מתן גזר הדין </w:t>
      </w:r>
    </w:p>
    <w:p w14:paraId="6FE4DAC7" w14:textId="77777777" w:rsidR="003E3156" w:rsidRDefault="003E3156" w:rsidP="003E3156">
      <w:pPr>
        <w:pStyle w:val="a9"/>
        <w:spacing w:after="0" w:line="360" w:lineRule="auto"/>
        <w:ind w:left="0"/>
        <w:jc w:val="both"/>
        <w:rPr>
          <w:rFonts w:ascii="David" w:hAnsi="David" w:cs="David"/>
          <w:sz w:val="24"/>
          <w:szCs w:val="24"/>
        </w:rPr>
      </w:pPr>
    </w:p>
    <w:p w14:paraId="39A9F31D" w14:textId="77777777" w:rsidR="003E3156" w:rsidRDefault="003E3156" w:rsidP="003E3156">
      <w:pPr>
        <w:pStyle w:val="a9"/>
        <w:spacing w:after="0" w:line="360" w:lineRule="auto"/>
        <w:ind w:hanging="720"/>
        <w:jc w:val="both"/>
        <w:rPr>
          <w:rFonts w:ascii="David" w:hAnsi="David" w:cs="David"/>
          <w:b/>
          <w:bCs/>
          <w:sz w:val="24"/>
          <w:szCs w:val="24"/>
          <w:u w:val="single"/>
          <w:rtl/>
        </w:rPr>
      </w:pPr>
      <w:r>
        <w:rPr>
          <w:rFonts w:ascii="David" w:hAnsi="David" w:cs="David"/>
          <w:sz w:val="24"/>
          <w:szCs w:val="24"/>
          <w:rtl/>
        </w:rPr>
        <w:t>9.</w:t>
      </w:r>
      <w:r>
        <w:rPr>
          <w:rFonts w:ascii="David" w:hAnsi="David" w:cs="David"/>
          <w:sz w:val="24"/>
          <w:szCs w:val="24"/>
          <w:rtl/>
        </w:rPr>
        <w:tab/>
        <w:t>הנאשם אמר שהוא מתחרט על מעשיו, טען שביצע זאת לשם צחוק והוסיף:</w:t>
      </w:r>
      <w:r>
        <w:rPr>
          <w:rFonts w:ascii="David" w:hAnsi="David" w:cs="David"/>
          <w:sz w:val="24"/>
          <w:szCs w:val="24"/>
        </w:rPr>
        <w:t xml:space="preserve"> </w:t>
      </w:r>
      <w:r>
        <w:rPr>
          <w:rFonts w:ascii="David" w:hAnsi="David" w:cs="David"/>
          <w:sz w:val="24"/>
          <w:szCs w:val="24"/>
          <w:rtl/>
        </w:rPr>
        <w:t xml:space="preserve">"תראה מה עשיתי לעצמי" כשהוא מניף את ידו הקטועה. הנאשם אמר שיש לו כאבים בידו והוא סובל מכך וקשה לו ואינו מסתדר בכלא. עוד אמר כי הוא קיבל עונש משמיים. </w:t>
      </w:r>
    </w:p>
    <w:p w14:paraId="47E06BE3" w14:textId="77777777" w:rsidR="003E3156" w:rsidRDefault="003E3156" w:rsidP="003E3156">
      <w:pPr>
        <w:spacing w:line="360" w:lineRule="auto"/>
        <w:jc w:val="both"/>
        <w:rPr>
          <w:rFonts w:ascii="David" w:hAnsi="David"/>
          <w:b/>
          <w:bCs/>
          <w:u w:val="single"/>
        </w:rPr>
      </w:pPr>
    </w:p>
    <w:p w14:paraId="0797C0D4" w14:textId="77777777" w:rsidR="003E3156" w:rsidRDefault="003E3156" w:rsidP="003E3156">
      <w:pPr>
        <w:spacing w:line="360" w:lineRule="auto"/>
        <w:jc w:val="both"/>
        <w:rPr>
          <w:rFonts w:ascii="David" w:hAnsi="David"/>
          <w:b/>
          <w:bCs/>
          <w:u w:val="single"/>
          <w:rtl/>
        </w:rPr>
      </w:pPr>
      <w:r>
        <w:rPr>
          <w:rFonts w:ascii="David" w:hAnsi="David"/>
          <w:b/>
          <w:bCs/>
          <w:u w:val="single"/>
          <w:rtl/>
        </w:rPr>
        <w:t xml:space="preserve">דיון והכרעה  </w:t>
      </w:r>
    </w:p>
    <w:p w14:paraId="63CD44ED" w14:textId="77777777" w:rsidR="003E3156" w:rsidRDefault="003E3156" w:rsidP="003E3156">
      <w:pPr>
        <w:spacing w:line="360" w:lineRule="auto"/>
        <w:jc w:val="both"/>
        <w:rPr>
          <w:rFonts w:ascii="David" w:hAnsi="David"/>
          <w:b/>
          <w:bCs/>
          <w:u w:val="single"/>
          <w:rtl/>
        </w:rPr>
      </w:pPr>
      <w:r>
        <w:rPr>
          <w:rFonts w:ascii="David" w:hAnsi="David"/>
          <w:b/>
          <w:bCs/>
          <w:u w:val="single"/>
          <w:rtl/>
        </w:rPr>
        <w:t>הערכים המוגנים והפגיעה בהם</w:t>
      </w:r>
    </w:p>
    <w:p w14:paraId="54DA35FA" w14:textId="77777777" w:rsidR="003E3156" w:rsidRDefault="003E3156" w:rsidP="003E3156">
      <w:pPr>
        <w:pStyle w:val="a9"/>
        <w:spacing w:after="0" w:line="360" w:lineRule="auto"/>
        <w:ind w:left="0"/>
        <w:jc w:val="both"/>
        <w:rPr>
          <w:rFonts w:ascii="David" w:hAnsi="David" w:cs="David"/>
          <w:sz w:val="24"/>
          <w:szCs w:val="24"/>
          <w:rtl/>
        </w:rPr>
      </w:pPr>
    </w:p>
    <w:p w14:paraId="525597A7" w14:textId="77777777" w:rsidR="003E3156" w:rsidRDefault="003E3156" w:rsidP="003E3156">
      <w:pPr>
        <w:pStyle w:val="a9"/>
        <w:spacing w:after="0" w:line="360" w:lineRule="auto"/>
        <w:ind w:hanging="720"/>
        <w:jc w:val="both"/>
        <w:rPr>
          <w:rFonts w:ascii="David" w:hAnsi="David" w:cs="David"/>
          <w:sz w:val="24"/>
          <w:szCs w:val="24"/>
          <w:rtl/>
        </w:rPr>
      </w:pPr>
      <w:r>
        <w:rPr>
          <w:rFonts w:ascii="David" w:hAnsi="David" w:cs="David"/>
          <w:sz w:val="24"/>
          <w:szCs w:val="24"/>
          <w:rtl/>
        </w:rPr>
        <w:t>10.</w:t>
      </w:r>
      <w:r>
        <w:rPr>
          <w:rFonts w:ascii="David" w:hAnsi="David" w:cs="David"/>
          <w:sz w:val="24"/>
          <w:szCs w:val="24"/>
          <w:rtl/>
        </w:rPr>
        <w:tab/>
        <w:t>החזקת נשק באופן בלתי חוקי מסוכנת ומסכנת, היא מובילה לא פעם לביצוע עבירות אלימות קשות, לעיתים רבות קטלניות. חומרת המעשה נמדדת על פי נסיבות האירוע, תוך ראיית הסיכון הפוטנציאלי הטמון בנשק. על רקע זה קרא בית המשפט  העליון לא אחת להגביר את האכיפה בתחום פשיעה מסכן חיים זה, ולהחמיר את הענישה עם אלה המבצעים עבירות בנשק:</w:t>
      </w:r>
    </w:p>
    <w:p w14:paraId="38A7C7B9" w14:textId="77777777" w:rsidR="003E3156" w:rsidRDefault="003E3156" w:rsidP="003E3156">
      <w:pPr>
        <w:pStyle w:val="a9"/>
        <w:spacing w:after="0" w:line="360" w:lineRule="auto"/>
        <w:ind w:left="0"/>
        <w:jc w:val="both"/>
        <w:rPr>
          <w:rFonts w:ascii="David" w:hAnsi="David" w:cs="David"/>
          <w:b/>
          <w:bCs/>
          <w:sz w:val="24"/>
          <w:szCs w:val="24"/>
        </w:rPr>
      </w:pPr>
    </w:p>
    <w:p w14:paraId="17A5C6D2" w14:textId="77777777" w:rsidR="003E3156" w:rsidRDefault="003E3156" w:rsidP="003E3156">
      <w:pPr>
        <w:pStyle w:val="a9"/>
        <w:spacing w:after="0" w:line="360" w:lineRule="auto"/>
        <w:ind w:left="1134" w:right="1134"/>
        <w:jc w:val="both"/>
        <w:rPr>
          <w:rFonts w:ascii="Narkisim" w:hAnsi="Narkisim" w:cs="Narkisim"/>
          <w:b/>
          <w:bCs/>
          <w:sz w:val="24"/>
          <w:szCs w:val="24"/>
        </w:rPr>
      </w:pPr>
      <w:r>
        <w:rPr>
          <w:rFonts w:ascii="Narkisim" w:hAnsi="Narkisim" w:cs="Narkisim"/>
          <w:b/>
          <w:bCs/>
          <w:sz w:val="24"/>
          <w:szCs w:val="24"/>
          <w:rtl/>
        </w:rPr>
        <w:t>"אין צורך להכביר במילים על אודות החומרה הנלווית לעבירות נשק. אין היום חולקין כי עבירות מסוג זה הפכו ל"מכת מדינה" של ממש... מכה זו מצריכה מענה הולם בדמות ענישה מחמירה של הטלת עונשי מאסר משמעותיים". מצויים אנו לעת הזאת במצב חירום של ממש בעניין עבירות הנשק, ולא בכדי נתקבל עתה תיקון ל</w:t>
      </w:r>
      <w:hyperlink r:id="rId19" w:history="1">
        <w:r w:rsidR="0006437F" w:rsidRPr="0006437F">
          <w:rPr>
            <w:rFonts w:ascii="Narkisim" w:hAnsi="Narkisim" w:cs="Narkisim"/>
            <w:b/>
            <w:bCs/>
            <w:color w:val="0000FF"/>
            <w:sz w:val="24"/>
            <w:szCs w:val="24"/>
            <w:u w:val="single"/>
            <w:rtl/>
          </w:rPr>
          <w:t>חוק העונשין</w:t>
        </w:r>
      </w:hyperlink>
      <w:r>
        <w:rPr>
          <w:rFonts w:ascii="Narkisim" w:hAnsi="Narkisim" w:cs="Narkisim"/>
          <w:b/>
          <w:bCs/>
          <w:sz w:val="24"/>
          <w:szCs w:val="24"/>
          <w:rtl/>
        </w:rPr>
        <w:t>" (</w:t>
      </w:r>
      <w:hyperlink r:id="rId20" w:history="1">
        <w:r w:rsidR="0006437F" w:rsidRPr="0006437F">
          <w:rPr>
            <w:rFonts w:ascii="Narkisim" w:hAnsi="Narkisim" w:cs="Narkisim"/>
            <w:b/>
            <w:bCs/>
            <w:color w:val="0000FF"/>
            <w:sz w:val="24"/>
            <w:szCs w:val="24"/>
            <w:u w:val="single"/>
            <w:rtl/>
          </w:rPr>
          <w:t>ע"פ 8320/21</w:t>
        </w:r>
      </w:hyperlink>
      <w:r>
        <w:rPr>
          <w:rFonts w:ascii="Narkisim" w:hAnsi="Narkisim" w:cs="Narkisim"/>
          <w:b/>
          <w:bCs/>
          <w:sz w:val="24"/>
          <w:szCs w:val="24"/>
          <w:rtl/>
        </w:rPr>
        <w:t xml:space="preserve"> מדינת ישראל נ' בסילה, פסקה 10, 28.12.2021). </w:t>
      </w:r>
    </w:p>
    <w:p w14:paraId="4DC92C1F" w14:textId="77777777" w:rsidR="003E3156" w:rsidRDefault="003E3156" w:rsidP="003E3156">
      <w:pPr>
        <w:pStyle w:val="a9"/>
        <w:spacing w:after="0" w:line="360" w:lineRule="auto"/>
        <w:ind w:left="0"/>
        <w:jc w:val="both"/>
        <w:rPr>
          <w:rFonts w:ascii="David" w:hAnsi="David" w:cs="David"/>
          <w:sz w:val="24"/>
          <w:szCs w:val="24"/>
          <w:rtl/>
        </w:rPr>
      </w:pPr>
    </w:p>
    <w:p w14:paraId="39AE8631" w14:textId="77777777" w:rsidR="003E3156" w:rsidRDefault="003E3156" w:rsidP="003E3156">
      <w:pPr>
        <w:pStyle w:val="a9"/>
        <w:spacing w:after="0" w:line="360" w:lineRule="auto"/>
        <w:ind w:hanging="720"/>
        <w:jc w:val="both"/>
        <w:rPr>
          <w:rFonts w:ascii="David" w:hAnsi="David" w:cs="David"/>
          <w:sz w:val="24"/>
          <w:szCs w:val="24"/>
          <w:rtl/>
        </w:rPr>
      </w:pPr>
      <w:r>
        <w:rPr>
          <w:rFonts w:ascii="David" w:hAnsi="David" w:cs="David"/>
          <w:sz w:val="24"/>
          <w:szCs w:val="24"/>
          <w:rtl/>
        </w:rPr>
        <w:t>11.</w:t>
      </w:r>
      <w:r>
        <w:rPr>
          <w:rFonts w:ascii="David" w:hAnsi="David" w:cs="David"/>
          <w:sz w:val="24"/>
          <w:szCs w:val="24"/>
          <w:rtl/>
        </w:rPr>
        <w:tab/>
        <w:t xml:space="preserve">מעשיו של הנאשם סיכנו את שלום הציבור, שעה שהחזיק חפץ מתכתי מאולתר המכיל חומר נפץ במטרה להשליכו. מדובר במעשה שטמון בו מימד של חומרה רבה, נוכח פוטנציאל הנזק המובנה הגלום בחפץ מתכתי בר-פיצוץ העלול להתממש ולפגוע בעוברי אורח תמימים. ואכן, פוטנציאל זה התממש, שכן החפץ האמור, בו אחז הנאשם, התפוצץ תוך שקטע את כף ידו וגרם לו לנזקי גוף שונים כמפורט בכתב האישום. </w:t>
      </w:r>
    </w:p>
    <w:p w14:paraId="775ED2F9" w14:textId="77777777" w:rsidR="003E3156" w:rsidRDefault="003E3156" w:rsidP="003E3156">
      <w:pPr>
        <w:pStyle w:val="a9"/>
        <w:spacing w:after="0" w:line="360" w:lineRule="auto"/>
        <w:ind w:left="0"/>
        <w:jc w:val="both"/>
        <w:rPr>
          <w:rFonts w:ascii="David" w:hAnsi="David" w:cs="David"/>
          <w:sz w:val="24"/>
          <w:szCs w:val="24"/>
        </w:rPr>
      </w:pPr>
    </w:p>
    <w:p w14:paraId="0BD09E1C" w14:textId="77777777" w:rsidR="003E3156" w:rsidRDefault="003E3156" w:rsidP="003E3156">
      <w:pPr>
        <w:pStyle w:val="a9"/>
        <w:spacing w:after="0" w:line="360" w:lineRule="auto"/>
        <w:ind w:hanging="720"/>
        <w:jc w:val="both"/>
        <w:rPr>
          <w:rFonts w:ascii="David" w:hAnsi="David" w:cs="David"/>
          <w:sz w:val="24"/>
          <w:szCs w:val="24"/>
        </w:rPr>
      </w:pPr>
      <w:r>
        <w:rPr>
          <w:rFonts w:ascii="David" w:hAnsi="David" w:cs="David"/>
          <w:sz w:val="24"/>
          <w:szCs w:val="24"/>
          <w:rtl/>
        </w:rPr>
        <w:t>12.</w:t>
      </w:r>
      <w:r>
        <w:rPr>
          <w:rFonts w:ascii="David" w:hAnsi="David" w:cs="David"/>
          <w:sz w:val="24"/>
          <w:szCs w:val="24"/>
          <w:rtl/>
        </w:rPr>
        <w:tab/>
        <w:t xml:space="preserve">מידת הפגיעה בערכים המוגנים החוסים תחת הוראת החוק הנדונה אותה היפר הנאשם, הינה בינונית - גבוהה. </w:t>
      </w:r>
    </w:p>
    <w:p w14:paraId="5D4E5131" w14:textId="77777777" w:rsidR="003E3156" w:rsidRDefault="003E3156" w:rsidP="003E3156">
      <w:pPr>
        <w:spacing w:line="360" w:lineRule="auto"/>
        <w:jc w:val="both"/>
        <w:rPr>
          <w:rFonts w:ascii="David" w:hAnsi="David"/>
        </w:rPr>
      </w:pPr>
    </w:p>
    <w:p w14:paraId="208DA769" w14:textId="77777777" w:rsidR="003E3156" w:rsidRDefault="003E3156" w:rsidP="003E3156">
      <w:pPr>
        <w:spacing w:line="360" w:lineRule="auto"/>
        <w:jc w:val="both"/>
        <w:rPr>
          <w:rFonts w:ascii="David" w:hAnsi="David"/>
          <w:b/>
          <w:bCs/>
          <w:u w:val="single"/>
          <w:rtl/>
        </w:rPr>
      </w:pPr>
      <w:r>
        <w:rPr>
          <w:rFonts w:ascii="David" w:hAnsi="David"/>
          <w:b/>
          <w:bCs/>
          <w:u w:val="single"/>
          <w:rtl/>
        </w:rPr>
        <w:t xml:space="preserve">מדיניות הענישה הנוהגת </w:t>
      </w:r>
    </w:p>
    <w:p w14:paraId="755C1C1E" w14:textId="77777777" w:rsidR="003E3156" w:rsidRDefault="003E3156" w:rsidP="003E3156">
      <w:pPr>
        <w:pStyle w:val="a9"/>
        <w:spacing w:after="0" w:line="360" w:lineRule="auto"/>
        <w:ind w:left="0"/>
        <w:jc w:val="both"/>
        <w:rPr>
          <w:rFonts w:ascii="David" w:hAnsi="David" w:cs="David"/>
          <w:sz w:val="24"/>
          <w:szCs w:val="24"/>
          <w:rtl/>
        </w:rPr>
      </w:pPr>
    </w:p>
    <w:p w14:paraId="69AF94D8" w14:textId="77777777" w:rsidR="003E3156" w:rsidRDefault="003E3156" w:rsidP="003E3156">
      <w:pPr>
        <w:pStyle w:val="a9"/>
        <w:spacing w:after="0" w:line="360" w:lineRule="auto"/>
        <w:ind w:hanging="720"/>
        <w:jc w:val="both"/>
        <w:rPr>
          <w:rFonts w:ascii="David" w:hAnsi="David" w:cs="David"/>
          <w:sz w:val="24"/>
          <w:szCs w:val="24"/>
          <w:rtl/>
        </w:rPr>
      </w:pPr>
      <w:r>
        <w:rPr>
          <w:rFonts w:ascii="David" w:hAnsi="David" w:cs="David"/>
          <w:sz w:val="24"/>
          <w:szCs w:val="24"/>
          <w:rtl/>
        </w:rPr>
        <w:t>13.</w:t>
      </w:r>
      <w:r>
        <w:rPr>
          <w:rFonts w:ascii="David" w:hAnsi="David" w:cs="David"/>
          <w:sz w:val="24"/>
          <w:szCs w:val="24"/>
          <w:rtl/>
        </w:rPr>
        <w:tab/>
        <w:t>אקדים ואציין, כי לא ניתן בנקל לאתר פסיקה עונשית הנוגעת להחזקת מטען מאולתר הדומה לנדוננו. אך ניתן לעמדתי להקיש מהפסיקה שלהלן על הענישה הנוהגת בהחזקת נשק דומה. מעבר לכך ובאופן כללי, כללי הענישה בעבירות מסוג זה, מושפעות מהגישה העונשית המסתמנת בפסיקה, מאז תיקון 140 ל</w:t>
      </w:r>
      <w:hyperlink r:id="rId21" w:history="1">
        <w:r w:rsidR="0006437F" w:rsidRPr="0006437F">
          <w:rPr>
            <w:rFonts w:ascii="David" w:hAnsi="David" w:cs="David"/>
            <w:color w:val="0000FF"/>
            <w:sz w:val="24"/>
            <w:szCs w:val="24"/>
            <w:u w:val="single"/>
            <w:rtl/>
          </w:rPr>
          <w:t>חוק העונשין</w:t>
        </w:r>
      </w:hyperlink>
      <w:r>
        <w:rPr>
          <w:rFonts w:ascii="David" w:hAnsi="David" w:cs="David"/>
          <w:sz w:val="24"/>
          <w:szCs w:val="24"/>
          <w:rtl/>
        </w:rPr>
        <w:t>. בעניין זה יפים לענייננו דבריו של כב' השופט א' שטיין ב</w:t>
      </w:r>
      <w:hyperlink r:id="rId22" w:history="1">
        <w:r w:rsidR="0006437F" w:rsidRPr="0006437F">
          <w:rPr>
            <w:rFonts w:ascii="David" w:hAnsi="David" w:cs="David"/>
            <w:color w:val="0000FF"/>
            <w:sz w:val="24"/>
            <w:szCs w:val="24"/>
            <w:u w:val="single"/>
            <w:rtl/>
          </w:rPr>
          <w:t>ע"פ 4077/22</w:t>
        </w:r>
      </w:hyperlink>
      <w:r>
        <w:rPr>
          <w:rFonts w:ascii="David" w:hAnsi="David" w:cs="David"/>
          <w:sz w:val="24"/>
          <w:szCs w:val="24"/>
          <w:rtl/>
        </w:rPr>
        <w:t xml:space="preserve"> </w:t>
      </w:r>
      <w:r>
        <w:rPr>
          <w:rFonts w:ascii="David" w:hAnsi="David" w:cs="David"/>
          <w:b/>
          <w:bCs/>
          <w:sz w:val="24"/>
          <w:szCs w:val="24"/>
          <w:rtl/>
        </w:rPr>
        <w:t>פלוני נ' מדינת ישראל</w:t>
      </w:r>
      <w:r>
        <w:rPr>
          <w:rFonts w:ascii="David" w:hAnsi="David" w:cs="David"/>
          <w:sz w:val="24"/>
          <w:szCs w:val="24"/>
          <w:rtl/>
        </w:rPr>
        <w:t xml:space="preserve"> (28.7.2022): </w:t>
      </w:r>
    </w:p>
    <w:p w14:paraId="0FEE1CAE" w14:textId="77777777" w:rsidR="003E3156" w:rsidRDefault="003E3156" w:rsidP="003E3156">
      <w:pPr>
        <w:pStyle w:val="a9"/>
        <w:spacing w:after="0" w:line="360" w:lineRule="auto"/>
        <w:ind w:left="0"/>
        <w:jc w:val="both"/>
        <w:rPr>
          <w:rFonts w:ascii="David" w:hAnsi="David" w:cs="David"/>
          <w:sz w:val="24"/>
          <w:szCs w:val="24"/>
        </w:rPr>
      </w:pPr>
    </w:p>
    <w:p w14:paraId="3CCEFC81" w14:textId="77777777" w:rsidR="003E3156" w:rsidRDefault="003E3156" w:rsidP="003E3156">
      <w:pPr>
        <w:pStyle w:val="a9"/>
        <w:spacing w:after="0" w:line="360" w:lineRule="auto"/>
        <w:ind w:left="1134" w:right="1134"/>
        <w:jc w:val="both"/>
        <w:rPr>
          <w:rFonts w:ascii="David" w:hAnsi="David" w:cs="David"/>
          <w:sz w:val="24"/>
          <w:szCs w:val="24"/>
          <w:rtl/>
        </w:rPr>
      </w:pPr>
      <w:r>
        <w:rPr>
          <w:rFonts w:ascii="Narkisim" w:hAnsi="Narkisim" w:cs="Narkisim"/>
          <w:b/>
          <w:bCs/>
          <w:sz w:val="24"/>
          <w:szCs w:val="24"/>
          <w:rtl/>
        </w:rPr>
        <w:t>"בפסיקתו מן הזמן האחרון, בית משפט זה קבע לא אחת כי את מבצעיהן של עבירות נשק יש להעניש בחומרה יתרה – שכן מדובר בעבירות שהיו למכת מדינה, ושאחריהן בא השימוש הקטלני בנשק אשר מותיר אחריו פצועים ומתים כמעט מדי יום. מדיניות זו חלה ביתר שאת כאשר מדובר במכירה, ברכישה, בנשיאה או בהובלה – שלא כדין – של נשק התקפי בדמות תת-מקלעים ורובים ובשימוש לא חוקי בנשק כאמור. בטיפולנו בעבירות מסוג זה ובמבצעיהן, להרתעת היחיד והרבים ולהרחקת עברייני הנשק מהחברה על ידי השמתם בין כותלי הכלא לתקופות ממושכות יש מעמד בכורה ... ככלל, יעדים עונשיים אלו מוחקים מניה וביה את בקשת העבריין לשיקום שמחוץ לכלא – זאת, גם כאשר מדובר בעבריין צעיר שהסתבך לראשונה בפלילים ובקשתו לשיקום כנה ואף זוכה לתמיכתו של שירות המבחן ... בימים קשים אלה, השיקום שבראש מעייננו הוא שיקום המרחב הציבורי המדמם כתוצאה מעבירות נשק בלתי פוסקות והשימוש העברייני בנשק חם" (שם, פסקה</w:t>
      </w:r>
      <w:r>
        <w:rPr>
          <w:rFonts w:ascii="David" w:hAnsi="David" w:cs="David"/>
          <w:b/>
          <w:bCs/>
          <w:sz w:val="24"/>
          <w:szCs w:val="24"/>
          <w:rtl/>
        </w:rPr>
        <w:t xml:space="preserve"> 12).</w:t>
      </w:r>
      <w:r>
        <w:rPr>
          <w:rFonts w:ascii="David" w:hAnsi="David" w:cs="David"/>
          <w:sz w:val="24"/>
          <w:szCs w:val="24"/>
          <w:rtl/>
        </w:rPr>
        <w:t xml:space="preserve">  </w:t>
      </w:r>
    </w:p>
    <w:p w14:paraId="6BB9AAAA" w14:textId="77777777" w:rsidR="003E3156" w:rsidRDefault="003E3156" w:rsidP="003E3156">
      <w:pPr>
        <w:pStyle w:val="a9"/>
        <w:spacing w:after="0" w:line="360" w:lineRule="auto"/>
        <w:ind w:left="0"/>
        <w:jc w:val="both"/>
        <w:rPr>
          <w:rFonts w:ascii="David" w:hAnsi="David" w:cs="David"/>
          <w:sz w:val="24"/>
          <w:szCs w:val="24"/>
          <w:rtl/>
        </w:rPr>
      </w:pPr>
    </w:p>
    <w:p w14:paraId="4CD538BD" w14:textId="77777777" w:rsidR="003E3156" w:rsidRDefault="003E3156" w:rsidP="003E3156">
      <w:pPr>
        <w:pStyle w:val="a9"/>
        <w:spacing w:after="0" w:line="360" w:lineRule="auto"/>
        <w:ind w:hanging="720"/>
        <w:jc w:val="both"/>
        <w:rPr>
          <w:rFonts w:ascii="David" w:hAnsi="David" w:cs="David"/>
          <w:sz w:val="24"/>
          <w:szCs w:val="24"/>
          <w:rtl/>
        </w:rPr>
      </w:pPr>
      <w:r>
        <w:rPr>
          <w:rFonts w:ascii="David" w:hAnsi="David" w:cs="David"/>
          <w:sz w:val="24"/>
          <w:szCs w:val="24"/>
          <w:rtl/>
        </w:rPr>
        <w:tab/>
        <w:t>עוד ראו: פסקאות 12-13 לפסק דינו של כב' השופט י' אלרון ב</w:t>
      </w:r>
      <w:hyperlink r:id="rId23" w:history="1">
        <w:r w:rsidR="0006437F" w:rsidRPr="0006437F">
          <w:rPr>
            <w:rFonts w:ascii="David" w:hAnsi="David" w:cs="David"/>
            <w:color w:val="0000FF"/>
            <w:sz w:val="24"/>
            <w:szCs w:val="24"/>
            <w:u w:val="single"/>
            <w:rtl/>
          </w:rPr>
          <w:t>ע"פ 6068/21</w:t>
        </w:r>
      </w:hyperlink>
      <w:r>
        <w:rPr>
          <w:rFonts w:ascii="David" w:hAnsi="David" w:cs="David"/>
          <w:sz w:val="24"/>
          <w:szCs w:val="24"/>
          <w:rtl/>
        </w:rPr>
        <w:t xml:space="preserve"> </w:t>
      </w:r>
      <w:r>
        <w:rPr>
          <w:rFonts w:ascii="David" w:hAnsi="David" w:cs="David"/>
          <w:b/>
          <w:bCs/>
          <w:sz w:val="24"/>
          <w:szCs w:val="24"/>
          <w:rtl/>
        </w:rPr>
        <w:t xml:space="preserve">מדינת ישראל נ' אברהים פקיה (19.12.2021); </w:t>
      </w:r>
      <w:r>
        <w:rPr>
          <w:rFonts w:ascii="David" w:hAnsi="David" w:cs="David"/>
          <w:sz w:val="24"/>
          <w:szCs w:val="24"/>
          <w:rtl/>
        </w:rPr>
        <w:t>פסקה 10 לפסקה דינו של כב' השופט י' כשר ב</w:t>
      </w:r>
      <w:hyperlink r:id="rId24" w:history="1">
        <w:r w:rsidR="0006437F" w:rsidRPr="0006437F">
          <w:rPr>
            <w:rFonts w:ascii="David" w:hAnsi="David" w:cs="David"/>
            <w:color w:val="0000FF"/>
            <w:sz w:val="24"/>
            <w:szCs w:val="24"/>
            <w:u w:val="single"/>
            <w:rtl/>
          </w:rPr>
          <w:t>ע"פ 8175/22</w:t>
        </w:r>
      </w:hyperlink>
      <w:r>
        <w:rPr>
          <w:rFonts w:ascii="David" w:hAnsi="David" w:cs="David"/>
          <w:sz w:val="24"/>
          <w:szCs w:val="24"/>
          <w:rtl/>
        </w:rPr>
        <w:t xml:space="preserve"> </w:t>
      </w:r>
      <w:r>
        <w:rPr>
          <w:rFonts w:ascii="David" w:hAnsi="David" w:cs="David"/>
          <w:b/>
          <w:bCs/>
          <w:sz w:val="24"/>
          <w:szCs w:val="24"/>
          <w:rtl/>
        </w:rPr>
        <w:t>נאדר</w:t>
      </w:r>
      <w:r>
        <w:rPr>
          <w:rFonts w:ascii="David" w:hAnsi="David" w:cs="David"/>
          <w:sz w:val="24"/>
          <w:szCs w:val="24"/>
          <w:rtl/>
        </w:rPr>
        <w:t xml:space="preserve"> </w:t>
      </w:r>
      <w:r>
        <w:rPr>
          <w:rFonts w:ascii="David" w:hAnsi="David" w:cs="David"/>
          <w:b/>
          <w:bCs/>
          <w:sz w:val="24"/>
          <w:szCs w:val="24"/>
          <w:rtl/>
        </w:rPr>
        <w:t>דאעגלה נ' מדינת ישראל</w:t>
      </w:r>
      <w:r>
        <w:rPr>
          <w:rFonts w:ascii="David" w:hAnsi="David" w:cs="David"/>
          <w:sz w:val="24"/>
          <w:szCs w:val="24"/>
          <w:rtl/>
        </w:rPr>
        <w:t xml:space="preserve"> (27.8.2024); פסקה 36 לפסקה דינה של כב' השופטת ר' רונן ב</w:t>
      </w:r>
      <w:hyperlink r:id="rId25" w:history="1">
        <w:r w:rsidR="0006437F" w:rsidRPr="0006437F">
          <w:rPr>
            <w:rFonts w:ascii="David" w:hAnsi="David" w:cs="David"/>
            <w:color w:val="0000FF"/>
            <w:sz w:val="24"/>
            <w:szCs w:val="24"/>
            <w:u w:val="single"/>
            <w:rtl/>
          </w:rPr>
          <w:t>ע"פ 5684/22</w:t>
        </w:r>
      </w:hyperlink>
      <w:r>
        <w:rPr>
          <w:rFonts w:ascii="David" w:hAnsi="David" w:cs="David"/>
          <w:sz w:val="24"/>
          <w:szCs w:val="24"/>
          <w:rtl/>
        </w:rPr>
        <w:t xml:space="preserve"> </w:t>
      </w:r>
      <w:r>
        <w:rPr>
          <w:rFonts w:ascii="David" w:hAnsi="David" w:cs="David"/>
          <w:b/>
          <w:bCs/>
          <w:sz w:val="24"/>
          <w:szCs w:val="24"/>
          <w:rtl/>
        </w:rPr>
        <w:t>פלוני נ' מדינת ישראל</w:t>
      </w:r>
      <w:r>
        <w:rPr>
          <w:rFonts w:ascii="David" w:hAnsi="David" w:cs="David"/>
          <w:sz w:val="24"/>
          <w:szCs w:val="24"/>
          <w:rtl/>
        </w:rPr>
        <w:t xml:space="preserve"> (20.4.2023). </w:t>
      </w:r>
    </w:p>
    <w:p w14:paraId="2AEE839A" w14:textId="77777777" w:rsidR="003E3156" w:rsidRDefault="003E3156" w:rsidP="003E3156">
      <w:pPr>
        <w:pStyle w:val="a9"/>
        <w:spacing w:after="0" w:line="360" w:lineRule="auto"/>
        <w:ind w:left="0"/>
        <w:jc w:val="both"/>
        <w:rPr>
          <w:rFonts w:ascii="David" w:hAnsi="David" w:cs="David"/>
          <w:sz w:val="24"/>
          <w:szCs w:val="24"/>
          <w:rtl/>
        </w:rPr>
      </w:pPr>
    </w:p>
    <w:p w14:paraId="1B3B75BA" w14:textId="77777777" w:rsidR="003E3156" w:rsidRDefault="003E3156" w:rsidP="003E3156">
      <w:pPr>
        <w:pStyle w:val="a9"/>
        <w:spacing w:after="0" w:line="360" w:lineRule="auto"/>
        <w:ind w:hanging="720"/>
        <w:jc w:val="both"/>
        <w:rPr>
          <w:rFonts w:ascii="David" w:hAnsi="David" w:cs="David"/>
          <w:sz w:val="24"/>
          <w:szCs w:val="24"/>
          <w:rtl/>
        </w:rPr>
      </w:pPr>
      <w:r>
        <w:rPr>
          <w:rFonts w:ascii="David" w:hAnsi="David" w:cs="David"/>
          <w:sz w:val="24"/>
          <w:szCs w:val="24"/>
          <w:rtl/>
        </w:rPr>
        <w:t>14.</w:t>
      </w:r>
      <w:r>
        <w:rPr>
          <w:rFonts w:ascii="David" w:hAnsi="David" w:cs="David"/>
          <w:sz w:val="24"/>
          <w:szCs w:val="24"/>
          <w:rtl/>
        </w:rPr>
        <w:tab/>
        <w:t>החזקת חפצים מתכתיים ברי פיצוץ מאולתרים, מסוכנים במיוחד, בשל פוטנציאל הנזק והקטל שלהם, בדומה למטענים הממוקמים במקום גבוה בסולם התפיסה העונשית הן מצד המדינה (ראה הנחיית פרקליט מדינה מס' 9.16) והן מצד בית המשפט העליון. יפה לכאן הנאמר ב</w:t>
      </w:r>
      <w:hyperlink r:id="rId26" w:history="1">
        <w:r w:rsidR="0006437F" w:rsidRPr="0006437F">
          <w:rPr>
            <w:rFonts w:ascii="David" w:hAnsi="David" w:cs="David"/>
            <w:color w:val="0000FF"/>
            <w:sz w:val="24"/>
            <w:szCs w:val="24"/>
            <w:u w:val="single"/>
            <w:rtl/>
          </w:rPr>
          <w:t>ע"פ 3491/13</w:t>
        </w:r>
      </w:hyperlink>
      <w:r>
        <w:rPr>
          <w:rFonts w:ascii="David" w:hAnsi="David" w:cs="David"/>
          <w:sz w:val="24"/>
          <w:szCs w:val="24"/>
          <w:rtl/>
        </w:rPr>
        <w:t xml:space="preserve"> </w:t>
      </w:r>
      <w:r>
        <w:rPr>
          <w:rFonts w:ascii="David" w:hAnsi="David" w:cs="David"/>
          <w:b/>
          <w:bCs/>
          <w:sz w:val="24"/>
          <w:szCs w:val="24"/>
          <w:rtl/>
        </w:rPr>
        <w:t xml:space="preserve">טוויק נ' מדינת ישראל </w:t>
      </w:r>
      <w:r>
        <w:rPr>
          <w:rFonts w:ascii="David" w:hAnsi="David" w:cs="David"/>
          <w:sz w:val="24"/>
          <w:szCs w:val="24"/>
          <w:rtl/>
        </w:rPr>
        <w:t>(2013)</w:t>
      </w:r>
      <w:r>
        <w:rPr>
          <w:rFonts w:ascii="David" w:hAnsi="David" w:cs="David"/>
          <w:b/>
          <w:bCs/>
          <w:sz w:val="24"/>
          <w:szCs w:val="24"/>
          <w:rtl/>
        </w:rPr>
        <w:t xml:space="preserve"> </w:t>
      </w:r>
      <w:r>
        <w:rPr>
          <w:rFonts w:ascii="David" w:hAnsi="David" w:cs="David"/>
          <w:sz w:val="24"/>
          <w:szCs w:val="24"/>
          <w:rtl/>
        </w:rPr>
        <w:t xml:space="preserve">מפי כב' השופט נ' סולברג שם עמד מסוכנתם של חומרי נפץ באומרו: </w:t>
      </w:r>
    </w:p>
    <w:p w14:paraId="53201EAF" w14:textId="77777777" w:rsidR="003E3156" w:rsidRDefault="003E3156" w:rsidP="003E3156">
      <w:pPr>
        <w:pStyle w:val="a9"/>
        <w:spacing w:after="0" w:line="360" w:lineRule="auto"/>
        <w:ind w:left="0"/>
        <w:jc w:val="both"/>
        <w:rPr>
          <w:rFonts w:ascii="David" w:hAnsi="David" w:cs="David"/>
          <w:sz w:val="24"/>
          <w:szCs w:val="24"/>
        </w:rPr>
      </w:pPr>
    </w:p>
    <w:p w14:paraId="12460FAC" w14:textId="77777777" w:rsidR="003E3156" w:rsidRDefault="003E3156" w:rsidP="003E3156">
      <w:pPr>
        <w:pStyle w:val="a9"/>
        <w:spacing w:after="0" w:line="360" w:lineRule="auto"/>
        <w:ind w:left="1134" w:right="1134"/>
        <w:jc w:val="both"/>
        <w:rPr>
          <w:rFonts w:ascii="Narkisim" w:hAnsi="Narkisim" w:cs="Narkisim"/>
          <w:b/>
          <w:bCs/>
          <w:sz w:val="24"/>
          <w:szCs w:val="24"/>
        </w:rPr>
      </w:pPr>
      <w:r>
        <w:rPr>
          <w:rFonts w:ascii="Narkisim" w:hAnsi="Narkisim" w:cs="Narkisim"/>
          <w:b/>
          <w:bCs/>
          <w:sz w:val="24"/>
          <w:szCs w:val="24"/>
          <w:rtl/>
        </w:rPr>
        <w:t xml:space="preserve">"אין צורך להכביר מילים על המסוכנות הרבה של חומרי הנפץ ומטעני החבלה. סכנת נפשות, פשוטו כמשמעו. שומה למגר תופעה של סחר, נשיאה והובלה של נשק. אין ניתן להתפשר, ולא לנהוג בסובלנות. רחמנות יתרה על המערער ועל אחרים שכמותו, כמוה כהתאכזרות אל הציבור הרחב. מדובר בחיי אדם" (שם, פסקה 7). </w:t>
      </w:r>
    </w:p>
    <w:p w14:paraId="24D3E2C6" w14:textId="77777777" w:rsidR="003E3156" w:rsidRDefault="003E3156" w:rsidP="003E3156">
      <w:pPr>
        <w:pStyle w:val="a9"/>
        <w:spacing w:after="0" w:line="360" w:lineRule="auto"/>
        <w:ind w:left="0"/>
        <w:jc w:val="both"/>
        <w:rPr>
          <w:rFonts w:ascii="David" w:hAnsi="David" w:cs="David"/>
          <w:sz w:val="24"/>
          <w:szCs w:val="24"/>
          <w:rtl/>
        </w:rPr>
      </w:pPr>
    </w:p>
    <w:p w14:paraId="6FAF7CA0" w14:textId="77777777" w:rsidR="003E3156" w:rsidRDefault="003E3156" w:rsidP="003E3156">
      <w:pPr>
        <w:pStyle w:val="a9"/>
        <w:spacing w:after="0" w:line="360" w:lineRule="auto"/>
        <w:ind w:hanging="720"/>
        <w:jc w:val="both"/>
        <w:rPr>
          <w:rFonts w:ascii="David" w:hAnsi="David" w:cs="David"/>
          <w:b/>
          <w:bCs/>
          <w:sz w:val="24"/>
          <w:szCs w:val="24"/>
          <w:rtl/>
        </w:rPr>
      </w:pPr>
      <w:r>
        <w:rPr>
          <w:rFonts w:ascii="David" w:hAnsi="David" w:cs="David"/>
          <w:sz w:val="24"/>
          <w:szCs w:val="24"/>
          <w:rtl/>
        </w:rPr>
        <w:t>15.</w:t>
      </w:r>
      <w:r>
        <w:rPr>
          <w:rFonts w:ascii="David" w:hAnsi="David" w:cs="David"/>
          <w:sz w:val="24"/>
          <w:szCs w:val="24"/>
          <w:rtl/>
        </w:rPr>
        <w:tab/>
        <w:t xml:space="preserve">לצד מגמת הענישה, נקבע בפסיקה, כי יש ליתן את הדעת </w:t>
      </w:r>
      <w:r>
        <w:rPr>
          <w:rFonts w:ascii="David" w:hAnsi="David" w:cs="David"/>
          <w:b/>
          <w:bCs/>
          <w:sz w:val="24"/>
          <w:szCs w:val="24"/>
          <w:rtl/>
        </w:rPr>
        <w:t>"סוג הנשק המוחזק שלא כדין, על כמותו, על התכלית שלשמה הוא מוחזק ועל הסכנה המוחשית שיעשה בו שימוש"</w:t>
      </w:r>
      <w:r>
        <w:rPr>
          <w:rFonts w:ascii="David" w:hAnsi="David" w:cs="David"/>
          <w:sz w:val="24"/>
          <w:szCs w:val="24"/>
          <w:rtl/>
        </w:rPr>
        <w:t xml:space="preserve"> (</w:t>
      </w:r>
      <w:hyperlink r:id="rId27" w:history="1">
        <w:r w:rsidR="0006437F" w:rsidRPr="0006437F">
          <w:rPr>
            <w:rFonts w:ascii="David" w:hAnsi="David" w:cs="David"/>
            <w:color w:val="0000FF"/>
            <w:sz w:val="24"/>
            <w:szCs w:val="24"/>
            <w:u w:val="single"/>
            <w:rtl/>
          </w:rPr>
          <w:t>ע"פ 1323/13</w:t>
        </w:r>
      </w:hyperlink>
      <w:r>
        <w:rPr>
          <w:rFonts w:ascii="David" w:hAnsi="David" w:cs="David"/>
          <w:sz w:val="24"/>
          <w:szCs w:val="24"/>
          <w:rtl/>
        </w:rPr>
        <w:t xml:space="preserve"> </w:t>
      </w:r>
      <w:r>
        <w:rPr>
          <w:rFonts w:ascii="David" w:hAnsi="David" w:cs="David"/>
          <w:b/>
          <w:bCs/>
          <w:sz w:val="24"/>
          <w:szCs w:val="24"/>
          <w:rtl/>
        </w:rPr>
        <w:t>חסן נ' מדינת ישראל</w:t>
      </w:r>
      <w:r>
        <w:rPr>
          <w:rFonts w:ascii="David" w:hAnsi="David" w:cs="David"/>
          <w:sz w:val="24"/>
          <w:szCs w:val="24"/>
          <w:rtl/>
        </w:rPr>
        <w:t xml:space="preserve"> (2013), </w:t>
      </w:r>
      <w:r>
        <w:rPr>
          <w:rFonts w:ascii="David" w:hAnsi="David" w:cs="David"/>
          <w:b/>
          <w:bCs/>
          <w:sz w:val="24"/>
          <w:szCs w:val="24"/>
          <w:rtl/>
        </w:rPr>
        <w:t>להלן: "חסן").</w:t>
      </w:r>
    </w:p>
    <w:p w14:paraId="3A4CF6E5" w14:textId="77777777" w:rsidR="003E3156" w:rsidRDefault="003E3156" w:rsidP="003E3156">
      <w:pPr>
        <w:pStyle w:val="a9"/>
        <w:spacing w:after="0" w:line="360" w:lineRule="auto"/>
        <w:ind w:left="0"/>
        <w:jc w:val="both"/>
        <w:rPr>
          <w:rFonts w:ascii="David" w:hAnsi="David" w:cs="David"/>
          <w:sz w:val="24"/>
          <w:szCs w:val="24"/>
        </w:rPr>
      </w:pPr>
    </w:p>
    <w:p w14:paraId="35A870E8" w14:textId="77777777" w:rsidR="003E3156" w:rsidRDefault="003E3156" w:rsidP="003E3156">
      <w:pPr>
        <w:pStyle w:val="a9"/>
        <w:spacing w:after="0" w:line="360" w:lineRule="auto"/>
        <w:ind w:hanging="720"/>
        <w:jc w:val="both"/>
        <w:rPr>
          <w:rFonts w:ascii="David" w:hAnsi="David" w:cs="David"/>
          <w:sz w:val="24"/>
          <w:szCs w:val="24"/>
        </w:rPr>
      </w:pPr>
      <w:r>
        <w:rPr>
          <w:rFonts w:ascii="David" w:hAnsi="David" w:cs="David"/>
          <w:sz w:val="24"/>
          <w:szCs w:val="24"/>
          <w:rtl/>
        </w:rPr>
        <w:t>16.</w:t>
      </w:r>
      <w:r>
        <w:rPr>
          <w:rFonts w:ascii="David" w:hAnsi="David" w:cs="David"/>
          <w:sz w:val="24"/>
          <w:szCs w:val="24"/>
          <w:rtl/>
        </w:rPr>
        <w:tab/>
        <w:t>בנדוננו, עסקינן בחפץ מתכתי מאולתר המכיל חומר נפץ שהתפוצץ בידו של הנאשם. לכן, יש לבחון את הפסיקה בראי טיבו של החפץ האמור, תוך שננסה להקיש מהפסיקה הנוהגת בחפצים מתפוצצים דומים כדי ללמד על מדיניות הענישה.</w:t>
      </w:r>
    </w:p>
    <w:p w14:paraId="1A003339" w14:textId="77777777" w:rsidR="003E3156" w:rsidRDefault="003E3156" w:rsidP="003E3156">
      <w:pPr>
        <w:pStyle w:val="a9"/>
        <w:spacing w:after="0" w:line="360" w:lineRule="auto"/>
        <w:ind w:left="0"/>
        <w:jc w:val="both"/>
        <w:rPr>
          <w:rFonts w:ascii="David" w:hAnsi="David" w:cs="David"/>
          <w:sz w:val="24"/>
          <w:szCs w:val="24"/>
        </w:rPr>
      </w:pPr>
    </w:p>
    <w:p w14:paraId="14B9DB5D" w14:textId="77777777" w:rsidR="003E3156" w:rsidRDefault="0006437F" w:rsidP="003E3156">
      <w:pPr>
        <w:pStyle w:val="a9"/>
        <w:numPr>
          <w:ilvl w:val="0"/>
          <w:numId w:val="1"/>
        </w:numPr>
        <w:spacing w:after="0" w:line="360" w:lineRule="auto"/>
        <w:jc w:val="both"/>
        <w:rPr>
          <w:rFonts w:ascii="David" w:hAnsi="David" w:cs="David"/>
          <w:sz w:val="24"/>
          <w:szCs w:val="24"/>
        </w:rPr>
      </w:pPr>
      <w:hyperlink r:id="rId28" w:history="1">
        <w:r w:rsidRPr="0006437F">
          <w:rPr>
            <w:rFonts w:ascii="David" w:hAnsi="David" w:cs="David"/>
            <w:color w:val="0000FF"/>
            <w:sz w:val="24"/>
            <w:szCs w:val="24"/>
            <w:u w:val="single"/>
            <w:rtl/>
          </w:rPr>
          <w:t>ע"פ 8017/20</w:t>
        </w:r>
      </w:hyperlink>
      <w:r w:rsidR="003E3156">
        <w:rPr>
          <w:rFonts w:ascii="David" w:hAnsi="David" w:cs="David"/>
          <w:sz w:val="24"/>
          <w:szCs w:val="24"/>
          <w:rtl/>
        </w:rPr>
        <w:t xml:space="preserve"> </w:t>
      </w:r>
      <w:r w:rsidR="003E3156">
        <w:rPr>
          <w:rFonts w:ascii="David" w:hAnsi="David" w:cs="David"/>
          <w:b/>
          <w:bCs/>
          <w:sz w:val="24"/>
          <w:szCs w:val="24"/>
          <w:rtl/>
        </w:rPr>
        <w:t xml:space="preserve">מדינת ישראל נ' פאדי גריפאת </w:t>
      </w:r>
      <w:r w:rsidR="003E3156">
        <w:rPr>
          <w:rFonts w:ascii="David" w:hAnsi="David" w:cs="David"/>
          <w:sz w:val="24"/>
          <w:szCs w:val="24"/>
          <w:rtl/>
        </w:rPr>
        <w:t xml:space="preserve">(22.12.20) - הנאשם הורשע בביצוע  עבירות בנשק (החזקה, הובלה ונשיאה) לפי </w:t>
      </w:r>
      <w:hyperlink r:id="rId29" w:history="1">
        <w:r w:rsidR="00DC5A8A" w:rsidRPr="00DC5A8A">
          <w:rPr>
            <w:rStyle w:val="Hyperlink"/>
            <w:rFonts w:ascii="David" w:hAnsi="David" w:cs="David"/>
            <w:color w:val="0000FF"/>
            <w:sz w:val="24"/>
            <w:szCs w:val="24"/>
            <w:rtl/>
          </w:rPr>
          <w:t>סעיפים 144(א)</w:t>
        </w:r>
      </w:hyperlink>
      <w:r w:rsidR="003E3156">
        <w:rPr>
          <w:rFonts w:ascii="David" w:hAnsi="David" w:cs="David"/>
          <w:sz w:val="24"/>
          <w:szCs w:val="24"/>
          <w:rtl/>
        </w:rPr>
        <w:t xml:space="preserve"> רישא, </w:t>
      </w:r>
      <w:hyperlink r:id="rId30" w:history="1">
        <w:r w:rsidR="00DC5A8A" w:rsidRPr="00DC5A8A">
          <w:rPr>
            <w:rStyle w:val="Hyperlink"/>
            <w:rFonts w:ascii="David" w:hAnsi="David" w:cs="David"/>
            <w:color w:val="0000FF"/>
            <w:sz w:val="24"/>
            <w:szCs w:val="24"/>
            <w:rtl/>
          </w:rPr>
          <w:t>144(ב)</w:t>
        </w:r>
      </w:hyperlink>
      <w:r w:rsidR="003E3156">
        <w:rPr>
          <w:rFonts w:ascii="David" w:hAnsi="David" w:cs="David"/>
          <w:sz w:val="24"/>
          <w:szCs w:val="24"/>
          <w:rtl/>
        </w:rPr>
        <w:t xml:space="preserve"> רישא וסעיף </w:t>
      </w:r>
      <w:hyperlink r:id="rId31" w:history="1">
        <w:r w:rsidR="00DC5A8A" w:rsidRPr="00DC5A8A">
          <w:rPr>
            <w:rStyle w:val="Hyperlink"/>
            <w:rFonts w:ascii="David" w:hAnsi="David" w:cs="David"/>
            <w:color w:val="0000FF"/>
            <w:sz w:val="24"/>
            <w:szCs w:val="24"/>
            <w:rtl/>
          </w:rPr>
          <w:t>29</w:t>
        </w:r>
      </w:hyperlink>
      <w:r w:rsidR="003E3156">
        <w:rPr>
          <w:rFonts w:ascii="David" w:hAnsi="David" w:cs="David"/>
          <w:sz w:val="24"/>
          <w:szCs w:val="24"/>
          <w:rtl/>
        </w:rPr>
        <w:t xml:space="preserve"> ל</w:t>
      </w:r>
      <w:hyperlink r:id="rId32" w:history="1">
        <w:r w:rsidRPr="0006437F">
          <w:rPr>
            <w:rFonts w:ascii="David" w:hAnsi="David" w:cs="David"/>
            <w:color w:val="0000FF"/>
            <w:sz w:val="24"/>
            <w:szCs w:val="24"/>
            <w:u w:val="single"/>
            <w:rtl/>
          </w:rPr>
          <w:t>חוק העונשין</w:t>
        </w:r>
      </w:hyperlink>
      <w:r w:rsidR="003E3156">
        <w:rPr>
          <w:rFonts w:ascii="David" w:hAnsi="David" w:cs="David"/>
          <w:sz w:val="24"/>
          <w:szCs w:val="24"/>
          <w:rtl/>
        </w:rPr>
        <w:t xml:space="preserve">. הנאשם 2 ביקש מהנאשם שיסיע אותו למקום מגוריו של נאשם 1. הנאשם אסף את נאשם 2 והם נסעו לבית, שם מסר נאשם 1 לידי נאשם 2 שלושה מטעני חבלה, שהם פצצות או חפצים נפיצים, שביכולתם להמית אדם או להזיק לו, בתוך קופסת קרטון. בית משפט קבע מתחם עונש הולם שנע בין 6-24 חודשי מאסר בפועל וגזר על הנאשם 7 חודשי מאסר בפועל לצד ענישה נלווית. בית המשפט העליון קיבל את ערעור המדינה על קולת העונש ועונשו של הנאשם הועמד על 14 חודשי מאסר בפועל שמתוכם ירוצו 12 חודשים במצטבר לעונש המאסר שהוטל על הנאשם בגין התיק האחר. </w:t>
      </w:r>
    </w:p>
    <w:p w14:paraId="39214777" w14:textId="77777777" w:rsidR="003E3156" w:rsidRDefault="003E3156" w:rsidP="003E3156">
      <w:pPr>
        <w:pStyle w:val="a9"/>
        <w:spacing w:after="0" w:line="360" w:lineRule="auto"/>
        <w:ind w:left="0"/>
        <w:jc w:val="both"/>
        <w:rPr>
          <w:rFonts w:ascii="David" w:hAnsi="David" w:cs="David"/>
          <w:sz w:val="24"/>
          <w:szCs w:val="24"/>
        </w:rPr>
      </w:pPr>
    </w:p>
    <w:p w14:paraId="4CBF8169" w14:textId="77777777" w:rsidR="003E3156" w:rsidRDefault="0006437F" w:rsidP="003E3156">
      <w:pPr>
        <w:pStyle w:val="a9"/>
        <w:numPr>
          <w:ilvl w:val="0"/>
          <w:numId w:val="1"/>
        </w:numPr>
        <w:spacing w:after="0" w:line="360" w:lineRule="auto"/>
        <w:jc w:val="both"/>
        <w:rPr>
          <w:rFonts w:ascii="David" w:hAnsi="David" w:cs="David"/>
          <w:sz w:val="24"/>
          <w:szCs w:val="24"/>
          <w:rtl/>
        </w:rPr>
      </w:pPr>
      <w:hyperlink r:id="rId33" w:history="1">
        <w:r w:rsidRPr="0006437F">
          <w:rPr>
            <w:rFonts w:ascii="David" w:hAnsi="David" w:cs="David"/>
            <w:color w:val="0000FF"/>
            <w:sz w:val="24"/>
            <w:szCs w:val="24"/>
            <w:u w:val="single"/>
            <w:rtl/>
          </w:rPr>
          <w:t>ע"פ 3541/18</w:t>
        </w:r>
      </w:hyperlink>
      <w:r w:rsidR="003E3156">
        <w:rPr>
          <w:rFonts w:ascii="David" w:hAnsi="David" w:cs="David"/>
          <w:sz w:val="24"/>
          <w:szCs w:val="24"/>
          <w:rtl/>
        </w:rPr>
        <w:t xml:space="preserve"> </w:t>
      </w:r>
      <w:r w:rsidR="003E3156">
        <w:rPr>
          <w:rFonts w:ascii="David" w:hAnsi="David" w:cs="David"/>
          <w:b/>
          <w:bCs/>
          <w:sz w:val="24"/>
          <w:szCs w:val="24"/>
          <w:rtl/>
        </w:rPr>
        <w:t xml:space="preserve">מוסא נורי נ' מדינת ישראל </w:t>
      </w:r>
      <w:r w:rsidR="003E3156">
        <w:rPr>
          <w:rFonts w:ascii="David" w:hAnsi="David" w:cs="David"/>
          <w:sz w:val="24"/>
          <w:szCs w:val="24"/>
          <w:rtl/>
        </w:rPr>
        <w:t xml:space="preserve">(28.3.19) -  הנאשם הורשע על פי הודאתו בביצוע נשיאת נשק לפי </w:t>
      </w:r>
      <w:hyperlink r:id="rId34" w:history="1">
        <w:r w:rsidR="00DC5A8A" w:rsidRPr="00DC5A8A">
          <w:rPr>
            <w:rStyle w:val="Hyperlink"/>
            <w:rFonts w:ascii="David" w:hAnsi="David" w:cs="David"/>
            <w:color w:val="0000FF"/>
            <w:sz w:val="24"/>
            <w:szCs w:val="24"/>
            <w:rtl/>
          </w:rPr>
          <w:t>סעיף 144(ב)</w:t>
        </w:r>
      </w:hyperlink>
      <w:r w:rsidR="003E3156">
        <w:rPr>
          <w:rFonts w:ascii="David" w:hAnsi="David" w:cs="David"/>
          <w:sz w:val="24"/>
          <w:szCs w:val="24"/>
          <w:rtl/>
        </w:rPr>
        <w:t xml:space="preserve"> ל</w:t>
      </w:r>
      <w:hyperlink r:id="rId35" w:history="1">
        <w:r w:rsidRPr="0006437F">
          <w:rPr>
            <w:rFonts w:ascii="David" w:hAnsi="David" w:cs="David"/>
            <w:color w:val="0000FF"/>
            <w:sz w:val="24"/>
            <w:szCs w:val="24"/>
            <w:u w:val="single"/>
            <w:rtl/>
          </w:rPr>
          <w:t>חוק העונשין</w:t>
        </w:r>
      </w:hyperlink>
      <w:r w:rsidR="003E3156">
        <w:rPr>
          <w:rFonts w:ascii="David" w:hAnsi="David" w:cs="David"/>
          <w:sz w:val="24"/>
          <w:szCs w:val="24"/>
          <w:rtl/>
        </w:rPr>
        <w:t xml:space="preserve">. הנאשם נסע לכיוון מחסום שועפט. בדרכו הבחין בשוטרים שהקימו מחסום מאולתר לשם בדיקת כלי רכב. על מנת שלא לעבור במחסום ביצע הנאשם פניית פרסה שלאחריה נעצר הנאשם ע"י כוח משטרתי נוסף. הנאשם הוביל בכלי הרכב שני מטעני נפץ מאולתרים שבכוחם להמית אדם. בית המשפט קבע מתחם עונש הולם שנע בין 12-48 חודשי מאסר בפועל. בית המשפט גזר על הנאשם 38 חודשי מאסר בפועל לצד ענישה נלווית. הנאשם חזר מערעורו שהגיש לבית המשפט העליון והוא נדחה. </w:t>
      </w:r>
    </w:p>
    <w:p w14:paraId="69D48989" w14:textId="77777777" w:rsidR="003E3156" w:rsidRDefault="003E3156" w:rsidP="003E3156">
      <w:pPr>
        <w:pStyle w:val="a9"/>
        <w:spacing w:after="0" w:line="360" w:lineRule="auto"/>
        <w:ind w:left="0"/>
        <w:jc w:val="both"/>
        <w:rPr>
          <w:rFonts w:ascii="David" w:hAnsi="David" w:cs="David"/>
          <w:sz w:val="24"/>
          <w:szCs w:val="24"/>
        </w:rPr>
      </w:pPr>
    </w:p>
    <w:p w14:paraId="19AD384B" w14:textId="77777777" w:rsidR="003E3156" w:rsidRDefault="0006437F" w:rsidP="003E3156">
      <w:pPr>
        <w:pStyle w:val="a9"/>
        <w:numPr>
          <w:ilvl w:val="0"/>
          <w:numId w:val="1"/>
        </w:numPr>
        <w:spacing w:after="0" w:line="360" w:lineRule="auto"/>
        <w:jc w:val="both"/>
        <w:rPr>
          <w:rFonts w:ascii="David" w:hAnsi="David" w:cs="David"/>
          <w:sz w:val="24"/>
          <w:szCs w:val="24"/>
          <w:rtl/>
        </w:rPr>
      </w:pPr>
      <w:hyperlink r:id="rId36" w:history="1">
        <w:r w:rsidRPr="0006437F">
          <w:rPr>
            <w:rFonts w:ascii="David" w:hAnsi="David" w:cs="David"/>
            <w:color w:val="0000FF"/>
            <w:sz w:val="24"/>
            <w:szCs w:val="24"/>
            <w:u w:val="single"/>
            <w:rtl/>
          </w:rPr>
          <w:t>ת"פ (מחוזי י-ם)  1631-01-22</w:t>
        </w:r>
      </w:hyperlink>
      <w:r w:rsidR="003E3156">
        <w:rPr>
          <w:rFonts w:ascii="David" w:hAnsi="David" w:cs="David"/>
          <w:sz w:val="24"/>
          <w:szCs w:val="24"/>
          <w:rtl/>
        </w:rPr>
        <w:t xml:space="preserve"> </w:t>
      </w:r>
      <w:r w:rsidR="003E3156">
        <w:rPr>
          <w:rFonts w:ascii="David" w:hAnsi="David" w:cs="David"/>
          <w:b/>
          <w:bCs/>
          <w:sz w:val="24"/>
          <w:szCs w:val="24"/>
          <w:rtl/>
        </w:rPr>
        <w:t xml:space="preserve">מדינת ישראל נ' מוסה חדר </w:t>
      </w:r>
      <w:r w:rsidR="003E3156">
        <w:rPr>
          <w:rFonts w:ascii="David" w:hAnsi="David" w:cs="David"/>
          <w:sz w:val="24"/>
          <w:szCs w:val="24"/>
          <w:rtl/>
        </w:rPr>
        <w:t xml:space="preserve">(31.5.22) -הנאשם הורשע על פי הודאתו במסגרת הסדר טיעון בביצוע החזקת נשק ותחמושת בלא רשות על פי דין לפי </w:t>
      </w:r>
      <w:hyperlink r:id="rId37" w:history="1">
        <w:r w:rsidR="00DC5A8A" w:rsidRPr="00DC5A8A">
          <w:rPr>
            <w:rStyle w:val="Hyperlink"/>
            <w:rFonts w:ascii="David" w:hAnsi="David" w:cs="David"/>
            <w:color w:val="0000FF"/>
            <w:sz w:val="24"/>
            <w:szCs w:val="24"/>
            <w:rtl/>
          </w:rPr>
          <w:t>סעיף 144(א)</w:t>
        </w:r>
      </w:hyperlink>
      <w:r w:rsidR="003E3156">
        <w:rPr>
          <w:rFonts w:ascii="David" w:hAnsi="David" w:cs="David"/>
          <w:sz w:val="24"/>
          <w:szCs w:val="24"/>
          <w:rtl/>
        </w:rPr>
        <w:t xml:space="preserve"> רישא וסיפא ל</w:t>
      </w:r>
      <w:hyperlink r:id="rId38" w:history="1">
        <w:r w:rsidRPr="0006437F">
          <w:rPr>
            <w:rFonts w:ascii="David" w:hAnsi="David" w:cs="David"/>
            <w:color w:val="0000FF"/>
            <w:sz w:val="24"/>
            <w:szCs w:val="24"/>
            <w:u w:val="single"/>
            <w:rtl/>
          </w:rPr>
          <w:t>חוק העונשין</w:t>
        </w:r>
      </w:hyperlink>
      <w:r w:rsidR="003E3156">
        <w:rPr>
          <w:rFonts w:ascii="David" w:hAnsi="David" w:cs="David"/>
          <w:sz w:val="24"/>
          <w:szCs w:val="24"/>
          <w:rtl/>
        </w:rPr>
        <w:t xml:space="preserve">. הנאשם מצא סמוך לבניין מגוריו, במחסן, מטען חבלה מאולתר אשר בכוחו להזיק לאדם. כמו כן, הנאשם החזיק מספר כדורים מסוג 5.56 מ"מ ו-9 מ"מ המתאימים לכלי נשק אשר בכוחם להמית אדם. הנאשם החזיק את הנשק והתחמושת במחסן. בית המשפט קבע מתחם עונש הולם שנע בין 10-30 חודשי מאסר בפועל. בית המשפט גזר על הנאשם 12 חודשי מאסר בפועל לצד ענישה נלווית. </w:t>
      </w:r>
    </w:p>
    <w:p w14:paraId="255561D3" w14:textId="77777777" w:rsidR="003E3156" w:rsidRDefault="003E3156" w:rsidP="003E3156">
      <w:pPr>
        <w:pStyle w:val="a9"/>
        <w:spacing w:after="0" w:line="360" w:lineRule="auto"/>
        <w:ind w:left="0"/>
        <w:jc w:val="both"/>
        <w:rPr>
          <w:rFonts w:ascii="David" w:hAnsi="David" w:cs="David"/>
          <w:sz w:val="24"/>
          <w:szCs w:val="24"/>
        </w:rPr>
      </w:pPr>
    </w:p>
    <w:p w14:paraId="5796A78E" w14:textId="77777777" w:rsidR="003E3156" w:rsidRDefault="0006437F" w:rsidP="003E3156">
      <w:pPr>
        <w:pStyle w:val="a9"/>
        <w:numPr>
          <w:ilvl w:val="0"/>
          <w:numId w:val="1"/>
        </w:numPr>
        <w:spacing w:after="0" w:line="360" w:lineRule="auto"/>
        <w:jc w:val="both"/>
        <w:rPr>
          <w:rFonts w:ascii="David" w:hAnsi="David" w:cs="David"/>
          <w:sz w:val="24"/>
          <w:szCs w:val="24"/>
        </w:rPr>
      </w:pPr>
      <w:hyperlink r:id="rId39" w:history="1">
        <w:r w:rsidRPr="0006437F">
          <w:rPr>
            <w:rFonts w:ascii="David" w:hAnsi="David" w:cs="David"/>
            <w:color w:val="0000FF"/>
            <w:sz w:val="24"/>
            <w:szCs w:val="24"/>
            <w:u w:val="single"/>
            <w:rtl/>
          </w:rPr>
          <w:t>ת"פ (מחוזי ב"ש) 21139-04-17</w:t>
        </w:r>
      </w:hyperlink>
      <w:r w:rsidR="003E3156">
        <w:rPr>
          <w:rFonts w:ascii="David" w:hAnsi="David" w:cs="David"/>
          <w:sz w:val="24"/>
          <w:szCs w:val="24"/>
          <w:rtl/>
        </w:rPr>
        <w:t xml:space="preserve"> </w:t>
      </w:r>
      <w:r w:rsidR="003E3156">
        <w:rPr>
          <w:rFonts w:ascii="David" w:hAnsi="David" w:cs="David"/>
          <w:b/>
          <w:bCs/>
          <w:sz w:val="24"/>
          <w:szCs w:val="24"/>
          <w:rtl/>
        </w:rPr>
        <w:t>מדינת ישראל נ' שמואל יעקב</w:t>
      </w:r>
      <w:r w:rsidR="003E3156">
        <w:rPr>
          <w:rFonts w:ascii="David" w:hAnsi="David" w:cs="David"/>
          <w:sz w:val="24"/>
          <w:szCs w:val="24"/>
          <w:rtl/>
        </w:rPr>
        <w:t xml:space="preserve"> (3.12.18) - הנאשם הורשע על פי הודאתו בכתב האישום המתוקן בביצוע החזקת נשק לפי </w:t>
      </w:r>
      <w:hyperlink r:id="rId40" w:history="1">
        <w:r w:rsidR="00DC5A8A" w:rsidRPr="00DC5A8A">
          <w:rPr>
            <w:rStyle w:val="Hyperlink"/>
            <w:rFonts w:ascii="David" w:hAnsi="David" w:cs="David"/>
            <w:color w:val="0000FF"/>
            <w:sz w:val="24"/>
            <w:szCs w:val="24"/>
            <w:rtl/>
          </w:rPr>
          <w:t>סעיף 144(א)</w:t>
        </w:r>
      </w:hyperlink>
      <w:r w:rsidR="003E3156">
        <w:rPr>
          <w:rFonts w:ascii="David" w:hAnsi="David" w:cs="David"/>
          <w:sz w:val="24"/>
          <w:szCs w:val="24"/>
          <w:rtl/>
        </w:rPr>
        <w:t xml:space="preserve"> ל</w:t>
      </w:r>
      <w:hyperlink r:id="rId41" w:history="1">
        <w:r w:rsidRPr="0006437F">
          <w:rPr>
            <w:rFonts w:ascii="David" w:hAnsi="David" w:cs="David"/>
            <w:color w:val="0000FF"/>
            <w:sz w:val="24"/>
            <w:szCs w:val="24"/>
            <w:u w:val="single"/>
            <w:rtl/>
          </w:rPr>
          <w:t>חוק העונשין</w:t>
        </w:r>
      </w:hyperlink>
      <w:r w:rsidR="003E3156">
        <w:rPr>
          <w:rFonts w:ascii="David" w:hAnsi="David" w:cs="David"/>
          <w:sz w:val="24"/>
          <w:szCs w:val="24"/>
          <w:rtl/>
        </w:rPr>
        <w:t xml:space="preserve">. הנאשם החזיק יחד עם אחרים במטען צינור מאולתר. הנאשם מסר לסוכן משטרתי את המטען האמור. הנאשם צירף שלושה תיקים של בית משפט השלום התלויים כנגדו (האחד, איום על שוטר בתחנת המשטרה, השני, איום על עד תביעה, השלישי, איום על המתלונן בתיק). בית המשפט קבע מתחם עונש הולם שנע בין 18-36 חודשי מאסר בפועל. בית המשפט גזר על הנאשם 32 חודשי מאסר בפועל. </w:t>
      </w:r>
    </w:p>
    <w:p w14:paraId="49A6CC80" w14:textId="77777777" w:rsidR="003E3156" w:rsidRDefault="003E3156" w:rsidP="003E3156">
      <w:pPr>
        <w:pStyle w:val="a9"/>
        <w:spacing w:after="0" w:line="360" w:lineRule="auto"/>
        <w:ind w:left="0"/>
        <w:jc w:val="both"/>
        <w:rPr>
          <w:rFonts w:ascii="David" w:hAnsi="David" w:cs="David"/>
          <w:sz w:val="24"/>
          <w:szCs w:val="24"/>
        </w:rPr>
      </w:pPr>
    </w:p>
    <w:p w14:paraId="1F002324" w14:textId="77777777" w:rsidR="003E3156" w:rsidRDefault="0006437F" w:rsidP="003E3156">
      <w:pPr>
        <w:pStyle w:val="a9"/>
        <w:numPr>
          <w:ilvl w:val="0"/>
          <w:numId w:val="1"/>
        </w:numPr>
        <w:spacing w:after="0" w:line="360" w:lineRule="auto"/>
        <w:jc w:val="both"/>
        <w:rPr>
          <w:rFonts w:ascii="David" w:hAnsi="David" w:cs="David"/>
          <w:sz w:val="24"/>
          <w:szCs w:val="24"/>
        </w:rPr>
      </w:pPr>
      <w:hyperlink r:id="rId42" w:history="1">
        <w:r w:rsidRPr="0006437F">
          <w:rPr>
            <w:rFonts w:ascii="David" w:hAnsi="David" w:cs="David"/>
            <w:color w:val="0000FF"/>
            <w:sz w:val="24"/>
            <w:szCs w:val="24"/>
            <w:u w:val="single"/>
            <w:rtl/>
          </w:rPr>
          <w:t>ת"פ 60426-09-20</w:t>
        </w:r>
      </w:hyperlink>
      <w:r w:rsidR="003E3156">
        <w:rPr>
          <w:rFonts w:ascii="David" w:hAnsi="David" w:cs="David"/>
          <w:sz w:val="24"/>
          <w:szCs w:val="24"/>
          <w:rtl/>
        </w:rPr>
        <w:t xml:space="preserve"> </w:t>
      </w:r>
      <w:r w:rsidR="003E3156">
        <w:rPr>
          <w:rFonts w:ascii="David" w:hAnsi="David" w:cs="David"/>
          <w:b/>
          <w:bCs/>
          <w:sz w:val="24"/>
          <w:szCs w:val="24"/>
          <w:rtl/>
        </w:rPr>
        <w:t xml:space="preserve">מדינת ישראל נ' קאסם דחלה </w:t>
      </w:r>
      <w:r w:rsidR="003E3156">
        <w:rPr>
          <w:rFonts w:ascii="David" w:hAnsi="David" w:cs="David"/>
          <w:sz w:val="24"/>
          <w:szCs w:val="24"/>
          <w:rtl/>
        </w:rPr>
        <w:t xml:space="preserve">(18.01.23) - הנאשם הורשע על פי הודאתו במסגרת הסדר טיעון בביצוע נשיאה והובלה נשק לפי </w:t>
      </w:r>
      <w:hyperlink r:id="rId43" w:history="1">
        <w:r w:rsidR="00DC5A8A" w:rsidRPr="00DC5A8A">
          <w:rPr>
            <w:rStyle w:val="Hyperlink"/>
            <w:rFonts w:ascii="David" w:hAnsi="David" w:cs="David"/>
            <w:color w:val="0000FF"/>
            <w:sz w:val="24"/>
            <w:szCs w:val="24"/>
            <w:rtl/>
          </w:rPr>
          <w:t>סעיף 144(ב)</w:t>
        </w:r>
      </w:hyperlink>
      <w:r w:rsidR="003E3156">
        <w:rPr>
          <w:rFonts w:ascii="David" w:hAnsi="David" w:cs="David"/>
          <w:sz w:val="24"/>
          <w:szCs w:val="24"/>
          <w:rtl/>
        </w:rPr>
        <w:t xml:space="preserve"> רישא ל</w:t>
      </w:r>
      <w:hyperlink r:id="rId44" w:history="1">
        <w:r w:rsidRPr="0006437F">
          <w:rPr>
            <w:rFonts w:ascii="David" w:hAnsi="David" w:cs="David"/>
            <w:color w:val="0000FF"/>
            <w:sz w:val="24"/>
            <w:szCs w:val="24"/>
            <w:u w:val="single"/>
            <w:rtl/>
          </w:rPr>
          <w:t>חוק העונשין</w:t>
        </w:r>
      </w:hyperlink>
      <w:r w:rsidR="003E3156">
        <w:rPr>
          <w:rFonts w:ascii="David" w:hAnsi="David" w:cs="David"/>
          <w:sz w:val="24"/>
          <w:szCs w:val="24"/>
          <w:rtl/>
        </w:rPr>
        <w:t xml:space="preserve"> יחד עם </w:t>
      </w:r>
      <w:hyperlink r:id="rId45" w:history="1">
        <w:r w:rsidR="00DC5A8A" w:rsidRPr="00DC5A8A">
          <w:rPr>
            <w:rStyle w:val="Hyperlink"/>
            <w:rFonts w:ascii="David" w:hAnsi="David" w:cs="David"/>
            <w:color w:val="0000FF"/>
            <w:sz w:val="24"/>
            <w:szCs w:val="24"/>
            <w:rtl/>
          </w:rPr>
          <w:t>סעיף 29</w:t>
        </w:r>
      </w:hyperlink>
      <w:r w:rsidR="003E3156">
        <w:rPr>
          <w:rFonts w:ascii="David" w:hAnsi="David" w:cs="David"/>
          <w:sz w:val="24"/>
          <w:szCs w:val="24"/>
          <w:rtl/>
        </w:rPr>
        <w:t xml:space="preserve"> לחוק העונשין. ומעשי פזיזות ורשלנות בחומר נפץ לפי סעיף </w:t>
      </w:r>
      <w:hyperlink r:id="rId46" w:history="1">
        <w:r w:rsidR="00DC5A8A" w:rsidRPr="00DC5A8A">
          <w:rPr>
            <w:rStyle w:val="Hyperlink"/>
            <w:rFonts w:ascii="David" w:hAnsi="David" w:cs="David"/>
            <w:color w:val="0000FF"/>
            <w:sz w:val="24"/>
            <w:szCs w:val="24"/>
            <w:rtl/>
          </w:rPr>
          <w:t>338 (א) (5)</w:t>
        </w:r>
      </w:hyperlink>
      <w:r w:rsidR="003E3156">
        <w:rPr>
          <w:rFonts w:ascii="David" w:hAnsi="David" w:cs="David"/>
          <w:sz w:val="24"/>
          <w:szCs w:val="24"/>
          <w:rtl/>
        </w:rPr>
        <w:t xml:space="preserve"> יחד עם </w:t>
      </w:r>
      <w:hyperlink r:id="rId47" w:history="1">
        <w:r w:rsidR="00DC5A8A" w:rsidRPr="00DC5A8A">
          <w:rPr>
            <w:rStyle w:val="Hyperlink"/>
            <w:rFonts w:ascii="David" w:hAnsi="David" w:cs="David"/>
            <w:color w:val="0000FF"/>
            <w:sz w:val="24"/>
            <w:szCs w:val="24"/>
            <w:rtl/>
          </w:rPr>
          <w:t>סעיף 29</w:t>
        </w:r>
      </w:hyperlink>
      <w:r w:rsidR="003E3156">
        <w:rPr>
          <w:rFonts w:ascii="David" w:hAnsi="David" w:cs="David"/>
          <w:sz w:val="24"/>
          <w:szCs w:val="24"/>
          <w:rtl/>
        </w:rPr>
        <w:t xml:space="preserve"> ל</w:t>
      </w:r>
      <w:hyperlink r:id="rId48" w:history="1">
        <w:r w:rsidRPr="0006437F">
          <w:rPr>
            <w:rFonts w:ascii="David" w:hAnsi="David" w:cs="David"/>
            <w:color w:val="0000FF"/>
            <w:sz w:val="24"/>
            <w:szCs w:val="24"/>
            <w:u w:val="single"/>
            <w:rtl/>
          </w:rPr>
          <w:t>חוק העונשין</w:t>
        </w:r>
      </w:hyperlink>
      <w:r w:rsidR="003E3156">
        <w:rPr>
          <w:rFonts w:ascii="David" w:hAnsi="David" w:cs="David"/>
          <w:sz w:val="24"/>
          <w:szCs w:val="24"/>
          <w:rtl/>
        </w:rPr>
        <w:t xml:space="preserve">. הנאשם, ג'עפר סבאח רמזי נאסר ואחר נסעו ברכב שהם נושאים עמם מטען חבלה מאולתר, לאחר שג'עפר ורמזי הסירו את לוחיות זיהוי הרכב ועטו רעלות על פניהם. הנאשם, ג'עפר רמזי והאחר חלפו ברכב  ליד ביתו של מוחמד עפאן. בהיותם בקרבת הבית יצא הנאשם מן הרכב ומסיבה שאינה ידועה למאשימה התפוצץ המטען וכתוצאה מכך נקטעו ידיו של הנאשם. בית המשפט קבע מתחם עונש הולם שנע בין 28-50 חודשי מאסר בפועל. בית המשפט סטה ממתחם העונש ההולם והשית על הנאשם 9 חודשי עבודות שירות  לאור הפגיעה ממנה סובל הנאשם, והתהליך השיקום שעבר.  </w:t>
      </w:r>
    </w:p>
    <w:p w14:paraId="6350F158" w14:textId="77777777" w:rsidR="003E3156" w:rsidRDefault="003E3156" w:rsidP="003E3156">
      <w:pPr>
        <w:pStyle w:val="a9"/>
        <w:spacing w:after="0" w:line="360" w:lineRule="auto"/>
        <w:ind w:left="0"/>
        <w:jc w:val="both"/>
        <w:rPr>
          <w:rFonts w:ascii="David" w:hAnsi="David" w:cs="David"/>
          <w:sz w:val="24"/>
          <w:szCs w:val="24"/>
        </w:rPr>
      </w:pPr>
    </w:p>
    <w:p w14:paraId="3347B1EF" w14:textId="77777777" w:rsidR="003E3156" w:rsidRDefault="003E3156" w:rsidP="003E3156">
      <w:pPr>
        <w:pStyle w:val="a9"/>
        <w:spacing w:after="0" w:line="360" w:lineRule="auto"/>
        <w:ind w:left="1076" w:hanging="1076"/>
        <w:jc w:val="both"/>
        <w:rPr>
          <w:rFonts w:ascii="David" w:hAnsi="David" w:cs="David"/>
          <w:sz w:val="24"/>
          <w:szCs w:val="24"/>
          <w:rtl/>
        </w:rPr>
      </w:pPr>
      <w:r>
        <w:rPr>
          <w:rFonts w:ascii="David" w:hAnsi="David" w:cs="David"/>
          <w:sz w:val="24"/>
          <w:szCs w:val="24"/>
          <w:rtl/>
        </w:rPr>
        <w:tab/>
        <w:t>יצוין כי ב"כ הנאשם הגיש אסופת פסיקה לתמיכה בעמדתו העונשית (</w:t>
      </w:r>
      <w:hyperlink r:id="rId49" w:history="1">
        <w:r w:rsidR="0006437F" w:rsidRPr="0006437F">
          <w:rPr>
            <w:rFonts w:ascii="David" w:hAnsi="David" w:cs="David"/>
            <w:color w:val="0000FF"/>
            <w:sz w:val="24"/>
            <w:szCs w:val="24"/>
            <w:u w:val="single"/>
            <w:rtl/>
          </w:rPr>
          <w:t>ע"פ 5713/10</w:t>
        </w:r>
      </w:hyperlink>
      <w:r>
        <w:rPr>
          <w:rFonts w:ascii="David" w:hAnsi="David" w:cs="David"/>
          <w:sz w:val="24"/>
          <w:szCs w:val="24"/>
          <w:rtl/>
        </w:rPr>
        <w:t xml:space="preserve"> י</w:t>
      </w:r>
      <w:r>
        <w:rPr>
          <w:rFonts w:ascii="David" w:hAnsi="David" w:cs="David"/>
          <w:b/>
          <w:bCs/>
          <w:sz w:val="24"/>
          <w:szCs w:val="24"/>
          <w:rtl/>
        </w:rPr>
        <w:t>הושע אקרמן נ' מדינת ישראל</w:t>
      </w:r>
      <w:r>
        <w:rPr>
          <w:rFonts w:ascii="David" w:hAnsi="David" w:cs="David"/>
          <w:sz w:val="24"/>
          <w:szCs w:val="24"/>
          <w:rtl/>
        </w:rPr>
        <w:t xml:space="preserve"> (1.3.11), </w:t>
      </w:r>
      <w:hyperlink r:id="rId50" w:history="1">
        <w:r w:rsidR="0006437F" w:rsidRPr="0006437F">
          <w:rPr>
            <w:rFonts w:ascii="David" w:hAnsi="David" w:cs="David"/>
            <w:color w:val="0000FF"/>
            <w:sz w:val="24"/>
            <w:szCs w:val="24"/>
            <w:u w:val="single"/>
            <w:rtl/>
          </w:rPr>
          <w:t>ת"פ (מחוזי מרכז) 8689-01-09</w:t>
        </w:r>
      </w:hyperlink>
      <w:r>
        <w:rPr>
          <w:rFonts w:ascii="David" w:hAnsi="David" w:cs="David"/>
          <w:sz w:val="24"/>
          <w:szCs w:val="24"/>
          <w:rtl/>
        </w:rPr>
        <w:t xml:space="preserve"> </w:t>
      </w:r>
      <w:r>
        <w:rPr>
          <w:rFonts w:ascii="David" w:hAnsi="David" w:cs="David"/>
          <w:b/>
          <w:bCs/>
          <w:sz w:val="24"/>
          <w:szCs w:val="24"/>
          <w:rtl/>
        </w:rPr>
        <w:t>מדינת ישראל נ' סירחאן</w:t>
      </w:r>
      <w:r>
        <w:rPr>
          <w:rFonts w:ascii="David" w:hAnsi="David" w:cs="David"/>
          <w:sz w:val="24"/>
          <w:szCs w:val="24"/>
          <w:rtl/>
        </w:rPr>
        <w:t xml:space="preserve"> (2.11.09)). אין בפסיקה שהובאה כדי ללמד על הענישה הנוהגת, הואיל ומדובר בפסיקה מלפני תיקון מס' 140 ל</w:t>
      </w:r>
      <w:r w:rsidR="0006437F" w:rsidRPr="00DC5A8A">
        <w:rPr>
          <w:rFonts w:ascii="David" w:hAnsi="David" w:cs="David"/>
          <w:sz w:val="24"/>
          <w:szCs w:val="24"/>
          <w:rtl/>
        </w:rPr>
        <w:t>חוק העונשין</w:t>
      </w:r>
      <w:r>
        <w:rPr>
          <w:rFonts w:ascii="David" w:hAnsi="David" w:cs="David"/>
          <w:sz w:val="24"/>
          <w:szCs w:val="24"/>
          <w:rtl/>
        </w:rPr>
        <w:t>, וכבר נפסק כי פסיקה זו אינה רלבנטית עוד (ראו דברי כב' הנשיא השופט עמית ב</w:t>
      </w:r>
      <w:hyperlink r:id="rId51" w:history="1">
        <w:r w:rsidR="0006437F" w:rsidRPr="0006437F">
          <w:rPr>
            <w:rFonts w:ascii="David" w:hAnsi="David" w:cs="David"/>
            <w:color w:val="0000FF"/>
            <w:sz w:val="24"/>
            <w:szCs w:val="24"/>
            <w:u w:val="single"/>
            <w:rtl/>
          </w:rPr>
          <w:t>ע"פ 1693/23</w:t>
        </w:r>
      </w:hyperlink>
      <w:r>
        <w:rPr>
          <w:rFonts w:ascii="David" w:hAnsi="David" w:cs="David"/>
          <w:sz w:val="24"/>
          <w:szCs w:val="24"/>
          <w:rtl/>
        </w:rPr>
        <w:t xml:space="preserve"> </w:t>
      </w:r>
      <w:r>
        <w:rPr>
          <w:rFonts w:ascii="David" w:hAnsi="David" w:cs="David"/>
          <w:b/>
          <w:bCs/>
          <w:sz w:val="24"/>
          <w:szCs w:val="24"/>
          <w:rtl/>
        </w:rPr>
        <w:t>אסלאם אבו אחמד נ' מדינת ישראל</w:t>
      </w:r>
      <w:r>
        <w:rPr>
          <w:rFonts w:ascii="David" w:hAnsi="David" w:cs="David"/>
          <w:sz w:val="24"/>
          <w:szCs w:val="24"/>
          <w:rtl/>
        </w:rPr>
        <w:t xml:space="preserve">, פסקה 7 (3.12.23)). הוא הדין לגבי פסקי הדין עליהם מסתמכת ההגנה: </w:t>
      </w:r>
      <w:hyperlink r:id="rId52" w:history="1">
        <w:r w:rsidR="0006437F" w:rsidRPr="0006437F">
          <w:rPr>
            <w:rFonts w:ascii="David" w:hAnsi="David" w:cs="David"/>
            <w:color w:val="0000FF"/>
            <w:sz w:val="24"/>
            <w:szCs w:val="24"/>
            <w:u w:val="single"/>
            <w:rtl/>
          </w:rPr>
          <w:t>ת"פ (מחוזי חיפה) 49995-09-17</w:t>
        </w:r>
      </w:hyperlink>
      <w:r>
        <w:rPr>
          <w:rFonts w:ascii="David" w:hAnsi="David" w:cs="David"/>
          <w:sz w:val="24"/>
          <w:szCs w:val="24"/>
          <w:rtl/>
        </w:rPr>
        <w:t xml:space="preserve"> </w:t>
      </w:r>
      <w:r>
        <w:rPr>
          <w:rFonts w:ascii="David" w:hAnsi="David" w:cs="David"/>
          <w:b/>
          <w:bCs/>
          <w:sz w:val="24"/>
          <w:szCs w:val="24"/>
          <w:rtl/>
        </w:rPr>
        <w:t xml:space="preserve">מדינת ישראל נ' סאמר עלי </w:t>
      </w:r>
      <w:r>
        <w:rPr>
          <w:rFonts w:ascii="David" w:hAnsi="David" w:cs="David"/>
          <w:sz w:val="24"/>
          <w:szCs w:val="24"/>
          <w:rtl/>
        </w:rPr>
        <w:t>(4.12.18) בו הורשע נאשם, בין היתר, בהחזקת מטען מאולתר העשוי חומר נפץ מזיקוקין, בתא המטען של רכבו, והוטלו עליו 6 ח' מאסר בע"ש; ואשר ל</w:t>
      </w:r>
      <w:hyperlink r:id="rId53" w:history="1">
        <w:r w:rsidR="0006437F" w:rsidRPr="0006437F">
          <w:rPr>
            <w:rFonts w:ascii="David" w:hAnsi="David" w:cs="David"/>
            <w:color w:val="0000FF"/>
            <w:sz w:val="24"/>
            <w:szCs w:val="24"/>
            <w:u w:val="single"/>
            <w:rtl/>
          </w:rPr>
          <w:t>עפ"ג (מחוזי חיפה) 34021-05-21</w:t>
        </w:r>
      </w:hyperlink>
      <w:r>
        <w:rPr>
          <w:rFonts w:ascii="David" w:hAnsi="David" w:cs="David"/>
          <w:sz w:val="24"/>
          <w:szCs w:val="24"/>
          <w:rtl/>
        </w:rPr>
        <w:t xml:space="preserve"> </w:t>
      </w:r>
      <w:r>
        <w:rPr>
          <w:rFonts w:ascii="David" w:hAnsi="David" w:cs="David"/>
          <w:b/>
          <w:bCs/>
          <w:sz w:val="24"/>
          <w:szCs w:val="24"/>
          <w:rtl/>
        </w:rPr>
        <w:t>מוחמד בדראנה נ' מדינת ישראל</w:t>
      </w:r>
      <w:r>
        <w:rPr>
          <w:rFonts w:ascii="David" w:hAnsi="David" w:cs="David"/>
          <w:sz w:val="24"/>
          <w:szCs w:val="24"/>
          <w:rtl/>
        </w:rPr>
        <w:t xml:space="preserve"> (1.3.11), שם דובר על החזקת מטען מאולתר מוסלק בחדרו אחרי דלת רב בריח אטומה ונעולה, טען הנאשם כי החזיק במטען כדי לעשות רעש במשחק כדורגל. לא נעשה במטען שימוש. המטען לא התפוצץ כבנדוננו, ולא ניתן היה להתרשם או לקבוע את עוצמתו המזיקה לאדם, נגזרו על הנאשם 10 ח' מאסר בפועל.</w:t>
      </w:r>
    </w:p>
    <w:p w14:paraId="6081E60E" w14:textId="77777777" w:rsidR="003E3156" w:rsidRDefault="003E3156" w:rsidP="003E3156">
      <w:pPr>
        <w:pStyle w:val="a9"/>
        <w:spacing w:after="0" w:line="360" w:lineRule="auto"/>
        <w:ind w:left="1076" w:hanging="1076"/>
        <w:jc w:val="both"/>
        <w:rPr>
          <w:rFonts w:ascii="David" w:hAnsi="David" w:cs="David"/>
          <w:sz w:val="24"/>
          <w:szCs w:val="24"/>
          <w:rtl/>
        </w:rPr>
      </w:pPr>
    </w:p>
    <w:p w14:paraId="726384D2" w14:textId="77777777" w:rsidR="003E3156" w:rsidRDefault="003E3156" w:rsidP="003E3156">
      <w:pPr>
        <w:pStyle w:val="a9"/>
        <w:spacing w:after="0" w:line="360" w:lineRule="auto"/>
        <w:ind w:left="1076" w:hanging="1076"/>
        <w:jc w:val="both"/>
        <w:rPr>
          <w:rFonts w:ascii="David" w:hAnsi="David" w:cs="David"/>
          <w:b/>
          <w:bCs/>
          <w:sz w:val="24"/>
          <w:szCs w:val="24"/>
          <w:u w:val="single"/>
        </w:rPr>
      </w:pPr>
      <w:r>
        <w:rPr>
          <w:rFonts w:ascii="David" w:hAnsi="David" w:cs="David"/>
          <w:sz w:val="24"/>
          <w:szCs w:val="24"/>
          <w:rtl/>
        </w:rPr>
        <w:t xml:space="preserve"> </w:t>
      </w:r>
      <w:r>
        <w:rPr>
          <w:rFonts w:ascii="David" w:hAnsi="David" w:cs="David"/>
          <w:b/>
          <w:bCs/>
          <w:sz w:val="24"/>
          <w:szCs w:val="24"/>
          <w:u w:val="single"/>
          <w:rtl/>
        </w:rPr>
        <w:t>נסיבות ביצוע העבירה</w:t>
      </w:r>
    </w:p>
    <w:p w14:paraId="6EEB4F0B" w14:textId="77777777" w:rsidR="003E3156" w:rsidRDefault="003E3156" w:rsidP="003E3156">
      <w:pPr>
        <w:pStyle w:val="a9"/>
        <w:spacing w:after="0" w:line="360" w:lineRule="auto"/>
        <w:ind w:left="0"/>
        <w:jc w:val="both"/>
        <w:rPr>
          <w:rFonts w:ascii="David" w:hAnsi="David" w:cs="David"/>
          <w:sz w:val="24"/>
          <w:szCs w:val="24"/>
          <w:rtl/>
        </w:rPr>
      </w:pPr>
    </w:p>
    <w:p w14:paraId="5444426B" w14:textId="77777777" w:rsidR="003E3156" w:rsidRDefault="003E3156" w:rsidP="003E3156">
      <w:pPr>
        <w:pStyle w:val="a9"/>
        <w:spacing w:after="0" w:line="360" w:lineRule="auto"/>
        <w:ind w:hanging="720"/>
        <w:jc w:val="both"/>
        <w:rPr>
          <w:rFonts w:ascii="David" w:hAnsi="David" w:cs="David"/>
          <w:sz w:val="24"/>
          <w:szCs w:val="24"/>
          <w:rtl/>
        </w:rPr>
      </w:pPr>
      <w:r>
        <w:rPr>
          <w:rFonts w:ascii="David" w:hAnsi="David" w:cs="David"/>
          <w:sz w:val="24"/>
          <w:szCs w:val="24"/>
          <w:rtl/>
        </w:rPr>
        <w:t>17.</w:t>
      </w:r>
      <w:r>
        <w:rPr>
          <w:rFonts w:ascii="David" w:hAnsi="David" w:cs="David"/>
          <w:sz w:val="24"/>
          <w:szCs w:val="24"/>
          <w:rtl/>
        </w:rPr>
        <w:tab/>
        <w:t xml:space="preserve">לפי עובדות המקרה הנאשם החזיק ברשותו חפץ מתכתי מאולתר המכיל חומר נפץ. הנאשם החזיק בחפץ האמור "במטרה להשליכו" (סעיף 5 לכתב האישום), וכאשר השליכו מהרכב, התפוצץ בידיו של הנאשם, וכתוצאה מהפיצוץ נקטעה כף ידו הימנית של הנאשם, מתחת למפרק כף היד, נגרמו לו שני פצעים בחזה מעל הסטרנום, שני חתכים ביד ימין, עד לשומן תת עורי בצד לאטריאלי של האמה הימנית, שני פצעים במפרק ברך ימין, עם סימני דימום ורידי, פצע באזור האכילס של רגל שמאל, רסיסים מרובים לאזור בפנים והבטן (סעיף 6 לכתב האישום). </w:t>
      </w:r>
    </w:p>
    <w:p w14:paraId="59B4F297" w14:textId="77777777" w:rsidR="003E3156" w:rsidRDefault="003E3156" w:rsidP="003E3156">
      <w:pPr>
        <w:pStyle w:val="a9"/>
        <w:spacing w:after="0" w:line="360" w:lineRule="auto"/>
        <w:ind w:hanging="720"/>
        <w:jc w:val="both"/>
        <w:rPr>
          <w:rFonts w:ascii="David" w:hAnsi="David" w:cs="David"/>
          <w:sz w:val="24"/>
          <w:szCs w:val="24"/>
          <w:rtl/>
        </w:rPr>
      </w:pPr>
    </w:p>
    <w:p w14:paraId="0DCB5E07" w14:textId="77777777" w:rsidR="003E3156" w:rsidRDefault="003E3156" w:rsidP="003E3156">
      <w:pPr>
        <w:pStyle w:val="a9"/>
        <w:spacing w:after="0" w:line="360" w:lineRule="auto"/>
        <w:jc w:val="both"/>
        <w:rPr>
          <w:rFonts w:ascii="David" w:hAnsi="David" w:cs="David"/>
          <w:sz w:val="24"/>
          <w:szCs w:val="24"/>
          <w:rtl/>
        </w:rPr>
      </w:pPr>
      <w:r>
        <w:rPr>
          <w:rFonts w:ascii="David" w:hAnsi="David" w:cs="David"/>
          <w:sz w:val="24"/>
          <w:szCs w:val="24"/>
          <w:rtl/>
        </w:rPr>
        <w:t xml:space="preserve">הסנגור המלומד בטיעוניו לעונש ביקש לשכנעני כי מעשיו של הנאשם הינם בבחינת "מעשה קונדס", מדובר בהחזקה בלבד של "חפץ מתכתי" ולא מטען חבלה תקני, כתב האישום תוקן מהותית ואין די נתונים בכתב האישום אודות אותו חפץ המתכתי, מה טיבו, סוגו או משקלו, דבר התורם לקולא בכל הנוגע לעונש, שכן אין נתונים מספיקים כדי לקבוע את מידת פוטנציאל הנזק של אותו חפץ (פרוט' מיום 12.2.25 עמ' 11 ש' 19-20 ובש' 31). </w:t>
      </w:r>
    </w:p>
    <w:p w14:paraId="4DE2FDD8" w14:textId="77777777" w:rsidR="003E3156" w:rsidRDefault="003E3156" w:rsidP="003E3156">
      <w:pPr>
        <w:pStyle w:val="a9"/>
        <w:spacing w:after="0" w:line="360" w:lineRule="auto"/>
        <w:ind w:left="0"/>
        <w:jc w:val="both"/>
        <w:rPr>
          <w:rFonts w:ascii="David" w:hAnsi="David" w:cs="David"/>
          <w:sz w:val="24"/>
          <w:szCs w:val="24"/>
        </w:rPr>
      </w:pPr>
    </w:p>
    <w:p w14:paraId="1831365E" w14:textId="77777777" w:rsidR="003E3156" w:rsidRDefault="003E3156" w:rsidP="003E3156">
      <w:pPr>
        <w:pStyle w:val="a9"/>
        <w:spacing w:after="0" w:line="360" w:lineRule="auto"/>
        <w:ind w:hanging="720"/>
        <w:jc w:val="both"/>
        <w:rPr>
          <w:rFonts w:ascii="David" w:hAnsi="David" w:cs="David"/>
          <w:sz w:val="24"/>
          <w:szCs w:val="24"/>
        </w:rPr>
      </w:pPr>
      <w:r>
        <w:rPr>
          <w:rFonts w:ascii="David" w:hAnsi="David" w:cs="David"/>
          <w:sz w:val="24"/>
          <w:szCs w:val="24"/>
          <w:rtl/>
        </w:rPr>
        <w:t>18.</w:t>
      </w:r>
      <w:r>
        <w:rPr>
          <w:rFonts w:ascii="David" w:hAnsi="David" w:cs="David"/>
          <w:sz w:val="24"/>
          <w:szCs w:val="24"/>
          <w:rtl/>
        </w:rPr>
        <w:tab/>
        <w:t xml:space="preserve">הגם שאין המדובר ב"מטען חבלה תקני", אלא בחפץ מתכתי שהכיל חומר נפץ "תוצרת בית", אין להקל ראש בפוטנציאל הסכנה והנזק הנשקפים ממנו. יצוין, כי בהגדרה מהו "נשק" הקבועה </w:t>
      </w:r>
      <w:hyperlink r:id="rId54" w:history="1">
        <w:r w:rsidR="00DC5A8A" w:rsidRPr="00DC5A8A">
          <w:rPr>
            <w:rStyle w:val="Hyperlink"/>
            <w:rFonts w:ascii="David" w:hAnsi="David" w:cs="David"/>
            <w:color w:val="0000FF"/>
            <w:sz w:val="24"/>
            <w:szCs w:val="24"/>
            <w:rtl/>
          </w:rPr>
          <w:t>בסעיף 144(ג)(3)</w:t>
        </w:r>
      </w:hyperlink>
      <w:r>
        <w:rPr>
          <w:rFonts w:ascii="David" w:hAnsi="David" w:cs="David"/>
          <w:sz w:val="24"/>
          <w:szCs w:val="24"/>
          <w:rtl/>
        </w:rPr>
        <w:t xml:space="preserve"> ל</w:t>
      </w:r>
      <w:hyperlink r:id="rId55" w:history="1">
        <w:r w:rsidR="0006437F" w:rsidRPr="0006437F">
          <w:rPr>
            <w:rFonts w:ascii="David" w:hAnsi="David" w:cs="David"/>
            <w:color w:val="0000FF"/>
            <w:sz w:val="24"/>
            <w:szCs w:val="24"/>
            <w:u w:val="single"/>
            <w:rtl/>
          </w:rPr>
          <w:t>חוק העונשין</w:t>
        </w:r>
      </w:hyperlink>
      <w:r>
        <w:rPr>
          <w:rFonts w:ascii="David" w:hAnsi="David" w:cs="David"/>
          <w:sz w:val="24"/>
          <w:szCs w:val="24"/>
          <w:rtl/>
        </w:rPr>
        <w:t>, בחר המחוקק בהגדרה תוצאתית המכוונת למסוגלותו של אותו "נשק" "להמית אדם, או להזיק לו". ב</w:t>
      </w:r>
      <w:hyperlink r:id="rId56" w:history="1">
        <w:r w:rsidR="0006437F" w:rsidRPr="0006437F">
          <w:rPr>
            <w:rFonts w:ascii="David" w:hAnsi="David" w:cs="David"/>
            <w:color w:val="0000FF"/>
            <w:sz w:val="24"/>
            <w:szCs w:val="24"/>
            <w:u w:val="single"/>
            <w:rtl/>
          </w:rPr>
          <w:t>ע"פ 398/82</w:t>
        </w:r>
      </w:hyperlink>
      <w:r>
        <w:rPr>
          <w:rFonts w:ascii="David" w:hAnsi="David" w:cs="David"/>
          <w:sz w:val="24"/>
          <w:szCs w:val="24"/>
          <w:rtl/>
        </w:rPr>
        <w:t xml:space="preserve"> </w:t>
      </w:r>
      <w:r>
        <w:rPr>
          <w:rFonts w:ascii="David" w:hAnsi="David" w:cs="David"/>
          <w:b/>
          <w:bCs/>
          <w:sz w:val="24"/>
          <w:szCs w:val="24"/>
          <w:rtl/>
        </w:rPr>
        <w:t>שטרית נ' מדינת ישראל</w:t>
      </w:r>
      <w:r>
        <w:rPr>
          <w:rFonts w:ascii="David" w:hAnsi="David" w:cs="David"/>
          <w:sz w:val="24"/>
          <w:szCs w:val="24"/>
          <w:rtl/>
        </w:rPr>
        <w:t xml:space="preserve"> (1983) הבהיר בית המשפט העליון כי התיבה "להזיק לו" משמעה, "פגיעה מכוונת באדם, במובן זה שהיא מרעה את מצבו הפיסי, או מגבילה את תפקודו כאדם, רגעית או דרך קבע, זאת בכך שמגבילים יכולת עשייתו, מכאיבים לו, מהממים או מטשטשים תגובותיו או גורמים לו אי נוחות וכל כיוצא בכך" (שם, בפסקה 5; ראו גם </w:t>
      </w:r>
      <w:hyperlink r:id="rId57" w:history="1">
        <w:r w:rsidR="0006437F" w:rsidRPr="0006437F">
          <w:rPr>
            <w:rFonts w:ascii="David" w:hAnsi="David" w:cs="David"/>
            <w:color w:val="0000FF"/>
            <w:sz w:val="24"/>
            <w:szCs w:val="24"/>
            <w:u w:val="single"/>
            <w:rtl/>
          </w:rPr>
          <w:t>ע"פ 7124/06</w:t>
        </w:r>
      </w:hyperlink>
      <w:r>
        <w:rPr>
          <w:rFonts w:ascii="David" w:hAnsi="David" w:cs="David"/>
          <w:sz w:val="24"/>
          <w:szCs w:val="24"/>
          <w:rtl/>
        </w:rPr>
        <w:t xml:space="preserve"> </w:t>
      </w:r>
      <w:r>
        <w:rPr>
          <w:rFonts w:ascii="David" w:hAnsi="David" w:cs="David"/>
          <w:b/>
          <w:bCs/>
          <w:sz w:val="24"/>
          <w:szCs w:val="24"/>
          <w:rtl/>
        </w:rPr>
        <w:t>דרורי נ' מדינת ישראל</w:t>
      </w:r>
      <w:r>
        <w:rPr>
          <w:rFonts w:ascii="David" w:hAnsi="David" w:cs="David"/>
          <w:sz w:val="24"/>
          <w:szCs w:val="24"/>
          <w:rtl/>
        </w:rPr>
        <w:t xml:space="preserve"> (9.5.2007).</w:t>
      </w:r>
    </w:p>
    <w:p w14:paraId="32FF6108" w14:textId="77777777" w:rsidR="003E3156" w:rsidRDefault="003E3156" w:rsidP="003E3156">
      <w:pPr>
        <w:pStyle w:val="a9"/>
        <w:spacing w:after="0" w:line="360" w:lineRule="auto"/>
        <w:ind w:left="0"/>
        <w:jc w:val="both"/>
        <w:rPr>
          <w:rFonts w:ascii="David" w:hAnsi="David" w:cs="David"/>
          <w:sz w:val="24"/>
          <w:szCs w:val="24"/>
        </w:rPr>
      </w:pPr>
    </w:p>
    <w:p w14:paraId="0A3A422E" w14:textId="77777777" w:rsidR="003E3156" w:rsidRDefault="003E3156" w:rsidP="003E3156">
      <w:pPr>
        <w:pStyle w:val="a9"/>
        <w:spacing w:after="0" w:line="360" w:lineRule="auto"/>
        <w:ind w:hanging="720"/>
        <w:jc w:val="both"/>
        <w:rPr>
          <w:rFonts w:ascii="David" w:hAnsi="David" w:cs="David"/>
          <w:sz w:val="24"/>
          <w:szCs w:val="24"/>
        </w:rPr>
      </w:pPr>
      <w:r>
        <w:rPr>
          <w:rFonts w:ascii="David" w:hAnsi="David" w:cs="David"/>
          <w:sz w:val="24"/>
          <w:szCs w:val="24"/>
          <w:rtl/>
        </w:rPr>
        <w:t>19.</w:t>
      </w:r>
      <w:r>
        <w:rPr>
          <w:rFonts w:ascii="David" w:hAnsi="David" w:cs="David"/>
          <w:sz w:val="24"/>
          <w:szCs w:val="24"/>
          <w:rtl/>
        </w:rPr>
        <w:tab/>
        <w:t xml:space="preserve">בנדוננו, אכן אין המדובר בהחזקת מִּטְעָן חבלה "תקני", אלא בהחזקת "חפץ מתכתי" שהכיל חומר נפץ, המהווה נשק, במובן החוק. כתב האישום תוקן כך שישקף שוני זה. לכן נקודת המוצא מבחינת הסיכון הפוטנציאלי הטמון בחפץ האמור היא, כי מדובר בחפץ שפוטנציאל הסיכון הנשקף מפניו פָּחוּת. אולם, אין זו נקודת הסיום. שכן, מבחן המציאות הראה כי אותו "חפץ מתכתי" בו אחז הנאשם, היה רב עוצמה, על אף שלא היה "מטען חבלה", ובעל מסוגלות להטיל מום קשה באדם. שהרי לפי עובדות כתב האישום המתוקן, החפץ המתכתי התפוצץ כשהשליכו הנאשם, תוך שקטע את ידו, וגרם לו לנזקים גופניים בפלג גופו העליון, כמפורט בכתב האישום. לתוצאת ההתפוצצות של אותו "חפץ מתכתי" חשיבות שכן, כפי שנפסק, </w:t>
      </w:r>
      <w:r>
        <w:rPr>
          <w:rFonts w:ascii="David" w:hAnsi="David" w:cs="David"/>
          <w:b/>
          <w:bCs/>
          <w:sz w:val="24"/>
          <w:szCs w:val="24"/>
          <w:rtl/>
        </w:rPr>
        <w:t xml:space="preserve">"... </w:t>
      </w:r>
      <w:r>
        <w:rPr>
          <w:rFonts w:ascii="David" w:hAnsi="David" w:cs="David"/>
          <w:b/>
          <w:bCs/>
          <w:sz w:val="24"/>
          <w:szCs w:val="24"/>
          <w:u w:val="single"/>
          <w:rtl/>
        </w:rPr>
        <w:t>מידת העונש המוטל בגין עבירות המבוצעות בנשק, מושפעת מפוטנציאל הסיכון הרב הטמון בנשק המוחזק</w:t>
      </w:r>
      <w:r>
        <w:rPr>
          <w:rFonts w:ascii="David" w:hAnsi="David" w:cs="David"/>
          <w:b/>
          <w:bCs/>
          <w:sz w:val="24"/>
          <w:szCs w:val="24"/>
          <w:rtl/>
        </w:rPr>
        <w:t xml:space="preserve"> שלא כדין ומהעברתו מיד ליד ללא פיקוח. בבוא בית-המשפט לגזור את הדין בעבירה של החזקה ונשיאה של נשק עליו להתחשב בנסיבות שבהן באה לידי ביטוי החומרה המיוחדת" (הדגשה שלי – ש.ב. מתוך ע"פ 1332/04 פס נ' מדינת ישראל, </w:t>
      </w:r>
      <w:r>
        <w:rPr>
          <w:rFonts w:ascii="David" w:hAnsi="David" w:cs="David"/>
          <w:sz w:val="24"/>
          <w:szCs w:val="24"/>
          <w:rtl/>
        </w:rPr>
        <w:t xml:space="preserve">פ"ד נח(5) 541, 544 (2004) שצוטט בהסכמה בעניין </w:t>
      </w:r>
      <w:hyperlink r:id="rId58" w:history="1">
        <w:r w:rsidR="0006437F" w:rsidRPr="0006437F">
          <w:rPr>
            <w:rFonts w:ascii="David" w:hAnsi="David" w:cs="David"/>
            <w:color w:val="0000FF"/>
            <w:sz w:val="24"/>
            <w:szCs w:val="24"/>
            <w:u w:val="single"/>
            <w:rtl/>
          </w:rPr>
          <w:t>ע"פ 1323/13</w:t>
        </w:r>
      </w:hyperlink>
      <w:r>
        <w:rPr>
          <w:rFonts w:ascii="David" w:hAnsi="David" w:cs="David"/>
          <w:sz w:val="24"/>
          <w:szCs w:val="24"/>
          <w:rtl/>
        </w:rPr>
        <w:t xml:space="preserve"> – </w:t>
      </w:r>
      <w:r>
        <w:rPr>
          <w:rFonts w:ascii="David" w:hAnsi="David" w:cs="David"/>
          <w:b/>
          <w:bCs/>
          <w:sz w:val="24"/>
          <w:szCs w:val="24"/>
          <w:rtl/>
        </w:rPr>
        <w:t>חסן</w:t>
      </w:r>
      <w:r>
        <w:rPr>
          <w:rFonts w:ascii="David" w:hAnsi="David" w:cs="David"/>
          <w:sz w:val="24"/>
          <w:szCs w:val="24"/>
          <w:rtl/>
        </w:rPr>
        <w:t>, שם בפסקה 10).</w:t>
      </w:r>
    </w:p>
    <w:p w14:paraId="7809A31E" w14:textId="77777777" w:rsidR="003E3156" w:rsidRDefault="003E3156" w:rsidP="003E3156">
      <w:pPr>
        <w:pStyle w:val="a9"/>
        <w:spacing w:after="0" w:line="360" w:lineRule="auto"/>
        <w:ind w:left="0"/>
        <w:jc w:val="both"/>
        <w:rPr>
          <w:rFonts w:ascii="David" w:hAnsi="David" w:cs="David"/>
          <w:sz w:val="24"/>
          <w:szCs w:val="24"/>
        </w:rPr>
      </w:pPr>
    </w:p>
    <w:p w14:paraId="24C3AFE2" w14:textId="77777777" w:rsidR="003E3156" w:rsidRDefault="003E3156" w:rsidP="003E3156">
      <w:pPr>
        <w:pStyle w:val="a9"/>
        <w:spacing w:after="0" w:line="360" w:lineRule="auto"/>
        <w:ind w:hanging="720"/>
        <w:jc w:val="both"/>
        <w:rPr>
          <w:rFonts w:ascii="David" w:hAnsi="David" w:cs="David"/>
          <w:sz w:val="24"/>
          <w:szCs w:val="24"/>
        </w:rPr>
      </w:pPr>
      <w:r>
        <w:rPr>
          <w:rFonts w:ascii="David" w:hAnsi="David" w:cs="David"/>
          <w:sz w:val="24"/>
          <w:szCs w:val="24"/>
          <w:rtl/>
        </w:rPr>
        <w:t>20.</w:t>
      </w:r>
      <w:r>
        <w:rPr>
          <w:rFonts w:ascii="David" w:hAnsi="David" w:cs="David"/>
          <w:sz w:val="24"/>
          <w:szCs w:val="24"/>
          <w:rtl/>
        </w:rPr>
        <w:tab/>
        <w:t>לאור זאת, יש לקבוע כי בסולם הנזק הטמון באותו "חפץ מתכתי", הוא ממוקם ברף בינוני-גבוה, ובכך שונים פני הדברים מהחזקה פאסיבית של חפץ בר פיצוץ דומה, במטען הרכב, כשאין ראיה לעוצמת הנזק הטמונה בו, בפסיקה עליה מסתמך הסניגור המלומד (</w:t>
      </w:r>
      <w:hyperlink r:id="rId59" w:history="1">
        <w:r w:rsidR="0006437F" w:rsidRPr="0006437F">
          <w:rPr>
            <w:rFonts w:ascii="David" w:hAnsi="David" w:cs="David"/>
            <w:color w:val="0000FF"/>
            <w:sz w:val="24"/>
            <w:szCs w:val="24"/>
            <w:u w:val="single"/>
            <w:rtl/>
          </w:rPr>
          <w:t>ת"פ 49995-09-17</w:t>
        </w:r>
      </w:hyperlink>
      <w:r>
        <w:rPr>
          <w:rFonts w:ascii="David" w:hAnsi="David" w:cs="David"/>
          <w:sz w:val="24"/>
          <w:szCs w:val="24"/>
          <w:rtl/>
        </w:rPr>
        <w:t xml:space="preserve"> – </w:t>
      </w:r>
      <w:r>
        <w:rPr>
          <w:rFonts w:ascii="David" w:hAnsi="David" w:cs="David"/>
          <w:b/>
          <w:bCs/>
          <w:sz w:val="24"/>
          <w:szCs w:val="24"/>
          <w:rtl/>
        </w:rPr>
        <w:t>עלי</w:t>
      </w:r>
      <w:r>
        <w:rPr>
          <w:rFonts w:ascii="David" w:hAnsi="David" w:cs="David"/>
          <w:sz w:val="24"/>
          <w:szCs w:val="24"/>
          <w:rtl/>
        </w:rPr>
        <w:t xml:space="preserve">; </w:t>
      </w:r>
      <w:hyperlink r:id="rId60" w:history="1">
        <w:r w:rsidR="0006437F" w:rsidRPr="0006437F">
          <w:rPr>
            <w:rFonts w:ascii="David" w:hAnsi="David" w:cs="David"/>
            <w:color w:val="0000FF"/>
            <w:sz w:val="24"/>
            <w:szCs w:val="24"/>
            <w:u w:val="single"/>
            <w:rtl/>
          </w:rPr>
          <w:t>עפ"ג 34021-05-21</w:t>
        </w:r>
      </w:hyperlink>
      <w:r>
        <w:rPr>
          <w:rFonts w:ascii="David" w:hAnsi="David" w:cs="David"/>
          <w:sz w:val="24"/>
          <w:szCs w:val="24"/>
          <w:rtl/>
        </w:rPr>
        <w:t xml:space="preserve"> – </w:t>
      </w:r>
      <w:r>
        <w:rPr>
          <w:rFonts w:ascii="David" w:hAnsi="David" w:cs="David"/>
          <w:b/>
          <w:bCs/>
          <w:sz w:val="24"/>
          <w:szCs w:val="24"/>
          <w:rtl/>
        </w:rPr>
        <w:t>בדארנה</w:t>
      </w:r>
      <w:r>
        <w:rPr>
          <w:rFonts w:ascii="David" w:hAnsi="David" w:cs="David"/>
          <w:sz w:val="24"/>
          <w:szCs w:val="24"/>
          <w:rtl/>
        </w:rPr>
        <w:t xml:space="preserve">, וראו דברי כב' השופט אלרון בדחותו את בקשת הערעור שהגיש בדארנה, שהחזיק אף הוא במטען מאולתר, בטענה שהחזיק בו למטרות קונדס: </w:t>
      </w:r>
      <w:r>
        <w:rPr>
          <w:rFonts w:ascii="David" w:hAnsi="David" w:cs="David"/>
          <w:b/>
          <w:bCs/>
          <w:sz w:val="24"/>
          <w:szCs w:val="24"/>
          <w:rtl/>
        </w:rPr>
        <w:t>"כפי שציינתי לא פעם, יש להוקיע את תופעת האלימות בכלל, והשימוש בנשק חם. על כן, יש להטיל ענישה מוחשית ומרתיעה, אשר יש בה להבהיר לכל בר דעת כי כלי נשק, על כל סוגיהם, לא נועדו למשחק או לשעשוע..."</w:t>
      </w:r>
      <w:r>
        <w:rPr>
          <w:rFonts w:ascii="David" w:hAnsi="David" w:cs="David"/>
          <w:sz w:val="24"/>
          <w:szCs w:val="24"/>
          <w:rtl/>
        </w:rPr>
        <w:t xml:space="preserve"> (רע"פ 54321/21 </w:t>
      </w:r>
      <w:r>
        <w:rPr>
          <w:rFonts w:ascii="David" w:hAnsi="David" w:cs="David"/>
          <w:b/>
          <w:bCs/>
          <w:sz w:val="24"/>
          <w:szCs w:val="24"/>
          <w:rtl/>
        </w:rPr>
        <w:t>בדארנה נ' מדינת ישראל</w:t>
      </w:r>
      <w:r>
        <w:rPr>
          <w:rFonts w:ascii="David" w:hAnsi="David" w:cs="David"/>
          <w:sz w:val="24"/>
          <w:szCs w:val="24"/>
          <w:rtl/>
        </w:rPr>
        <w:t>, פסקה 6, 11.8.2021).</w:t>
      </w:r>
    </w:p>
    <w:p w14:paraId="023F3FDB" w14:textId="77777777" w:rsidR="003E3156" w:rsidRDefault="003E3156" w:rsidP="003E3156">
      <w:pPr>
        <w:pStyle w:val="a9"/>
        <w:spacing w:after="0" w:line="360" w:lineRule="auto"/>
        <w:ind w:hanging="720"/>
        <w:jc w:val="both"/>
        <w:rPr>
          <w:rFonts w:ascii="David" w:hAnsi="David" w:cs="David"/>
          <w:sz w:val="24"/>
          <w:szCs w:val="24"/>
          <w:rtl/>
        </w:rPr>
      </w:pPr>
    </w:p>
    <w:p w14:paraId="4F81645D" w14:textId="77777777" w:rsidR="003E3156" w:rsidRDefault="003E3156" w:rsidP="003E3156">
      <w:pPr>
        <w:spacing w:line="360" w:lineRule="auto"/>
        <w:jc w:val="both"/>
        <w:rPr>
          <w:rFonts w:ascii="David" w:hAnsi="David"/>
          <w:b/>
          <w:bCs/>
          <w:u w:val="single"/>
          <w:rtl/>
        </w:rPr>
      </w:pPr>
      <w:r>
        <w:rPr>
          <w:rFonts w:ascii="David" w:hAnsi="David"/>
          <w:b/>
          <w:bCs/>
          <w:u w:val="single"/>
          <w:rtl/>
        </w:rPr>
        <w:t>מתחם העונש ההולם</w:t>
      </w:r>
    </w:p>
    <w:p w14:paraId="31F41948" w14:textId="77777777" w:rsidR="003E3156" w:rsidRDefault="003E3156" w:rsidP="003E3156">
      <w:pPr>
        <w:pStyle w:val="a9"/>
        <w:spacing w:after="0" w:line="360" w:lineRule="auto"/>
        <w:ind w:left="0"/>
        <w:jc w:val="both"/>
        <w:rPr>
          <w:rFonts w:ascii="David" w:hAnsi="David" w:cs="David"/>
          <w:sz w:val="24"/>
          <w:szCs w:val="24"/>
          <w:rtl/>
        </w:rPr>
      </w:pPr>
    </w:p>
    <w:p w14:paraId="7C7AB34C" w14:textId="77777777" w:rsidR="003E3156" w:rsidRDefault="003E3156" w:rsidP="003E3156">
      <w:pPr>
        <w:pStyle w:val="a9"/>
        <w:spacing w:after="0" w:line="360" w:lineRule="auto"/>
        <w:ind w:hanging="720"/>
        <w:jc w:val="both"/>
        <w:rPr>
          <w:rFonts w:ascii="David" w:hAnsi="David" w:cs="David"/>
          <w:sz w:val="24"/>
          <w:szCs w:val="24"/>
          <w:rtl/>
        </w:rPr>
      </w:pPr>
      <w:r>
        <w:rPr>
          <w:rFonts w:ascii="David" w:hAnsi="David" w:cs="David"/>
          <w:sz w:val="24"/>
          <w:szCs w:val="24"/>
          <w:rtl/>
        </w:rPr>
        <w:t>21.</w:t>
      </w:r>
      <w:r>
        <w:rPr>
          <w:rFonts w:ascii="David" w:hAnsi="David" w:cs="David"/>
          <w:sz w:val="24"/>
          <w:szCs w:val="24"/>
          <w:rtl/>
        </w:rPr>
        <w:tab/>
        <w:t xml:space="preserve">לאחר שנתתי את דעתי למכלול הנסיבות, לרבות מידת הפגיעה בערכים המוגנים, מדיניות הענישה הנוהגת, נסיבות ביצוע העבירה, טיבו של אותו חפץ מתכתי נפיץ ועוצמתי, נמצא לקבוע מתחם שנע בין 16-36 חודשי מאסר בפועל לצד מאסר מותנה וקנס כספי. </w:t>
      </w:r>
    </w:p>
    <w:p w14:paraId="0A3D6A24" w14:textId="77777777" w:rsidR="003E3156" w:rsidRDefault="003E3156" w:rsidP="003E3156">
      <w:pPr>
        <w:spacing w:line="360" w:lineRule="auto"/>
        <w:jc w:val="both"/>
        <w:rPr>
          <w:rFonts w:ascii="David" w:hAnsi="David"/>
          <w:b/>
          <w:bCs/>
          <w:u w:val="single"/>
          <w:rtl/>
        </w:rPr>
      </w:pPr>
    </w:p>
    <w:p w14:paraId="711DA08C" w14:textId="77777777" w:rsidR="003E3156" w:rsidRDefault="003E3156" w:rsidP="003E3156">
      <w:pPr>
        <w:spacing w:line="360" w:lineRule="auto"/>
        <w:jc w:val="both"/>
        <w:rPr>
          <w:rFonts w:ascii="David" w:hAnsi="David"/>
          <w:b/>
          <w:bCs/>
          <w:u w:val="single"/>
          <w:rtl/>
        </w:rPr>
      </w:pPr>
      <w:r>
        <w:rPr>
          <w:rFonts w:ascii="David" w:hAnsi="David"/>
          <w:b/>
          <w:bCs/>
          <w:u w:val="single"/>
          <w:rtl/>
        </w:rPr>
        <w:t>נסיבות שאינן קשורות לביצוע העבירה</w:t>
      </w:r>
    </w:p>
    <w:p w14:paraId="18A500EA" w14:textId="77777777" w:rsidR="003E3156" w:rsidRDefault="003E3156" w:rsidP="003E3156">
      <w:pPr>
        <w:pStyle w:val="a9"/>
        <w:spacing w:after="0" w:line="360" w:lineRule="auto"/>
        <w:ind w:left="0"/>
        <w:jc w:val="both"/>
        <w:rPr>
          <w:rFonts w:ascii="David" w:hAnsi="David" w:cs="David"/>
          <w:sz w:val="24"/>
          <w:szCs w:val="24"/>
          <w:rtl/>
        </w:rPr>
      </w:pPr>
    </w:p>
    <w:p w14:paraId="0D20D3C6" w14:textId="77777777" w:rsidR="003E3156" w:rsidRDefault="003E3156" w:rsidP="003E3156">
      <w:pPr>
        <w:pStyle w:val="a9"/>
        <w:spacing w:after="0" w:line="360" w:lineRule="auto"/>
        <w:ind w:hanging="720"/>
        <w:jc w:val="both"/>
        <w:rPr>
          <w:rFonts w:ascii="David" w:hAnsi="David" w:cs="David"/>
          <w:sz w:val="24"/>
          <w:szCs w:val="24"/>
          <w:rtl/>
        </w:rPr>
      </w:pPr>
      <w:r>
        <w:rPr>
          <w:rFonts w:ascii="David" w:hAnsi="David" w:cs="David"/>
          <w:sz w:val="24"/>
          <w:szCs w:val="24"/>
          <w:rtl/>
        </w:rPr>
        <w:t>22.</w:t>
      </w:r>
      <w:r>
        <w:rPr>
          <w:rFonts w:ascii="David" w:hAnsi="David" w:cs="David"/>
          <w:sz w:val="24"/>
          <w:szCs w:val="24"/>
          <w:rtl/>
        </w:rPr>
        <w:tab/>
        <w:t xml:space="preserve">הנאשם יליד 2003, ללא עבר פלילי, הנאשם הודה בכתב האישום המתוקן, חסך זמן שיפוטי יקר והביע חרטה על מעשיו. </w:t>
      </w:r>
    </w:p>
    <w:p w14:paraId="3F690056" w14:textId="77777777" w:rsidR="003E3156" w:rsidRDefault="003E3156" w:rsidP="003E3156">
      <w:pPr>
        <w:pStyle w:val="a9"/>
        <w:spacing w:after="0" w:line="360" w:lineRule="auto"/>
        <w:ind w:left="0"/>
        <w:jc w:val="both"/>
        <w:rPr>
          <w:rFonts w:ascii="David" w:hAnsi="David" w:cs="David"/>
          <w:sz w:val="24"/>
          <w:szCs w:val="24"/>
        </w:rPr>
      </w:pPr>
    </w:p>
    <w:p w14:paraId="3A3EBFEE" w14:textId="77777777" w:rsidR="003E3156" w:rsidRDefault="003E3156" w:rsidP="003E3156">
      <w:pPr>
        <w:pStyle w:val="a9"/>
        <w:spacing w:after="0" w:line="360" w:lineRule="auto"/>
        <w:ind w:hanging="720"/>
        <w:jc w:val="both"/>
        <w:rPr>
          <w:rFonts w:ascii="David" w:hAnsi="David" w:cs="David"/>
          <w:sz w:val="24"/>
          <w:szCs w:val="24"/>
        </w:rPr>
      </w:pPr>
      <w:r>
        <w:rPr>
          <w:rFonts w:ascii="David" w:hAnsi="David" w:cs="David"/>
          <w:sz w:val="24"/>
          <w:szCs w:val="24"/>
          <w:rtl/>
        </w:rPr>
        <w:t>23.</w:t>
      </w:r>
      <w:r>
        <w:rPr>
          <w:rFonts w:ascii="David" w:hAnsi="David" w:cs="David"/>
          <w:sz w:val="24"/>
          <w:szCs w:val="24"/>
          <w:rtl/>
        </w:rPr>
        <w:tab/>
        <w:t>הנאשם נפצע קשה מהתפוצצות המטען ובין היתר נקטעה כף ידו.</w:t>
      </w:r>
    </w:p>
    <w:p w14:paraId="1455DB64" w14:textId="77777777" w:rsidR="003E3156" w:rsidRDefault="003E3156" w:rsidP="003E3156">
      <w:pPr>
        <w:spacing w:line="360" w:lineRule="auto"/>
        <w:jc w:val="both"/>
        <w:rPr>
          <w:rFonts w:ascii="David" w:hAnsi="David"/>
          <w:b/>
          <w:bCs/>
          <w:u w:val="single"/>
          <w:rtl/>
        </w:rPr>
      </w:pPr>
    </w:p>
    <w:p w14:paraId="3CCE3B35" w14:textId="77777777" w:rsidR="003E3156" w:rsidRDefault="003E3156" w:rsidP="003E3156">
      <w:pPr>
        <w:spacing w:line="360" w:lineRule="auto"/>
        <w:jc w:val="both"/>
        <w:rPr>
          <w:rFonts w:ascii="David" w:hAnsi="David"/>
          <w:b/>
          <w:bCs/>
          <w:u w:val="single"/>
          <w:rtl/>
        </w:rPr>
      </w:pPr>
      <w:r>
        <w:rPr>
          <w:rFonts w:ascii="David" w:hAnsi="David"/>
          <w:b/>
          <w:bCs/>
          <w:u w:val="single"/>
          <w:rtl/>
        </w:rPr>
        <w:t>העונש המתאים</w:t>
      </w:r>
    </w:p>
    <w:p w14:paraId="4EC23CB7" w14:textId="77777777" w:rsidR="003E3156" w:rsidRDefault="003E3156" w:rsidP="003E3156">
      <w:pPr>
        <w:spacing w:line="360" w:lineRule="auto"/>
        <w:jc w:val="both"/>
        <w:rPr>
          <w:rFonts w:ascii="David" w:hAnsi="David"/>
          <w:rtl/>
        </w:rPr>
      </w:pPr>
    </w:p>
    <w:p w14:paraId="0CA017DE" w14:textId="77777777" w:rsidR="003E3156" w:rsidRDefault="003E3156" w:rsidP="003E3156">
      <w:pPr>
        <w:spacing w:line="360" w:lineRule="auto"/>
        <w:ind w:left="720" w:hanging="720"/>
        <w:jc w:val="both"/>
        <w:rPr>
          <w:rFonts w:ascii="David" w:hAnsi="David"/>
          <w:b/>
          <w:bCs/>
          <w:u w:val="single"/>
          <w:rtl/>
        </w:rPr>
      </w:pPr>
      <w:r>
        <w:rPr>
          <w:rFonts w:ascii="David" w:hAnsi="David"/>
          <w:rtl/>
        </w:rPr>
        <w:t>24.</w:t>
      </w:r>
      <w:r>
        <w:rPr>
          <w:rFonts w:ascii="David" w:hAnsi="David"/>
          <w:rtl/>
        </w:rPr>
        <w:tab/>
        <w:t>לפי פסיקת בית המשפט העליון והוראת המחוקק, יש להחמיר בענישה בגין עבירות נשק תוך מתן משקל בכורה לשיקולי הרתעת הרבים (</w:t>
      </w:r>
      <w:hyperlink r:id="rId61" w:history="1">
        <w:r w:rsidR="0006437F" w:rsidRPr="0006437F">
          <w:rPr>
            <w:rFonts w:ascii="David" w:hAnsi="David"/>
            <w:color w:val="0000FF"/>
            <w:u w:val="single"/>
            <w:rtl/>
          </w:rPr>
          <w:t>ע"פ 2482/22</w:t>
        </w:r>
      </w:hyperlink>
      <w:r>
        <w:rPr>
          <w:rFonts w:ascii="David" w:hAnsi="David"/>
          <w:rtl/>
        </w:rPr>
        <w:t xml:space="preserve"> </w:t>
      </w:r>
      <w:r>
        <w:rPr>
          <w:rFonts w:ascii="David" w:hAnsi="David"/>
          <w:b/>
          <w:bCs/>
          <w:rtl/>
        </w:rPr>
        <w:t>מדינת ישראל נ' קדורה</w:t>
      </w:r>
      <w:r>
        <w:rPr>
          <w:rFonts w:ascii="David" w:hAnsi="David"/>
          <w:rtl/>
        </w:rPr>
        <w:t xml:space="preserve">, פסקאות 5-6 (14.4.22); </w:t>
      </w:r>
      <w:hyperlink r:id="rId62" w:history="1">
        <w:r w:rsidR="0006437F" w:rsidRPr="0006437F">
          <w:rPr>
            <w:rFonts w:ascii="David" w:hAnsi="David"/>
            <w:color w:val="0000FF"/>
            <w:u w:val="single"/>
            <w:rtl/>
          </w:rPr>
          <w:t>ע"פ 5602/22</w:t>
        </w:r>
      </w:hyperlink>
      <w:r>
        <w:rPr>
          <w:rFonts w:ascii="David" w:hAnsi="David"/>
          <w:rtl/>
        </w:rPr>
        <w:t xml:space="preserve"> </w:t>
      </w:r>
      <w:r>
        <w:rPr>
          <w:rFonts w:ascii="David" w:hAnsi="David"/>
          <w:b/>
          <w:bCs/>
          <w:rtl/>
        </w:rPr>
        <w:t>מדינת ישראל נ' פלוני</w:t>
      </w:r>
      <w:r>
        <w:rPr>
          <w:rFonts w:ascii="David" w:hAnsi="David"/>
          <w:rtl/>
        </w:rPr>
        <w:t xml:space="preserve">, פסקה 15 (14.9.22); ע"פ 5812/21 </w:t>
      </w:r>
      <w:r>
        <w:rPr>
          <w:rFonts w:ascii="David" w:hAnsi="David"/>
          <w:b/>
          <w:bCs/>
          <w:rtl/>
        </w:rPr>
        <w:t>ג'בארין נ' מדינת ישראל</w:t>
      </w:r>
      <w:r>
        <w:rPr>
          <w:rFonts w:ascii="David" w:hAnsi="David"/>
          <w:rtl/>
        </w:rPr>
        <w:t xml:space="preserve">, פסקה 14 (31.5.22)). לפי הפסיקה, גישה עונשית זו באה לבטא את רמת הענישה הראויה בעבירות מסוג זה, ועל פי כלליה יש לגזור את העונש הראוי במקרה הפרטני בהתאם לחומרת העבירה (ראו 147/21 </w:t>
      </w:r>
      <w:r>
        <w:rPr>
          <w:rFonts w:ascii="David" w:hAnsi="David"/>
          <w:b/>
          <w:bCs/>
          <w:rtl/>
        </w:rPr>
        <w:t>מדינת ישראל נ' ביטון</w:t>
      </w:r>
      <w:r>
        <w:rPr>
          <w:rFonts w:ascii="David" w:hAnsi="David"/>
          <w:rtl/>
        </w:rPr>
        <w:t xml:space="preserve">, פסקה 8 (14.2.21).  </w:t>
      </w:r>
    </w:p>
    <w:p w14:paraId="74C05BE3" w14:textId="77777777" w:rsidR="003E3156" w:rsidRDefault="003E3156" w:rsidP="003E3156">
      <w:pPr>
        <w:pStyle w:val="a9"/>
        <w:spacing w:after="0" w:line="360" w:lineRule="auto"/>
        <w:ind w:left="0"/>
        <w:jc w:val="both"/>
        <w:rPr>
          <w:rFonts w:ascii="David" w:hAnsi="David" w:cs="David"/>
          <w:sz w:val="24"/>
          <w:szCs w:val="24"/>
        </w:rPr>
      </w:pPr>
    </w:p>
    <w:p w14:paraId="1292152B" w14:textId="77777777" w:rsidR="003E3156" w:rsidRDefault="003E3156" w:rsidP="003E3156">
      <w:pPr>
        <w:pStyle w:val="a9"/>
        <w:spacing w:after="0" w:line="360" w:lineRule="auto"/>
        <w:ind w:hanging="720"/>
        <w:jc w:val="both"/>
        <w:rPr>
          <w:rFonts w:ascii="David" w:hAnsi="David" w:cs="David"/>
          <w:sz w:val="24"/>
          <w:szCs w:val="24"/>
        </w:rPr>
      </w:pPr>
      <w:r>
        <w:rPr>
          <w:rFonts w:ascii="David" w:hAnsi="David" w:cs="David"/>
          <w:sz w:val="24"/>
          <w:szCs w:val="24"/>
          <w:rtl/>
        </w:rPr>
        <w:t>25.</w:t>
      </w:r>
      <w:r>
        <w:rPr>
          <w:rFonts w:ascii="David" w:hAnsi="David" w:cs="David"/>
          <w:sz w:val="24"/>
          <w:szCs w:val="24"/>
          <w:rtl/>
        </w:rPr>
        <w:tab/>
        <w:t>לפי תיקון 140 ל</w:t>
      </w:r>
      <w:hyperlink r:id="rId63" w:history="1">
        <w:r w:rsidR="0006437F" w:rsidRPr="0006437F">
          <w:rPr>
            <w:rFonts w:ascii="David" w:hAnsi="David" w:cs="David"/>
            <w:color w:val="0000FF"/>
            <w:sz w:val="24"/>
            <w:szCs w:val="24"/>
            <w:u w:val="single"/>
            <w:rtl/>
          </w:rPr>
          <w:t>חוק העונשין</w:t>
        </w:r>
      </w:hyperlink>
      <w:r>
        <w:rPr>
          <w:rFonts w:ascii="David" w:hAnsi="David" w:cs="David"/>
          <w:sz w:val="24"/>
          <w:szCs w:val="24"/>
          <w:rtl/>
        </w:rPr>
        <w:t>, מצוות המחוקק היא, כי העונש המזערי לעבירה מסוג זה, לא יפחת מרבע העונש הקובע בצידה, ובכללם עונש צופה פני עתיד, אלא אם קיימים טעמים מיוחדים שיירשמו (</w:t>
      </w:r>
      <w:hyperlink r:id="rId64" w:history="1">
        <w:r w:rsidR="00DC5A8A" w:rsidRPr="00DC5A8A">
          <w:rPr>
            <w:rStyle w:val="Hyperlink"/>
            <w:rFonts w:ascii="David" w:hAnsi="David" w:cs="David"/>
            <w:color w:val="0000FF"/>
            <w:sz w:val="24"/>
            <w:szCs w:val="24"/>
            <w:rtl/>
          </w:rPr>
          <w:t>סעיף 144(ז)</w:t>
        </w:r>
      </w:hyperlink>
      <w:r>
        <w:rPr>
          <w:rFonts w:ascii="David" w:hAnsi="David" w:cs="David"/>
          <w:sz w:val="24"/>
          <w:szCs w:val="24"/>
          <w:rtl/>
        </w:rPr>
        <w:t xml:space="preserve"> לחוק העונשין). טעמים כאלה לא מתקיימים במקרה שבפני בית המשפט.</w:t>
      </w:r>
    </w:p>
    <w:p w14:paraId="0942D649" w14:textId="77777777" w:rsidR="003E3156" w:rsidRDefault="003E3156" w:rsidP="003E3156">
      <w:pPr>
        <w:pStyle w:val="a9"/>
        <w:spacing w:after="0" w:line="360" w:lineRule="auto"/>
        <w:ind w:left="0"/>
        <w:jc w:val="both"/>
        <w:rPr>
          <w:rFonts w:ascii="David" w:hAnsi="David" w:cs="David"/>
          <w:sz w:val="24"/>
          <w:szCs w:val="24"/>
        </w:rPr>
      </w:pPr>
    </w:p>
    <w:p w14:paraId="642362D1" w14:textId="77777777" w:rsidR="003E3156" w:rsidRDefault="003E3156" w:rsidP="003E3156">
      <w:pPr>
        <w:pStyle w:val="a9"/>
        <w:spacing w:after="0" w:line="360" w:lineRule="auto"/>
        <w:ind w:hanging="720"/>
        <w:jc w:val="both"/>
        <w:rPr>
          <w:rFonts w:ascii="David" w:hAnsi="David" w:cs="David"/>
          <w:sz w:val="24"/>
          <w:szCs w:val="24"/>
        </w:rPr>
      </w:pPr>
      <w:r>
        <w:rPr>
          <w:rFonts w:ascii="David" w:hAnsi="David" w:cs="David"/>
          <w:sz w:val="24"/>
          <w:szCs w:val="24"/>
          <w:rtl/>
        </w:rPr>
        <w:t>26.</w:t>
      </w:r>
      <w:r>
        <w:rPr>
          <w:rFonts w:ascii="David" w:hAnsi="David" w:cs="David"/>
          <w:sz w:val="24"/>
          <w:szCs w:val="24"/>
          <w:rtl/>
        </w:rPr>
        <w:tab/>
        <w:t>בהינתן מכלול השיקולים העונשיים הרלבנטיים, תוך דגש על טיבו של החפץ המתכתי הנפיץ שהחזיק הנאשם, אשר התפוצץ לו ביד, בהינתן עוצמתו המזיקה המוכחת, ומשיקולי הרתעה המתחייבים בענישה בסוג זה של עבירות, ראוי היה למקם את עונשו של הנאשם בחלק גבוה יותר של המתחם, ובית המשפט סבור שכך ראוי היה לעשות. אך בשל הנזק הגופני-אישי המשמעותי שנגרם לנאשם כתוצאה מהשלכת המטען, השלכתו בשדה בלילה ללא נזק או סיכון לאחרים, העדר עבר פלילי, וקבלת אחריות מיידית, נמצא למקם את העונש בצד הנמוך של המתחם.</w:t>
      </w:r>
    </w:p>
    <w:p w14:paraId="3C92E3E3" w14:textId="77777777" w:rsidR="003E3156" w:rsidRDefault="003E3156" w:rsidP="003E3156">
      <w:pPr>
        <w:spacing w:line="360" w:lineRule="auto"/>
        <w:jc w:val="both"/>
        <w:rPr>
          <w:rFonts w:ascii="David" w:hAnsi="David"/>
          <w:b/>
          <w:bCs/>
          <w:u w:val="single"/>
          <w:rtl/>
        </w:rPr>
      </w:pPr>
    </w:p>
    <w:p w14:paraId="6A3D4DE2" w14:textId="77777777" w:rsidR="003E3156" w:rsidRDefault="003E3156" w:rsidP="003E3156">
      <w:pPr>
        <w:spacing w:line="360" w:lineRule="auto"/>
        <w:ind w:left="720" w:hanging="720"/>
        <w:jc w:val="both"/>
        <w:rPr>
          <w:rFonts w:ascii="David" w:hAnsi="David"/>
          <w:b/>
          <w:bCs/>
          <w:u w:val="single"/>
          <w:rtl/>
        </w:rPr>
      </w:pPr>
      <w:r>
        <w:rPr>
          <w:rFonts w:ascii="David" w:hAnsi="David"/>
          <w:rtl/>
        </w:rPr>
        <w:tab/>
      </w:r>
      <w:r>
        <w:rPr>
          <w:rFonts w:ascii="David" w:hAnsi="David"/>
          <w:b/>
          <w:bCs/>
          <w:u w:val="single"/>
          <w:rtl/>
        </w:rPr>
        <w:t xml:space="preserve">אשר על כן אני גוזר על הנאשם את העונשים הבאים: </w:t>
      </w:r>
    </w:p>
    <w:p w14:paraId="4CE1CFD0" w14:textId="77777777" w:rsidR="003E3156" w:rsidRDefault="003E3156" w:rsidP="003E3156">
      <w:pPr>
        <w:spacing w:line="360" w:lineRule="auto"/>
        <w:jc w:val="both"/>
        <w:rPr>
          <w:rFonts w:ascii="David" w:hAnsi="David"/>
          <w:b/>
          <w:bCs/>
          <w:u w:val="single"/>
          <w:rtl/>
        </w:rPr>
      </w:pPr>
    </w:p>
    <w:p w14:paraId="0DEE29F2" w14:textId="77777777" w:rsidR="003E3156" w:rsidRDefault="003E3156" w:rsidP="003E3156">
      <w:pPr>
        <w:pStyle w:val="a9"/>
        <w:spacing w:after="0" w:line="360" w:lineRule="auto"/>
        <w:ind w:left="1440" w:hanging="720"/>
        <w:jc w:val="both"/>
        <w:rPr>
          <w:rFonts w:ascii="David" w:hAnsi="David" w:cs="David"/>
          <w:sz w:val="24"/>
          <w:szCs w:val="24"/>
          <w:rtl/>
        </w:rPr>
      </w:pPr>
      <w:r>
        <w:rPr>
          <w:rFonts w:ascii="David" w:hAnsi="David" w:cs="David"/>
          <w:sz w:val="24"/>
          <w:szCs w:val="24"/>
          <w:rtl/>
        </w:rPr>
        <w:t>(א)</w:t>
      </w:r>
      <w:r>
        <w:rPr>
          <w:rFonts w:ascii="David" w:hAnsi="David" w:cs="David"/>
          <w:sz w:val="24"/>
          <w:szCs w:val="24"/>
          <w:rtl/>
        </w:rPr>
        <w:tab/>
        <w:t>16 חודשי מאסר בפועל שימנו מיום מעצרו 1.5.24.</w:t>
      </w:r>
    </w:p>
    <w:p w14:paraId="04CBD20E" w14:textId="77777777" w:rsidR="003E3156" w:rsidRDefault="003E3156" w:rsidP="003E3156">
      <w:pPr>
        <w:pStyle w:val="a9"/>
        <w:spacing w:after="0" w:line="360" w:lineRule="auto"/>
        <w:ind w:left="0"/>
        <w:jc w:val="both"/>
        <w:rPr>
          <w:rFonts w:ascii="David" w:hAnsi="David" w:cs="David"/>
          <w:sz w:val="24"/>
          <w:szCs w:val="24"/>
        </w:rPr>
      </w:pPr>
    </w:p>
    <w:p w14:paraId="1A460BD9" w14:textId="77777777" w:rsidR="003E3156" w:rsidRDefault="003E3156" w:rsidP="003E3156">
      <w:pPr>
        <w:pStyle w:val="a9"/>
        <w:spacing w:after="0" w:line="360" w:lineRule="auto"/>
        <w:ind w:left="1440" w:hanging="720"/>
        <w:jc w:val="both"/>
        <w:rPr>
          <w:rFonts w:ascii="David" w:hAnsi="David" w:cs="David"/>
          <w:sz w:val="24"/>
          <w:szCs w:val="24"/>
        </w:rPr>
      </w:pPr>
      <w:r>
        <w:rPr>
          <w:rFonts w:ascii="David" w:hAnsi="David" w:cs="David"/>
          <w:sz w:val="24"/>
          <w:szCs w:val="24"/>
          <w:rtl/>
        </w:rPr>
        <w:t>(ב)</w:t>
      </w:r>
      <w:r>
        <w:rPr>
          <w:rFonts w:ascii="David" w:hAnsi="David" w:cs="David"/>
          <w:sz w:val="24"/>
          <w:szCs w:val="24"/>
          <w:rtl/>
        </w:rPr>
        <w:tab/>
        <w:t>10 חודשי מאסר על תנאי למשך 3 שנים מיום שחרורו והתנאי הוא שלא יעבור כל עבירת נשק מסוג פשע.</w:t>
      </w:r>
    </w:p>
    <w:p w14:paraId="0C41567B" w14:textId="77777777" w:rsidR="003E3156" w:rsidRDefault="003E3156" w:rsidP="003E3156">
      <w:pPr>
        <w:pStyle w:val="a9"/>
        <w:spacing w:after="0" w:line="360" w:lineRule="auto"/>
        <w:ind w:left="0"/>
        <w:jc w:val="both"/>
        <w:rPr>
          <w:rFonts w:ascii="David" w:hAnsi="David" w:cs="David"/>
          <w:sz w:val="24"/>
          <w:szCs w:val="24"/>
        </w:rPr>
      </w:pPr>
    </w:p>
    <w:p w14:paraId="419F6D92" w14:textId="77777777" w:rsidR="003E3156" w:rsidRDefault="003E3156" w:rsidP="003E3156">
      <w:pPr>
        <w:pStyle w:val="a9"/>
        <w:spacing w:after="0" w:line="360" w:lineRule="auto"/>
        <w:ind w:left="1440" w:hanging="720"/>
        <w:jc w:val="both"/>
        <w:rPr>
          <w:rFonts w:ascii="David" w:hAnsi="David" w:cs="David"/>
          <w:sz w:val="24"/>
          <w:szCs w:val="24"/>
        </w:rPr>
      </w:pPr>
      <w:r>
        <w:rPr>
          <w:rFonts w:ascii="David" w:hAnsi="David" w:cs="David"/>
          <w:sz w:val="24"/>
          <w:szCs w:val="24"/>
          <w:rtl/>
        </w:rPr>
        <w:t>(ג)</w:t>
      </w:r>
      <w:r>
        <w:rPr>
          <w:rFonts w:ascii="David" w:hAnsi="David" w:cs="David"/>
          <w:sz w:val="24"/>
          <w:szCs w:val="24"/>
          <w:rtl/>
        </w:rPr>
        <w:tab/>
        <w:t xml:space="preserve">7 חודשי מאסר על תנאי למשך 3 שנים מיום שחרורו, שלא יעבור כל עבירת נשק מסוג עוון. </w:t>
      </w:r>
    </w:p>
    <w:p w14:paraId="1C3B5F6B" w14:textId="77777777" w:rsidR="003E3156" w:rsidRDefault="003E3156" w:rsidP="003E3156">
      <w:pPr>
        <w:pStyle w:val="a9"/>
        <w:spacing w:after="0" w:line="360" w:lineRule="auto"/>
        <w:ind w:left="0"/>
        <w:jc w:val="both"/>
        <w:rPr>
          <w:rFonts w:ascii="David" w:hAnsi="David" w:cs="David"/>
          <w:sz w:val="24"/>
          <w:szCs w:val="24"/>
        </w:rPr>
      </w:pPr>
    </w:p>
    <w:p w14:paraId="2CC85C7F" w14:textId="77777777" w:rsidR="003E3156" w:rsidRDefault="0006437F" w:rsidP="003E3156">
      <w:pPr>
        <w:pStyle w:val="a9"/>
        <w:spacing w:after="0" w:line="360" w:lineRule="auto"/>
        <w:ind w:left="1440" w:hanging="720"/>
        <w:jc w:val="both"/>
        <w:rPr>
          <w:rFonts w:ascii="David" w:hAnsi="David" w:cs="David"/>
          <w:sz w:val="24"/>
          <w:szCs w:val="24"/>
        </w:rPr>
      </w:pPr>
      <w:r w:rsidRPr="0006437F">
        <w:rPr>
          <w:rFonts w:ascii="David" w:hAnsi="David" w:cs="David"/>
          <w:color w:val="FFFFFF"/>
          <w:sz w:val="2"/>
          <w:szCs w:val="2"/>
          <w:rtl/>
        </w:rPr>
        <w:t>5129371</w:t>
      </w:r>
      <w:r w:rsidR="003E3156">
        <w:rPr>
          <w:rFonts w:ascii="David" w:hAnsi="David" w:cs="David"/>
          <w:sz w:val="24"/>
          <w:szCs w:val="24"/>
          <w:rtl/>
        </w:rPr>
        <w:t>(ד)</w:t>
      </w:r>
      <w:r w:rsidR="003E3156">
        <w:rPr>
          <w:rFonts w:ascii="David" w:hAnsi="David" w:cs="David"/>
          <w:sz w:val="24"/>
          <w:szCs w:val="24"/>
          <w:rtl/>
        </w:rPr>
        <w:tab/>
        <w:t xml:space="preserve">קנס בסך 5,000 ₪ או 30 ימי מאסר תמורתו, אשר ישולם בתוך 30 ימים. </w:t>
      </w:r>
    </w:p>
    <w:p w14:paraId="1D9138B3" w14:textId="77777777" w:rsidR="003E3156" w:rsidRPr="0006437F" w:rsidRDefault="0006437F" w:rsidP="003E3156">
      <w:pPr>
        <w:pStyle w:val="a9"/>
        <w:spacing w:after="0" w:line="360" w:lineRule="auto"/>
        <w:ind w:left="0"/>
        <w:jc w:val="both"/>
        <w:rPr>
          <w:rFonts w:ascii="David" w:hAnsi="David" w:cs="David"/>
          <w:color w:val="FFFFFF"/>
          <w:sz w:val="2"/>
          <w:szCs w:val="2"/>
        </w:rPr>
      </w:pPr>
      <w:r w:rsidRPr="0006437F">
        <w:rPr>
          <w:rFonts w:ascii="David" w:hAnsi="David" w:cs="David"/>
          <w:color w:val="FFFFFF"/>
          <w:sz w:val="2"/>
          <w:szCs w:val="2"/>
          <w:rtl/>
        </w:rPr>
        <w:t>54678313</w:t>
      </w:r>
    </w:p>
    <w:p w14:paraId="6738E638" w14:textId="77777777" w:rsidR="003E3156" w:rsidRPr="000F2247" w:rsidRDefault="003E3156" w:rsidP="003E3156">
      <w:pPr>
        <w:rPr>
          <w:rFonts w:ascii="Arial" w:hAnsi="Arial"/>
          <w:b/>
          <w:bCs/>
          <w:sz w:val="26"/>
          <w:szCs w:val="26"/>
          <w:rtl/>
        </w:rPr>
      </w:pPr>
    </w:p>
    <w:p w14:paraId="0CE4DF38" w14:textId="77777777" w:rsidR="003E3156" w:rsidRPr="000F2247" w:rsidRDefault="0006437F" w:rsidP="003E3156">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ו' אדר תשפ"ה, 06 מרץ 2025, בהעדר הצדדים. </w:t>
      </w:r>
      <w:bookmarkEnd w:id="8"/>
      <w:r w:rsidR="003E3156">
        <w:rPr>
          <w:rFonts w:ascii="Arial" w:hAnsi="Arial"/>
          <w:b/>
          <w:bCs/>
          <w:sz w:val="26"/>
          <w:szCs w:val="26"/>
          <w:rtl/>
        </w:rPr>
        <w:tab/>
      </w:r>
      <w:r w:rsidR="003E3156">
        <w:rPr>
          <w:rFonts w:ascii="Arial" w:hAnsi="Arial"/>
          <w:b/>
          <w:bCs/>
          <w:sz w:val="26"/>
          <w:szCs w:val="26"/>
          <w:rtl/>
        </w:rPr>
        <w:tab/>
      </w:r>
      <w:r w:rsidR="003E3156">
        <w:rPr>
          <w:rFonts w:ascii="Arial" w:hAnsi="Arial"/>
          <w:b/>
          <w:bCs/>
          <w:sz w:val="26"/>
          <w:szCs w:val="26"/>
          <w:rtl/>
        </w:rPr>
        <w:tab/>
      </w:r>
      <w:r w:rsidR="003E3156">
        <w:rPr>
          <w:rFonts w:ascii="Arial" w:hAnsi="Arial"/>
          <w:b/>
          <w:bCs/>
          <w:sz w:val="26"/>
          <w:szCs w:val="26"/>
          <w:rtl/>
        </w:rPr>
        <w:tab/>
      </w:r>
      <w:r w:rsidR="003E3156">
        <w:rPr>
          <w:rFonts w:ascii="Arial" w:hAnsi="Arial"/>
          <w:b/>
          <w:bCs/>
          <w:sz w:val="26"/>
          <w:szCs w:val="26"/>
          <w:rtl/>
        </w:rPr>
        <w:tab/>
      </w:r>
      <w:r w:rsidR="003E3156">
        <w:rPr>
          <w:rFonts w:ascii="Arial" w:hAnsi="Arial"/>
          <w:b/>
          <w:bCs/>
          <w:sz w:val="26"/>
          <w:szCs w:val="26"/>
          <w:rtl/>
        </w:rPr>
        <w:tab/>
      </w:r>
      <w:r w:rsidR="003E3156">
        <w:rPr>
          <w:rFonts w:ascii="Arial" w:hAnsi="Arial"/>
          <w:b/>
          <w:bCs/>
          <w:sz w:val="26"/>
          <w:szCs w:val="26"/>
          <w:rtl/>
        </w:rPr>
        <w:tab/>
      </w:r>
      <w:r w:rsidR="003E3156">
        <w:rPr>
          <w:rFonts w:ascii="Arial" w:hAnsi="Arial" w:hint="cs"/>
          <w:b/>
          <w:bCs/>
          <w:sz w:val="26"/>
          <w:szCs w:val="26"/>
          <w:rtl/>
        </w:rPr>
        <w:t xml:space="preserve">         </w:t>
      </w:r>
    </w:p>
    <w:p w14:paraId="435417E6" w14:textId="77777777" w:rsidR="0006437F" w:rsidRDefault="0006437F" w:rsidP="0006437F">
      <w:pPr>
        <w:rPr>
          <w:rtl/>
        </w:rPr>
      </w:pPr>
    </w:p>
    <w:p w14:paraId="0C25A102" w14:textId="77777777" w:rsidR="0006437F" w:rsidRDefault="0006437F" w:rsidP="0006437F">
      <w:pPr>
        <w:jc w:val="center"/>
        <w:rPr>
          <w:color w:val="0000FF"/>
          <w:u w:val="single"/>
        </w:rPr>
      </w:pPr>
      <w:hyperlink r:id="rId65" w:history="1">
        <w:r>
          <w:rPr>
            <w:color w:val="0000FF"/>
            <w:u w:val="single"/>
            <w:rtl/>
          </w:rPr>
          <w:t>בעניין עריכה ושינויים במסמכי פסיקה, חקיקה ועוד באתר נבו – הקש כאן</w:t>
        </w:r>
      </w:hyperlink>
    </w:p>
    <w:p w14:paraId="1A9E8406" w14:textId="77777777" w:rsidR="00DC5A8A" w:rsidRPr="00DC5A8A" w:rsidRDefault="00DC5A8A" w:rsidP="00DC5A8A">
      <w:pPr>
        <w:keepNext/>
        <w:rPr>
          <w:rFonts w:ascii="David" w:hAnsi="David"/>
          <w:color w:val="000000"/>
          <w:sz w:val="22"/>
          <w:szCs w:val="22"/>
          <w:rtl/>
        </w:rPr>
      </w:pPr>
    </w:p>
    <w:p w14:paraId="4E3B99CB" w14:textId="77777777" w:rsidR="00DC5A8A" w:rsidRPr="00DC5A8A" w:rsidRDefault="00DC5A8A" w:rsidP="00DC5A8A">
      <w:pPr>
        <w:keepNext/>
        <w:rPr>
          <w:rFonts w:ascii="David" w:hAnsi="David"/>
          <w:color w:val="000000"/>
          <w:sz w:val="22"/>
          <w:szCs w:val="22"/>
          <w:rtl/>
        </w:rPr>
      </w:pPr>
      <w:r w:rsidRPr="00DC5A8A">
        <w:rPr>
          <w:rFonts w:ascii="David" w:hAnsi="David"/>
          <w:color w:val="000000"/>
          <w:sz w:val="22"/>
          <w:szCs w:val="22"/>
          <w:rtl/>
        </w:rPr>
        <w:t>שלמה בנג'ו 54678313</w:t>
      </w:r>
    </w:p>
    <w:p w14:paraId="5F87E2C0" w14:textId="77777777" w:rsidR="0006437F" w:rsidRPr="0006437F" w:rsidRDefault="00DC5A8A" w:rsidP="00DC5A8A">
      <w:pPr>
        <w:rPr>
          <w:color w:val="0000FF"/>
          <w:u w:val="single"/>
        </w:rPr>
      </w:pPr>
      <w:r w:rsidRPr="00DC5A8A">
        <w:rPr>
          <w:color w:val="000000"/>
          <w:u w:val="single"/>
          <w:rtl/>
        </w:rPr>
        <w:t>נוסח מסמך זה כפוף לשינויי ניסוח ועריכה</w:t>
      </w:r>
    </w:p>
    <w:sectPr w:rsidR="0006437F" w:rsidRPr="0006437F" w:rsidSect="00DC5A8A">
      <w:headerReference w:type="even" r:id="rId66"/>
      <w:headerReference w:type="default" r:id="rId67"/>
      <w:footerReference w:type="even" r:id="rId68"/>
      <w:footerReference w:type="default" r:id="rId6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1371E0" w14:textId="77777777" w:rsidR="009A6512" w:rsidRDefault="009A6512" w:rsidP="00E62C2A">
      <w:r>
        <w:separator/>
      </w:r>
    </w:p>
  </w:endnote>
  <w:endnote w:type="continuationSeparator" w:id="0">
    <w:p w14:paraId="4202CAF1" w14:textId="77777777" w:rsidR="009A6512" w:rsidRDefault="009A6512" w:rsidP="00E62C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4E62DB" w14:textId="77777777" w:rsidR="00DC5A8A" w:rsidRDefault="00DC5A8A" w:rsidP="00DC5A8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31333511" w14:textId="77777777" w:rsidR="005C61FF" w:rsidRPr="00DC5A8A" w:rsidRDefault="00DC5A8A" w:rsidP="00DC5A8A">
    <w:pPr>
      <w:pStyle w:val="a5"/>
      <w:pBdr>
        <w:top w:val="single" w:sz="4" w:space="1" w:color="auto"/>
        <w:between w:val="single" w:sz="4" w:space="0" w:color="auto"/>
      </w:pBdr>
      <w:spacing w:after="60"/>
      <w:jc w:val="center"/>
      <w:rPr>
        <w:rFonts w:ascii="FrankRuehl" w:hAnsi="FrankRuehl" w:cs="FrankRuehl"/>
        <w:color w:val="000000"/>
      </w:rPr>
    </w:pPr>
    <w:r w:rsidRPr="00DC5A8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62BCC" w14:textId="77777777" w:rsidR="00DC5A8A" w:rsidRDefault="00DC5A8A" w:rsidP="00DC5A8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A6D8A">
      <w:rPr>
        <w:rFonts w:ascii="FrankRuehl" w:hAnsi="FrankRuehl" w:cs="FrankRuehl"/>
        <w:noProof/>
        <w:rtl/>
      </w:rPr>
      <w:t>1</w:t>
    </w:r>
    <w:r>
      <w:rPr>
        <w:rFonts w:ascii="FrankRuehl" w:hAnsi="FrankRuehl" w:cs="FrankRuehl"/>
        <w:rtl/>
      </w:rPr>
      <w:fldChar w:fldCharType="end"/>
    </w:r>
  </w:p>
  <w:p w14:paraId="067AFA65" w14:textId="77777777" w:rsidR="005C61FF" w:rsidRPr="00DC5A8A" w:rsidRDefault="00DC5A8A" w:rsidP="00DC5A8A">
    <w:pPr>
      <w:pStyle w:val="a5"/>
      <w:pBdr>
        <w:top w:val="single" w:sz="4" w:space="1" w:color="auto"/>
        <w:between w:val="single" w:sz="4" w:space="0" w:color="auto"/>
      </w:pBdr>
      <w:spacing w:after="60"/>
      <w:jc w:val="center"/>
      <w:rPr>
        <w:rFonts w:ascii="FrankRuehl" w:hAnsi="FrankRuehl" w:cs="FrankRuehl"/>
        <w:color w:val="000000"/>
      </w:rPr>
    </w:pPr>
    <w:r w:rsidRPr="00DC5A8A">
      <w:rPr>
        <w:rFonts w:ascii="FrankRuehl" w:hAnsi="FrankRuehl" w:cs="FrankRuehl"/>
        <w:color w:val="000000"/>
      </w:rPr>
      <w:pict w14:anchorId="288A0D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C500BB" w14:textId="77777777" w:rsidR="009A6512" w:rsidRDefault="009A6512" w:rsidP="00E62C2A">
      <w:r>
        <w:separator/>
      </w:r>
    </w:p>
  </w:footnote>
  <w:footnote w:type="continuationSeparator" w:id="0">
    <w:p w14:paraId="4771901F" w14:textId="77777777" w:rsidR="009A6512" w:rsidRDefault="009A6512" w:rsidP="00E62C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119B0" w14:textId="77777777" w:rsidR="0006437F" w:rsidRPr="00DC5A8A" w:rsidRDefault="00DC5A8A" w:rsidP="00DC5A8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45098-05-24</w:t>
    </w:r>
    <w:r>
      <w:rPr>
        <w:rFonts w:ascii="David" w:hAnsi="David"/>
        <w:color w:val="000000"/>
        <w:sz w:val="22"/>
        <w:szCs w:val="22"/>
        <w:rtl/>
      </w:rPr>
      <w:tab/>
      <w:t xml:space="preserve"> מדינת ישראל נ' עומר מחמוד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D7B789" w14:textId="77777777" w:rsidR="0006437F" w:rsidRPr="00DC5A8A" w:rsidRDefault="00DC5A8A" w:rsidP="00DC5A8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45098-05-24</w:t>
    </w:r>
    <w:r>
      <w:rPr>
        <w:rFonts w:ascii="David" w:hAnsi="David"/>
        <w:color w:val="000000"/>
        <w:sz w:val="22"/>
        <w:szCs w:val="22"/>
        <w:rtl/>
      </w:rPr>
      <w:tab/>
      <w:t xml:space="preserve"> מדינת ישראל נ' עומר מחמוד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836F76"/>
    <w:multiLevelType w:val="hybridMultilevel"/>
    <w:tmpl w:val="4A702990"/>
    <w:lvl w:ilvl="0" w:tplc="04090001">
      <w:start w:val="1"/>
      <w:numFmt w:val="bullet"/>
      <w:lvlText w:val=""/>
      <w:lvlJc w:val="left"/>
      <w:pPr>
        <w:ind w:left="1080" w:hanging="360"/>
      </w:pPr>
      <w:rPr>
        <w:rFonts w:ascii="Symbol" w:hAnsi="Symbol" w:hint="default"/>
        <w:b w:val="0"/>
        <w:bCs w:val="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597641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E3156"/>
    <w:rsid w:val="0006437F"/>
    <w:rsid w:val="003E3156"/>
    <w:rsid w:val="005C61FF"/>
    <w:rsid w:val="00694FFF"/>
    <w:rsid w:val="009A4E4C"/>
    <w:rsid w:val="009A6512"/>
    <w:rsid w:val="00DC5A8A"/>
    <w:rsid w:val="00E01BAA"/>
    <w:rsid w:val="00E62C2A"/>
    <w:rsid w:val="00FA6D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D34A984"/>
  <w15:chartTrackingRefBased/>
  <w15:docId w15:val="{8BC1380C-B06B-4C19-9345-9B3165918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E315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E3156"/>
    <w:pPr>
      <w:tabs>
        <w:tab w:val="center" w:pos="4153"/>
        <w:tab w:val="right" w:pos="8306"/>
      </w:tabs>
    </w:pPr>
  </w:style>
  <w:style w:type="character" w:customStyle="1" w:styleId="a4">
    <w:name w:val="כותרת עליונה תו"/>
    <w:link w:val="a3"/>
    <w:rsid w:val="003E3156"/>
    <w:rPr>
      <w:rFonts w:ascii="Times New Roman" w:eastAsia="Times New Roman" w:hAnsi="Times New Roman" w:cs="David"/>
      <w:sz w:val="24"/>
      <w:szCs w:val="24"/>
    </w:rPr>
  </w:style>
  <w:style w:type="paragraph" w:styleId="a5">
    <w:name w:val="footer"/>
    <w:basedOn w:val="a"/>
    <w:link w:val="a6"/>
    <w:rsid w:val="003E3156"/>
    <w:pPr>
      <w:tabs>
        <w:tab w:val="center" w:pos="4153"/>
        <w:tab w:val="right" w:pos="8306"/>
      </w:tabs>
    </w:pPr>
  </w:style>
  <w:style w:type="character" w:customStyle="1" w:styleId="a6">
    <w:name w:val="כותרת תחתונה תו"/>
    <w:link w:val="a5"/>
    <w:rsid w:val="003E3156"/>
    <w:rPr>
      <w:rFonts w:ascii="Times New Roman" w:eastAsia="Times New Roman" w:hAnsi="Times New Roman" w:cs="David"/>
      <w:sz w:val="24"/>
      <w:szCs w:val="24"/>
    </w:rPr>
  </w:style>
  <w:style w:type="table" w:styleId="a7">
    <w:name w:val="Table Grid"/>
    <w:basedOn w:val="a1"/>
    <w:rsid w:val="003E315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E3156"/>
  </w:style>
  <w:style w:type="paragraph" w:styleId="a9">
    <w:name w:val="List Paragraph"/>
    <w:basedOn w:val="a"/>
    <w:qFormat/>
    <w:rsid w:val="003E3156"/>
    <w:pPr>
      <w:spacing w:after="160" w:line="256" w:lineRule="auto"/>
      <w:ind w:left="720"/>
      <w:contextualSpacing/>
    </w:pPr>
    <w:rPr>
      <w:rFonts w:ascii="Calibri" w:eastAsia="Calibri" w:hAnsi="Calibri" w:cs="Arial"/>
      <w:sz w:val="22"/>
      <w:szCs w:val="22"/>
    </w:rPr>
  </w:style>
  <w:style w:type="character" w:styleId="Hyperlink">
    <w:name w:val="Hyperlink"/>
    <w:rsid w:val="0006437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10485615" TargetMode="External"/><Relationship Id="rId21" Type="http://schemas.openxmlformats.org/officeDocument/2006/relationships/hyperlink" Target="http://www.nevo.co.il/law/70301" TargetMode="External"/><Relationship Id="rId42" Type="http://schemas.openxmlformats.org/officeDocument/2006/relationships/hyperlink" Target="http://www.nevo.co.il/case/27035484" TargetMode="External"/><Relationship Id="rId47" Type="http://schemas.openxmlformats.org/officeDocument/2006/relationships/hyperlink" Target="http://www.nevo.co.il/law/70301/29" TargetMode="External"/><Relationship Id="rId63" Type="http://schemas.openxmlformats.org/officeDocument/2006/relationships/hyperlink" Target="http://www.nevo.co.il/law/70301" TargetMode="External"/><Relationship Id="rId68" Type="http://schemas.openxmlformats.org/officeDocument/2006/relationships/footer" Target="footer1.xml"/><Relationship Id="rId7" Type="http://schemas.openxmlformats.org/officeDocument/2006/relationships/hyperlink" Target="http://www.nevo.co.il/law/70301"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70301/144.c" TargetMode="External"/><Relationship Id="rId29" Type="http://schemas.openxmlformats.org/officeDocument/2006/relationships/hyperlink" Target="http://www.nevo.co.il/law/70301/144.a" TargetMode="External"/><Relationship Id="rId11" Type="http://schemas.openxmlformats.org/officeDocument/2006/relationships/hyperlink" Target="http://www.nevo.co.il/law/70301/144.c" TargetMode="External"/><Relationship Id="rId24" Type="http://schemas.openxmlformats.org/officeDocument/2006/relationships/hyperlink" Target="http://www.nevo.co.il/case/29181047"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144.a" TargetMode="External"/><Relationship Id="rId40" Type="http://schemas.openxmlformats.org/officeDocument/2006/relationships/hyperlink" Target="http://www.nevo.co.il/law/70301/144.a" TargetMode="External"/><Relationship Id="rId45" Type="http://schemas.openxmlformats.org/officeDocument/2006/relationships/hyperlink" Target="http://www.nevo.co.il/law/70301/29" TargetMode="External"/><Relationship Id="rId53" Type="http://schemas.openxmlformats.org/officeDocument/2006/relationships/hyperlink" Target="http://www.nevo.co.il/case/27627169" TargetMode="External"/><Relationship Id="rId58" Type="http://schemas.openxmlformats.org/officeDocument/2006/relationships/hyperlink" Target="http://www.nevo.co.il/case/6473037" TargetMode="External"/><Relationship Id="rId66"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hyperlink" Target="http://www.nevo.co.il/case/28513828" TargetMode="External"/><Relationship Id="rId19" Type="http://schemas.openxmlformats.org/officeDocument/2006/relationships/hyperlink" Target="http://www.nevo.co.il/law/70301" TargetMode="External"/><Relationship Id="rId14" Type="http://schemas.openxmlformats.org/officeDocument/2006/relationships/hyperlink" Target="http://www.nevo.co.il/law/70301/338.a.5" TargetMode="External"/><Relationship Id="rId22" Type="http://schemas.openxmlformats.org/officeDocument/2006/relationships/hyperlink" Target="http://www.nevo.co.il/case/28697227" TargetMode="External"/><Relationship Id="rId27" Type="http://schemas.openxmlformats.org/officeDocument/2006/relationships/hyperlink" Target="http://www.nevo.co.il/case/6473037" TargetMode="External"/><Relationship Id="rId30" Type="http://schemas.openxmlformats.org/officeDocument/2006/relationships/hyperlink" Target="http://www.nevo.co.il/law/70301/144.b" TargetMode="External"/><Relationship Id="rId35" Type="http://schemas.openxmlformats.org/officeDocument/2006/relationships/hyperlink" Target="http://www.nevo.co.il/law/70301" TargetMode="External"/><Relationship Id="rId43" Type="http://schemas.openxmlformats.org/officeDocument/2006/relationships/hyperlink" Target="http://www.nevo.co.il/law/70301/144.b" TargetMode="External"/><Relationship Id="rId48" Type="http://schemas.openxmlformats.org/officeDocument/2006/relationships/hyperlink" Target="http://www.nevo.co.il/law/70301" TargetMode="External"/><Relationship Id="rId56" Type="http://schemas.openxmlformats.org/officeDocument/2006/relationships/hyperlink" Target="http://www.nevo.co.il/case/17921677" TargetMode="External"/><Relationship Id="rId64" Type="http://schemas.openxmlformats.org/officeDocument/2006/relationships/hyperlink" Target="http://www.nevo.co.il/law/70301/144.g" TargetMode="External"/><Relationship Id="rId69" Type="http://schemas.openxmlformats.org/officeDocument/2006/relationships/footer" Target="footer2.xml"/><Relationship Id="rId8" Type="http://schemas.openxmlformats.org/officeDocument/2006/relationships/hyperlink" Target="http://www.nevo.co.il/law/70301/29" TargetMode="External"/><Relationship Id="rId51" Type="http://schemas.openxmlformats.org/officeDocument/2006/relationships/hyperlink" Target="http://www.nevo.co.il/case/29445473" TargetMode="External"/><Relationship Id="rId3" Type="http://schemas.openxmlformats.org/officeDocument/2006/relationships/settings" Target="settings.xml"/><Relationship Id="rId12" Type="http://schemas.openxmlformats.org/officeDocument/2006/relationships/hyperlink" Target="http://www.nevo.co.il/law/70301/144.c.3"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8895818" TargetMode="External"/><Relationship Id="rId33" Type="http://schemas.openxmlformats.org/officeDocument/2006/relationships/hyperlink" Target="http://www.nevo.co.il/case/24152593" TargetMode="External"/><Relationship Id="rId38" Type="http://schemas.openxmlformats.org/officeDocument/2006/relationships/hyperlink" Target="http://www.nevo.co.il/law/70301" TargetMode="External"/><Relationship Id="rId46" Type="http://schemas.openxmlformats.org/officeDocument/2006/relationships/hyperlink" Target="http://www.nevo.co.il/law/70301/338.a.5" TargetMode="External"/><Relationship Id="rId59" Type="http://schemas.openxmlformats.org/officeDocument/2006/relationships/hyperlink" Target="http://www.nevo.co.il/case/23009435" TargetMode="External"/><Relationship Id="rId67" Type="http://schemas.openxmlformats.org/officeDocument/2006/relationships/header" Target="header2.xml"/><Relationship Id="rId20" Type="http://schemas.openxmlformats.org/officeDocument/2006/relationships/hyperlink" Target="http://www.nevo.co.il/case/28152132" TargetMode="External"/><Relationship Id="rId41" Type="http://schemas.openxmlformats.org/officeDocument/2006/relationships/hyperlink" Target="http://www.nevo.co.il/law/70301" TargetMode="External"/><Relationship Id="rId54" Type="http://schemas.openxmlformats.org/officeDocument/2006/relationships/hyperlink" Target="http://www.nevo.co.il/law/70301/144.c.3" TargetMode="External"/><Relationship Id="rId62" Type="http://schemas.openxmlformats.org/officeDocument/2006/relationships/hyperlink" Target="http://www.nevo.co.il/case/28883087"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a" TargetMode="External"/><Relationship Id="rId23" Type="http://schemas.openxmlformats.org/officeDocument/2006/relationships/hyperlink" Target="http://www.nevo.co.il/case/27915710" TargetMode="External"/><Relationship Id="rId28" Type="http://schemas.openxmlformats.org/officeDocument/2006/relationships/hyperlink" Target="http://www.nevo.co.il/case/27171364" TargetMode="External"/><Relationship Id="rId36" Type="http://schemas.openxmlformats.org/officeDocument/2006/relationships/hyperlink" Target="http://www.nevo.co.il/case/28216148" TargetMode="External"/><Relationship Id="rId49" Type="http://schemas.openxmlformats.org/officeDocument/2006/relationships/hyperlink" Target="http://www.nevo.co.il/case/5678001" TargetMode="External"/><Relationship Id="rId57" Type="http://schemas.openxmlformats.org/officeDocument/2006/relationships/hyperlink" Target="http://www.nevo.co.il/case/5865581" TargetMode="External"/><Relationship Id="rId10" Type="http://schemas.openxmlformats.org/officeDocument/2006/relationships/hyperlink" Target="http://www.nevo.co.il/law/70301/144.b" TargetMode="External"/><Relationship Id="rId31" Type="http://schemas.openxmlformats.org/officeDocument/2006/relationships/hyperlink" Target="http://www.nevo.co.il/law/70301/29" TargetMode="External"/><Relationship Id="rId44" Type="http://schemas.openxmlformats.org/officeDocument/2006/relationships/hyperlink" Target="http://www.nevo.co.il/law/70301" TargetMode="External"/><Relationship Id="rId52" Type="http://schemas.openxmlformats.org/officeDocument/2006/relationships/hyperlink" Target="http://www.nevo.co.il/case/23009435" TargetMode="External"/><Relationship Id="rId60" Type="http://schemas.openxmlformats.org/officeDocument/2006/relationships/hyperlink" Target="http://www.nevo.co.il/case/27627169" TargetMode="External"/><Relationship Id="rId65"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3" Type="http://schemas.openxmlformats.org/officeDocument/2006/relationships/hyperlink" Target="http://www.nevo.co.il/law/70301/144.g" TargetMode="External"/><Relationship Id="rId18" Type="http://schemas.openxmlformats.org/officeDocument/2006/relationships/hyperlink" Target="http://www.nevo.co.il/case/23009435" TargetMode="External"/><Relationship Id="rId39" Type="http://schemas.openxmlformats.org/officeDocument/2006/relationships/hyperlink" Target="http://www.nevo.co.il/case/22531980" TargetMode="External"/><Relationship Id="rId34" Type="http://schemas.openxmlformats.org/officeDocument/2006/relationships/hyperlink" Target="http://www.nevo.co.il/law/70301/144.b" TargetMode="External"/><Relationship Id="rId50" Type="http://schemas.openxmlformats.org/officeDocument/2006/relationships/hyperlink" Target="http://www.nevo.co.il/case/5153529" TargetMode="External"/><Relationship Id="rId55"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3183</Words>
  <Characters>15920</Characters>
  <Application>Microsoft Office Word</Application>
  <DocSecurity>0</DocSecurity>
  <Lines>132</Lines>
  <Paragraphs>38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19065</CharactersWithSpaces>
  <SharedDoc>false</SharedDoc>
  <HLinks>
    <vt:vector size="354" baseType="variant">
      <vt:variant>
        <vt:i4>393283</vt:i4>
      </vt:variant>
      <vt:variant>
        <vt:i4>174</vt:i4>
      </vt:variant>
      <vt:variant>
        <vt:i4>0</vt:i4>
      </vt:variant>
      <vt:variant>
        <vt:i4>5</vt:i4>
      </vt:variant>
      <vt:variant>
        <vt:lpwstr>http://www.nevo.co.il/advertisements/nevo-100.doc</vt:lpwstr>
      </vt:variant>
      <vt:variant>
        <vt:lpwstr/>
      </vt:variant>
      <vt:variant>
        <vt:i4>5177424</vt:i4>
      </vt:variant>
      <vt:variant>
        <vt:i4>171</vt:i4>
      </vt:variant>
      <vt:variant>
        <vt:i4>0</vt:i4>
      </vt:variant>
      <vt:variant>
        <vt:i4>5</vt:i4>
      </vt:variant>
      <vt:variant>
        <vt:lpwstr>http://www.nevo.co.il/law/70301/144.g</vt:lpwstr>
      </vt:variant>
      <vt:variant>
        <vt:lpwstr/>
      </vt:variant>
      <vt:variant>
        <vt:i4>7995492</vt:i4>
      </vt:variant>
      <vt:variant>
        <vt:i4>168</vt:i4>
      </vt:variant>
      <vt:variant>
        <vt:i4>0</vt:i4>
      </vt:variant>
      <vt:variant>
        <vt:i4>5</vt:i4>
      </vt:variant>
      <vt:variant>
        <vt:lpwstr>http://www.nevo.co.il/law/70301</vt:lpwstr>
      </vt:variant>
      <vt:variant>
        <vt:lpwstr/>
      </vt:variant>
      <vt:variant>
        <vt:i4>3211380</vt:i4>
      </vt:variant>
      <vt:variant>
        <vt:i4>165</vt:i4>
      </vt:variant>
      <vt:variant>
        <vt:i4>0</vt:i4>
      </vt:variant>
      <vt:variant>
        <vt:i4>5</vt:i4>
      </vt:variant>
      <vt:variant>
        <vt:lpwstr>http://www.nevo.co.il/case/28883087</vt:lpwstr>
      </vt:variant>
      <vt:variant>
        <vt:lpwstr/>
      </vt:variant>
      <vt:variant>
        <vt:i4>3539061</vt:i4>
      </vt:variant>
      <vt:variant>
        <vt:i4>162</vt:i4>
      </vt:variant>
      <vt:variant>
        <vt:i4>0</vt:i4>
      </vt:variant>
      <vt:variant>
        <vt:i4>5</vt:i4>
      </vt:variant>
      <vt:variant>
        <vt:lpwstr>http://www.nevo.co.il/case/28513828</vt:lpwstr>
      </vt:variant>
      <vt:variant>
        <vt:lpwstr/>
      </vt:variant>
      <vt:variant>
        <vt:i4>3473520</vt:i4>
      </vt:variant>
      <vt:variant>
        <vt:i4>159</vt:i4>
      </vt:variant>
      <vt:variant>
        <vt:i4>0</vt:i4>
      </vt:variant>
      <vt:variant>
        <vt:i4>5</vt:i4>
      </vt:variant>
      <vt:variant>
        <vt:lpwstr>http://www.nevo.co.il/case/27627169</vt:lpwstr>
      </vt:variant>
      <vt:variant>
        <vt:lpwstr/>
      </vt:variant>
      <vt:variant>
        <vt:i4>3670131</vt:i4>
      </vt:variant>
      <vt:variant>
        <vt:i4>156</vt:i4>
      </vt:variant>
      <vt:variant>
        <vt:i4>0</vt:i4>
      </vt:variant>
      <vt:variant>
        <vt:i4>5</vt:i4>
      </vt:variant>
      <vt:variant>
        <vt:lpwstr>http://www.nevo.co.il/case/23009435</vt:lpwstr>
      </vt:variant>
      <vt:variant>
        <vt:lpwstr/>
      </vt:variant>
      <vt:variant>
        <vt:i4>3539056</vt:i4>
      </vt:variant>
      <vt:variant>
        <vt:i4>153</vt:i4>
      </vt:variant>
      <vt:variant>
        <vt:i4>0</vt:i4>
      </vt:variant>
      <vt:variant>
        <vt:i4>5</vt:i4>
      </vt:variant>
      <vt:variant>
        <vt:lpwstr>http://www.nevo.co.il/case/6473037</vt:lpwstr>
      </vt:variant>
      <vt:variant>
        <vt:lpwstr/>
      </vt:variant>
      <vt:variant>
        <vt:i4>3604593</vt:i4>
      </vt:variant>
      <vt:variant>
        <vt:i4>150</vt:i4>
      </vt:variant>
      <vt:variant>
        <vt:i4>0</vt:i4>
      </vt:variant>
      <vt:variant>
        <vt:i4>5</vt:i4>
      </vt:variant>
      <vt:variant>
        <vt:lpwstr>http://www.nevo.co.il/case/5865581</vt:lpwstr>
      </vt:variant>
      <vt:variant>
        <vt:lpwstr/>
      </vt:variant>
      <vt:variant>
        <vt:i4>4063351</vt:i4>
      </vt:variant>
      <vt:variant>
        <vt:i4>147</vt:i4>
      </vt:variant>
      <vt:variant>
        <vt:i4>0</vt:i4>
      </vt:variant>
      <vt:variant>
        <vt:i4>5</vt:i4>
      </vt:variant>
      <vt:variant>
        <vt:lpwstr>http://www.nevo.co.il/case/17921677</vt:lpwstr>
      </vt:variant>
      <vt:variant>
        <vt:lpwstr/>
      </vt:variant>
      <vt:variant>
        <vt:i4>7995492</vt:i4>
      </vt:variant>
      <vt:variant>
        <vt:i4>144</vt:i4>
      </vt:variant>
      <vt:variant>
        <vt:i4>0</vt:i4>
      </vt:variant>
      <vt:variant>
        <vt:i4>5</vt:i4>
      </vt:variant>
      <vt:variant>
        <vt:lpwstr>http://www.nevo.co.il/law/70301</vt:lpwstr>
      </vt:variant>
      <vt:variant>
        <vt:lpwstr/>
      </vt:variant>
      <vt:variant>
        <vt:i4>6357043</vt:i4>
      </vt:variant>
      <vt:variant>
        <vt:i4>141</vt:i4>
      </vt:variant>
      <vt:variant>
        <vt:i4>0</vt:i4>
      </vt:variant>
      <vt:variant>
        <vt:i4>5</vt:i4>
      </vt:variant>
      <vt:variant>
        <vt:lpwstr>http://www.nevo.co.il/law/70301/144.c.3</vt:lpwstr>
      </vt:variant>
      <vt:variant>
        <vt:lpwstr/>
      </vt:variant>
      <vt:variant>
        <vt:i4>3473520</vt:i4>
      </vt:variant>
      <vt:variant>
        <vt:i4>138</vt:i4>
      </vt:variant>
      <vt:variant>
        <vt:i4>0</vt:i4>
      </vt:variant>
      <vt:variant>
        <vt:i4>5</vt:i4>
      </vt:variant>
      <vt:variant>
        <vt:lpwstr>http://www.nevo.co.il/case/27627169</vt:lpwstr>
      </vt:variant>
      <vt:variant>
        <vt:lpwstr/>
      </vt:variant>
      <vt:variant>
        <vt:i4>3670131</vt:i4>
      </vt:variant>
      <vt:variant>
        <vt:i4>135</vt:i4>
      </vt:variant>
      <vt:variant>
        <vt:i4>0</vt:i4>
      </vt:variant>
      <vt:variant>
        <vt:i4>5</vt:i4>
      </vt:variant>
      <vt:variant>
        <vt:lpwstr>http://www.nevo.co.il/case/23009435</vt:lpwstr>
      </vt:variant>
      <vt:variant>
        <vt:lpwstr/>
      </vt:variant>
      <vt:variant>
        <vt:i4>3407997</vt:i4>
      </vt:variant>
      <vt:variant>
        <vt:i4>132</vt:i4>
      </vt:variant>
      <vt:variant>
        <vt:i4>0</vt:i4>
      </vt:variant>
      <vt:variant>
        <vt:i4>5</vt:i4>
      </vt:variant>
      <vt:variant>
        <vt:lpwstr>http://www.nevo.co.il/case/29445473</vt:lpwstr>
      </vt:variant>
      <vt:variant>
        <vt:lpwstr/>
      </vt:variant>
      <vt:variant>
        <vt:i4>3932276</vt:i4>
      </vt:variant>
      <vt:variant>
        <vt:i4>129</vt:i4>
      </vt:variant>
      <vt:variant>
        <vt:i4>0</vt:i4>
      </vt:variant>
      <vt:variant>
        <vt:i4>5</vt:i4>
      </vt:variant>
      <vt:variant>
        <vt:lpwstr>http://www.nevo.co.il/case/5153529</vt:lpwstr>
      </vt:variant>
      <vt:variant>
        <vt:lpwstr/>
      </vt:variant>
      <vt:variant>
        <vt:i4>3342458</vt:i4>
      </vt:variant>
      <vt:variant>
        <vt:i4>126</vt:i4>
      </vt:variant>
      <vt:variant>
        <vt:i4>0</vt:i4>
      </vt:variant>
      <vt:variant>
        <vt:i4>5</vt:i4>
      </vt:variant>
      <vt:variant>
        <vt:lpwstr>http://www.nevo.co.il/case/5678001</vt:lpwstr>
      </vt:variant>
      <vt:variant>
        <vt:lpwstr/>
      </vt:variant>
      <vt:variant>
        <vt:i4>7995492</vt:i4>
      </vt:variant>
      <vt:variant>
        <vt:i4>123</vt:i4>
      </vt:variant>
      <vt:variant>
        <vt:i4>0</vt:i4>
      </vt:variant>
      <vt:variant>
        <vt:i4>5</vt:i4>
      </vt:variant>
      <vt:variant>
        <vt:lpwstr>http://www.nevo.co.il/law/70301</vt:lpwstr>
      </vt:variant>
      <vt:variant>
        <vt:lpwstr/>
      </vt:variant>
      <vt:variant>
        <vt:i4>7077991</vt:i4>
      </vt:variant>
      <vt:variant>
        <vt:i4>120</vt:i4>
      </vt:variant>
      <vt:variant>
        <vt:i4>0</vt:i4>
      </vt:variant>
      <vt:variant>
        <vt:i4>5</vt:i4>
      </vt:variant>
      <vt:variant>
        <vt:lpwstr>http://www.nevo.co.il/law/70301/29</vt:lpwstr>
      </vt:variant>
      <vt:variant>
        <vt:lpwstr/>
      </vt:variant>
      <vt:variant>
        <vt:i4>6684735</vt:i4>
      </vt:variant>
      <vt:variant>
        <vt:i4>117</vt:i4>
      </vt:variant>
      <vt:variant>
        <vt:i4>0</vt:i4>
      </vt:variant>
      <vt:variant>
        <vt:i4>5</vt:i4>
      </vt:variant>
      <vt:variant>
        <vt:lpwstr>http://www.nevo.co.il/law/70301/338.a.5</vt:lpwstr>
      </vt:variant>
      <vt:variant>
        <vt:lpwstr/>
      </vt:variant>
      <vt:variant>
        <vt:i4>7077991</vt:i4>
      </vt:variant>
      <vt:variant>
        <vt:i4>114</vt:i4>
      </vt:variant>
      <vt:variant>
        <vt:i4>0</vt:i4>
      </vt:variant>
      <vt:variant>
        <vt:i4>5</vt:i4>
      </vt:variant>
      <vt:variant>
        <vt:lpwstr>http://www.nevo.co.il/law/70301/29</vt:lpwstr>
      </vt:variant>
      <vt:variant>
        <vt:lpwstr/>
      </vt:variant>
      <vt:variant>
        <vt:i4>7995492</vt:i4>
      </vt:variant>
      <vt:variant>
        <vt:i4>111</vt:i4>
      </vt:variant>
      <vt:variant>
        <vt:i4>0</vt:i4>
      </vt:variant>
      <vt:variant>
        <vt:i4>5</vt:i4>
      </vt:variant>
      <vt:variant>
        <vt:lpwstr>http://www.nevo.co.il/law/70301</vt:lpwstr>
      </vt:variant>
      <vt:variant>
        <vt:lpwstr/>
      </vt:variant>
      <vt:variant>
        <vt:i4>5177424</vt:i4>
      </vt:variant>
      <vt:variant>
        <vt:i4>108</vt:i4>
      </vt:variant>
      <vt:variant>
        <vt:i4>0</vt:i4>
      </vt:variant>
      <vt:variant>
        <vt:i4>5</vt:i4>
      </vt:variant>
      <vt:variant>
        <vt:lpwstr>http://www.nevo.co.il/law/70301/144.b</vt:lpwstr>
      </vt:variant>
      <vt:variant>
        <vt:lpwstr/>
      </vt:variant>
      <vt:variant>
        <vt:i4>4128884</vt:i4>
      </vt:variant>
      <vt:variant>
        <vt:i4>105</vt:i4>
      </vt:variant>
      <vt:variant>
        <vt:i4>0</vt:i4>
      </vt:variant>
      <vt:variant>
        <vt:i4>5</vt:i4>
      </vt:variant>
      <vt:variant>
        <vt:lpwstr>http://www.nevo.co.il/case/27035484</vt:lpwstr>
      </vt:variant>
      <vt:variant>
        <vt:lpwstr/>
      </vt:variant>
      <vt:variant>
        <vt:i4>7995492</vt:i4>
      </vt:variant>
      <vt:variant>
        <vt:i4>102</vt:i4>
      </vt:variant>
      <vt:variant>
        <vt:i4>0</vt:i4>
      </vt:variant>
      <vt:variant>
        <vt:i4>5</vt:i4>
      </vt:variant>
      <vt:variant>
        <vt:lpwstr>http://www.nevo.co.il/law/70301</vt:lpwstr>
      </vt:variant>
      <vt:variant>
        <vt:lpwstr/>
      </vt:variant>
      <vt:variant>
        <vt:i4>5177424</vt:i4>
      </vt:variant>
      <vt:variant>
        <vt:i4>99</vt:i4>
      </vt:variant>
      <vt:variant>
        <vt:i4>0</vt:i4>
      </vt:variant>
      <vt:variant>
        <vt:i4>5</vt:i4>
      </vt:variant>
      <vt:variant>
        <vt:lpwstr>http://www.nevo.co.il/law/70301/144.a</vt:lpwstr>
      </vt:variant>
      <vt:variant>
        <vt:lpwstr/>
      </vt:variant>
      <vt:variant>
        <vt:i4>4063356</vt:i4>
      </vt:variant>
      <vt:variant>
        <vt:i4>96</vt:i4>
      </vt:variant>
      <vt:variant>
        <vt:i4>0</vt:i4>
      </vt:variant>
      <vt:variant>
        <vt:i4>5</vt:i4>
      </vt:variant>
      <vt:variant>
        <vt:lpwstr>http://www.nevo.co.il/case/22531980</vt:lpwstr>
      </vt:variant>
      <vt:variant>
        <vt:lpwstr/>
      </vt:variant>
      <vt:variant>
        <vt:i4>7995492</vt:i4>
      </vt:variant>
      <vt:variant>
        <vt:i4>93</vt:i4>
      </vt:variant>
      <vt:variant>
        <vt:i4>0</vt:i4>
      </vt:variant>
      <vt:variant>
        <vt:i4>5</vt:i4>
      </vt:variant>
      <vt:variant>
        <vt:lpwstr>http://www.nevo.co.il/law/70301</vt:lpwstr>
      </vt:variant>
      <vt:variant>
        <vt:lpwstr/>
      </vt:variant>
      <vt:variant>
        <vt:i4>5177424</vt:i4>
      </vt:variant>
      <vt:variant>
        <vt:i4>90</vt:i4>
      </vt:variant>
      <vt:variant>
        <vt:i4>0</vt:i4>
      </vt:variant>
      <vt:variant>
        <vt:i4>5</vt:i4>
      </vt:variant>
      <vt:variant>
        <vt:lpwstr>http://www.nevo.co.il/law/70301/144.a</vt:lpwstr>
      </vt:variant>
      <vt:variant>
        <vt:lpwstr/>
      </vt:variant>
      <vt:variant>
        <vt:i4>3276924</vt:i4>
      </vt:variant>
      <vt:variant>
        <vt:i4>87</vt:i4>
      </vt:variant>
      <vt:variant>
        <vt:i4>0</vt:i4>
      </vt:variant>
      <vt:variant>
        <vt:i4>5</vt:i4>
      </vt:variant>
      <vt:variant>
        <vt:lpwstr>http://www.nevo.co.il/case/28216148</vt:lpwstr>
      </vt:variant>
      <vt:variant>
        <vt:lpwstr/>
      </vt:variant>
      <vt:variant>
        <vt:i4>7995492</vt:i4>
      </vt:variant>
      <vt:variant>
        <vt:i4>84</vt:i4>
      </vt:variant>
      <vt:variant>
        <vt:i4>0</vt:i4>
      </vt:variant>
      <vt:variant>
        <vt:i4>5</vt:i4>
      </vt:variant>
      <vt:variant>
        <vt:lpwstr>http://www.nevo.co.il/law/70301</vt:lpwstr>
      </vt:variant>
      <vt:variant>
        <vt:lpwstr/>
      </vt:variant>
      <vt:variant>
        <vt:i4>5177424</vt:i4>
      </vt:variant>
      <vt:variant>
        <vt:i4>81</vt:i4>
      </vt:variant>
      <vt:variant>
        <vt:i4>0</vt:i4>
      </vt:variant>
      <vt:variant>
        <vt:i4>5</vt:i4>
      </vt:variant>
      <vt:variant>
        <vt:lpwstr>http://www.nevo.co.il/law/70301/144.b</vt:lpwstr>
      </vt:variant>
      <vt:variant>
        <vt:lpwstr/>
      </vt:variant>
      <vt:variant>
        <vt:i4>3670128</vt:i4>
      </vt:variant>
      <vt:variant>
        <vt:i4>78</vt:i4>
      </vt:variant>
      <vt:variant>
        <vt:i4>0</vt:i4>
      </vt:variant>
      <vt:variant>
        <vt:i4>5</vt:i4>
      </vt:variant>
      <vt:variant>
        <vt:lpwstr>http://www.nevo.co.il/case/24152593</vt:lpwstr>
      </vt:variant>
      <vt:variant>
        <vt:lpwstr/>
      </vt:variant>
      <vt:variant>
        <vt:i4>7995492</vt:i4>
      </vt:variant>
      <vt:variant>
        <vt:i4>75</vt:i4>
      </vt:variant>
      <vt:variant>
        <vt:i4>0</vt:i4>
      </vt:variant>
      <vt:variant>
        <vt:i4>5</vt:i4>
      </vt:variant>
      <vt:variant>
        <vt:lpwstr>http://www.nevo.co.il/law/70301</vt:lpwstr>
      </vt:variant>
      <vt:variant>
        <vt:lpwstr/>
      </vt:variant>
      <vt:variant>
        <vt:i4>7077991</vt:i4>
      </vt:variant>
      <vt:variant>
        <vt:i4>72</vt:i4>
      </vt:variant>
      <vt:variant>
        <vt:i4>0</vt:i4>
      </vt:variant>
      <vt:variant>
        <vt:i4>5</vt:i4>
      </vt:variant>
      <vt:variant>
        <vt:lpwstr>http://www.nevo.co.il/law/70301/29</vt:lpwstr>
      </vt:variant>
      <vt:variant>
        <vt:lpwstr/>
      </vt:variant>
      <vt:variant>
        <vt:i4>5177424</vt:i4>
      </vt:variant>
      <vt:variant>
        <vt:i4>69</vt:i4>
      </vt:variant>
      <vt:variant>
        <vt:i4>0</vt:i4>
      </vt:variant>
      <vt:variant>
        <vt:i4>5</vt:i4>
      </vt:variant>
      <vt:variant>
        <vt:lpwstr>http://www.nevo.co.il/law/70301/144.b</vt:lpwstr>
      </vt:variant>
      <vt:variant>
        <vt:lpwstr/>
      </vt:variant>
      <vt:variant>
        <vt:i4>5177424</vt:i4>
      </vt:variant>
      <vt:variant>
        <vt:i4>66</vt:i4>
      </vt:variant>
      <vt:variant>
        <vt:i4>0</vt:i4>
      </vt:variant>
      <vt:variant>
        <vt:i4>5</vt:i4>
      </vt:variant>
      <vt:variant>
        <vt:lpwstr>http://www.nevo.co.il/law/70301/144.a</vt:lpwstr>
      </vt:variant>
      <vt:variant>
        <vt:lpwstr/>
      </vt:variant>
      <vt:variant>
        <vt:i4>3407991</vt:i4>
      </vt:variant>
      <vt:variant>
        <vt:i4>63</vt:i4>
      </vt:variant>
      <vt:variant>
        <vt:i4>0</vt:i4>
      </vt:variant>
      <vt:variant>
        <vt:i4>5</vt:i4>
      </vt:variant>
      <vt:variant>
        <vt:lpwstr>http://www.nevo.co.il/case/27171364</vt:lpwstr>
      </vt:variant>
      <vt:variant>
        <vt:lpwstr/>
      </vt:variant>
      <vt:variant>
        <vt:i4>3539056</vt:i4>
      </vt:variant>
      <vt:variant>
        <vt:i4>60</vt:i4>
      </vt:variant>
      <vt:variant>
        <vt:i4>0</vt:i4>
      </vt:variant>
      <vt:variant>
        <vt:i4>5</vt:i4>
      </vt:variant>
      <vt:variant>
        <vt:lpwstr>http://www.nevo.co.il/case/6473037</vt:lpwstr>
      </vt:variant>
      <vt:variant>
        <vt:lpwstr/>
      </vt:variant>
      <vt:variant>
        <vt:i4>3211386</vt:i4>
      </vt:variant>
      <vt:variant>
        <vt:i4>57</vt:i4>
      </vt:variant>
      <vt:variant>
        <vt:i4>0</vt:i4>
      </vt:variant>
      <vt:variant>
        <vt:i4>5</vt:i4>
      </vt:variant>
      <vt:variant>
        <vt:lpwstr>http://www.nevo.co.il/case/10485615</vt:lpwstr>
      </vt:variant>
      <vt:variant>
        <vt:lpwstr/>
      </vt:variant>
      <vt:variant>
        <vt:i4>4063357</vt:i4>
      </vt:variant>
      <vt:variant>
        <vt:i4>54</vt:i4>
      </vt:variant>
      <vt:variant>
        <vt:i4>0</vt:i4>
      </vt:variant>
      <vt:variant>
        <vt:i4>5</vt:i4>
      </vt:variant>
      <vt:variant>
        <vt:lpwstr>http://www.nevo.co.il/case/28895818</vt:lpwstr>
      </vt:variant>
      <vt:variant>
        <vt:lpwstr/>
      </vt:variant>
      <vt:variant>
        <vt:i4>3539061</vt:i4>
      </vt:variant>
      <vt:variant>
        <vt:i4>51</vt:i4>
      </vt:variant>
      <vt:variant>
        <vt:i4>0</vt:i4>
      </vt:variant>
      <vt:variant>
        <vt:i4>5</vt:i4>
      </vt:variant>
      <vt:variant>
        <vt:lpwstr>http://www.nevo.co.il/case/29181047</vt:lpwstr>
      </vt:variant>
      <vt:variant>
        <vt:lpwstr/>
      </vt:variant>
      <vt:variant>
        <vt:i4>4128885</vt:i4>
      </vt:variant>
      <vt:variant>
        <vt:i4>48</vt:i4>
      </vt:variant>
      <vt:variant>
        <vt:i4>0</vt:i4>
      </vt:variant>
      <vt:variant>
        <vt:i4>5</vt:i4>
      </vt:variant>
      <vt:variant>
        <vt:lpwstr>http://www.nevo.co.il/case/27915710</vt:lpwstr>
      </vt:variant>
      <vt:variant>
        <vt:lpwstr/>
      </vt:variant>
      <vt:variant>
        <vt:i4>3211383</vt:i4>
      </vt:variant>
      <vt:variant>
        <vt:i4>45</vt:i4>
      </vt:variant>
      <vt:variant>
        <vt:i4>0</vt:i4>
      </vt:variant>
      <vt:variant>
        <vt:i4>5</vt:i4>
      </vt:variant>
      <vt:variant>
        <vt:lpwstr>http://www.nevo.co.il/case/28697227</vt:lpwstr>
      </vt:variant>
      <vt:variant>
        <vt:lpwstr/>
      </vt:variant>
      <vt:variant>
        <vt:i4>7995492</vt:i4>
      </vt:variant>
      <vt:variant>
        <vt:i4>42</vt:i4>
      </vt:variant>
      <vt:variant>
        <vt:i4>0</vt:i4>
      </vt:variant>
      <vt:variant>
        <vt:i4>5</vt:i4>
      </vt:variant>
      <vt:variant>
        <vt:lpwstr>http://www.nevo.co.il/law/70301</vt:lpwstr>
      </vt:variant>
      <vt:variant>
        <vt:lpwstr/>
      </vt:variant>
      <vt:variant>
        <vt:i4>3276920</vt:i4>
      </vt:variant>
      <vt:variant>
        <vt:i4>39</vt:i4>
      </vt:variant>
      <vt:variant>
        <vt:i4>0</vt:i4>
      </vt:variant>
      <vt:variant>
        <vt:i4>5</vt:i4>
      </vt:variant>
      <vt:variant>
        <vt:lpwstr>http://www.nevo.co.il/case/28152132</vt:lpwstr>
      </vt:variant>
      <vt:variant>
        <vt:lpwstr/>
      </vt:variant>
      <vt:variant>
        <vt:i4>7995492</vt:i4>
      </vt:variant>
      <vt:variant>
        <vt:i4>36</vt:i4>
      </vt:variant>
      <vt:variant>
        <vt:i4>0</vt:i4>
      </vt:variant>
      <vt:variant>
        <vt:i4>5</vt:i4>
      </vt:variant>
      <vt:variant>
        <vt:lpwstr>http://www.nevo.co.il/law/70301</vt:lpwstr>
      </vt:variant>
      <vt:variant>
        <vt:lpwstr/>
      </vt:variant>
      <vt:variant>
        <vt:i4>3670131</vt:i4>
      </vt:variant>
      <vt:variant>
        <vt:i4>33</vt:i4>
      </vt:variant>
      <vt:variant>
        <vt:i4>0</vt:i4>
      </vt:variant>
      <vt:variant>
        <vt:i4>5</vt:i4>
      </vt:variant>
      <vt:variant>
        <vt:lpwstr>http://www.nevo.co.il/case/23009435</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5177424</vt:i4>
      </vt:variant>
      <vt:variant>
        <vt:i4>27</vt:i4>
      </vt:variant>
      <vt:variant>
        <vt:i4>0</vt:i4>
      </vt:variant>
      <vt:variant>
        <vt:i4>5</vt:i4>
      </vt:variant>
      <vt:variant>
        <vt:lpwstr>http://www.nevo.co.il/law/70301/144.c</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6684735</vt:i4>
      </vt:variant>
      <vt:variant>
        <vt:i4>21</vt:i4>
      </vt:variant>
      <vt:variant>
        <vt:i4>0</vt:i4>
      </vt:variant>
      <vt:variant>
        <vt:i4>5</vt:i4>
      </vt:variant>
      <vt:variant>
        <vt:lpwstr>http://www.nevo.co.il/law/70301/338.a.5</vt:lpwstr>
      </vt:variant>
      <vt:variant>
        <vt:lpwstr/>
      </vt:variant>
      <vt:variant>
        <vt:i4>5177424</vt:i4>
      </vt:variant>
      <vt:variant>
        <vt:i4>18</vt:i4>
      </vt:variant>
      <vt:variant>
        <vt:i4>0</vt:i4>
      </vt:variant>
      <vt:variant>
        <vt:i4>5</vt:i4>
      </vt:variant>
      <vt:variant>
        <vt:lpwstr>http://www.nevo.co.il/law/70301/144.g</vt:lpwstr>
      </vt:variant>
      <vt:variant>
        <vt:lpwstr/>
      </vt:variant>
      <vt:variant>
        <vt:i4>6357043</vt:i4>
      </vt:variant>
      <vt:variant>
        <vt:i4>15</vt:i4>
      </vt:variant>
      <vt:variant>
        <vt:i4>0</vt:i4>
      </vt:variant>
      <vt:variant>
        <vt:i4>5</vt:i4>
      </vt:variant>
      <vt:variant>
        <vt:lpwstr>http://www.nevo.co.il/law/70301/144.c.3</vt:lpwstr>
      </vt:variant>
      <vt:variant>
        <vt:lpwstr/>
      </vt:variant>
      <vt:variant>
        <vt:i4>5177424</vt:i4>
      </vt:variant>
      <vt:variant>
        <vt:i4>12</vt:i4>
      </vt:variant>
      <vt:variant>
        <vt:i4>0</vt:i4>
      </vt:variant>
      <vt:variant>
        <vt:i4>5</vt:i4>
      </vt:variant>
      <vt:variant>
        <vt:lpwstr>http://www.nevo.co.il/law/70301/144.c</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2025-04-25T11:02:00Z</dcterms:created>
  <dcterms:modified xsi:type="dcterms:W3CDTF">2025-04-25T11:02:00Z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45098</vt:lpwstr>
  </property>
  <property fmtid="{D5CDD505-2E9C-101B-9397-08002B2CF9AE}" pid="6" name="NEWPARTB">
    <vt:lpwstr>05</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עומר מחמוד</vt:lpwstr>
  </property>
  <property fmtid="{D5CDD505-2E9C-101B-9397-08002B2CF9AE}" pid="10" name="LAWYER">
    <vt:lpwstr>באסל פלאח</vt:lpwstr>
  </property>
  <property fmtid="{D5CDD505-2E9C-101B-9397-08002B2CF9AE}" pid="11" name="JUDGE">
    <vt:lpwstr>שלמה בנג'ו</vt:lpwstr>
  </property>
  <property fmtid="{D5CDD505-2E9C-101B-9397-08002B2CF9AE}" pid="12" name="CITY">
    <vt:lpwstr>חי'</vt:lpwstr>
  </property>
  <property fmtid="{D5CDD505-2E9C-101B-9397-08002B2CF9AE}" pid="13" name="DATE">
    <vt:lpwstr>20250306</vt:lpwstr>
  </property>
  <property fmtid="{D5CDD505-2E9C-101B-9397-08002B2CF9AE}" pid="14" name="TYPE_N_DATE">
    <vt:lpwstr>39020250306</vt:lpwstr>
  </property>
  <property fmtid="{D5CDD505-2E9C-101B-9397-08002B2CF9AE}" pid="15" name="CASESLISTTMP1">
    <vt:lpwstr>23009435:3;28152132;28697227;27915710;29181047;28895818;10485615;6473037:2;27171364;24152593;28216148;22531980;27035484;5678001;5153529;29445473;27627169:2;17921677;5865581;28513828;28883087</vt:lpwstr>
  </property>
  <property fmtid="{D5CDD505-2E9C-101B-9397-08002B2CF9AE}" pid="16" name="CASENOTES1">
    <vt:lpwstr>ProcID=174;133;209&amp;PartA=54321&amp;PartC=21</vt:lpwstr>
  </property>
  <property fmtid="{D5CDD505-2E9C-101B-9397-08002B2CF9AE}" pid="17" name="CASENOTES2">
    <vt:lpwstr>ProcID=133;209&amp;PartA=1332&amp;PartC=04</vt:lpwstr>
  </property>
  <property fmtid="{D5CDD505-2E9C-101B-9397-08002B2CF9AE}" pid="18" name="CASENOTES3">
    <vt:lpwstr>ProcID=133;209&amp;PartA=5812&amp;PartC=21</vt:lpwstr>
  </property>
  <property fmtid="{D5CDD505-2E9C-101B-9397-08002B2CF9AE}" pid="19" name="WORDNUMPAGES">
    <vt:lpwstr>9</vt:lpwstr>
  </property>
  <property fmtid="{D5CDD505-2E9C-101B-9397-08002B2CF9AE}" pid="20" name="TYPE_ABS_DATE">
    <vt:lpwstr>390020250306</vt:lpwstr>
  </property>
  <property fmtid="{D5CDD505-2E9C-101B-9397-08002B2CF9AE}" pid="21" name="LAWLISTTMP1">
    <vt:lpwstr>70301/144.a:4;144.c;144.b:3;029:3;338.a.5;144.c.3;144.g</vt:lpwstr>
  </property>
  <property fmtid="{D5CDD505-2E9C-101B-9397-08002B2CF9AE}" pid="22" name="ISABSTRACT">
    <vt:lpwstr>Y</vt:lpwstr>
  </property>
</Properties>
</file>