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30"/>
        <w:gridCol w:w="2975"/>
      </w:tblGrid>
      <w:tr w:rsidR="00625F52" w:rsidRPr="006D0A4F" w14:paraId="0039846D" w14:textId="77777777" w:rsidTr="006B1275">
        <w:trPr>
          <w:trHeight w:hRule="exact" w:val="418"/>
          <w:jc w:val="center"/>
        </w:trPr>
        <w:tc>
          <w:tcPr>
            <w:tcW w:w="8505" w:type="dxa"/>
            <w:gridSpan w:val="2"/>
          </w:tcPr>
          <w:p w14:paraId="19161BE9" w14:textId="77777777" w:rsidR="00625F52" w:rsidRPr="006D0A4F" w:rsidRDefault="00625F52" w:rsidP="006B1275">
            <w:pPr>
              <w:pStyle w:val="a3"/>
              <w:jc w:val="center"/>
              <w:rPr>
                <w:rFonts w:ascii="Tahoma" w:hAnsi="Tahoma" w:cs="Tahoma"/>
                <w:color w:val="000080"/>
                <w:rtl/>
              </w:rPr>
            </w:pPr>
            <w:bookmarkStart w:id="0" w:name="LastJudge"/>
            <w:r w:rsidRPr="006D0A4F">
              <w:rPr>
                <w:rFonts w:ascii="Tahoma" w:hAnsi="Tahoma" w:cs="Tahoma"/>
                <w:b/>
                <w:bCs/>
                <w:color w:val="000080"/>
                <w:rtl/>
              </w:rPr>
              <w:t>בית המשפט המחוזי בחיפה</w:t>
            </w:r>
          </w:p>
        </w:tc>
      </w:tr>
      <w:tr w:rsidR="00625F52" w:rsidRPr="006D0A4F" w14:paraId="150B68F0" w14:textId="77777777" w:rsidTr="006B1275">
        <w:trPr>
          <w:trHeight w:val="337"/>
          <w:jc w:val="center"/>
        </w:trPr>
        <w:tc>
          <w:tcPr>
            <w:tcW w:w="5530" w:type="dxa"/>
          </w:tcPr>
          <w:p w14:paraId="399A07B7" w14:textId="77777777" w:rsidR="00625F52" w:rsidRPr="006D0A4F" w:rsidRDefault="00625F52" w:rsidP="006B1275">
            <w:pPr>
              <w:rPr>
                <w:rFonts w:ascii="David" w:hAnsi="David"/>
                <w:b/>
                <w:bCs/>
                <w:sz w:val="26"/>
                <w:szCs w:val="26"/>
                <w:rtl/>
              </w:rPr>
            </w:pPr>
            <w:r w:rsidRPr="006D0A4F">
              <w:rPr>
                <w:rFonts w:ascii="David" w:hAnsi="David"/>
                <w:b/>
                <w:bCs/>
                <w:sz w:val="26"/>
                <w:szCs w:val="26"/>
                <w:rtl/>
              </w:rPr>
              <w:t>ת"פ 67437-05-24 מדינת ישראל נ' מנצור עומר(עציר)</w:t>
            </w:r>
          </w:p>
          <w:p w14:paraId="6526C136" w14:textId="77777777" w:rsidR="00625F52" w:rsidRPr="006D0A4F" w:rsidRDefault="00625F52" w:rsidP="006B1275">
            <w:pPr>
              <w:pStyle w:val="a3"/>
              <w:rPr>
                <w:rFonts w:cs="FrankRuehl"/>
                <w:sz w:val="28"/>
                <w:szCs w:val="28"/>
                <w:rtl/>
              </w:rPr>
            </w:pPr>
          </w:p>
        </w:tc>
        <w:tc>
          <w:tcPr>
            <w:tcW w:w="2975" w:type="dxa"/>
          </w:tcPr>
          <w:p w14:paraId="1ACF12A8" w14:textId="77777777" w:rsidR="00625F52" w:rsidRPr="006D0A4F" w:rsidRDefault="00625F52" w:rsidP="006B1275">
            <w:pPr>
              <w:pStyle w:val="a3"/>
              <w:jc w:val="right"/>
              <w:rPr>
                <w:rFonts w:cs="FrankRuehl"/>
                <w:sz w:val="28"/>
                <w:szCs w:val="28"/>
                <w:rtl/>
              </w:rPr>
            </w:pPr>
          </w:p>
        </w:tc>
      </w:tr>
    </w:tbl>
    <w:p w14:paraId="71C5719D" w14:textId="77777777" w:rsidR="00625F52" w:rsidRPr="006D0A4F" w:rsidRDefault="00625F52" w:rsidP="00625F52">
      <w:pPr>
        <w:pStyle w:val="a3"/>
        <w:rPr>
          <w:rtl/>
        </w:rPr>
      </w:pPr>
      <w:r w:rsidRPr="006D0A4F">
        <w:rPr>
          <w:rFonts w:hint="cs"/>
          <w:rtl/>
        </w:rPr>
        <w:t xml:space="preserve"> </w:t>
      </w:r>
    </w:p>
    <w:p w14:paraId="3EA4773E" w14:textId="77777777" w:rsidR="00625F52" w:rsidRPr="006D0A4F" w:rsidRDefault="00625F52" w:rsidP="00625F52">
      <w:pPr>
        <w:suppressLineNumbers/>
        <w:jc w:val="both"/>
        <w:rPr>
          <w:rFonts w:ascii="Arial" w:hAnsi="Arial"/>
          <w:szCs w:val="26"/>
          <w:rtl/>
        </w:rPr>
      </w:pPr>
    </w:p>
    <w:p w14:paraId="467F4BE2" w14:textId="77777777" w:rsidR="00625F52" w:rsidRPr="006D0A4F" w:rsidRDefault="00625F52" w:rsidP="00625F52">
      <w:pPr>
        <w:suppressLineNumbers/>
        <w:jc w:val="both"/>
        <w:rPr>
          <w:rFonts w:ascii="Arial" w:hAnsi="Arial"/>
          <w:szCs w:val="26"/>
          <w:rtl/>
        </w:rPr>
      </w:pPr>
    </w:p>
    <w:tbl>
      <w:tblPr>
        <w:bidiVisual/>
        <w:tblW w:w="8802" w:type="dxa"/>
        <w:tblInd w:w="-28" w:type="dxa"/>
        <w:tblLook w:val="01E0" w:firstRow="1" w:lastRow="1" w:firstColumn="1" w:lastColumn="1" w:noHBand="0" w:noVBand="0"/>
      </w:tblPr>
      <w:tblGrid>
        <w:gridCol w:w="2880"/>
        <w:gridCol w:w="5838"/>
        <w:gridCol w:w="84"/>
      </w:tblGrid>
      <w:tr w:rsidR="00625F52" w:rsidRPr="006D0A4F" w14:paraId="55504BB2" w14:textId="77777777" w:rsidTr="00625F52">
        <w:trPr>
          <w:gridAfter w:val="1"/>
          <w:wAfter w:w="56" w:type="dxa"/>
        </w:trPr>
        <w:tc>
          <w:tcPr>
            <w:tcW w:w="8718" w:type="dxa"/>
            <w:gridSpan w:val="2"/>
            <w:shd w:val="clear" w:color="auto" w:fill="auto"/>
          </w:tcPr>
          <w:p w14:paraId="1C8EE616" w14:textId="77777777" w:rsidR="00625F52" w:rsidRPr="006D0A4F" w:rsidRDefault="00625F52" w:rsidP="00625F52">
            <w:pPr>
              <w:jc w:val="both"/>
              <w:rPr>
                <w:b/>
                <w:bCs/>
                <w:sz w:val="26"/>
                <w:szCs w:val="26"/>
                <w:rtl/>
              </w:rPr>
            </w:pPr>
            <w:r w:rsidRPr="006D0A4F">
              <w:rPr>
                <w:rFonts w:hint="cs"/>
                <w:b/>
                <w:bCs/>
                <w:sz w:val="26"/>
                <w:szCs w:val="26"/>
                <w:rtl/>
              </w:rPr>
              <w:t>לפני כבוד השופט שלמה בנג'ו</w:t>
            </w:r>
          </w:p>
          <w:p w14:paraId="311D8A52" w14:textId="77777777" w:rsidR="00625F52" w:rsidRPr="006D0A4F" w:rsidRDefault="00625F52" w:rsidP="00625F52">
            <w:pPr>
              <w:jc w:val="both"/>
              <w:rPr>
                <w:b/>
                <w:bCs/>
                <w:sz w:val="26"/>
                <w:szCs w:val="26"/>
                <w:rtl/>
              </w:rPr>
            </w:pPr>
          </w:p>
        </w:tc>
      </w:tr>
      <w:tr w:rsidR="00625F52" w:rsidRPr="006D0A4F" w14:paraId="48651307" w14:textId="77777777" w:rsidTr="00625F52">
        <w:trPr>
          <w:cantSplit/>
          <w:trHeight w:val="724"/>
        </w:trPr>
        <w:tc>
          <w:tcPr>
            <w:tcW w:w="2880" w:type="dxa"/>
            <w:shd w:val="clear" w:color="auto" w:fill="auto"/>
          </w:tcPr>
          <w:p w14:paraId="0474D8B0" w14:textId="77777777" w:rsidR="00625F52" w:rsidRPr="006D0A4F" w:rsidRDefault="00625F52" w:rsidP="00625F52">
            <w:pPr>
              <w:ind w:left="26"/>
              <w:jc w:val="both"/>
              <w:rPr>
                <w:b/>
                <w:bCs/>
                <w:sz w:val="26"/>
                <w:szCs w:val="26"/>
                <w:rtl/>
              </w:rPr>
            </w:pPr>
            <w:bookmarkStart w:id="1" w:name="FirstAppellant"/>
            <w:r w:rsidRPr="006D0A4F">
              <w:rPr>
                <w:rFonts w:hint="cs"/>
                <w:b/>
                <w:bCs/>
                <w:sz w:val="26"/>
                <w:szCs w:val="26"/>
                <w:rtl/>
              </w:rPr>
              <w:t>המאשימה:</w:t>
            </w:r>
          </w:p>
          <w:p w14:paraId="11A9966E" w14:textId="77777777" w:rsidR="00625F52" w:rsidRPr="006D0A4F" w:rsidRDefault="00625F52" w:rsidP="00625F52">
            <w:pPr>
              <w:jc w:val="both"/>
              <w:rPr>
                <w:b/>
                <w:bCs/>
                <w:sz w:val="26"/>
                <w:szCs w:val="26"/>
                <w:rtl/>
              </w:rPr>
            </w:pPr>
          </w:p>
        </w:tc>
        <w:tc>
          <w:tcPr>
            <w:tcW w:w="5922" w:type="dxa"/>
            <w:gridSpan w:val="2"/>
            <w:shd w:val="clear" w:color="auto" w:fill="auto"/>
          </w:tcPr>
          <w:p w14:paraId="31FCC02C" w14:textId="77777777" w:rsidR="00625F52" w:rsidRPr="006D0A4F" w:rsidRDefault="00625F52" w:rsidP="00625F52">
            <w:pPr>
              <w:jc w:val="both"/>
              <w:rPr>
                <w:b/>
                <w:bCs/>
                <w:sz w:val="26"/>
                <w:szCs w:val="26"/>
                <w:rtl/>
              </w:rPr>
            </w:pPr>
            <w:r w:rsidRPr="006D0A4F">
              <w:rPr>
                <w:rFonts w:hint="cs"/>
                <w:b/>
                <w:bCs/>
                <w:sz w:val="26"/>
                <w:szCs w:val="26"/>
                <w:rtl/>
              </w:rPr>
              <w:t>מדינת ישראל</w:t>
            </w:r>
          </w:p>
        </w:tc>
      </w:tr>
      <w:bookmarkEnd w:id="1"/>
      <w:tr w:rsidR="00625F52" w:rsidRPr="006D0A4F" w14:paraId="78784962" w14:textId="77777777" w:rsidTr="00625F52">
        <w:tc>
          <w:tcPr>
            <w:tcW w:w="8802" w:type="dxa"/>
            <w:gridSpan w:val="3"/>
            <w:shd w:val="clear" w:color="auto" w:fill="auto"/>
            <w:vAlign w:val="center"/>
          </w:tcPr>
          <w:p w14:paraId="6897D27A" w14:textId="77777777" w:rsidR="00625F52" w:rsidRPr="006D0A4F" w:rsidRDefault="00625F52" w:rsidP="00625F52">
            <w:pPr>
              <w:jc w:val="center"/>
              <w:rPr>
                <w:rFonts w:ascii="Arial" w:hAnsi="Arial"/>
                <w:b/>
                <w:bCs/>
                <w:sz w:val="26"/>
                <w:szCs w:val="26"/>
                <w:rtl/>
              </w:rPr>
            </w:pPr>
            <w:r w:rsidRPr="006D0A4F">
              <w:rPr>
                <w:rFonts w:ascii="Arial" w:hAnsi="Arial" w:hint="cs"/>
                <w:b/>
                <w:bCs/>
                <w:sz w:val="26"/>
                <w:szCs w:val="26"/>
                <w:rtl/>
              </w:rPr>
              <w:t>- נגד -</w:t>
            </w:r>
          </w:p>
          <w:p w14:paraId="2372717B" w14:textId="77777777" w:rsidR="00625F52" w:rsidRPr="006D0A4F" w:rsidRDefault="00625F52" w:rsidP="00625F52">
            <w:pPr>
              <w:jc w:val="center"/>
              <w:rPr>
                <w:rFonts w:ascii="Arial" w:hAnsi="Arial"/>
                <w:b/>
                <w:bCs/>
                <w:sz w:val="26"/>
                <w:szCs w:val="26"/>
                <w:rtl/>
              </w:rPr>
            </w:pPr>
          </w:p>
        </w:tc>
      </w:tr>
      <w:tr w:rsidR="00625F52" w:rsidRPr="006D0A4F" w14:paraId="36F2C152" w14:textId="77777777" w:rsidTr="00625F52">
        <w:tc>
          <w:tcPr>
            <w:tcW w:w="2880" w:type="dxa"/>
            <w:shd w:val="clear" w:color="auto" w:fill="auto"/>
          </w:tcPr>
          <w:p w14:paraId="39A41C4E" w14:textId="77777777" w:rsidR="00625F52" w:rsidRPr="006D0A4F" w:rsidRDefault="00625F52" w:rsidP="00625F52">
            <w:pPr>
              <w:ind w:left="26"/>
              <w:jc w:val="both"/>
              <w:rPr>
                <w:b/>
                <w:bCs/>
                <w:sz w:val="26"/>
                <w:szCs w:val="26"/>
                <w:rtl/>
              </w:rPr>
            </w:pPr>
            <w:r w:rsidRPr="006D0A4F">
              <w:rPr>
                <w:rFonts w:hint="cs"/>
                <w:b/>
                <w:bCs/>
                <w:sz w:val="26"/>
                <w:szCs w:val="26"/>
                <w:rtl/>
              </w:rPr>
              <w:t>הנאשם:</w:t>
            </w:r>
          </w:p>
        </w:tc>
        <w:tc>
          <w:tcPr>
            <w:tcW w:w="5922" w:type="dxa"/>
            <w:gridSpan w:val="2"/>
            <w:shd w:val="clear" w:color="auto" w:fill="auto"/>
          </w:tcPr>
          <w:p w14:paraId="67DE9ECC" w14:textId="77777777" w:rsidR="00625F52" w:rsidRPr="006D0A4F" w:rsidRDefault="00625F52" w:rsidP="00625F52">
            <w:pPr>
              <w:jc w:val="both"/>
              <w:rPr>
                <w:b/>
                <w:bCs/>
                <w:sz w:val="26"/>
                <w:szCs w:val="26"/>
                <w:rtl/>
              </w:rPr>
            </w:pPr>
            <w:r w:rsidRPr="006D0A4F">
              <w:rPr>
                <w:rFonts w:hint="cs"/>
                <w:b/>
                <w:bCs/>
                <w:sz w:val="26"/>
                <w:szCs w:val="26"/>
                <w:rtl/>
              </w:rPr>
              <w:t xml:space="preserve">עבד אלסלים מנצור עומר (עציר) ת"ז </w:t>
            </w:r>
            <w:r w:rsidR="006D0A4F">
              <w:rPr>
                <w:b/>
                <w:bCs/>
                <w:sz w:val="26"/>
                <w:szCs w:val="26"/>
              </w:rPr>
              <w:t>xxxxxxxxx</w:t>
            </w:r>
          </w:p>
          <w:p w14:paraId="627ED65E" w14:textId="77777777" w:rsidR="00625F52" w:rsidRPr="006D0A4F" w:rsidRDefault="00625F52" w:rsidP="00625F52">
            <w:pPr>
              <w:jc w:val="both"/>
              <w:rPr>
                <w:b/>
                <w:bCs/>
                <w:sz w:val="26"/>
                <w:szCs w:val="26"/>
                <w:rtl/>
              </w:rPr>
            </w:pPr>
            <w:r w:rsidRPr="006D0A4F">
              <w:rPr>
                <w:rFonts w:hint="cs"/>
                <w:sz w:val="26"/>
                <w:szCs w:val="26"/>
                <w:rtl/>
              </w:rPr>
              <w:t xml:space="preserve"> </w:t>
            </w:r>
          </w:p>
        </w:tc>
      </w:tr>
    </w:tbl>
    <w:p w14:paraId="19EF3338" w14:textId="77777777" w:rsidR="00625F52" w:rsidRPr="006D0A4F" w:rsidRDefault="00625F52" w:rsidP="00625F52">
      <w:pPr>
        <w:suppressLineNumbers/>
        <w:jc w:val="both"/>
        <w:rPr>
          <w:rFonts w:ascii="Arial" w:hAnsi="Arial"/>
          <w:szCs w:val="26"/>
          <w:rtl/>
        </w:rPr>
      </w:pPr>
    </w:p>
    <w:p w14:paraId="088CA950" w14:textId="77777777" w:rsidR="009D29EC" w:rsidRPr="009D29EC" w:rsidRDefault="009D29EC" w:rsidP="009D29EC">
      <w:pPr>
        <w:spacing w:before="120" w:after="120" w:line="240" w:lineRule="exact"/>
        <w:ind w:left="283" w:hanging="283"/>
        <w:jc w:val="both"/>
        <w:rPr>
          <w:rFonts w:ascii="FrankRuehl" w:hAnsi="FrankRuehl" w:cs="FrankRuehl"/>
          <w:rtl/>
        </w:rPr>
      </w:pPr>
      <w:bookmarkStart w:id="2" w:name="LawTable"/>
      <w:bookmarkEnd w:id="2"/>
      <w:r w:rsidRPr="009D29EC">
        <w:rPr>
          <w:rFonts w:ascii="FrankRuehl" w:hAnsi="FrankRuehl" w:cs="FrankRuehl"/>
          <w:rtl/>
        </w:rPr>
        <w:t xml:space="preserve">חקיקה שאוזכרה: </w:t>
      </w:r>
    </w:p>
    <w:p w14:paraId="17481DDC" w14:textId="77777777" w:rsidR="009D29EC" w:rsidRPr="009D29EC" w:rsidRDefault="009D29EC" w:rsidP="009D29EC">
      <w:pPr>
        <w:spacing w:before="120" w:after="120" w:line="240" w:lineRule="exact"/>
        <w:ind w:left="283" w:hanging="283"/>
        <w:jc w:val="both"/>
        <w:rPr>
          <w:rFonts w:ascii="FrankRuehl" w:hAnsi="FrankRuehl" w:cs="FrankRuehl"/>
          <w:color w:val="0000FF"/>
          <w:rtl/>
        </w:rPr>
      </w:pPr>
      <w:hyperlink r:id="rId7" w:history="1">
        <w:r w:rsidRPr="009D29EC">
          <w:rPr>
            <w:rStyle w:val="Hyperlink"/>
            <w:rFonts w:ascii="FrankRuehl" w:hAnsi="FrankRuehl" w:cs="FrankRuehl"/>
            <w:u w:val="none"/>
            <w:rtl/>
          </w:rPr>
          <w:t>חוק העונשין, תשל"ז-1977</w:t>
        </w:r>
      </w:hyperlink>
      <w:r w:rsidRPr="009D29EC">
        <w:rPr>
          <w:rFonts w:ascii="FrankRuehl" w:hAnsi="FrankRuehl" w:cs="FrankRuehl"/>
          <w:color w:val="0000FF"/>
          <w:rtl/>
        </w:rPr>
        <w:t xml:space="preserve">: סע'  </w:t>
      </w:r>
      <w:hyperlink r:id="rId8" w:history="1">
        <w:r w:rsidRPr="009D29EC">
          <w:rPr>
            <w:rStyle w:val="Hyperlink"/>
            <w:rFonts w:ascii="FrankRuehl" w:hAnsi="FrankRuehl" w:cs="FrankRuehl"/>
            <w:u w:val="none"/>
          </w:rPr>
          <w:t>45</w:t>
        </w:r>
      </w:hyperlink>
      <w:r w:rsidRPr="009D29EC">
        <w:rPr>
          <w:rFonts w:ascii="FrankRuehl" w:hAnsi="FrankRuehl" w:cs="FrankRuehl"/>
          <w:color w:val="0000FF"/>
          <w:rtl/>
        </w:rPr>
        <w:t xml:space="preserve">(ב), </w:t>
      </w:r>
      <w:hyperlink r:id="rId9" w:history="1">
        <w:r w:rsidRPr="009D29EC">
          <w:rPr>
            <w:rStyle w:val="Hyperlink"/>
            <w:rFonts w:ascii="FrankRuehl" w:hAnsi="FrankRuehl" w:cs="FrankRuehl"/>
            <w:u w:val="none"/>
          </w:rPr>
          <w:t>144.</w:t>
        </w:r>
        <w:r w:rsidRPr="009D29EC">
          <w:rPr>
            <w:rStyle w:val="Hyperlink"/>
            <w:rFonts w:ascii="FrankRuehl" w:hAnsi="FrankRuehl" w:cs="FrankRuehl"/>
            <w:u w:val="none"/>
            <w:rtl/>
          </w:rPr>
          <w:t>א</w:t>
        </w:r>
        <w:r w:rsidRPr="009D29EC">
          <w:rPr>
            <w:rStyle w:val="Hyperlink"/>
            <w:rFonts w:ascii="FrankRuehl" w:hAnsi="FrankRuehl" w:cs="FrankRuehl"/>
            <w:u w:val="none"/>
          </w:rPr>
          <w:t>.</w:t>
        </w:r>
      </w:hyperlink>
      <w:r w:rsidRPr="009D29EC">
        <w:rPr>
          <w:rFonts w:ascii="FrankRuehl" w:hAnsi="FrankRuehl" w:cs="FrankRuehl"/>
          <w:color w:val="0000FF"/>
          <w:rtl/>
        </w:rPr>
        <w:t xml:space="preserve">, </w:t>
      </w:r>
      <w:hyperlink r:id="rId10" w:history="1">
        <w:r w:rsidRPr="009D29EC">
          <w:rPr>
            <w:rStyle w:val="Hyperlink"/>
            <w:rFonts w:ascii="FrankRuehl" w:hAnsi="FrankRuehl" w:cs="FrankRuehl"/>
            <w:u w:val="none"/>
          </w:rPr>
          <w:t>144</w:t>
        </w:r>
      </w:hyperlink>
      <w:r w:rsidRPr="009D29EC">
        <w:rPr>
          <w:rFonts w:ascii="FrankRuehl" w:hAnsi="FrankRuehl" w:cs="FrankRuehl"/>
          <w:color w:val="0000FF"/>
          <w:rtl/>
        </w:rPr>
        <w:t xml:space="preserve">(ב), </w:t>
      </w:r>
      <w:hyperlink r:id="rId11" w:history="1">
        <w:r w:rsidRPr="009D29EC">
          <w:rPr>
            <w:rStyle w:val="Hyperlink"/>
            <w:rFonts w:ascii="FrankRuehl" w:hAnsi="FrankRuehl" w:cs="FrankRuehl"/>
            <w:u w:val="none"/>
          </w:rPr>
          <w:t>144</w:t>
        </w:r>
      </w:hyperlink>
      <w:r w:rsidRPr="009D29EC">
        <w:rPr>
          <w:rFonts w:ascii="FrankRuehl" w:hAnsi="FrankRuehl" w:cs="FrankRuehl"/>
          <w:color w:val="0000FF"/>
          <w:rtl/>
        </w:rPr>
        <w:t xml:space="preserve">(ז), </w:t>
      </w:r>
      <w:hyperlink r:id="rId12" w:history="1">
        <w:r w:rsidRPr="009D29EC">
          <w:rPr>
            <w:rStyle w:val="Hyperlink"/>
            <w:rFonts w:ascii="FrankRuehl" w:hAnsi="FrankRuehl" w:cs="FrankRuehl"/>
            <w:u w:val="none"/>
          </w:rPr>
          <w:t>244</w:t>
        </w:r>
      </w:hyperlink>
      <w:r w:rsidRPr="009D29EC">
        <w:rPr>
          <w:rFonts w:ascii="FrankRuehl" w:hAnsi="FrankRuehl" w:cs="FrankRuehl"/>
          <w:color w:val="0000FF"/>
          <w:rtl/>
        </w:rPr>
        <w:t xml:space="preserve">, </w:t>
      </w:r>
      <w:hyperlink r:id="rId13" w:history="1">
        <w:r w:rsidRPr="009D29EC">
          <w:rPr>
            <w:rStyle w:val="Hyperlink"/>
            <w:rFonts w:ascii="FrankRuehl" w:hAnsi="FrankRuehl" w:cs="FrankRuehl"/>
            <w:u w:val="none"/>
          </w:rPr>
          <w:t>275</w:t>
        </w:r>
      </w:hyperlink>
      <w:r w:rsidRPr="009D29EC">
        <w:rPr>
          <w:rFonts w:ascii="FrankRuehl" w:hAnsi="FrankRuehl" w:cs="FrankRuehl"/>
          <w:color w:val="0000FF"/>
          <w:rtl/>
        </w:rPr>
        <w:t xml:space="preserve">, </w:t>
      </w:r>
      <w:hyperlink r:id="rId14" w:history="1">
        <w:r w:rsidRPr="009D29EC">
          <w:rPr>
            <w:rStyle w:val="Hyperlink"/>
            <w:rFonts w:ascii="FrankRuehl" w:hAnsi="FrankRuehl" w:cs="FrankRuehl"/>
            <w:u w:val="none"/>
          </w:rPr>
          <w:t>338</w:t>
        </w:r>
      </w:hyperlink>
      <w:r w:rsidRPr="009D29EC">
        <w:rPr>
          <w:rFonts w:ascii="FrankRuehl" w:hAnsi="FrankRuehl" w:cs="FrankRuehl"/>
          <w:color w:val="0000FF"/>
          <w:rtl/>
        </w:rPr>
        <w:t>(א)(1)</w:t>
      </w:r>
    </w:p>
    <w:p w14:paraId="44AE3273" w14:textId="77777777" w:rsidR="009D29EC" w:rsidRPr="009D29EC" w:rsidRDefault="009D29EC" w:rsidP="009D29EC">
      <w:pPr>
        <w:spacing w:before="120" w:after="120" w:line="240" w:lineRule="exact"/>
        <w:ind w:left="283" w:hanging="283"/>
        <w:jc w:val="both"/>
        <w:rPr>
          <w:rFonts w:ascii="FrankRuehl" w:hAnsi="FrankRuehl" w:cs="FrankRuehl"/>
          <w:color w:val="0000FF"/>
          <w:rtl/>
        </w:rPr>
      </w:pPr>
      <w:hyperlink r:id="rId15" w:history="1">
        <w:r w:rsidRPr="009D29EC">
          <w:rPr>
            <w:rStyle w:val="Hyperlink"/>
            <w:rFonts w:ascii="FrankRuehl" w:hAnsi="FrankRuehl" w:cs="FrankRuehl"/>
            <w:u w:val="none"/>
            <w:rtl/>
          </w:rPr>
          <w:t>פקודת התעבורה [נוסח חדש</w:t>
        </w:r>
        <w:r w:rsidRPr="009D29EC">
          <w:rPr>
            <w:rStyle w:val="Hyperlink"/>
            <w:rFonts w:ascii="FrankRuehl" w:hAnsi="FrankRuehl" w:cs="FrankRuehl"/>
            <w:u w:val="none"/>
          </w:rPr>
          <w:t>]</w:t>
        </w:r>
      </w:hyperlink>
      <w:r w:rsidRPr="009D29EC">
        <w:rPr>
          <w:rFonts w:ascii="FrankRuehl" w:hAnsi="FrankRuehl" w:cs="FrankRuehl"/>
          <w:color w:val="0000FF"/>
          <w:rtl/>
        </w:rPr>
        <w:t xml:space="preserve">: סע'  </w:t>
      </w:r>
      <w:hyperlink r:id="rId16" w:history="1">
        <w:r w:rsidRPr="009D29EC">
          <w:rPr>
            <w:rStyle w:val="Hyperlink"/>
            <w:rFonts w:ascii="FrankRuehl" w:hAnsi="FrankRuehl" w:cs="FrankRuehl"/>
            <w:u w:val="none"/>
          </w:rPr>
          <w:t xml:space="preserve">10 </w:t>
        </w:r>
      </w:hyperlink>
      <w:r w:rsidRPr="009D29EC">
        <w:rPr>
          <w:rFonts w:ascii="FrankRuehl" w:hAnsi="FrankRuehl" w:cs="FrankRuehl"/>
          <w:color w:val="0000FF"/>
          <w:rtl/>
        </w:rPr>
        <w:t>(א)</w:t>
      </w:r>
    </w:p>
    <w:p w14:paraId="69D24216" w14:textId="77777777" w:rsidR="009D29EC" w:rsidRPr="009D29EC" w:rsidRDefault="009D29EC" w:rsidP="009D29EC">
      <w:pPr>
        <w:spacing w:before="120" w:after="120" w:line="240" w:lineRule="exact"/>
        <w:ind w:left="283" w:hanging="283"/>
        <w:jc w:val="both"/>
        <w:rPr>
          <w:rFonts w:ascii="FrankRuehl" w:hAnsi="FrankRuehl" w:cs="FrankRuehl"/>
          <w:color w:val="0000FF"/>
          <w:rtl/>
        </w:rPr>
      </w:pPr>
      <w:hyperlink r:id="rId17" w:history="1">
        <w:r w:rsidRPr="009D29EC">
          <w:rPr>
            <w:rStyle w:val="Hyperlink"/>
            <w:rFonts w:ascii="FrankRuehl" w:hAnsi="FrankRuehl" w:cs="FrankRuehl"/>
            <w:u w:val="none"/>
            <w:rtl/>
          </w:rPr>
          <w:t>פקודת ביטוח רכב מנועי [נוסח חדש], תש"ל-1970</w:t>
        </w:r>
      </w:hyperlink>
      <w:r w:rsidRPr="009D29EC">
        <w:rPr>
          <w:rFonts w:ascii="FrankRuehl" w:hAnsi="FrankRuehl" w:cs="FrankRuehl"/>
          <w:color w:val="0000FF"/>
          <w:rtl/>
        </w:rPr>
        <w:t xml:space="preserve">: סע'  </w:t>
      </w:r>
      <w:hyperlink r:id="rId18" w:history="1">
        <w:r w:rsidRPr="009D29EC">
          <w:rPr>
            <w:rStyle w:val="Hyperlink"/>
            <w:rFonts w:ascii="FrankRuehl" w:hAnsi="FrankRuehl" w:cs="FrankRuehl"/>
            <w:u w:val="none"/>
          </w:rPr>
          <w:t>2</w:t>
        </w:r>
      </w:hyperlink>
      <w:r w:rsidRPr="009D29EC">
        <w:rPr>
          <w:rFonts w:ascii="FrankRuehl" w:hAnsi="FrankRuehl" w:cs="FrankRuehl"/>
          <w:color w:val="0000FF"/>
          <w:rtl/>
        </w:rPr>
        <w:t>(א)</w:t>
      </w:r>
    </w:p>
    <w:p w14:paraId="423E3DCD" w14:textId="77777777" w:rsidR="009D29EC" w:rsidRPr="009D29EC" w:rsidRDefault="009D29EC" w:rsidP="009D29EC">
      <w:pPr>
        <w:spacing w:before="120" w:after="120" w:line="240" w:lineRule="exact"/>
        <w:ind w:left="283" w:hanging="283"/>
        <w:jc w:val="both"/>
        <w:rPr>
          <w:rFonts w:ascii="FrankRuehl" w:hAnsi="FrankRuehl" w:cs="FrankRuehl"/>
          <w:color w:val="0000FF"/>
          <w:rtl/>
        </w:rPr>
      </w:pPr>
      <w:hyperlink r:id="rId19" w:history="1">
        <w:r w:rsidRPr="009D29EC">
          <w:rPr>
            <w:rStyle w:val="Hyperlink"/>
            <w:rFonts w:ascii="FrankRuehl" w:hAnsi="FrankRuehl" w:cs="FrankRuehl"/>
            <w:u w:val="none"/>
            <w:rtl/>
          </w:rPr>
          <w:t>חוק הכניסה לישראל, תשי"ב-1952</w:t>
        </w:r>
      </w:hyperlink>
      <w:r w:rsidRPr="009D29EC">
        <w:rPr>
          <w:rFonts w:ascii="FrankRuehl" w:hAnsi="FrankRuehl" w:cs="FrankRuehl"/>
          <w:color w:val="0000FF"/>
          <w:rtl/>
        </w:rPr>
        <w:t xml:space="preserve">: סע'  </w:t>
      </w:r>
      <w:hyperlink r:id="rId20" w:history="1">
        <w:r w:rsidRPr="009D29EC">
          <w:rPr>
            <w:rStyle w:val="Hyperlink"/>
            <w:rFonts w:ascii="FrankRuehl" w:hAnsi="FrankRuehl" w:cs="FrankRuehl"/>
            <w:u w:val="none"/>
          </w:rPr>
          <w:t>12</w:t>
        </w:r>
      </w:hyperlink>
      <w:r w:rsidRPr="009D29EC">
        <w:rPr>
          <w:rFonts w:ascii="FrankRuehl" w:hAnsi="FrankRuehl" w:cs="FrankRuehl"/>
          <w:color w:val="0000FF"/>
          <w:rtl/>
        </w:rPr>
        <w:t>(1)</w:t>
      </w:r>
    </w:p>
    <w:p w14:paraId="68D5CC51" w14:textId="77777777" w:rsidR="00625F52" w:rsidRPr="009D29EC" w:rsidRDefault="00625F52" w:rsidP="009D29EC">
      <w:pPr>
        <w:rPr>
          <w:rFonts w:ascii="Arial" w:hAnsi="Arial"/>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5F52" w14:paraId="6C4B8230" w14:textId="77777777" w:rsidTr="00625F52">
        <w:trPr>
          <w:trHeight w:val="355"/>
          <w:jc w:val="center"/>
        </w:trPr>
        <w:tc>
          <w:tcPr>
            <w:tcW w:w="8820" w:type="dxa"/>
            <w:tcBorders>
              <w:top w:val="nil"/>
              <w:left w:val="nil"/>
              <w:bottom w:val="nil"/>
              <w:right w:val="nil"/>
            </w:tcBorders>
            <w:shd w:val="clear" w:color="auto" w:fill="auto"/>
          </w:tcPr>
          <w:p w14:paraId="6D0C4060" w14:textId="77777777" w:rsidR="006D0A4F" w:rsidRPr="006D0A4F" w:rsidRDefault="006D0A4F" w:rsidP="006D0A4F">
            <w:pPr>
              <w:jc w:val="center"/>
              <w:rPr>
                <w:rFonts w:ascii="David" w:hAnsi="David"/>
                <w:b/>
                <w:bCs/>
                <w:sz w:val="32"/>
                <w:szCs w:val="32"/>
                <w:u w:val="single"/>
                <w:rtl/>
              </w:rPr>
            </w:pPr>
            <w:bookmarkStart w:id="4" w:name="PsakDin" w:colFirst="0" w:colLast="0"/>
            <w:bookmarkEnd w:id="0"/>
            <w:r w:rsidRPr="006D0A4F">
              <w:rPr>
                <w:rFonts w:ascii="David" w:hAnsi="David"/>
                <w:b/>
                <w:bCs/>
                <w:sz w:val="32"/>
                <w:szCs w:val="32"/>
                <w:u w:val="single"/>
                <w:rtl/>
              </w:rPr>
              <w:t>גזר דין</w:t>
            </w:r>
          </w:p>
          <w:p w14:paraId="0A0E93DF" w14:textId="77777777" w:rsidR="00625F52" w:rsidRPr="006D0A4F" w:rsidRDefault="00625F52" w:rsidP="006D0A4F">
            <w:pPr>
              <w:jc w:val="center"/>
              <w:rPr>
                <w:rFonts w:ascii="David" w:hAnsi="David"/>
                <w:bCs/>
                <w:sz w:val="32"/>
                <w:szCs w:val="32"/>
                <w:u w:val="single"/>
                <w:rtl/>
              </w:rPr>
            </w:pPr>
          </w:p>
        </w:tc>
      </w:tr>
      <w:bookmarkEnd w:id="4"/>
    </w:tbl>
    <w:p w14:paraId="27CE63C6" w14:textId="77777777" w:rsidR="00625F52" w:rsidRPr="000F2247" w:rsidRDefault="00625F52" w:rsidP="00625F52">
      <w:pPr>
        <w:rPr>
          <w:rFonts w:ascii="Arial" w:hAnsi="Arial"/>
          <w:b/>
          <w:bCs/>
          <w:sz w:val="26"/>
          <w:szCs w:val="26"/>
          <w:rtl/>
        </w:rPr>
      </w:pPr>
    </w:p>
    <w:p w14:paraId="33D671FB" w14:textId="77777777" w:rsidR="00625F52" w:rsidRDefault="00625F52" w:rsidP="00625F52">
      <w:pPr>
        <w:spacing w:line="360" w:lineRule="auto"/>
        <w:rPr>
          <w:rFonts w:ascii="David" w:hAnsi="David"/>
          <w:b/>
          <w:bCs/>
          <w:u w:val="single"/>
          <w:rtl/>
        </w:rPr>
      </w:pPr>
    </w:p>
    <w:p w14:paraId="44DF75DC" w14:textId="77777777" w:rsidR="00625F52" w:rsidRDefault="00625F52" w:rsidP="00625F52">
      <w:pPr>
        <w:spacing w:line="360" w:lineRule="auto"/>
        <w:ind w:firstLine="360"/>
        <w:rPr>
          <w:rFonts w:ascii="David" w:hAnsi="David"/>
          <w:b/>
          <w:bCs/>
          <w:u w:val="single"/>
          <w:rtl/>
        </w:rPr>
      </w:pPr>
      <w:r>
        <w:rPr>
          <w:rFonts w:ascii="David" w:hAnsi="David"/>
          <w:b/>
          <w:bCs/>
          <w:u w:val="single"/>
          <w:rtl/>
        </w:rPr>
        <w:t xml:space="preserve">כתב האישום המתוקן </w:t>
      </w:r>
    </w:p>
    <w:p w14:paraId="4BB9644B" w14:textId="77777777" w:rsidR="00625F52" w:rsidRDefault="00625F52" w:rsidP="00625F52">
      <w:pPr>
        <w:pStyle w:val="a9"/>
        <w:numPr>
          <w:ilvl w:val="0"/>
          <w:numId w:val="1"/>
        </w:numPr>
        <w:spacing w:line="360" w:lineRule="auto"/>
        <w:jc w:val="both"/>
        <w:rPr>
          <w:rFonts w:ascii="David" w:hAnsi="David" w:cs="David"/>
          <w:sz w:val="24"/>
          <w:szCs w:val="24"/>
          <w:rtl/>
        </w:rPr>
      </w:pPr>
      <w:bookmarkStart w:id="5" w:name="ABSTRACT_START"/>
      <w:bookmarkEnd w:id="5"/>
      <w:r>
        <w:rPr>
          <w:rFonts w:ascii="David" w:hAnsi="David" w:cs="David"/>
          <w:sz w:val="24"/>
          <w:szCs w:val="24"/>
          <w:rtl/>
        </w:rPr>
        <w:t xml:space="preserve">הנאשם הורשע על פי הודאתו במסגרת הסדר טיעון בביצוע עבירות בנשק (נשיאה והובלה) לפי </w:t>
      </w:r>
      <w:hyperlink r:id="rId21" w:history="1">
        <w:r w:rsidR="009D29EC" w:rsidRPr="009D29EC">
          <w:rPr>
            <w:rStyle w:val="Hyperlink"/>
            <w:rFonts w:ascii="David" w:hAnsi="David" w:cs="David"/>
            <w:color w:val="0000FF"/>
            <w:sz w:val="24"/>
            <w:szCs w:val="24"/>
            <w:rtl/>
          </w:rPr>
          <w:t>סעיף 144(ב)</w:t>
        </w:r>
      </w:hyperlink>
      <w:r>
        <w:rPr>
          <w:rFonts w:ascii="David" w:hAnsi="David" w:cs="David"/>
          <w:sz w:val="24"/>
          <w:szCs w:val="24"/>
          <w:rtl/>
        </w:rPr>
        <w:t xml:space="preserve"> רישא וסיפא ל</w:t>
      </w:r>
      <w:hyperlink r:id="rId22" w:history="1">
        <w:r w:rsidR="006D0A4F" w:rsidRPr="006D0A4F">
          <w:rPr>
            <w:rFonts w:ascii="David" w:hAnsi="David" w:cs="David"/>
            <w:color w:val="0000FF"/>
            <w:sz w:val="24"/>
            <w:szCs w:val="24"/>
            <w:u w:val="single"/>
            <w:rtl/>
          </w:rPr>
          <w:t>חוק העונשין</w:t>
        </w:r>
      </w:hyperlink>
      <w:r>
        <w:rPr>
          <w:rFonts w:ascii="David" w:hAnsi="David" w:cs="David"/>
          <w:sz w:val="24"/>
          <w:szCs w:val="24"/>
          <w:rtl/>
        </w:rPr>
        <w:t xml:space="preserve">; נהיגה ללא רישיון נהיגה תקף לפי </w:t>
      </w:r>
      <w:hyperlink r:id="rId23" w:history="1">
        <w:r w:rsidR="009D29EC" w:rsidRPr="009D29EC">
          <w:rPr>
            <w:rStyle w:val="Hyperlink"/>
            <w:rFonts w:ascii="David" w:hAnsi="David" w:cs="David"/>
            <w:color w:val="0000FF"/>
            <w:sz w:val="24"/>
            <w:szCs w:val="24"/>
            <w:rtl/>
          </w:rPr>
          <w:t>סעיף 10 (א)</w:t>
        </w:r>
      </w:hyperlink>
      <w:r>
        <w:rPr>
          <w:rFonts w:ascii="David" w:hAnsi="David" w:cs="David"/>
          <w:sz w:val="24"/>
          <w:szCs w:val="24"/>
          <w:rtl/>
        </w:rPr>
        <w:t xml:space="preserve"> ל</w:t>
      </w:r>
      <w:hyperlink r:id="rId24" w:history="1">
        <w:r w:rsidR="006D0A4F" w:rsidRPr="006D0A4F">
          <w:rPr>
            <w:rFonts w:ascii="David" w:hAnsi="David" w:cs="David"/>
            <w:color w:val="0000FF"/>
            <w:sz w:val="24"/>
            <w:szCs w:val="24"/>
            <w:u w:val="single"/>
            <w:rtl/>
          </w:rPr>
          <w:t>פקודת התעבורה</w:t>
        </w:r>
      </w:hyperlink>
      <w:r>
        <w:rPr>
          <w:rFonts w:ascii="David" w:hAnsi="David" w:cs="David"/>
          <w:sz w:val="24"/>
          <w:szCs w:val="24"/>
          <w:rtl/>
        </w:rPr>
        <w:t xml:space="preserve">; ונהיגה ללא ביטוח לפי </w:t>
      </w:r>
      <w:hyperlink r:id="rId25" w:history="1">
        <w:r w:rsidR="009D29EC" w:rsidRPr="009D29EC">
          <w:rPr>
            <w:rStyle w:val="Hyperlink"/>
            <w:rFonts w:ascii="David" w:hAnsi="David" w:cs="David"/>
            <w:color w:val="0000FF"/>
            <w:sz w:val="24"/>
            <w:szCs w:val="24"/>
            <w:rtl/>
          </w:rPr>
          <w:t>סעיף 2(א)</w:t>
        </w:r>
      </w:hyperlink>
      <w:r>
        <w:rPr>
          <w:rFonts w:ascii="David" w:hAnsi="David" w:cs="David"/>
          <w:sz w:val="24"/>
          <w:szCs w:val="24"/>
          <w:rtl/>
        </w:rPr>
        <w:t xml:space="preserve"> ל</w:t>
      </w:r>
      <w:hyperlink r:id="rId26" w:history="1">
        <w:r w:rsidR="006D0A4F" w:rsidRPr="006D0A4F">
          <w:rPr>
            <w:rFonts w:ascii="David" w:hAnsi="David" w:cs="David"/>
            <w:color w:val="0000FF"/>
            <w:sz w:val="24"/>
            <w:szCs w:val="24"/>
            <w:u w:val="single"/>
            <w:rtl/>
          </w:rPr>
          <w:t>פקודת ביטוח רכב מנועי</w:t>
        </w:r>
      </w:hyperlink>
      <w:r>
        <w:rPr>
          <w:rFonts w:ascii="David" w:hAnsi="David" w:cs="David"/>
          <w:sz w:val="24"/>
          <w:szCs w:val="24"/>
          <w:rtl/>
        </w:rPr>
        <w:t xml:space="preserve">. </w:t>
      </w:r>
    </w:p>
    <w:p w14:paraId="22497640" w14:textId="77777777" w:rsidR="00625F52" w:rsidRDefault="00625F52" w:rsidP="00625F52">
      <w:pPr>
        <w:pStyle w:val="a9"/>
        <w:spacing w:line="360" w:lineRule="auto"/>
        <w:jc w:val="both"/>
        <w:rPr>
          <w:rFonts w:ascii="David" w:hAnsi="David" w:cs="David"/>
          <w:sz w:val="24"/>
          <w:szCs w:val="24"/>
        </w:rPr>
      </w:pPr>
      <w:bookmarkStart w:id="6" w:name="ABSTRACT_END"/>
      <w:bookmarkEnd w:id="6"/>
    </w:p>
    <w:p w14:paraId="774A4964" w14:textId="77777777" w:rsidR="00625F52" w:rsidRDefault="00625F52" w:rsidP="00625F52">
      <w:pPr>
        <w:pStyle w:val="a9"/>
        <w:numPr>
          <w:ilvl w:val="0"/>
          <w:numId w:val="1"/>
        </w:numPr>
        <w:spacing w:line="360" w:lineRule="auto"/>
        <w:jc w:val="both"/>
        <w:rPr>
          <w:rFonts w:ascii="David" w:hAnsi="David" w:cs="David"/>
          <w:sz w:val="24"/>
          <w:szCs w:val="24"/>
          <w:rtl/>
        </w:rPr>
      </w:pPr>
      <w:r>
        <w:rPr>
          <w:rFonts w:ascii="David" w:hAnsi="David" w:cs="David"/>
          <w:sz w:val="24"/>
          <w:szCs w:val="24"/>
          <w:rtl/>
        </w:rPr>
        <w:t>לפי עובדות כתב האישום בהן הודה הנאשם, בין הנאשם לבין אמיר קעדאן (</w:t>
      </w:r>
      <w:r>
        <w:rPr>
          <w:rFonts w:ascii="David" w:hAnsi="David" w:cs="David"/>
          <w:b/>
          <w:bCs/>
          <w:sz w:val="24"/>
          <w:szCs w:val="24"/>
          <w:rtl/>
        </w:rPr>
        <w:t>להלן: "המתלונן")</w:t>
      </w:r>
      <w:r>
        <w:rPr>
          <w:rFonts w:ascii="David" w:hAnsi="David" w:cs="David"/>
          <w:sz w:val="24"/>
          <w:szCs w:val="24"/>
          <w:rtl/>
        </w:rPr>
        <w:t xml:space="preserve"> לא קיימת היכרות מוקדמת. בתאריך 16.5.24 בסמוך לשעה 21:45 נסע הנאשם ברכבו מסוג מיצובישי בכביש ראשי  "אלקודס" בבאקה אלגרביה, מול המסגד, על אף שתוקף רישיון הנהיגה שלו פקע בשנת 2015 וללא פוליסת  ביטוח, זאת שהוא מוביל על המושב ליד הנהג ברכב, בלא רשות על פי דין, אקדח חצי אוטומטי </w:t>
      </w:r>
      <w:r>
        <w:rPr>
          <w:rFonts w:ascii="David" w:hAnsi="David" w:cs="David"/>
          <w:sz w:val="24"/>
          <w:szCs w:val="24"/>
        </w:rPr>
        <w:t>FN</w:t>
      </w:r>
      <w:r>
        <w:rPr>
          <w:rFonts w:ascii="David" w:hAnsi="David" w:cs="David"/>
          <w:sz w:val="24"/>
          <w:szCs w:val="24"/>
          <w:rtl/>
        </w:rPr>
        <w:t xml:space="preserve"> קליבר 9 מ"מ פארבלום, מספר סידורי 3533, שסוגל לירות כדור שבכוחו להמית אדם, ובתוכו מחסנית שהינה אביזר לנשק. כמו כן, באותה הזדמנות, הוביל הנאשם באמצעות הרכב, מחסנית נוספת שהינה אביזר לנשק </w:t>
      </w:r>
      <w:r>
        <w:rPr>
          <w:rFonts w:ascii="David" w:hAnsi="David" w:cs="David"/>
          <w:b/>
          <w:bCs/>
          <w:sz w:val="24"/>
          <w:szCs w:val="24"/>
          <w:rtl/>
        </w:rPr>
        <w:t>(להלן בהתאמה יחד: "הנשק" ו-"המחסניות").</w:t>
      </w:r>
      <w:r>
        <w:rPr>
          <w:rFonts w:ascii="David" w:hAnsi="David" w:cs="David"/>
          <w:sz w:val="24"/>
          <w:szCs w:val="24"/>
          <w:rtl/>
        </w:rPr>
        <w:t xml:space="preserve"> </w:t>
      </w:r>
    </w:p>
    <w:p w14:paraId="77EE80DA" w14:textId="77777777" w:rsidR="00625F52" w:rsidRDefault="00625F52" w:rsidP="00625F52">
      <w:pPr>
        <w:pStyle w:val="a9"/>
        <w:spacing w:line="360" w:lineRule="auto"/>
        <w:rPr>
          <w:rFonts w:ascii="David" w:hAnsi="David" w:cs="David"/>
          <w:sz w:val="24"/>
          <w:szCs w:val="24"/>
        </w:rPr>
      </w:pPr>
    </w:p>
    <w:p w14:paraId="13D23165" w14:textId="77777777" w:rsidR="00625F52" w:rsidRDefault="00625F52" w:rsidP="00625F52">
      <w:pPr>
        <w:pStyle w:val="a9"/>
        <w:numPr>
          <w:ilvl w:val="0"/>
          <w:numId w:val="1"/>
        </w:numPr>
        <w:spacing w:line="360" w:lineRule="auto"/>
        <w:jc w:val="both"/>
        <w:rPr>
          <w:rFonts w:ascii="David" w:hAnsi="David" w:cs="David"/>
          <w:sz w:val="24"/>
          <w:szCs w:val="24"/>
          <w:rtl/>
        </w:rPr>
      </w:pPr>
      <w:r>
        <w:rPr>
          <w:rFonts w:ascii="David" w:hAnsi="David" w:cs="David"/>
          <w:sz w:val="24"/>
          <w:szCs w:val="24"/>
          <w:rtl/>
        </w:rPr>
        <w:lastRenderedPageBreak/>
        <w:t xml:space="preserve">באותו זמן, נסע המתלונן אף הוא באותו כביש ברכבו. בשלב מסוים של הנסיעה, רכבו של הנאשם התנגש בחלקו האחורי של רכב המתלונן. הנאשם החל לקלל, אחז באקדח שהיה מונח על כסא הנוסע שלידו. המתלונן יצא מרכבו וניגש לרכב הנאשם במטרה לקבל מהנאשם את פרטיו. הנאשם אמר למתלונן, כי הוא לא יכול לחנות במקום בו הם שהו, וביקש ממנו לחנות במקום סמוך. הנאשם והמתלונן נסעו כל אחד ברכבו, נסיעה קצרה של עשרות מטרים, והחנו את רכביהם בשול הכביש. בשלב זה, יצאו הנאשם והמתלונן מרכביהם. המתלונן ביקש מהנאשם את פרטיו, והנאשם אמר כי אין לו רישיון וביטוח, וסירב למסור למתלונן את פרטיו. בהמשך לאמור, ובחלוף כ-10 דקות, ניגש הנאשם לרכבו, נטל מהרכב את הנשק והסתירו בחלק האחורי של מכנסיו, ושב חזרה לכיוון המתלונן, כשהוא נושא את הנשק ואת המחסנית על גופו. המתלונן התעקש לקבל מהנאשם את פרטיו ואף אמר לו שהוא יזמין משטרה, ובתגובה אמר הנאשם למתלונן שזה לא יגמר בטוב. </w:t>
      </w:r>
    </w:p>
    <w:p w14:paraId="01BDAF76" w14:textId="77777777" w:rsidR="00625F52" w:rsidRDefault="00625F52" w:rsidP="00625F52">
      <w:pPr>
        <w:pStyle w:val="a9"/>
        <w:spacing w:line="360" w:lineRule="auto"/>
        <w:rPr>
          <w:rFonts w:ascii="David" w:hAnsi="David" w:cs="David"/>
          <w:sz w:val="24"/>
          <w:szCs w:val="24"/>
        </w:rPr>
      </w:pPr>
    </w:p>
    <w:p w14:paraId="6500E515" w14:textId="77777777" w:rsidR="00625F52" w:rsidRDefault="00625F52" w:rsidP="00625F5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במהלך המתואר  לעיל, הורה הנאשם למתלונן לשוחח עם אחרים בטלפון הנייד של הנאשם, והאחרים, לבקשתו של הנאשם, ניסו לשכנע את המתלונן שיתיר לנאשם לעזוב את המקום. במהלך המתואר לעיל, ולפני הגעת המשטרה, החביא הנאשם את האקדח ואת המחסנית מאחורי חיפוי פנימי ברכב, בסמוך למושב הנוסע שליד הנהג. כתוצאה מהתאונה נגרם לרכב המתלונן נזק של 2,000 ₪. </w:t>
      </w:r>
    </w:p>
    <w:p w14:paraId="6E613EB4" w14:textId="77777777" w:rsidR="00625F52" w:rsidRDefault="00625F52" w:rsidP="00625F52">
      <w:pPr>
        <w:spacing w:line="360" w:lineRule="auto"/>
        <w:ind w:firstLine="360"/>
        <w:jc w:val="both"/>
        <w:rPr>
          <w:rFonts w:ascii="David" w:hAnsi="David"/>
          <w:b/>
          <w:bCs/>
          <w:u w:val="single"/>
          <w:rtl/>
        </w:rPr>
      </w:pPr>
      <w:r>
        <w:rPr>
          <w:rFonts w:ascii="David" w:hAnsi="David"/>
          <w:b/>
          <w:bCs/>
          <w:u w:val="single"/>
          <w:rtl/>
        </w:rPr>
        <w:t xml:space="preserve">ראיות לעונש </w:t>
      </w:r>
    </w:p>
    <w:p w14:paraId="23AF7BB3" w14:textId="77777777" w:rsidR="00625F52" w:rsidRDefault="00625F52" w:rsidP="00625F52">
      <w:pPr>
        <w:pStyle w:val="a9"/>
        <w:numPr>
          <w:ilvl w:val="0"/>
          <w:numId w:val="1"/>
        </w:numPr>
        <w:spacing w:line="360" w:lineRule="auto"/>
        <w:jc w:val="both"/>
        <w:rPr>
          <w:rFonts w:ascii="David" w:hAnsi="David" w:cs="David"/>
          <w:sz w:val="24"/>
          <w:szCs w:val="24"/>
          <w:rtl/>
        </w:rPr>
      </w:pPr>
      <w:r>
        <w:rPr>
          <w:rFonts w:ascii="David" w:hAnsi="David" w:cs="David"/>
          <w:sz w:val="24"/>
          <w:szCs w:val="24"/>
          <w:rtl/>
        </w:rPr>
        <w:t>ב"כ המאשימה הגיש רישום פלילי של הנאשם (ת/1), רישום תעבורתי של הנאשם (ת/2), גזר דין (בבית המשפט השלום תעבורה בחדרה) שבו עונש מאסר על תנאי להפעלה (ת/3), פלט כליאות ומאסרים של הנאשם (ת/4).</w:t>
      </w:r>
    </w:p>
    <w:p w14:paraId="1E2942B1" w14:textId="77777777" w:rsidR="00625F52" w:rsidRDefault="00625F52" w:rsidP="00625F52">
      <w:pPr>
        <w:pStyle w:val="a9"/>
        <w:spacing w:line="360" w:lineRule="auto"/>
        <w:jc w:val="both"/>
        <w:rPr>
          <w:rFonts w:ascii="David" w:hAnsi="David" w:cs="David"/>
          <w:sz w:val="24"/>
          <w:szCs w:val="24"/>
        </w:rPr>
      </w:pPr>
    </w:p>
    <w:p w14:paraId="2FF050C6" w14:textId="77777777" w:rsidR="00625F52" w:rsidRDefault="00625F52" w:rsidP="00625F52">
      <w:pPr>
        <w:pStyle w:val="a9"/>
        <w:numPr>
          <w:ilvl w:val="0"/>
          <w:numId w:val="1"/>
        </w:numPr>
        <w:spacing w:line="360" w:lineRule="auto"/>
        <w:jc w:val="both"/>
        <w:rPr>
          <w:rFonts w:ascii="David" w:hAnsi="David" w:cs="David"/>
          <w:sz w:val="24"/>
          <w:szCs w:val="24"/>
        </w:rPr>
      </w:pPr>
      <w:r>
        <w:rPr>
          <w:rFonts w:ascii="David" w:hAnsi="David" w:cs="David"/>
          <w:sz w:val="24"/>
          <w:szCs w:val="24"/>
          <w:rtl/>
        </w:rPr>
        <w:t>ב"</w:t>
      </w:r>
      <w:r>
        <w:rPr>
          <w:rFonts w:ascii="David" w:hAnsi="David" w:cs="David" w:hint="cs"/>
          <w:sz w:val="24"/>
          <w:szCs w:val="24"/>
          <w:rtl/>
        </w:rPr>
        <w:t>כ</w:t>
      </w:r>
      <w:r>
        <w:rPr>
          <w:rFonts w:ascii="David" w:hAnsi="David" w:cs="David"/>
          <w:sz w:val="24"/>
          <w:szCs w:val="24"/>
          <w:rtl/>
        </w:rPr>
        <w:t xml:space="preserve"> הנאשם הגיש מסמכים רפואיים של הורי הנאשם (נ/1). </w:t>
      </w:r>
    </w:p>
    <w:p w14:paraId="315798EB" w14:textId="77777777" w:rsidR="00625F52" w:rsidRDefault="00625F52" w:rsidP="00625F52">
      <w:pPr>
        <w:spacing w:line="360" w:lineRule="auto"/>
        <w:ind w:firstLine="360"/>
        <w:jc w:val="both"/>
        <w:rPr>
          <w:rFonts w:ascii="David" w:hAnsi="David"/>
          <w:b/>
          <w:bCs/>
          <w:u w:val="single"/>
          <w:rtl/>
        </w:rPr>
      </w:pPr>
      <w:r>
        <w:rPr>
          <w:rFonts w:ascii="David" w:hAnsi="David"/>
          <w:b/>
          <w:bCs/>
          <w:u w:val="single"/>
          <w:rtl/>
        </w:rPr>
        <w:t xml:space="preserve">טענות הצדדים לעונש </w:t>
      </w:r>
    </w:p>
    <w:p w14:paraId="089232CF" w14:textId="77777777" w:rsidR="00625F52" w:rsidRDefault="00625F52" w:rsidP="00625F5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המאשימה המלומד טען כי מדובר בנאשם כבן 24 בעת אירוע נשוא כתב האישום, אשר לחובתו הרשעה קודמת של החזקת אגרופן או סכין. נוסף על כך, לנאשם עבר פלילי תעבורתי לא מבוטל הכולל 10 הרשעות, בין היתר הורשע בסירוב להיבדק בדיקת נשיפה, עבירות מהירות, נהיגה בקלות ראש, נהיגה בזמן פסילה, אי ציות לשוטר במדים וכיו"ב. ב"כ המאשימה הפנה להנחיות פרקליט המדינה 9.16 במסגרת פסיקה שהציג בכדי להמחיש את  עמדתו הנחרצת של המחוקק הקובעת מדיניות החמרה בענישה בעבירות נשק. הרציונל העומד בבסיס החמרה זאת וקביעת עונש מזערי כהוראת שעה הינן בשל שכיחות התופעה, הסיכון הגבוה שנשקף לציבור מאנשים שמשתמשים בנשק שלא כדין.  האירוע נשוא כתב האישום מלמד על חומרה יתרה בעקבות מגעו של הנאשם עם המתלונן כשהוא נושא את הנשק והמחסנית, אמר למתלונן "זה לא יגמר טוב". לאחר מכן, כשחשש </w:t>
      </w:r>
      <w:r>
        <w:rPr>
          <w:rFonts w:ascii="David" w:hAnsi="David" w:cs="David"/>
          <w:sz w:val="24"/>
          <w:szCs w:val="24"/>
          <w:rtl/>
        </w:rPr>
        <w:lastRenderedPageBreak/>
        <w:t xml:space="preserve">שהמשטרה תגיע, הסתיר את הנשק. השתלשלות אירוע נשוא כתב האישום מלמדת על כך שהנאשם עורר אסקלציה באירוע, מערב גורמים אחרים, מאיים, ומנסה להסתיר את התנהלותו הבלתי חוקית בשעה שאוחז ושולט באקדח ומחסנית. </w:t>
      </w:r>
    </w:p>
    <w:p w14:paraId="6BB3F4F5" w14:textId="77777777" w:rsidR="00625F52" w:rsidRDefault="00625F52" w:rsidP="00625F52">
      <w:pPr>
        <w:pStyle w:val="a9"/>
        <w:spacing w:line="360" w:lineRule="auto"/>
        <w:rPr>
          <w:rFonts w:ascii="David" w:hAnsi="David" w:cs="David"/>
          <w:sz w:val="24"/>
          <w:szCs w:val="24"/>
        </w:rPr>
      </w:pPr>
    </w:p>
    <w:p w14:paraId="71C938F6" w14:textId="77777777" w:rsidR="00625F52" w:rsidRDefault="00625F52" w:rsidP="00625F5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המאשימה המלומד עמד על חלקו היחסי של הנאשם ומידת ההשפעה שלו על האירועים, הנזק שהיה צפוי להיגרם מהעבירה שבה הורשע היה יכול להוביל לפגיעה בגופו של אדם וגרוע מכך. בסיטואציה אליה נקלע המתלונן, תאונת דרכים, אין לדעת כיצד הצד השני יגיב, וגם אם התגובה הייתה חריפה יותר, הדבר עלול להוביל לשימוש בנשק ופגיעה בחיי אדם. לאור כל אלה התבקש בית המשפט לקבוע מתחם עונש שנע בין 36- 54 חודשי מאסר בפועל ולגזור את עונשו של הנאשם ברף האמצעי לצד מאסר מותנה, הפעלת המאסר המותנה במצטבר, קנס ופיצוי למתלונן. </w:t>
      </w:r>
    </w:p>
    <w:p w14:paraId="4F9B2D2D" w14:textId="77777777" w:rsidR="00625F52" w:rsidRDefault="00625F52" w:rsidP="00625F52">
      <w:pPr>
        <w:pStyle w:val="a9"/>
        <w:spacing w:line="360" w:lineRule="auto"/>
        <w:rPr>
          <w:rFonts w:ascii="David" w:hAnsi="David" w:cs="David"/>
          <w:sz w:val="24"/>
          <w:szCs w:val="24"/>
        </w:rPr>
      </w:pPr>
    </w:p>
    <w:p w14:paraId="0F210246" w14:textId="77777777" w:rsidR="00625F52" w:rsidRDefault="00625F52" w:rsidP="00625F52">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הנאשם המלומד עמד על נסיבות ביצוע העבירה, הוא ניסה להסביר את התנהגותו של הנאשם כלפי המתלונן וטען שהנאשם אמר למתלונן: "לא ייגמר בטוב" כאמירה שבאה לבטא את תחושתו של הנאשם, שנבעה ממצב דחק, ולא כאיום. הנאשם ניסה לסגור את העניין מול המתלונן, הוא לא הכיר את המתלונן, לא התכוון לאיים עליו, ולא רצה לפגוע בו. עוד נטען, כי יש לשקול לזקוף לקולא את הודאתו של הנאשם והבעת החרטה. ב"כ הנאשם הפנה למס' גזרי דין וטען שיש ללמוד מהם לעניין הענישה. בית המשפט התבקש לקבוע מתחם שנע בין 10-24 חודשי מאסר בפועל ולגזור את עונשו של הנאשם ברף התחתון של המתחם המוצע. </w:t>
      </w:r>
    </w:p>
    <w:p w14:paraId="0060F2A1" w14:textId="77777777" w:rsidR="00625F52" w:rsidRDefault="00625F52" w:rsidP="00625F52">
      <w:pPr>
        <w:pStyle w:val="a9"/>
        <w:spacing w:line="360" w:lineRule="auto"/>
        <w:rPr>
          <w:rFonts w:ascii="David" w:hAnsi="David" w:cs="David"/>
          <w:sz w:val="24"/>
          <w:szCs w:val="24"/>
        </w:rPr>
      </w:pPr>
    </w:p>
    <w:p w14:paraId="2248AAA2" w14:textId="77777777" w:rsidR="00625F52" w:rsidRDefault="00625F52" w:rsidP="00625F52">
      <w:pPr>
        <w:spacing w:line="360" w:lineRule="auto"/>
        <w:ind w:firstLine="360"/>
        <w:jc w:val="both"/>
        <w:rPr>
          <w:rFonts w:ascii="David" w:hAnsi="David"/>
          <w:b/>
          <w:bCs/>
          <w:u w:val="single"/>
          <w:rtl/>
        </w:rPr>
      </w:pPr>
      <w:r>
        <w:rPr>
          <w:rFonts w:ascii="David" w:hAnsi="David"/>
          <w:b/>
          <w:bCs/>
          <w:u w:val="single"/>
          <w:rtl/>
        </w:rPr>
        <w:t xml:space="preserve">דבר הנאשם לפני מתן גזר הדין </w:t>
      </w:r>
    </w:p>
    <w:p w14:paraId="58C6DFC5" w14:textId="77777777" w:rsidR="00625F52" w:rsidRDefault="00625F52" w:rsidP="00625F52">
      <w:pPr>
        <w:pStyle w:val="a9"/>
        <w:numPr>
          <w:ilvl w:val="0"/>
          <w:numId w:val="1"/>
        </w:numPr>
        <w:spacing w:line="360" w:lineRule="auto"/>
        <w:jc w:val="both"/>
        <w:rPr>
          <w:rFonts w:ascii="David" w:hAnsi="David" w:cs="David"/>
          <w:b/>
          <w:bCs/>
          <w:sz w:val="24"/>
          <w:szCs w:val="24"/>
          <w:u w:val="single"/>
          <w:rtl/>
        </w:rPr>
      </w:pPr>
      <w:r>
        <w:rPr>
          <w:rFonts w:ascii="David" w:hAnsi="David" w:cs="David"/>
          <w:sz w:val="24"/>
          <w:szCs w:val="24"/>
          <w:rtl/>
        </w:rPr>
        <w:t xml:space="preserve">הנאשם טען כי הוא מודה בטעותו וביקש להתקדם בחייו ולא לחיות בעבר. הוא אמר שהוא לא יחזור לבצע עבירות, הוא הוסיף שיש לו עסק לגגות רעפים עם חוות דעת חיוביות באינטרנט והוא רוצה שלא יפגעו לו במוניטין. </w:t>
      </w:r>
    </w:p>
    <w:p w14:paraId="60836567" w14:textId="77777777" w:rsidR="00625F52" w:rsidRDefault="00625F52" w:rsidP="00625F52">
      <w:pPr>
        <w:spacing w:line="360" w:lineRule="auto"/>
        <w:ind w:firstLine="360"/>
        <w:rPr>
          <w:rFonts w:ascii="David" w:hAnsi="David"/>
          <w:b/>
          <w:bCs/>
          <w:u w:val="single"/>
          <w:rtl/>
        </w:rPr>
      </w:pPr>
    </w:p>
    <w:p w14:paraId="2BD5FC48" w14:textId="77777777" w:rsidR="00625F52" w:rsidRDefault="00625F52" w:rsidP="00625F52">
      <w:pPr>
        <w:spacing w:line="360" w:lineRule="auto"/>
        <w:ind w:left="141" w:firstLine="284"/>
        <w:rPr>
          <w:rFonts w:ascii="David" w:hAnsi="David"/>
          <w:b/>
          <w:bCs/>
          <w:u w:val="single"/>
          <w:rtl/>
        </w:rPr>
      </w:pPr>
      <w:r>
        <w:rPr>
          <w:rFonts w:ascii="David" w:hAnsi="David"/>
          <w:b/>
          <w:bCs/>
          <w:u w:val="single"/>
          <w:rtl/>
        </w:rPr>
        <w:t xml:space="preserve">דיון והכרעה  </w:t>
      </w:r>
    </w:p>
    <w:p w14:paraId="4B3C2428" w14:textId="77777777" w:rsidR="00625F52" w:rsidRDefault="00625F52" w:rsidP="00625F52">
      <w:pPr>
        <w:spacing w:line="360" w:lineRule="auto"/>
        <w:ind w:firstLine="425"/>
        <w:jc w:val="both"/>
        <w:rPr>
          <w:rFonts w:ascii="David" w:hAnsi="David"/>
          <w:b/>
          <w:bCs/>
          <w:u w:val="single"/>
          <w:rtl/>
        </w:rPr>
      </w:pPr>
      <w:r>
        <w:rPr>
          <w:rFonts w:ascii="David" w:hAnsi="David"/>
          <w:b/>
          <w:bCs/>
          <w:u w:val="single"/>
          <w:rtl/>
        </w:rPr>
        <w:t>הערכים המוגנים ופגיעה בהם</w:t>
      </w:r>
    </w:p>
    <w:p w14:paraId="5D43EFBE" w14:textId="77777777" w:rsidR="00625F52" w:rsidRDefault="00625F52" w:rsidP="00625F52">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החזקת נשק באופן בלתי  חוקי הינה בעלת פוטנציאל מסכן חיים, היא מובילה לא אחת לביצוע עבירות אלימות קשות ואף לקטל. חומרת המעשה נמדדת כל פי נסיבות האירוע, תוך ראיית הסיכון הפוטנציאלי הטמון בו, אשר לדאבון הלב, לעיתים מתממש וגובה מחיר דמים יקר (ראו למשל: </w:t>
      </w:r>
      <w:hyperlink r:id="rId27" w:history="1">
        <w:r w:rsidR="006D0A4F" w:rsidRPr="006D0A4F">
          <w:rPr>
            <w:rFonts w:ascii="David" w:hAnsi="David" w:cs="David"/>
            <w:color w:val="0000FF"/>
            <w:sz w:val="24"/>
            <w:szCs w:val="24"/>
            <w:u w:val="single"/>
            <w:rtl/>
          </w:rPr>
          <w:t>ע"פ 6702/22</w:t>
        </w:r>
      </w:hyperlink>
      <w:r>
        <w:rPr>
          <w:rFonts w:ascii="David" w:hAnsi="David" w:cs="David"/>
          <w:sz w:val="24"/>
          <w:szCs w:val="24"/>
          <w:rtl/>
        </w:rPr>
        <w:t xml:space="preserve"> </w:t>
      </w:r>
      <w:r>
        <w:rPr>
          <w:rFonts w:ascii="David" w:hAnsi="David" w:cs="David"/>
          <w:b/>
          <w:bCs/>
          <w:sz w:val="24"/>
          <w:szCs w:val="24"/>
          <w:rtl/>
        </w:rPr>
        <w:t>מדינת ישראל נ' הייב</w:t>
      </w:r>
      <w:r>
        <w:rPr>
          <w:rFonts w:ascii="David" w:hAnsi="David" w:cs="David"/>
          <w:sz w:val="24"/>
          <w:szCs w:val="24"/>
          <w:rtl/>
        </w:rPr>
        <w:t xml:space="preserve">, פסקה 10, (4.4.2023); </w:t>
      </w:r>
      <w:hyperlink r:id="rId28" w:history="1">
        <w:r w:rsidR="006D0A4F" w:rsidRPr="006D0A4F">
          <w:rPr>
            <w:rFonts w:ascii="David" w:hAnsi="David" w:cs="David"/>
            <w:color w:val="0000FF"/>
            <w:sz w:val="24"/>
            <w:szCs w:val="24"/>
            <w:u w:val="single"/>
            <w:rtl/>
          </w:rPr>
          <w:t>ע"פ 6865/22</w:t>
        </w:r>
      </w:hyperlink>
      <w:r>
        <w:rPr>
          <w:rFonts w:ascii="David" w:hAnsi="David" w:cs="David"/>
          <w:sz w:val="24"/>
          <w:szCs w:val="24"/>
          <w:rtl/>
        </w:rPr>
        <w:t xml:space="preserve"> </w:t>
      </w:r>
      <w:r>
        <w:rPr>
          <w:rFonts w:ascii="David" w:hAnsi="David" w:cs="David"/>
          <w:b/>
          <w:bCs/>
          <w:sz w:val="24"/>
          <w:szCs w:val="24"/>
          <w:rtl/>
        </w:rPr>
        <w:t>מדינת ישראל נ' ג'בארין</w:t>
      </w:r>
      <w:r>
        <w:rPr>
          <w:rFonts w:ascii="David" w:hAnsi="David" w:cs="David"/>
          <w:sz w:val="24"/>
          <w:szCs w:val="24"/>
          <w:rtl/>
        </w:rPr>
        <w:t xml:space="preserve">, פסקה 7 [פורסם בנבו] (17.1.2023); </w:t>
      </w:r>
      <w:hyperlink r:id="rId29" w:history="1">
        <w:r w:rsidR="006D0A4F" w:rsidRPr="006D0A4F">
          <w:rPr>
            <w:rFonts w:ascii="David" w:hAnsi="David" w:cs="David"/>
            <w:color w:val="0000FF"/>
            <w:sz w:val="24"/>
            <w:szCs w:val="24"/>
            <w:u w:val="single"/>
            <w:rtl/>
          </w:rPr>
          <w:t>ע"פ 3728/22</w:t>
        </w:r>
      </w:hyperlink>
      <w:r>
        <w:rPr>
          <w:rFonts w:ascii="David" w:hAnsi="David" w:cs="David"/>
          <w:sz w:val="24"/>
          <w:szCs w:val="24"/>
          <w:rtl/>
        </w:rPr>
        <w:t xml:space="preserve"> </w:t>
      </w:r>
      <w:r>
        <w:rPr>
          <w:rFonts w:ascii="David" w:hAnsi="David" w:cs="David"/>
          <w:b/>
          <w:bCs/>
          <w:sz w:val="24"/>
          <w:szCs w:val="24"/>
          <w:rtl/>
        </w:rPr>
        <w:t>מסאלחה נ' מדינת ישראל</w:t>
      </w:r>
      <w:r>
        <w:rPr>
          <w:rFonts w:ascii="David" w:hAnsi="David" w:cs="David"/>
          <w:sz w:val="24"/>
          <w:szCs w:val="24"/>
          <w:rtl/>
        </w:rPr>
        <w:t xml:space="preserve">, פסקה 14 [פורסם בנבו] (9.8.2022). </w:t>
      </w:r>
    </w:p>
    <w:p w14:paraId="1251245E" w14:textId="77777777" w:rsidR="00625F52" w:rsidRDefault="00625F52" w:rsidP="00625F52">
      <w:pPr>
        <w:pStyle w:val="a9"/>
        <w:spacing w:line="360" w:lineRule="auto"/>
        <w:jc w:val="both"/>
        <w:rPr>
          <w:rFonts w:ascii="David" w:hAnsi="David" w:cs="David"/>
          <w:sz w:val="24"/>
          <w:szCs w:val="24"/>
          <w:rtl/>
        </w:rPr>
      </w:pPr>
    </w:p>
    <w:p w14:paraId="4DECE38B" w14:textId="77777777" w:rsidR="00625F52" w:rsidRDefault="00625F52" w:rsidP="00625F52">
      <w:pPr>
        <w:pStyle w:val="a9"/>
        <w:numPr>
          <w:ilvl w:val="0"/>
          <w:numId w:val="1"/>
        </w:numPr>
        <w:spacing w:line="360" w:lineRule="auto"/>
        <w:jc w:val="both"/>
        <w:rPr>
          <w:rFonts w:ascii="David" w:hAnsi="David" w:cs="David"/>
          <w:sz w:val="24"/>
          <w:szCs w:val="24"/>
          <w:rtl/>
        </w:rPr>
      </w:pPr>
      <w:r>
        <w:rPr>
          <w:rFonts w:ascii="David" w:hAnsi="David" w:cs="David"/>
          <w:sz w:val="24"/>
          <w:szCs w:val="24"/>
          <w:rtl/>
        </w:rPr>
        <w:t>על רקע זה קרא בית המשפט  העליון לא אחת להגביר את האכיפה בתחום פשיעה מסכן חיים זה, ולהחמיר את הענישה עם אלה המבצעים עבירות בנשק:</w:t>
      </w:r>
    </w:p>
    <w:p w14:paraId="13E22A95" w14:textId="77777777" w:rsidR="00625F52" w:rsidRDefault="00625F52" w:rsidP="00625F52">
      <w:pPr>
        <w:pStyle w:val="a9"/>
        <w:spacing w:line="360" w:lineRule="auto"/>
        <w:jc w:val="both"/>
        <w:rPr>
          <w:rFonts w:ascii="David" w:hAnsi="David" w:cs="David"/>
          <w:sz w:val="24"/>
          <w:szCs w:val="24"/>
        </w:rPr>
      </w:pPr>
    </w:p>
    <w:p w14:paraId="66885CDC" w14:textId="77777777" w:rsidR="00625F52" w:rsidRDefault="00625F52" w:rsidP="00625F52">
      <w:pPr>
        <w:pStyle w:val="a9"/>
        <w:spacing w:line="360" w:lineRule="auto"/>
        <w:ind w:left="1785" w:right="993"/>
        <w:jc w:val="both"/>
        <w:rPr>
          <w:rFonts w:ascii="Narkisim" w:hAnsi="Narkisim" w:cs="Narkisim"/>
          <w:b/>
          <w:bCs/>
          <w:sz w:val="24"/>
          <w:szCs w:val="24"/>
        </w:rPr>
      </w:pPr>
      <w:r>
        <w:rPr>
          <w:rFonts w:ascii="David" w:hAnsi="David" w:cs="David"/>
          <w:b/>
          <w:bCs/>
          <w:sz w:val="24"/>
          <w:szCs w:val="24"/>
          <w:rtl/>
        </w:rPr>
        <w:t>"</w:t>
      </w:r>
      <w:r>
        <w:rPr>
          <w:rFonts w:ascii="Narkisim" w:hAnsi="Narkisim" w:cs="Narkisim"/>
          <w:b/>
          <w:bCs/>
          <w:sz w:val="24"/>
          <w:szCs w:val="24"/>
          <w:rtl/>
        </w:rPr>
        <w:t>אין צורך להכביר במילים על אודות החומרה הנלווית לעבירות נשק. אין היום חולקין כי עבירות מסוג זה הפכו ל"מכת מדינה" של ממש... מכה זו מצריכה מענה הולם בדמות ענישה מחמירה של הטלת עונשי מאסר משמעותיים". מצויים אנו לעת הזאת במצב חירום של ממש בעניין עבירות הנשק, ולא בכדי נתקבל עתה תיקון ל</w:t>
      </w:r>
      <w:hyperlink r:id="rId30" w:history="1">
        <w:r w:rsidR="006D0A4F" w:rsidRPr="006D0A4F">
          <w:rPr>
            <w:rFonts w:ascii="Narkisim" w:hAnsi="Narkisim" w:cs="Narkisim"/>
            <w:b/>
            <w:bCs/>
            <w:color w:val="0000FF"/>
            <w:sz w:val="24"/>
            <w:szCs w:val="24"/>
            <w:u w:val="single"/>
            <w:rtl/>
          </w:rPr>
          <w:t>חוק העונשין</w:t>
        </w:r>
      </w:hyperlink>
      <w:r>
        <w:rPr>
          <w:rFonts w:ascii="Narkisim" w:hAnsi="Narkisim" w:cs="Narkisim"/>
          <w:b/>
          <w:bCs/>
          <w:sz w:val="24"/>
          <w:szCs w:val="24"/>
          <w:rtl/>
        </w:rPr>
        <w:t>" (</w:t>
      </w:r>
      <w:hyperlink r:id="rId31" w:history="1">
        <w:r w:rsidR="006D0A4F" w:rsidRPr="006D0A4F">
          <w:rPr>
            <w:rFonts w:ascii="Narkisim" w:hAnsi="Narkisim" w:cs="Narkisim"/>
            <w:b/>
            <w:bCs/>
            <w:color w:val="0000FF"/>
            <w:sz w:val="24"/>
            <w:szCs w:val="24"/>
            <w:u w:val="single"/>
            <w:rtl/>
          </w:rPr>
          <w:t>ע"פ 8320/21</w:t>
        </w:r>
      </w:hyperlink>
      <w:r>
        <w:rPr>
          <w:rFonts w:ascii="Narkisim" w:hAnsi="Narkisim" w:cs="Narkisim"/>
          <w:b/>
          <w:bCs/>
          <w:sz w:val="24"/>
          <w:szCs w:val="24"/>
          <w:rtl/>
        </w:rPr>
        <w:t xml:space="preserve"> מדינת ישראל נ' בסילה, פסקה 10, 28.12.2021). </w:t>
      </w:r>
    </w:p>
    <w:p w14:paraId="185F4FBF" w14:textId="77777777" w:rsidR="00625F52" w:rsidRDefault="00625F52" w:rsidP="00625F52">
      <w:pPr>
        <w:pStyle w:val="a9"/>
        <w:spacing w:line="360" w:lineRule="auto"/>
        <w:ind w:left="1785" w:right="993"/>
        <w:jc w:val="both"/>
        <w:rPr>
          <w:rFonts w:ascii="David" w:hAnsi="David" w:cs="David"/>
          <w:sz w:val="24"/>
          <w:szCs w:val="24"/>
          <w:rtl/>
        </w:rPr>
      </w:pPr>
    </w:p>
    <w:p w14:paraId="1B83147A" w14:textId="77777777" w:rsidR="00625F52" w:rsidRDefault="00625F52" w:rsidP="00625F52">
      <w:pPr>
        <w:pStyle w:val="a9"/>
        <w:numPr>
          <w:ilvl w:val="0"/>
          <w:numId w:val="1"/>
        </w:numPr>
        <w:spacing w:line="360" w:lineRule="auto"/>
        <w:jc w:val="both"/>
        <w:rPr>
          <w:rFonts w:ascii="David" w:hAnsi="David" w:cs="David"/>
          <w:sz w:val="24"/>
          <w:szCs w:val="24"/>
          <w:rtl/>
        </w:rPr>
      </w:pPr>
      <w:r>
        <w:rPr>
          <w:rFonts w:ascii="David" w:hAnsi="David" w:cs="David"/>
          <w:sz w:val="24"/>
          <w:szCs w:val="24"/>
          <w:rtl/>
        </w:rPr>
        <w:t>מעשיו של הנאשם סיכנו את שלום הציבור שעה שנשא והוביל אקדח ומחסני</w:t>
      </w:r>
      <w:r>
        <w:rPr>
          <w:rFonts w:ascii="David" w:hAnsi="David" w:cs="David" w:hint="cs"/>
          <w:sz w:val="24"/>
          <w:szCs w:val="24"/>
          <w:rtl/>
        </w:rPr>
        <w:t>ו</w:t>
      </w:r>
      <w:r>
        <w:rPr>
          <w:rFonts w:ascii="David" w:hAnsi="David" w:cs="David"/>
          <w:sz w:val="24"/>
          <w:szCs w:val="24"/>
          <w:rtl/>
        </w:rPr>
        <w:t xml:space="preserve">ת, ובשלב מסוים </w:t>
      </w:r>
      <w:r>
        <w:rPr>
          <w:rFonts w:ascii="David" w:hAnsi="David" w:cs="David" w:hint="cs"/>
          <w:sz w:val="24"/>
          <w:szCs w:val="24"/>
          <w:rtl/>
        </w:rPr>
        <w:t xml:space="preserve">נשא את האקדח ומחסנית שבו </w:t>
      </w:r>
      <w:r>
        <w:rPr>
          <w:rFonts w:ascii="David" w:hAnsi="David" w:cs="David"/>
          <w:sz w:val="24"/>
          <w:szCs w:val="24"/>
          <w:rtl/>
        </w:rPr>
        <w:t xml:space="preserve">על גופו, פגע עם רכבו ברכב המתלונן, ולאחר התאונה ניהל דו שיח מאיים עם המתלונן תוך שהוא נושא עליו את האקדח. מעשים אלה בעלי חומרה יתרה שכן ויכוח זועם בכביש בין שני נהגים עלול לגלוש בקלות לאלימות וכאשר אחד מהם נושא נשק תוצאותיו מי ישורנו. הפגיעה בערכים המוגנים הינה איפוא גבוהה. </w:t>
      </w:r>
    </w:p>
    <w:p w14:paraId="0EB547BE" w14:textId="77777777" w:rsidR="00625F52" w:rsidRDefault="00625F52" w:rsidP="00625F52">
      <w:pPr>
        <w:spacing w:line="360" w:lineRule="auto"/>
        <w:ind w:left="360"/>
        <w:jc w:val="both"/>
        <w:rPr>
          <w:rFonts w:ascii="David" w:hAnsi="David"/>
          <w:b/>
          <w:bCs/>
          <w:u w:val="single"/>
          <w:rtl/>
        </w:rPr>
      </w:pPr>
    </w:p>
    <w:p w14:paraId="5B8DF912" w14:textId="77777777" w:rsidR="00625F52" w:rsidRDefault="00625F52" w:rsidP="00625F52">
      <w:pPr>
        <w:spacing w:line="360" w:lineRule="auto"/>
        <w:ind w:left="360" w:firstLine="65"/>
        <w:jc w:val="both"/>
        <w:rPr>
          <w:rFonts w:ascii="David" w:hAnsi="David"/>
          <w:b/>
          <w:bCs/>
          <w:u w:val="single"/>
          <w:rtl/>
        </w:rPr>
      </w:pPr>
      <w:r>
        <w:rPr>
          <w:rFonts w:ascii="David" w:hAnsi="David"/>
          <w:b/>
          <w:bCs/>
          <w:u w:val="single"/>
          <w:rtl/>
        </w:rPr>
        <w:t xml:space="preserve">מדיניות ענישה נוהגת </w:t>
      </w:r>
    </w:p>
    <w:p w14:paraId="70991874" w14:textId="77777777" w:rsidR="00625F52" w:rsidRPr="006E1527" w:rsidRDefault="00625F52" w:rsidP="00625F52">
      <w:pPr>
        <w:pStyle w:val="a9"/>
        <w:numPr>
          <w:ilvl w:val="0"/>
          <w:numId w:val="1"/>
        </w:numPr>
        <w:spacing w:line="360" w:lineRule="auto"/>
        <w:jc w:val="both"/>
        <w:rPr>
          <w:rFonts w:ascii="David" w:hAnsi="David" w:cs="David"/>
          <w:sz w:val="24"/>
          <w:szCs w:val="24"/>
        </w:rPr>
      </w:pPr>
      <w:r w:rsidRPr="006E1527">
        <w:rPr>
          <w:rFonts w:ascii="David" w:hAnsi="David" w:cs="David"/>
          <w:sz w:val="24"/>
          <w:szCs w:val="24"/>
          <w:rtl/>
        </w:rPr>
        <w:t>הגישה העונשית המסתמנת בפסיקה מאז תיקון 140 ל</w:t>
      </w:r>
      <w:hyperlink r:id="rId32" w:history="1">
        <w:r w:rsidR="006D0A4F" w:rsidRPr="006D0A4F">
          <w:rPr>
            <w:rFonts w:ascii="David" w:hAnsi="David" w:cs="David"/>
            <w:color w:val="0000FF"/>
            <w:sz w:val="24"/>
            <w:szCs w:val="24"/>
            <w:u w:val="single"/>
            <w:rtl/>
          </w:rPr>
          <w:t>חוק העונשין</w:t>
        </w:r>
      </w:hyperlink>
      <w:r w:rsidRPr="006E1527">
        <w:rPr>
          <w:rFonts w:ascii="David" w:hAnsi="David" w:cs="David"/>
          <w:sz w:val="24"/>
          <w:szCs w:val="24"/>
          <w:rtl/>
        </w:rPr>
        <w:t xml:space="preserve"> בעבירות נשק על  נגזרותיהן</w:t>
      </w:r>
      <w:r w:rsidRPr="006E1527">
        <w:rPr>
          <w:rFonts w:ascii="David" w:hAnsi="David" w:cs="David" w:hint="cs"/>
          <w:sz w:val="24"/>
          <w:szCs w:val="24"/>
          <w:rtl/>
        </w:rPr>
        <w:t>,</w:t>
      </w:r>
      <w:r w:rsidRPr="006E1527">
        <w:rPr>
          <w:rFonts w:ascii="David" w:hAnsi="David" w:cs="David"/>
          <w:sz w:val="24"/>
          <w:szCs w:val="24"/>
          <w:rtl/>
        </w:rPr>
        <w:t xml:space="preserve"> נוטה להחמרה עונשית</w:t>
      </w:r>
      <w:r w:rsidRPr="006E1527">
        <w:rPr>
          <w:rFonts w:ascii="David" w:hAnsi="David" w:cs="David" w:hint="cs"/>
          <w:sz w:val="24"/>
          <w:szCs w:val="24"/>
          <w:rtl/>
        </w:rPr>
        <w:t>,</w:t>
      </w:r>
      <w:r w:rsidRPr="006E1527">
        <w:rPr>
          <w:rFonts w:ascii="David" w:hAnsi="David" w:cs="David"/>
          <w:sz w:val="24"/>
          <w:szCs w:val="24"/>
          <w:rtl/>
        </w:rPr>
        <w:t xml:space="preserve"> מהטעמים שפורטו לעיל. מטבע הדברים, בחינת מדיניות הענישה הנוהגת בעבירות של החזקה, נשיאה והובלה של נשק מגלה משרעת רחבה של עונשים, הנגזרים בין היתר מסוג הנשק שבו עסקינן (על השפעת סוג הנשק בהקשר זה ראו באופן כללי למשל: </w:t>
      </w:r>
      <w:hyperlink r:id="rId33" w:history="1">
        <w:r w:rsidR="006D0A4F" w:rsidRPr="006D0A4F">
          <w:rPr>
            <w:rFonts w:ascii="David" w:hAnsi="David" w:cs="David"/>
            <w:color w:val="0000FF"/>
            <w:sz w:val="24"/>
            <w:szCs w:val="24"/>
            <w:u w:val="single"/>
            <w:rtl/>
          </w:rPr>
          <w:t>ע"פ 1323/13</w:t>
        </w:r>
      </w:hyperlink>
      <w:r w:rsidRPr="006E1527">
        <w:rPr>
          <w:rFonts w:ascii="David" w:hAnsi="David" w:cs="David"/>
          <w:sz w:val="24"/>
          <w:szCs w:val="24"/>
          <w:rtl/>
        </w:rPr>
        <w:t xml:space="preserve"> </w:t>
      </w:r>
      <w:r w:rsidRPr="006E1527">
        <w:rPr>
          <w:rFonts w:ascii="David" w:hAnsi="David" w:cs="David"/>
          <w:b/>
          <w:bCs/>
          <w:sz w:val="24"/>
          <w:szCs w:val="24"/>
          <w:rtl/>
        </w:rPr>
        <w:t>חסן נ' מדינת ישראל</w:t>
      </w:r>
      <w:r w:rsidRPr="006E1527">
        <w:rPr>
          <w:rFonts w:ascii="David" w:hAnsi="David" w:cs="David"/>
          <w:sz w:val="24"/>
          <w:szCs w:val="24"/>
          <w:rtl/>
        </w:rPr>
        <w:t xml:space="preserve">, [פורסם בנבו] פסקה 10 (5.6.2013)). אסקור את תמצית הענישה הנוהגת. תחילה  אפתח בפסיקתו המחייבת של בית המשפט העליון </w:t>
      </w:r>
      <w:r>
        <w:rPr>
          <w:rFonts w:ascii="David" w:hAnsi="David" w:cs="David" w:hint="cs"/>
          <w:sz w:val="24"/>
          <w:szCs w:val="24"/>
          <w:rtl/>
        </w:rPr>
        <w:t>ביחס לעונש הראוי בעבירות כגון דא</w:t>
      </w:r>
      <w:r w:rsidRPr="006E1527">
        <w:rPr>
          <w:rFonts w:ascii="David" w:hAnsi="David" w:cs="David"/>
          <w:sz w:val="24"/>
          <w:szCs w:val="24"/>
          <w:rtl/>
        </w:rPr>
        <w:t xml:space="preserve">, </w:t>
      </w:r>
      <w:r>
        <w:rPr>
          <w:rFonts w:ascii="David" w:hAnsi="David" w:cs="David" w:hint="cs"/>
          <w:sz w:val="24"/>
          <w:szCs w:val="24"/>
          <w:rtl/>
        </w:rPr>
        <w:t xml:space="preserve">מתוך </w:t>
      </w:r>
      <w:hyperlink r:id="rId34" w:history="1">
        <w:r w:rsidR="006D0A4F" w:rsidRPr="006D0A4F">
          <w:rPr>
            <w:rFonts w:ascii="David" w:hAnsi="David" w:cs="David"/>
            <w:color w:val="0000FF"/>
            <w:sz w:val="24"/>
            <w:szCs w:val="24"/>
            <w:u w:val="single"/>
            <w:rtl/>
          </w:rPr>
          <w:t>ע"פ 4077/22</w:t>
        </w:r>
      </w:hyperlink>
      <w:r w:rsidRPr="006E1527">
        <w:rPr>
          <w:rFonts w:ascii="David" w:hAnsi="David" w:cs="David"/>
          <w:sz w:val="24"/>
          <w:szCs w:val="24"/>
          <w:rtl/>
        </w:rPr>
        <w:t xml:space="preserve"> </w:t>
      </w:r>
      <w:r w:rsidRPr="006E1527">
        <w:rPr>
          <w:rFonts w:ascii="David" w:hAnsi="David" w:cs="David"/>
          <w:b/>
          <w:bCs/>
          <w:sz w:val="24"/>
          <w:szCs w:val="24"/>
          <w:rtl/>
        </w:rPr>
        <w:t>פלוני נ' מדינת ישראל</w:t>
      </w:r>
      <w:r w:rsidRPr="006E1527">
        <w:rPr>
          <w:rFonts w:ascii="David" w:hAnsi="David" w:cs="David"/>
          <w:sz w:val="24"/>
          <w:szCs w:val="24"/>
          <w:rtl/>
        </w:rPr>
        <w:t xml:space="preserve">, פסקה 13, 28.7.2022, לפיה: </w:t>
      </w:r>
    </w:p>
    <w:p w14:paraId="3C4C1014" w14:textId="77777777" w:rsidR="00625F52" w:rsidRDefault="00625F52" w:rsidP="00625F52">
      <w:pPr>
        <w:pStyle w:val="a9"/>
        <w:spacing w:line="360" w:lineRule="auto"/>
        <w:jc w:val="both"/>
        <w:rPr>
          <w:rFonts w:ascii="David" w:hAnsi="David" w:cs="David"/>
          <w:sz w:val="24"/>
          <w:szCs w:val="24"/>
        </w:rPr>
      </w:pPr>
    </w:p>
    <w:p w14:paraId="4D11A582" w14:textId="77777777" w:rsidR="00625F52" w:rsidRPr="006E1527" w:rsidRDefault="00625F52" w:rsidP="00625F52">
      <w:pPr>
        <w:pStyle w:val="a9"/>
        <w:spacing w:line="360" w:lineRule="auto"/>
        <w:jc w:val="both"/>
        <w:rPr>
          <w:rFonts w:ascii="Narkisim" w:hAnsi="Narkisim" w:cs="Narkisim"/>
          <w:b/>
          <w:bCs/>
          <w:sz w:val="24"/>
          <w:szCs w:val="24"/>
          <w:u w:val="single"/>
        </w:rPr>
      </w:pPr>
      <w:r>
        <w:rPr>
          <w:rFonts w:ascii="Narkisim" w:hAnsi="Narkisim" w:cs="Narkisim"/>
          <w:b/>
          <w:bCs/>
          <w:sz w:val="24"/>
          <w:szCs w:val="24"/>
          <w:rtl/>
        </w:rPr>
        <w:t xml:space="preserve">"מבצעיהן של עבירות נשק יש להעניש בחומרה יתרה – שכן מדובר בעבירות שהיו למכת מדינה, ושאחריהן בא השימוש הקטלני בנשק אשר מותיר אחריו פצועים ומתים כמעט מדי יום. מדיניות זו חלה ביתר שאת כאשר מדובר במכירה, ברכישה, בנשיאה או בהובלה – שלא כדין – של נשק התקפי בדמות תת-מקלעים ורובים ובשימוש לא חוקי בנשק כאמור. בטיפולנו בעבירות מסוג זה ובמבצעיהן, להרתעת היחיד והרבים ולהרחקת עברייני הנשק מהחברה על ידי השמתם בין כותלי הכלא לתקופות ממושכות יש מעמד בכורה...ככלל, יעדים עונשיים אלו מוחקים מניה וביה את בקשת העבריין לשיקום שמחוץ לכלא – זאת, גם כאשר מדובר בעבריין צעיר שהסתבך לראשונה בפלילים ובקשתו לשיקום כנה ואף זוכה לתמיכתו של שירות המבחן (ראו: ע"פ 78/21 פלוני נ' מדינת ישראל, פסקה 11 והאסמכתאות שם [פורסם בנבו] (26.7.2022)). בימים קשים אלה, השיקום שבראש מעייננו הוא שיקום המרחב הציבורי המדמם כתוצאה מעבירות נשק בלתי פוסקות והשימוש העברייני בנשק חם.  בבואו ליישם את מדיניות הענישה כאמור, בית משפט זה נוהג להשית על מי שמוכר, קונה, נושא או מוביל נשק התקפי שלא כדין - קל וחומר, על מי שעושה שימוש בלתי חוקי בנשק התקפי - עונשי מאסר בין סורג ובריח לתקופות ארוכות יחסית (ראו: </w:t>
      </w:r>
      <w:hyperlink r:id="rId35" w:history="1">
        <w:r w:rsidR="006D0A4F" w:rsidRPr="006D0A4F">
          <w:rPr>
            <w:rFonts w:ascii="Narkisim" w:hAnsi="Narkisim" w:cs="Narkisim"/>
            <w:b/>
            <w:bCs/>
            <w:color w:val="0000FF"/>
            <w:sz w:val="24"/>
            <w:szCs w:val="24"/>
            <w:u w:val="single"/>
            <w:rtl/>
          </w:rPr>
          <w:t>ע"פ 4456/21</w:t>
        </w:r>
      </w:hyperlink>
      <w:r>
        <w:rPr>
          <w:rFonts w:ascii="Narkisim" w:hAnsi="Narkisim" w:cs="Narkisim"/>
          <w:b/>
          <w:bCs/>
          <w:sz w:val="24"/>
          <w:szCs w:val="24"/>
          <w:rtl/>
        </w:rPr>
        <w:t xml:space="preserve"> מדינת ישראל נ' אבו עבסה [פורסם בנבו] (23.1.2022); </w:t>
      </w:r>
      <w:hyperlink r:id="rId36" w:history="1">
        <w:r w:rsidR="006D0A4F" w:rsidRPr="006D0A4F">
          <w:rPr>
            <w:rFonts w:ascii="Narkisim" w:hAnsi="Narkisim" w:cs="Narkisim"/>
            <w:b/>
            <w:bCs/>
            <w:color w:val="0000FF"/>
            <w:sz w:val="24"/>
            <w:szCs w:val="24"/>
            <w:u w:val="single"/>
            <w:rtl/>
          </w:rPr>
          <w:t>ע"פ 579/22</w:t>
        </w:r>
      </w:hyperlink>
      <w:r>
        <w:rPr>
          <w:rFonts w:ascii="Narkisim" w:hAnsi="Narkisim" w:cs="Narkisim"/>
          <w:b/>
          <w:bCs/>
          <w:sz w:val="24"/>
          <w:szCs w:val="24"/>
          <w:rtl/>
        </w:rPr>
        <w:t xml:space="preserve"> מדינת ישראל נ' טחאינה [פורסם בנבו] (13.6.2022); </w:t>
      </w:r>
      <w:hyperlink r:id="rId37" w:history="1">
        <w:r w:rsidR="006D0A4F" w:rsidRPr="006D0A4F">
          <w:rPr>
            <w:rFonts w:ascii="Narkisim" w:hAnsi="Narkisim" w:cs="Narkisim"/>
            <w:b/>
            <w:bCs/>
            <w:color w:val="0000FF"/>
            <w:sz w:val="24"/>
            <w:szCs w:val="24"/>
            <w:u w:val="single"/>
            <w:rtl/>
          </w:rPr>
          <w:t>ע"פ 8869/21</w:t>
        </w:r>
      </w:hyperlink>
      <w:r>
        <w:rPr>
          <w:rFonts w:ascii="Narkisim" w:hAnsi="Narkisim" w:cs="Narkisim"/>
          <w:b/>
          <w:bCs/>
          <w:sz w:val="24"/>
          <w:szCs w:val="24"/>
          <w:rtl/>
        </w:rPr>
        <w:t xml:space="preserve"> מדינת ישראל נ' קואסמה [פורסם בנבו] (13.3.2022)). לפי אמות המידה שמדיניות זו קבעה, מאסר בפועל לתקופה של 3 שנים בגין עבירות הקשורות לנשק התקפי נמצא ברף הנמוך של הענישה הראויה (ראו: </w:t>
      </w:r>
      <w:hyperlink r:id="rId38" w:history="1">
        <w:r w:rsidR="006D0A4F" w:rsidRPr="006D0A4F">
          <w:rPr>
            <w:rFonts w:ascii="Narkisim" w:hAnsi="Narkisim" w:cs="Narkisim"/>
            <w:b/>
            <w:bCs/>
            <w:color w:val="0000FF"/>
            <w:sz w:val="24"/>
            <w:szCs w:val="24"/>
            <w:u w:val="single"/>
            <w:rtl/>
          </w:rPr>
          <w:t>ע"פ 4406/19</w:t>
        </w:r>
      </w:hyperlink>
      <w:r>
        <w:rPr>
          <w:rFonts w:ascii="Narkisim" w:hAnsi="Narkisim" w:cs="Narkisim"/>
          <w:b/>
          <w:bCs/>
          <w:sz w:val="24"/>
          <w:szCs w:val="24"/>
          <w:rtl/>
        </w:rPr>
        <w:t xml:space="preserve"> מדינת ישראל נ' סובח [פורסם בנבו] (5.11.2019); </w:t>
      </w:r>
      <w:hyperlink r:id="rId39" w:history="1">
        <w:r w:rsidR="006D0A4F" w:rsidRPr="006D0A4F">
          <w:rPr>
            <w:rFonts w:ascii="Narkisim" w:hAnsi="Narkisim" w:cs="Narkisim"/>
            <w:b/>
            <w:bCs/>
            <w:color w:val="0000FF"/>
            <w:sz w:val="24"/>
            <w:szCs w:val="24"/>
            <w:u w:val="single"/>
            <w:rtl/>
          </w:rPr>
          <w:t>ע"פ 147/21</w:t>
        </w:r>
      </w:hyperlink>
      <w:r>
        <w:rPr>
          <w:rFonts w:ascii="Narkisim" w:hAnsi="Narkisim" w:cs="Narkisim"/>
          <w:b/>
          <w:bCs/>
          <w:sz w:val="24"/>
          <w:szCs w:val="24"/>
          <w:rtl/>
        </w:rPr>
        <w:t xml:space="preserve"> מדינת ישראל נ' ביטון [פורסם בנבו] (14.2.2021)). </w:t>
      </w:r>
      <w:r w:rsidRPr="006E1527">
        <w:rPr>
          <w:rFonts w:ascii="Narkisim" w:hAnsi="Narkisim" w:cs="Narkisim"/>
          <w:b/>
          <w:bCs/>
          <w:sz w:val="24"/>
          <w:szCs w:val="24"/>
          <w:u w:val="single"/>
          <w:rtl/>
        </w:rPr>
        <w:t xml:space="preserve">מאסר בפועל בסביבתן של שלוש שנים הולם הובלה ונשיאה חד-פעמית של נשק (ראו: </w:t>
      </w:r>
      <w:hyperlink r:id="rId40" w:history="1">
        <w:r w:rsidR="006D0A4F" w:rsidRPr="006D0A4F">
          <w:rPr>
            <w:rFonts w:ascii="Narkisim" w:hAnsi="Narkisim" w:cs="Narkisim"/>
            <w:b/>
            <w:bCs/>
            <w:color w:val="0000FF"/>
            <w:sz w:val="24"/>
            <w:szCs w:val="24"/>
            <w:u w:val="single"/>
            <w:rtl/>
          </w:rPr>
          <w:t>ע"פ 6021/21</w:t>
        </w:r>
      </w:hyperlink>
      <w:r w:rsidRPr="006E1527">
        <w:rPr>
          <w:rFonts w:ascii="Narkisim" w:hAnsi="Narkisim" w:cs="Narkisim"/>
          <w:b/>
          <w:bCs/>
          <w:sz w:val="24"/>
          <w:szCs w:val="24"/>
          <w:u w:val="single"/>
          <w:rtl/>
        </w:rPr>
        <w:t xml:space="preserve"> עבוד נ' מדינת ישראל [פורסם בנבו] (19.12.2021); </w:t>
      </w:r>
      <w:hyperlink r:id="rId41" w:history="1">
        <w:r w:rsidR="006D0A4F" w:rsidRPr="006D0A4F">
          <w:rPr>
            <w:rFonts w:ascii="Narkisim" w:hAnsi="Narkisim" w:cs="Narkisim"/>
            <w:b/>
            <w:bCs/>
            <w:color w:val="0000FF"/>
            <w:sz w:val="24"/>
            <w:szCs w:val="24"/>
            <w:u w:val="single"/>
            <w:rtl/>
          </w:rPr>
          <w:t>ע"פ 309/22</w:t>
        </w:r>
      </w:hyperlink>
      <w:r w:rsidRPr="006E1527">
        <w:rPr>
          <w:rFonts w:ascii="Narkisim" w:hAnsi="Narkisim" w:cs="Narkisim"/>
          <w:b/>
          <w:bCs/>
          <w:sz w:val="24"/>
          <w:szCs w:val="24"/>
          <w:u w:val="single"/>
          <w:rtl/>
        </w:rPr>
        <w:t xml:space="preserve"> מדינת ישראל נ' ביאדסה [פורסם בנבו] (10.5.2022) (להלן: עניין ביאדסה)), והינו בגדר עונש מקל כאשר מדובר בעבירות נשק חמורות יותר".</w:t>
      </w:r>
    </w:p>
    <w:p w14:paraId="390748B0" w14:textId="77777777" w:rsidR="00625F52" w:rsidRDefault="00625F52" w:rsidP="00625F52">
      <w:pPr>
        <w:pStyle w:val="a9"/>
        <w:spacing w:line="360" w:lineRule="auto"/>
        <w:jc w:val="both"/>
        <w:rPr>
          <w:rFonts w:ascii="David" w:hAnsi="David" w:cs="David"/>
          <w:sz w:val="24"/>
          <w:szCs w:val="24"/>
        </w:rPr>
      </w:pPr>
    </w:p>
    <w:p w14:paraId="677C6752" w14:textId="77777777" w:rsidR="00625F52" w:rsidRDefault="006D0A4F" w:rsidP="00625F52">
      <w:pPr>
        <w:pStyle w:val="a9"/>
        <w:numPr>
          <w:ilvl w:val="0"/>
          <w:numId w:val="1"/>
        </w:numPr>
        <w:spacing w:line="360" w:lineRule="auto"/>
        <w:jc w:val="both"/>
        <w:rPr>
          <w:rFonts w:ascii="David" w:hAnsi="David" w:cs="David"/>
          <w:sz w:val="24"/>
          <w:szCs w:val="24"/>
        </w:rPr>
      </w:pPr>
      <w:hyperlink r:id="rId42" w:history="1">
        <w:r w:rsidRPr="006D0A4F">
          <w:rPr>
            <w:rFonts w:ascii="David" w:hAnsi="David" w:cs="David"/>
            <w:color w:val="0000FF"/>
            <w:sz w:val="24"/>
            <w:szCs w:val="24"/>
            <w:u w:val="single"/>
            <w:rtl/>
          </w:rPr>
          <w:t>ע"פ 2101/21</w:t>
        </w:r>
      </w:hyperlink>
      <w:r w:rsidR="00625F52">
        <w:rPr>
          <w:rFonts w:ascii="David" w:hAnsi="David" w:cs="David"/>
          <w:sz w:val="24"/>
          <w:szCs w:val="24"/>
          <w:rtl/>
        </w:rPr>
        <w:t xml:space="preserve"> </w:t>
      </w:r>
      <w:r w:rsidR="00625F52">
        <w:rPr>
          <w:rFonts w:ascii="David" w:hAnsi="David" w:cs="David"/>
          <w:b/>
          <w:bCs/>
          <w:sz w:val="24"/>
          <w:szCs w:val="24"/>
          <w:rtl/>
        </w:rPr>
        <w:t xml:space="preserve">תומר טוביה נ' מדינת ישראל </w:t>
      </w:r>
      <w:r w:rsidR="00625F52">
        <w:rPr>
          <w:rFonts w:ascii="David" w:hAnsi="David" w:cs="David"/>
          <w:sz w:val="24"/>
          <w:szCs w:val="24"/>
          <w:rtl/>
        </w:rPr>
        <w:t xml:space="preserve">(29.7.21) - הנאשם הורשע בביצוע עבירה של נשיאת נשק שלא כדין לפי </w:t>
      </w:r>
      <w:hyperlink r:id="rId43" w:history="1">
        <w:r w:rsidR="009D29EC" w:rsidRPr="009D29EC">
          <w:rPr>
            <w:rStyle w:val="Hyperlink"/>
            <w:rFonts w:ascii="David" w:hAnsi="David" w:cs="David"/>
            <w:color w:val="0000FF"/>
            <w:sz w:val="24"/>
            <w:szCs w:val="24"/>
            <w:rtl/>
          </w:rPr>
          <w:t>סעיף 144(ב)</w:t>
        </w:r>
      </w:hyperlink>
      <w:r w:rsidR="00625F52">
        <w:rPr>
          <w:rFonts w:ascii="David" w:hAnsi="David" w:cs="David"/>
          <w:sz w:val="24"/>
          <w:szCs w:val="24"/>
          <w:rtl/>
        </w:rPr>
        <w:t xml:space="preserve"> ל</w:t>
      </w:r>
      <w:hyperlink r:id="rId44" w:history="1">
        <w:r w:rsidRPr="006D0A4F">
          <w:rPr>
            <w:rFonts w:ascii="David" w:hAnsi="David" w:cs="David"/>
            <w:color w:val="0000FF"/>
            <w:sz w:val="24"/>
            <w:szCs w:val="24"/>
            <w:u w:val="single"/>
            <w:rtl/>
          </w:rPr>
          <w:t>חוק העונשין</w:t>
        </w:r>
      </w:hyperlink>
      <w:r w:rsidR="00625F52">
        <w:rPr>
          <w:rFonts w:ascii="David" w:hAnsi="David" w:cs="David"/>
          <w:sz w:val="24"/>
          <w:szCs w:val="24"/>
          <w:rtl/>
        </w:rPr>
        <w:t xml:space="preserve">. הנאשם נסע ברכב עם אחרים שהוא נושא אקדח חצי אוטומטי מסוג </w:t>
      </w:r>
      <w:r w:rsidR="00625F52">
        <w:rPr>
          <w:rFonts w:ascii="David" w:hAnsi="David" w:cs="David"/>
          <w:sz w:val="24"/>
          <w:szCs w:val="24"/>
        </w:rPr>
        <w:t>Reunites</w:t>
      </w:r>
      <w:r w:rsidR="00625F52">
        <w:rPr>
          <w:rFonts w:ascii="David" w:hAnsi="David" w:cs="David"/>
          <w:sz w:val="24"/>
          <w:szCs w:val="24"/>
          <w:rtl/>
        </w:rPr>
        <w:t xml:space="preserve">, מחסנית תואמת וארבעה כדורים מתאימים. הנאשם הבחין בשוטרים, יצא מן הרכב והחל לרוץ. אחד השוטרים רדף אחר הנאשם וקרא לו לעצור, אולם הנאשם המשיך לרוץ, ובמהלך הריצה השליך הצידה את האקדח, המחסנית והכדורים. בית המשפט קמא קבע מתחם עונש הולם שנע בין 16-40 חודשי מאסר בפועל. בית המשפט קמא גזר על הנאשם 30 חודשי מאסר בפועל לצד ענישה נלווית. ערעורו של הנאשם לבית המשפט העליון נדחה.  </w:t>
      </w:r>
    </w:p>
    <w:p w14:paraId="2A949765" w14:textId="77777777" w:rsidR="00625F52" w:rsidRDefault="00625F52" w:rsidP="00625F52">
      <w:pPr>
        <w:pStyle w:val="a9"/>
        <w:spacing w:line="360" w:lineRule="auto"/>
        <w:rPr>
          <w:rFonts w:ascii="David" w:hAnsi="David" w:cs="David"/>
          <w:sz w:val="24"/>
          <w:szCs w:val="24"/>
        </w:rPr>
      </w:pPr>
    </w:p>
    <w:p w14:paraId="2180D908" w14:textId="77777777" w:rsidR="00625F52" w:rsidRDefault="006D0A4F" w:rsidP="00625F52">
      <w:pPr>
        <w:pStyle w:val="a9"/>
        <w:numPr>
          <w:ilvl w:val="0"/>
          <w:numId w:val="1"/>
        </w:numPr>
        <w:spacing w:line="360" w:lineRule="auto"/>
        <w:jc w:val="both"/>
        <w:rPr>
          <w:rFonts w:ascii="David" w:hAnsi="David" w:cs="David"/>
          <w:sz w:val="24"/>
          <w:szCs w:val="24"/>
        </w:rPr>
      </w:pPr>
      <w:hyperlink r:id="rId45" w:history="1">
        <w:r w:rsidRPr="006D0A4F">
          <w:rPr>
            <w:rFonts w:ascii="David" w:hAnsi="David" w:cs="David"/>
            <w:color w:val="0000FF"/>
            <w:sz w:val="24"/>
            <w:szCs w:val="24"/>
            <w:u w:val="single"/>
            <w:rtl/>
          </w:rPr>
          <w:t>ע"פ 5602/22</w:t>
        </w:r>
      </w:hyperlink>
      <w:r w:rsidR="00625F52">
        <w:rPr>
          <w:rFonts w:ascii="David" w:hAnsi="David" w:cs="David"/>
          <w:sz w:val="24"/>
          <w:szCs w:val="24"/>
          <w:rtl/>
        </w:rPr>
        <w:t xml:space="preserve"> </w:t>
      </w:r>
      <w:r w:rsidR="00625F52">
        <w:rPr>
          <w:rFonts w:ascii="David" w:hAnsi="David" w:cs="David"/>
          <w:b/>
          <w:bCs/>
          <w:sz w:val="24"/>
          <w:szCs w:val="24"/>
          <w:rtl/>
        </w:rPr>
        <w:t>מדינת ישראל נ' פלוני</w:t>
      </w:r>
      <w:r w:rsidR="00625F52">
        <w:rPr>
          <w:rFonts w:ascii="David" w:hAnsi="David" w:cs="David"/>
          <w:sz w:val="24"/>
          <w:szCs w:val="24"/>
          <w:rtl/>
        </w:rPr>
        <w:t xml:space="preserve"> (14.9.22) - הנאשם הורשע בביצוע העבירות הבאות: נשיאת נשק שלא כדין, עבירה לפי </w:t>
      </w:r>
      <w:hyperlink r:id="rId46" w:history="1">
        <w:r w:rsidR="009D29EC" w:rsidRPr="009D29EC">
          <w:rPr>
            <w:rStyle w:val="Hyperlink"/>
            <w:rFonts w:ascii="David" w:hAnsi="David" w:cs="David"/>
            <w:color w:val="0000FF"/>
            <w:sz w:val="24"/>
            <w:szCs w:val="24"/>
            <w:rtl/>
          </w:rPr>
          <w:t>סעיפים 144(ב)</w:t>
        </w:r>
      </w:hyperlink>
      <w:r w:rsidR="00625F52">
        <w:rPr>
          <w:rFonts w:ascii="David" w:hAnsi="David" w:cs="David"/>
          <w:sz w:val="24"/>
          <w:szCs w:val="24"/>
          <w:rtl/>
        </w:rPr>
        <w:t xml:space="preserve"> רישא ו- </w:t>
      </w:r>
      <w:hyperlink r:id="rId47" w:history="1">
        <w:r w:rsidR="009D29EC" w:rsidRPr="009D29EC">
          <w:rPr>
            <w:rStyle w:val="Hyperlink"/>
            <w:rFonts w:ascii="David" w:hAnsi="David" w:cs="David"/>
            <w:color w:val="0000FF"/>
            <w:sz w:val="24"/>
            <w:szCs w:val="24"/>
            <w:rtl/>
          </w:rPr>
          <w:t>144(ב)</w:t>
        </w:r>
      </w:hyperlink>
      <w:r w:rsidR="00625F52">
        <w:rPr>
          <w:rFonts w:ascii="David" w:hAnsi="David" w:cs="David"/>
          <w:sz w:val="24"/>
          <w:szCs w:val="24"/>
          <w:rtl/>
        </w:rPr>
        <w:t xml:space="preserve"> סיפא ל</w:t>
      </w:r>
      <w:hyperlink r:id="rId48" w:history="1">
        <w:r w:rsidRPr="006D0A4F">
          <w:rPr>
            <w:rFonts w:ascii="David" w:hAnsi="David" w:cs="David"/>
            <w:color w:val="0000FF"/>
            <w:sz w:val="24"/>
            <w:szCs w:val="24"/>
            <w:u w:val="single"/>
            <w:rtl/>
          </w:rPr>
          <w:t>חוק העונשין</w:t>
        </w:r>
      </w:hyperlink>
      <w:r w:rsidR="00625F52">
        <w:rPr>
          <w:rFonts w:ascii="David" w:hAnsi="David" w:cs="David"/>
          <w:sz w:val="24"/>
          <w:szCs w:val="24"/>
          <w:rtl/>
        </w:rPr>
        <w:t xml:space="preserve">, התשל"ז -1977; הפרעה לשוטר במילוי תפקידו לפי </w:t>
      </w:r>
      <w:hyperlink r:id="rId49" w:history="1">
        <w:r w:rsidR="009D29EC" w:rsidRPr="009D29EC">
          <w:rPr>
            <w:rStyle w:val="Hyperlink"/>
            <w:rFonts w:ascii="David" w:hAnsi="David" w:cs="David"/>
            <w:color w:val="0000FF"/>
            <w:sz w:val="24"/>
            <w:szCs w:val="24"/>
            <w:rtl/>
          </w:rPr>
          <w:t>סעיף 275</w:t>
        </w:r>
      </w:hyperlink>
      <w:r w:rsidR="00625F52">
        <w:rPr>
          <w:rFonts w:ascii="David" w:hAnsi="David" w:cs="David"/>
          <w:sz w:val="24"/>
          <w:szCs w:val="24"/>
          <w:rtl/>
        </w:rPr>
        <w:t xml:space="preserve"> לחוק העונשין, התשל"ז -1977; כניסה ושהייה בישראל בניגוד לחוק לפי </w:t>
      </w:r>
      <w:hyperlink r:id="rId50" w:history="1">
        <w:r w:rsidR="009D29EC" w:rsidRPr="009D29EC">
          <w:rPr>
            <w:rStyle w:val="Hyperlink"/>
            <w:rFonts w:ascii="David" w:hAnsi="David" w:cs="David"/>
            <w:color w:val="0000FF"/>
            <w:sz w:val="24"/>
            <w:szCs w:val="24"/>
            <w:rtl/>
          </w:rPr>
          <w:t>סעיף 12(1)</w:t>
        </w:r>
      </w:hyperlink>
      <w:r w:rsidR="00625F52">
        <w:rPr>
          <w:rFonts w:ascii="David" w:hAnsi="David" w:cs="David"/>
          <w:sz w:val="24"/>
          <w:szCs w:val="24"/>
          <w:rtl/>
        </w:rPr>
        <w:t xml:space="preserve"> ל</w:t>
      </w:r>
      <w:hyperlink r:id="rId51" w:history="1">
        <w:r w:rsidRPr="006D0A4F">
          <w:rPr>
            <w:rFonts w:ascii="David" w:hAnsi="David" w:cs="David"/>
            <w:color w:val="0000FF"/>
            <w:sz w:val="24"/>
            <w:szCs w:val="24"/>
            <w:u w:val="single"/>
            <w:rtl/>
          </w:rPr>
          <w:t>חוק הכניסה לישראל</w:t>
        </w:r>
      </w:hyperlink>
      <w:r w:rsidR="00625F52">
        <w:rPr>
          <w:rFonts w:ascii="David" w:hAnsi="David" w:cs="David"/>
          <w:sz w:val="24"/>
          <w:szCs w:val="24"/>
          <w:rtl/>
        </w:rPr>
        <w:t xml:space="preserve">, התשי"ב -1952. הנאשם תושב ג'נין, נסע ברכב ברחבי העיר אום אל פאחם כאשר הוא נושא על גופו, אקדח פארבלום חצי אוטומטי, עם מחסנית וכדורים תואמים. בית המשפט קבע מתחם עונש הולם שנע בין 16-40 חודשי מאסר בפועל. בית המשפט גזר על הנאשם 18 חודשי מאסר בפועל וענישה נלווית. ערעור המדינה התקבל ובית המשפט העליון החמיר את עונשו של הנאשם ל-28 חודשי מאסר בפועל. </w:t>
      </w:r>
    </w:p>
    <w:p w14:paraId="6712CB7D" w14:textId="77777777" w:rsidR="00625F52" w:rsidRDefault="00625F52" w:rsidP="00625F52">
      <w:pPr>
        <w:pStyle w:val="a9"/>
        <w:spacing w:line="360" w:lineRule="auto"/>
        <w:jc w:val="both"/>
        <w:rPr>
          <w:rFonts w:ascii="David" w:hAnsi="David" w:cs="David"/>
          <w:sz w:val="24"/>
          <w:szCs w:val="24"/>
        </w:rPr>
      </w:pPr>
    </w:p>
    <w:p w14:paraId="57157478" w14:textId="77777777" w:rsidR="00625F52" w:rsidRPr="00B02D6E" w:rsidRDefault="00625F52" w:rsidP="00625F52">
      <w:pPr>
        <w:pStyle w:val="a9"/>
        <w:numPr>
          <w:ilvl w:val="0"/>
          <w:numId w:val="1"/>
        </w:numPr>
        <w:spacing w:line="360" w:lineRule="auto"/>
        <w:jc w:val="both"/>
        <w:rPr>
          <w:rFonts w:ascii="David" w:hAnsi="David" w:cs="David"/>
          <w:sz w:val="24"/>
          <w:szCs w:val="24"/>
          <w:rtl/>
        </w:rPr>
      </w:pPr>
      <w:r w:rsidRPr="00B02D6E">
        <w:rPr>
          <w:rFonts w:ascii="David" w:hAnsi="David" w:cs="David" w:hint="cs"/>
          <w:sz w:val="24"/>
          <w:szCs w:val="24"/>
          <w:rtl/>
        </w:rPr>
        <w:t>עוד ראו</w:t>
      </w:r>
      <w:r>
        <w:rPr>
          <w:rFonts w:ascii="David" w:hAnsi="David" w:cs="David" w:hint="cs"/>
          <w:sz w:val="24"/>
          <w:szCs w:val="24"/>
          <w:rtl/>
        </w:rPr>
        <w:t xml:space="preserve"> למגמת הענישה בכלל ולענישה בפרט</w:t>
      </w:r>
      <w:r w:rsidRPr="00B02D6E">
        <w:rPr>
          <w:rFonts w:ascii="David" w:hAnsi="David" w:cs="David" w:hint="cs"/>
          <w:sz w:val="24"/>
          <w:szCs w:val="24"/>
          <w:rtl/>
        </w:rPr>
        <w:t xml:space="preserve">: </w:t>
      </w:r>
      <w:hyperlink r:id="rId52" w:history="1">
        <w:r w:rsidR="006D0A4F" w:rsidRPr="006D0A4F">
          <w:rPr>
            <w:rFonts w:ascii="David" w:hAnsi="David" w:cs="David"/>
            <w:color w:val="0000FF"/>
            <w:sz w:val="24"/>
            <w:szCs w:val="24"/>
            <w:u w:val="single"/>
            <w:rtl/>
          </w:rPr>
          <w:t>ע"פ 5813/21</w:t>
        </w:r>
      </w:hyperlink>
      <w:r w:rsidRPr="00B02D6E">
        <w:rPr>
          <w:rFonts w:ascii="David" w:hAnsi="David" w:cs="David"/>
          <w:sz w:val="24"/>
          <w:szCs w:val="24"/>
          <w:rtl/>
        </w:rPr>
        <w:t xml:space="preserve"> </w:t>
      </w:r>
      <w:r w:rsidRPr="00B02D6E">
        <w:rPr>
          <w:rFonts w:ascii="David" w:hAnsi="David" w:cs="David"/>
          <w:b/>
          <w:bCs/>
          <w:sz w:val="24"/>
          <w:szCs w:val="24"/>
          <w:rtl/>
        </w:rPr>
        <w:t>ג'בארין נ' מדינת ישראל</w:t>
      </w:r>
      <w:r w:rsidRPr="00B02D6E">
        <w:rPr>
          <w:rFonts w:ascii="David" w:hAnsi="David" w:cs="David"/>
          <w:sz w:val="24"/>
          <w:szCs w:val="24"/>
          <w:rtl/>
        </w:rPr>
        <w:t xml:space="preserve">, פסקה 17 [פורסם בנבו] (31.5.2022); </w:t>
      </w:r>
      <w:hyperlink r:id="rId53" w:history="1">
        <w:r w:rsidR="006D0A4F" w:rsidRPr="006D0A4F">
          <w:rPr>
            <w:rFonts w:ascii="David" w:hAnsi="David" w:cs="David"/>
            <w:color w:val="0000FF"/>
            <w:sz w:val="24"/>
            <w:szCs w:val="24"/>
            <w:u w:val="single"/>
            <w:rtl/>
          </w:rPr>
          <w:t>ע"פ 8045/17</w:t>
        </w:r>
      </w:hyperlink>
      <w:r w:rsidRPr="00B02D6E">
        <w:rPr>
          <w:rFonts w:ascii="David" w:hAnsi="David" w:cs="David"/>
          <w:sz w:val="24"/>
          <w:szCs w:val="24"/>
          <w:rtl/>
        </w:rPr>
        <w:t xml:space="preserve"> </w:t>
      </w:r>
      <w:r w:rsidRPr="00B02D6E">
        <w:rPr>
          <w:rFonts w:ascii="David" w:hAnsi="David" w:cs="David"/>
          <w:b/>
          <w:bCs/>
          <w:sz w:val="24"/>
          <w:szCs w:val="24"/>
          <w:rtl/>
        </w:rPr>
        <w:t>בראנסי נ' מדינת ישראל</w:t>
      </w:r>
      <w:r w:rsidRPr="00B02D6E">
        <w:rPr>
          <w:rFonts w:ascii="David" w:hAnsi="David" w:cs="David"/>
          <w:sz w:val="24"/>
          <w:szCs w:val="24"/>
          <w:rtl/>
        </w:rPr>
        <w:t xml:space="preserve">, פסקה 11 [פורסם בנבו] (16.8.2018); </w:t>
      </w:r>
      <w:hyperlink r:id="rId54" w:history="1">
        <w:r w:rsidR="006D0A4F" w:rsidRPr="006D0A4F">
          <w:rPr>
            <w:rFonts w:ascii="David" w:hAnsi="David" w:cs="David"/>
            <w:color w:val="0000FF"/>
            <w:sz w:val="24"/>
            <w:szCs w:val="24"/>
            <w:u w:val="single"/>
            <w:rtl/>
          </w:rPr>
          <w:t>ע"פ 5643/14</w:t>
        </w:r>
      </w:hyperlink>
      <w:r w:rsidRPr="00B02D6E">
        <w:rPr>
          <w:rFonts w:ascii="David" w:hAnsi="David" w:cs="David"/>
          <w:sz w:val="24"/>
          <w:szCs w:val="24"/>
          <w:rtl/>
        </w:rPr>
        <w:t xml:space="preserve"> </w:t>
      </w:r>
      <w:r w:rsidRPr="00B02D6E">
        <w:rPr>
          <w:rFonts w:ascii="David" w:hAnsi="David" w:cs="David"/>
          <w:b/>
          <w:bCs/>
          <w:sz w:val="24"/>
          <w:szCs w:val="24"/>
          <w:rtl/>
        </w:rPr>
        <w:t>עיסא נ' מדינת ישראל</w:t>
      </w:r>
      <w:r w:rsidRPr="00B02D6E">
        <w:rPr>
          <w:rFonts w:ascii="David" w:hAnsi="David" w:cs="David"/>
          <w:sz w:val="24"/>
          <w:szCs w:val="24"/>
          <w:rtl/>
        </w:rPr>
        <w:t xml:space="preserve">, פסקה 13 [פורסם בנבו] (23.6.2015); ע"פ 78/21 </w:t>
      </w:r>
      <w:r w:rsidRPr="00B02D6E">
        <w:rPr>
          <w:rFonts w:ascii="David" w:hAnsi="David" w:cs="David"/>
          <w:b/>
          <w:bCs/>
          <w:sz w:val="24"/>
          <w:szCs w:val="24"/>
          <w:rtl/>
        </w:rPr>
        <w:t>פלוני נ' מדינת ישראל</w:t>
      </w:r>
      <w:r w:rsidRPr="00B02D6E">
        <w:rPr>
          <w:rFonts w:ascii="David" w:hAnsi="David" w:cs="David"/>
          <w:sz w:val="24"/>
          <w:szCs w:val="24"/>
          <w:rtl/>
        </w:rPr>
        <w:t xml:space="preserve">, פסקה 9 [פורסם בנבו] (26.7.2022); </w:t>
      </w:r>
      <w:hyperlink r:id="rId55" w:history="1">
        <w:r w:rsidR="006D0A4F" w:rsidRPr="006D0A4F">
          <w:rPr>
            <w:rFonts w:ascii="David" w:hAnsi="David" w:cs="David"/>
            <w:color w:val="0000FF"/>
            <w:sz w:val="24"/>
            <w:szCs w:val="24"/>
            <w:u w:val="single"/>
            <w:rtl/>
          </w:rPr>
          <w:t>ע"פ 587/22</w:t>
        </w:r>
      </w:hyperlink>
      <w:r w:rsidRPr="00B02D6E">
        <w:rPr>
          <w:rFonts w:ascii="David" w:hAnsi="David" w:cs="David"/>
          <w:sz w:val="24"/>
          <w:szCs w:val="24"/>
          <w:rtl/>
        </w:rPr>
        <w:t xml:space="preserve">  </w:t>
      </w:r>
      <w:r w:rsidRPr="00B02D6E">
        <w:rPr>
          <w:rFonts w:ascii="David" w:hAnsi="David" w:cs="David"/>
          <w:b/>
          <w:bCs/>
          <w:sz w:val="24"/>
          <w:szCs w:val="24"/>
          <w:rtl/>
        </w:rPr>
        <w:t>נאעסה נ' מדינת ישראל</w:t>
      </w:r>
      <w:r w:rsidRPr="00B02D6E">
        <w:rPr>
          <w:rFonts w:ascii="David" w:hAnsi="David" w:cs="David"/>
          <w:sz w:val="24"/>
          <w:szCs w:val="24"/>
          <w:rtl/>
        </w:rPr>
        <w:t>, פסקה 9 [פורסם בנבו] (22.5.2022)</w:t>
      </w:r>
      <w:r>
        <w:rPr>
          <w:rFonts w:ascii="David" w:hAnsi="David" w:cs="David" w:hint="cs"/>
          <w:sz w:val="24"/>
          <w:szCs w:val="24"/>
          <w:rtl/>
        </w:rPr>
        <w:t>.</w:t>
      </w:r>
    </w:p>
    <w:p w14:paraId="6D21F54F" w14:textId="77777777" w:rsidR="00625F52" w:rsidRDefault="00625F52" w:rsidP="00625F52">
      <w:pPr>
        <w:pStyle w:val="a9"/>
        <w:spacing w:line="360" w:lineRule="auto"/>
        <w:rPr>
          <w:rFonts w:ascii="David" w:hAnsi="David" w:cs="David"/>
          <w:sz w:val="24"/>
          <w:szCs w:val="24"/>
        </w:rPr>
      </w:pPr>
    </w:p>
    <w:p w14:paraId="4ACCD01C" w14:textId="77777777" w:rsidR="00625F52" w:rsidRDefault="006D0A4F" w:rsidP="00625F52">
      <w:pPr>
        <w:pStyle w:val="a9"/>
        <w:numPr>
          <w:ilvl w:val="0"/>
          <w:numId w:val="1"/>
        </w:numPr>
        <w:spacing w:line="360" w:lineRule="auto"/>
        <w:jc w:val="both"/>
        <w:rPr>
          <w:rFonts w:ascii="David" w:hAnsi="David" w:cs="David"/>
          <w:sz w:val="24"/>
          <w:szCs w:val="24"/>
          <w:rtl/>
        </w:rPr>
      </w:pPr>
      <w:hyperlink r:id="rId56" w:history="1">
        <w:r w:rsidRPr="006D0A4F">
          <w:rPr>
            <w:rFonts w:ascii="David" w:hAnsi="David" w:cs="David"/>
            <w:color w:val="0000FF"/>
            <w:sz w:val="24"/>
            <w:szCs w:val="24"/>
            <w:u w:val="single"/>
            <w:rtl/>
          </w:rPr>
          <w:t>ת"פ (מחוזי חיפה) 49405-04-24</w:t>
        </w:r>
      </w:hyperlink>
      <w:r w:rsidR="00625F52">
        <w:rPr>
          <w:rFonts w:ascii="David" w:hAnsi="David" w:cs="David"/>
          <w:sz w:val="24"/>
          <w:szCs w:val="24"/>
          <w:rtl/>
        </w:rPr>
        <w:t xml:space="preserve"> </w:t>
      </w:r>
      <w:r w:rsidR="00625F52">
        <w:rPr>
          <w:rFonts w:ascii="David" w:hAnsi="David" w:cs="David"/>
          <w:b/>
          <w:bCs/>
          <w:sz w:val="24"/>
          <w:szCs w:val="24"/>
          <w:rtl/>
        </w:rPr>
        <w:t xml:space="preserve">מדינת ישראל נ' מופיד אמון </w:t>
      </w:r>
      <w:r w:rsidR="00625F52">
        <w:rPr>
          <w:rFonts w:ascii="David" w:hAnsi="David" w:cs="David"/>
          <w:sz w:val="24"/>
          <w:szCs w:val="24"/>
          <w:rtl/>
        </w:rPr>
        <w:t xml:space="preserve">(18.8.24) - הנאשם הורשע על פי הודאתו במסגרת הסדר טיעון בביצוע נשיאת והובלת נשק לפי </w:t>
      </w:r>
      <w:hyperlink r:id="rId57" w:history="1">
        <w:r w:rsidR="009D29EC" w:rsidRPr="009D29EC">
          <w:rPr>
            <w:rStyle w:val="Hyperlink"/>
            <w:rFonts w:ascii="David" w:hAnsi="David" w:cs="David"/>
            <w:color w:val="0000FF"/>
            <w:sz w:val="24"/>
            <w:szCs w:val="24"/>
            <w:rtl/>
          </w:rPr>
          <w:t>סעיף 144(ב)</w:t>
        </w:r>
      </w:hyperlink>
      <w:r w:rsidR="00625F52">
        <w:rPr>
          <w:rFonts w:ascii="David" w:hAnsi="David" w:cs="David"/>
          <w:sz w:val="24"/>
          <w:szCs w:val="24"/>
          <w:rtl/>
        </w:rPr>
        <w:t xml:space="preserve"> רישא וסיפא ל</w:t>
      </w:r>
      <w:hyperlink r:id="rId58" w:history="1">
        <w:r w:rsidRPr="006D0A4F">
          <w:rPr>
            <w:rFonts w:ascii="David" w:hAnsi="David" w:cs="David"/>
            <w:color w:val="0000FF"/>
            <w:sz w:val="24"/>
            <w:szCs w:val="24"/>
            <w:u w:val="single"/>
            <w:rtl/>
          </w:rPr>
          <w:t>חוק העונשין</w:t>
        </w:r>
      </w:hyperlink>
      <w:r w:rsidR="00625F52">
        <w:rPr>
          <w:rFonts w:ascii="David" w:hAnsi="David" w:cs="David"/>
          <w:sz w:val="24"/>
          <w:szCs w:val="24"/>
          <w:rtl/>
        </w:rPr>
        <w:t xml:space="preserve">. שוטרים שהגיעו  למתחם בו מתגוררים הנאשם ובני משפחתו לצורך ביצוע  חיפוש. הנאשם הבחין בהם וברח כשהוא נושא עליו אקדח מסוג גלוק ובתוכו מחסנית תואמת המכילה 14 כדורים. הנאשם הסתיר את האקדח בשקית שחורה, אותה אחז בידו. בית משפט קבע מתחם עונש הולם שנע בין 24-48 חודשי מאסר בפועל. בית המשפט גזר על הנאשם 28 חודשי מאסר בפועל לצד ענישה נלווית. </w:t>
      </w:r>
    </w:p>
    <w:p w14:paraId="2E58981E" w14:textId="77777777" w:rsidR="00625F52" w:rsidRDefault="00625F52" w:rsidP="00625F52">
      <w:pPr>
        <w:pStyle w:val="a9"/>
        <w:spacing w:line="360" w:lineRule="auto"/>
        <w:jc w:val="both"/>
        <w:rPr>
          <w:rFonts w:ascii="David" w:hAnsi="David" w:cs="David"/>
          <w:sz w:val="24"/>
          <w:szCs w:val="24"/>
        </w:rPr>
      </w:pPr>
    </w:p>
    <w:p w14:paraId="17D0777D" w14:textId="77777777" w:rsidR="00625F52" w:rsidRDefault="006D0A4F" w:rsidP="00625F52">
      <w:pPr>
        <w:pStyle w:val="a9"/>
        <w:numPr>
          <w:ilvl w:val="0"/>
          <w:numId w:val="1"/>
        </w:numPr>
        <w:spacing w:line="360" w:lineRule="auto"/>
        <w:jc w:val="both"/>
        <w:rPr>
          <w:rFonts w:ascii="David" w:hAnsi="David" w:cs="David"/>
          <w:sz w:val="24"/>
          <w:szCs w:val="24"/>
        </w:rPr>
      </w:pPr>
      <w:hyperlink r:id="rId59" w:history="1">
        <w:r w:rsidRPr="006D0A4F">
          <w:rPr>
            <w:rFonts w:ascii="David" w:hAnsi="David" w:cs="David"/>
            <w:color w:val="0000FF"/>
            <w:sz w:val="24"/>
            <w:szCs w:val="24"/>
            <w:u w:val="single"/>
            <w:rtl/>
          </w:rPr>
          <w:t>ת"פ (מחוזי חיפה) 50686-04-24</w:t>
        </w:r>
      </w:hyperlink>
      <w:r w:rsidR="00625F52">
        <w:rPr>
          <w:rFonts w:ascii="David" w:hAnsi="David" w:cs="David"/>
          <w:sz w:val="24"/>
          <w:szCs w:val="24"/>
          <w:rtl/>
        </w:rPr>
        <w:t xml:space="preserve"> </w:t>
      </w:r>
      <w:r w:rsidR="00625F52">
        <w:rPr>
          <w:rFonts w:ascii="David" w:hAnsi="David" w:cs="David"/>
          <w:b/>
          <w:bCs/>
          <w:sz w:val="24"/>
          <w:szCs w:val="24"/>
          <w:rtl/>
        </w:rPr>
        <w:t xml:space="preserve">מדינת ישראל נ' סעיד אבו שחאדה </w:t>
      </w:r>
      <w:r w:rsidR="00625F52">
        <w:rPr>
          <w:rFonts w:ascii="David" w:hAnsi="David" w:cs="David"/>
          <w:sz w:val="24"/>
          <w:szCs w:val="24"/>
          <w:rtl/>
        </w:rPr>
        <w:t xml:space="preserve">(6.1.25) - הנאשם הורשע בביצוע העבירות הבאות: נשיאת נשק לפי </w:t>
      </w:r>
      <w:hyperlink r:id="rId60" w:history="1">
        <w:r w:rsidR="009D29EC" w:rsidRPr="009D29EC">
          <w:rPr>
            <w:rStyle w:val="Hyperlink"/>
            <w:rFonts w:ascii="David" w:hAnsi="David" w:cs="David"/>
            <w:color w:val="0000FF"/>
            <w:sz w:val="24"/>
            <w:szCs w:val="24"/>
            <w:rtl/>
          </w:rPr>
          <w:t>סעיף 144(א)+(ב)</w:t>
        </w:r>
      </w:hyperlink>
      <w:r w:rsidR="00625F52">
        <w:rPr>
          <w:rFonts w:ascii="David" w:hAnsi="David" w:cs="David"/>
          <w:sz w:val="24"/>
          <w:szCs w:val="24"/>
          <w:rtl/>
        </w:rPr>
        <w:t xml:space="preserve"> רישא וסיפא ל</w:t>
      </w:r>
      <w:hyperlink r:id="rId61" w:history="1">
        <w:r w:rsidRPr="006D0A4F">
          <w:rPr>
            <w:rFonts w:ascii="David" w:hAnsi="David" w:cs="David"/>
            <w:color w:val="0000FF"/>
            <w:sz w:val="24"/>
            <w:szCs w:val="24"/>
            <w:u w:val="single"/>
            <w:rtl/>
          </w:rPr>
          <w:t>חוק העונשין</w:t>
        </w:r>
      </w:hyperlink>
      <w:r w:rsidR="00625F52">
        <w:rPr>
          <w:rFonts w:ascii="David" w:hAnsi="David" w:cs="David"/>
          <w:sz w:val="24"/>
          <w:szCs w:val="24"/>
          <w:rtl/>
        </w:rPr>
        <w:t xml:space="preserve">; הפרעה לשוטר בשעת מילוי תפקידו לפי </w:t>
      </w:r>
      <w:hyperlink r:id="rId62" w:history="1">
        <w:r w:rsidR="009D29EC" w:rsidRPr="009D29EC">
          <w:rPr>
            <w:rStyle w:val="Hyperlink"/>
            <w:rFonts w:ascii="David" w:hAnsi="David" w:cs="David"/>
            <w:color w:val="0000FF"/>
            <w:sz w:val="24"/>
            <w:szCs w:val="24"/>
            <w:rtl/>
          </w:rPr>
          <w:t>סעיף 275</w:t>
        </w:r>
      </w:hyperlink>
      <w:r w:rsidR="00625F52">
        <w:rPr>
          <w:rFonts w:ascii="David" w:hAnsi="David" w:cs="David"/>
          <w:sz w:val="24"/>
          <w:szCs w:val="24"/>
          <w:rtl/>
        </w:rPr>
        <w:t xml:space="preserve"> לחוק העונשין; מעשה פזיזות ורשלנות לפי </w:t>
      </w:r>
      <w:hyperlink r:id="rId63" w:history="1">
        <w:r w:rsidR="009D29EC" w:rsidRPr="009D29EC">
          <w:rPr>
            <w:rStyle w:val="Hyperlink"/>
            <w:rFonts w:ascii="David" w:hAnsi="David" w:cs="David"/>
            <w:color w:val="0000FF"/>
            <w:sz w:val="24"/>
            <w:szCs w:val="24"/>
            <w:rtl/>
          </w:rPr>
          <w:t>סעיף 338(א)(1)</w:t>
        </w:r>
      </w:hyperlink>
      <w:r w:rsidR="00625F52">
        <w:rPr>
          <w:rFonts w:ascii="David" w:hAnsi="David" w:cs="David"/>
          <w:sz w:val="24"/>
          <w:szCs w:val="24"/>
          <w:rtl/>
        </w:rPr>
        <w:t xml:space="preserve"> לחוק העונשין; שיבוש מהלכי משפט לפי </w:t>
      </w:r>
      <w:hyperlink r:id="rId64" w:history="1">
        <w:r w:rsidR="009D29EC" w:rsidRPr="009D29EC">
          <w:rPr>
            <w:rStyle w:val="Hyperlink"/>
            <w:rFonts w:ascii="David" w:hAnsi="David" w:cs="David"/>
            <w:color w:val="0000FF"/>
            <w:sz w:val="24"/>
            <w:szCs w:val="24"/>
            <w:rtl/>
          </w:rPr>
          <w:t>סעיף 244</w:t>
        </w:r>
      </w:hyperlink>
      <w:r w:rsidR="00625F52">
        <w:rPr>
          <w:rFonts w:ascii="David" w:hAnsi="David" w:cs="David"/>
          <w:sz w:val="24"/>
          <w:szCs w:val="24"/>
          <w:rtl/>
        </w:rPr>
        <w:t xml:space="preserve"> לחוק העונשין. הנאשם החזיק על גופו אקדח מסוג גלוק 19 ובתוכו מחסנית תואמת שהכילה מספר כדורים. הנאשם נסע מאזור הבית לבית קרוב משפחתו, שהוא נושא ומוביל את הנשק והמחסנית. שוטרים שהבחינו ברכב נוסע מהמקום וסימנו לנאשם לעצור את הרכב. הנאשם לא עצר את הרכב, הוא נמלט מהמקום בנסיעה מהירה, ונעצר לאחר מרדף לאחר שהתנגש במכונית. בית המשפט קבע מתחם עונש הולם שנע בין 30-42 חודשי מאסר בפועל. בית המשפט גזר על הנאשם 36 חודשי מאסר בפועל לצד ענישה נלווית. </w:t>
      </w:r>
    </w:p>
    <w:p w14:paraId="3384BFEA" w14:textId="77777777" w:rsidR="00625F52" w:rsidRDefault="00625F52" w:rsidP="00625F52">
      <w:pPr>
        <w:pStyle w:val="a9"/>
        <w:spacing w:line="360" w:lineRule="auto"/>
        <w:jc w:val="both"/>
        <w:rPr>
          <w:rFonts w:ascii="David" w:hAnsi="David" w:cs="David"/>
          <w:sz w:val="24"/>
          <w:szCs w:val="24"/>
        </w:rPr>
      </w:pPr>
      <w:r>
        <w:rPr>
          <w:rFonts w:ascii="David" w:hAnsi="David" w:cs="David"/>
          <w:sz w:val="24"/>
          <w:szCs w:val="24"/>
          <w:rtl/>
        </w:rPr>
        <w:t xml:space="preserve"> </w:t>
      </w:r>
    </w:p>
    <w:p w14:paraId="06C3551E" w14:textId="77777777" w:rsidR="00625F52" w:rsidRDefault="006D0A4F" w:rsidP="00625F52">
      <w:pPr>
        <w:pStyle w:val="a9"/>
        <w:numPr>
          <w:ilvl w:val="0"/>
          <w:numId w:val="1"/>
        </w:numPr>
        <w:spacing w:line="360" w:lineRule="auto"/>
        <w:jc w:val="both"/>
        <w:rPr>
          <w:rFonts w:ascii="David" w:hAnsi="David" w:cs="David"/>
          <w:sz w:val="24"/>
          <w:szCs w:val="24"/>
        </w:rPr>
      </w:pPr>
      <w:hyperlink r:id="rId65" w:history="1">
        <w:r w:rsidRPr="006D0A4F">
          <w:rPr>
            <w:rFonts w:ascii="David" w:hAnsi="David" w:cs="David"/>
            <w:color w:val="0000FF"/>
            <w:sz w:val="24"/>
            <w:szCs w:val="24"/>
            <w:u w:val="single"/>
            <w:rtl/>
          </w:rPr>
          <w:t>ת"פ (מחוזי ת"א) 10182-01-24</w:t>
        </w:r>
      </w:hyperlink>
      <w:r w:rsidR="00625F52">
        <w:rPr>
          <w:rFonts w:ascii="David" w:hAnsi="David" w:cs="David"/>
          <w:sz w:val="24"/>
          <w:szCs w:val="24"/>
          <w:rtl/>
        </w:rPr>
        <w:t xml:space="preserve"> </w:t>
      </w:r>
      <w:r w:rsidR="00625F52">
        <w:rPr>
          <w:rFonts w:ascii="David" w:hAnsi="David" w:cs="David"/>
          <w:b/>
          <w:bCs/>
          <w:sz w:val="24"/>
          <w:szCs w:val="24"/>
          <w:rtl/>
        </w:rPr>
        <w:t xml:space="preserve">מדינת ישראל נ' מוחמד אבו קוטב </w:t>
      </w:r>
      <w:r w:rsidR="00625F52">
        <w:rPr>
          <w:rFonts w:ascii="David" w:hAnsi="David" w:cs="David"/>
          <w:sz w:val="24"/>
          <w:szCs w:val="24"/>
          <w:rtl/>
        </w:rPr>
        <w:t xml:space="preserve">(5.8.24) - הנאשם הורשע בביצוע נשיאת נשק לפי </w:t>
      </w:r>
      <w:hyperlink r:id="rId66" w:history="1">
        <w:r w:rsidR="009D29EC" w:rsidRPr="009D29EC">
          <w:rPr>
            <w:rStyle w:val="Hyperlink"/>
            <w:rFonts w:ascii="David" w:hAnsi="David" w:cs="David"/>
            <w:color w:val="0000FF"/>
            <w:sz w:val="24"/>
            <w:szCs w:val="24"/>
            <w:rtl/>
          </w:rPr>
          <w:t>סעיף 144(ב)</w:t>
        </w:r>
      </w:hyperlink>
      <w:r w:rsidR="00625F52">
        <w:rPr>
          <w:rFonts w:ascii="David" w:hAnsi="David" w:cs="David"/>
          <w:sz w:val="24"/>
          <w:szCs w:val="24"/>
          <w:rtl/>
        </w:rPr>
        <w:t xml:space="preserve"> רישא ל</w:t>
      </w:r>
      <w:hyperlink r:id="rId67" w:history="1">
        <w:r w:rsidRPr="006D0A4F">
          <w:rPr>
            <w:rFonts w:ascii="David" w:hAnsi="David" w:cs="David"/>
            <w:color w:val="0000FF"/>
            <w:sz w:val="24"/>
            <w:szCs w:val="24"/>
            <w:u w:val="single"/>
            <w:rtl/>
          </w:rPr>
          <w:t>חוק העונשין</w:t>
        </w:r>
      </w:hyperlink>
      <w:r w:rsidR="00625F52">
        <w:rPr>
          <w:rFonts w:ascii="David" w:hAnsi="David" w:cs="David"/>
          <w:sz w:val="24"/>
          <w:szCs w:val="24"/>
          <w:rtl/>
        </w:rPr>
        <w:t xml:space="preserve">. הנאשם רכב על קטנוע שהוא נושא על גופו אקדח קליבר 9 מ"מ ומחסנית במצב "הכנס" ובה עשרה כדורים התואמים לשימוש האקדח. כאשר הנאשם הבחין בשוטרים, הוא הגביר את מהירות רכיבתו על הקטנוע עד שהחליק על מתחם של כורכר, נפל ונעצר. בית המשפט קבע מתחם עונש הולם שנע בין 24-36 חודשי מאסר בפועל. בית המשפט גזר על הנאשם 24 חודשי מאסר בפועל לצד ענישה נלווית. </w:t>
      </w:r>
    </w:p>
    <w:p w14:paraId="0EA522F6" w14:textId="77777777" w:rsidR="00625F52" w:rsidRDefault="00625F52" w:rsidP="00625F52">
      <w:pPr>
        <w:pStyle w:val="a9"/>
        <w:spacing w:line="360" w:lineRule="auto"/>
        <w:jc w:val="both"/>
        <w:rPr>
          <w:rFonts w:ascii="David" w:hAnsi="David" w:cs="David"/>
          <w:sz w:val="24"/>
          <w:szCs w:val="24"/>
        </w:rPr>
      </w:pPr>
    </w:p>
    <w:p w14:paraId="703B00A5" w14:textId="77777777" w:rsidR="00625F52" w:rsidRPr="00B02D6E" w:rsidRDefault="00625F52" w:rsidP="00625F52">
      <w:pPr>
        <w:pStyle w:val="a9"/>
        <w:numPr>
          <w:ilvl w:val="0"/>
          <w:numId w:val="1"/>
        </w:numPr>
        <w:spacing w:line="360" w:lineRule="auto"/>
        <w:jc w:val="both"/>
        <w:rPr>
          <w:rFonts w:ascii="David" w:hAnsi="David" w:cs="David"/>
          <w:sz w:val="24"/>
          <w:szCs w:val="24"/>
        </w:rPr>
      </w:pPr>
      <w:r w:rsidRPr="00B02D6E">
        <w:rPr>
          <w:rFonts w:ascii="David" w:hAnsi="David" w:cs="David" w:hint="cs"/>
          <w:sz w:val="24"/>
          <w:szCs w:val="24"/>
          <w:rtl/>
        </w:rPr>
        <w:t xml:space="preserve">אשר לעבירה נהיגה </w:t>
      </w:r>
      <w:r w:rsidRPr="00B02D6E">
        <w:rPr>
          <w:rFonts w:ascii="David" w:hAnsi="David" w:cs="David"/>
          <w:sz w:val="24"/>
          <w:szCs w:val="24"/>
          <w:rtl/>
        </w:rPr>
        <w:t>ללא רשיון נהיגה תקף</w:t>
      </w:r>
      <w:r w:rsidRPr="00CF2FD5">
        <w:rPr>
          <w:rFonts w:ascii="David" w:hAnsi="David" w:cs="David" w:hint="cs"/>
          <w:sz w:val="24"/>
          <w:szCs w:val="24"/>
          <w:rtl/>
        </w:rPr>
        <w:t xml:space="preserve"> </w:t>
      </w:r>
      <w:r w:rsidRPr="00B02D6E">
        <w:rPr>
          <w:rFonts w:ascii="David" w:hAnsi="David" w:cs="David" w:hint="cs"/>
          <w:sz w:val="24"/>
          <w:szCs w:val="24"/>
          <w:rtl/>
        </w:rPr>
        <w:t xml:space="preserve">- </w:t>
      </w:r>
      <w:r w:rsidRPr="00B02D6E">
        <w:rPr>
          <w:rFonts w:ascii="David" w:hAnsi="David" w:cs="David"/>
          <w:sz w:val="24"/>
          <w:szCs w:val="24"/>
          <w:rtl/>
        </w:rPr>
        <w:t>הענישה בגין עבירה של נהיגה ללא רשיון נהיגה תקף נעה בין פסילה בפועל (שהיא נגזרת של פרק הזמן בו הרשיון לא היה תקף), פסילה על תנאי וקנס ועד למאסר קצר בעבודות שירות אם לצד העבירה בוצעו עבירות נוספות כמו תאונה עם נזק ברכוש ופגיעה באדם.</w:t>
      </w:r>
    </w:p>
    <w:p w14:paraId="2294AC82" w14:textId="77777777" w:rsidR="00625F52" w:rsidRDefault="00625F52" w:rsidP="00625F52">
      <w:pPr>
        <w:pStyle w:val="a9"/>
        <w:spacing w:line="360" w:lineRule="auto"/>
        <w:jc w:val="both"/>
        <w:rPr>
          <w:rFonts w:ascii="David" w:hAnsi="David" w:cs="David"/>
          <w:sz w:val="24"/>
          <w:szCs w:val="24"/>
        </w:rPr>
      </w:pPr>
    </w:p>
    <w:p w14:paraId="3CAAC6BA" w14:textId="77777777" w:rsidR="00625F52" w:rsidRDefault="00625F52" w:rsidP="00625F52">
      <w:pPr>
        <w:pStyle w:val="a9"/>
        <w:numPr>
          <w:ilvl w:val="0"/>
          <w:numId w:val="1"/>
        </w:numPr>
        <w:spacing w:line="360" w:lineRule="auto"/>
        <w:jc w:val="both"/>
        <w:rPr>
          <w:rFonts w:ascii="David" w:hAnsi="David" w:cs="David"/>
          <w:b/>
          <w:bCs/>
          <w:sz w:val="24"/>
          <w:szCs w:val="24"/>
          <w:u w:val="single"/>
        </w:rPr>
      </w:pPr>
      <w:r>
        <w:rPr>
          <w:rFonts w:ascii="David" w:hAnsi="David" w:cs="David" w:hint="cs"/>
          <w:sz w:val="24"/>
          <w:szCs w:val="24"/>
          <w:rtl/>
        </w:rPr>
        <w:t xml:space="preserve">אשר לפסיקה אליה הפנתה ההגנה, </w:t>
      </w:r>
      <w:r>
        <w:rPr>
          <w:rFonts w:ascii="David" w:hAnsi="David" w:cs="David"/>
          <w:sz w:val="24"/>
          <w:szCs w:val="24"/>
          <w:rtl/>
        </w:rPr>
        <w:t>חוששני כי הפסיקה שהגישה ההגנה אינה רלבנטית לנסיבות הנדונות</w:t>
      </w:r>
      <w:r>
        <w:rPr>
          <w:rFonts w:ascii="David" w:hAnsi="David" w:cs="David" w:hint="cs"/>
          <w:sz w:val="24"/>
          <w:szCs w:val="24"/>
          <w:rtl/>
        </w:rPr>
        <w:t>,</w:t>
      </w:r>
      <w:r>
        <w:rPr>
          <w:rFonts w:ascii="David" w:hAnsi="David" w:cs="David"/>
          <w:sz w:val="24"/>
          <w:szCs w:val="24"/>
          <w:rtl/>
        </w:rPr>
        <w:t xml:space="preserve"> ואינה משקפת את מדיניות הענישה הנוהגת כיום</w:t>
      </w:r>
      <w:r>
        <w:rPr>
          <w:rFonts w:ascii="David" w:hAnsi="David" w:cs="David" w:hint="cs"/>
          <w:sz w:val="24"/>
          <w:szCs w:val="24"/>
          <w:rtl/>
        </w:rPr>
        <w:t>,</w:t>
      </w:r>
      <w:r>
        <w:rPr>
          <w:rFonts w:ascii="David" w:hAnsi="David" w:cs="David"/>
          <w:sz w:val="24"/>
          <w:szCs w:val="24"/>
          <w:rtl/>
        </w:rPr>
        <w:t xml:space="preserve"> שאך את תמציתה הבאתי לעיל, מה גם, שאם אתייחס ל</w:t>
      </w:r>
      <w:r>
        <w:rPr>
          <w:rFonts w:ascii="David" w:hAnsi="David" w:cs="David" w:hint="cs"/>
          <w:sz w:val="24"/>
          <w:szCs w:val="24"/>
          <w:rtl/>
        </w:rPr>
        <w:t>משל ל</w:t>
      </w:r>
      <w:hyperlink r:id="rId68" w:history="1">
        <w:r w:rsidR="006D0A4F" w:rsidRPr="006D0A4F">
          <w:rPr>
            <w:rFonts w:ascii="David" w:hAnsi="David" w:cs="David"/>
            <w:color w:val="0000FF"/>
            <w:sz w:val="24"/>
            <w:szCs w:val="24"/>
            <w:u w:val="single"/>
            <w:rtl/>
          </w:rPr>
          <w:t>ע"פ 6277/20</w:t>
        </w:r>
      </w:hyperlink>
      <w:r>
        <w:rPr>
          <w:rFonts w:ascii="David" w:hAnsi="David" w:cs="David"/>
          <w:sz w:val="24"/>
          <w:szCs w:val="24"/>
          <w:rtl/>
        </w:rPr>
        <w:t xml:space="preserve"> </w:t>
      </w:r>
      <w:r>
        <w:rPr>
          <w:rFonts w:ascii="David" w:hAnsi="David" w:cs="David"/>
          <w:b/>
          <w:bCs/>
          <w:sz w:val="24"/>
          <w:szCs w:val="24"/>
          <w:rtl/>
        </w:rPr>
        <w:t xml:space="preserve">קנאו דניאל היילי נ' מדינת ישראל </w:t>
      </w:r>
      <w:r>
        <w:rPr>
          <w:rFonts w:ascii="David" w:hAnsi="David" w:cs="David"/>
          <w:sz w:val="24"/>
          <w:szCs w:val="24"/>
          <w:rtl/>
        </w:rPr>
        <w:t xml:space="preserve">(24.3.21), עליו הסתמכה ההגנה, נגזרו </w:t>
      </w:r>
      <w:r>
        <w:rPr>
          <w:rFonts w:ascii="David" w:hAnsi="David" w:cs="David" w:hint="cs"/>
          <w:sz w:val="24"/>
          <w:szCs w:val="24"/>
          <w:rtl/>
        </w:rPr>
        <w:t xml:space="preserve">שם </w:t>
      </w:r>
      <w:r>
        <w:rPr>
          <w:rFonts w:ascii="David" w:hAnsi="David" w:cs="David"/>
          <w:sz w:val="24"/>
          <w:szCs w:val="24"/>
          <w:rtl/>
        </w:rPr>
        <w:t xml:space="preserve">על הנאשם 50 חודשי מאסר, ולא כנטען. </w:t>
      </w:r>
    </w:p>
    <w:p w14:paraId="7E969CB1" w14:textId="77777777" w:rsidR="00625F52" w:rsidRDefault="00625F52" w:rsidP="00625F52">
      <w:pPr>
        <w:spacing w:line="360" w:lineRule="auto"/>
        <w:ind w:left="360"/>
        <w:jc w:val="both"/>
        <w:rPr>
          <w:rFonts w:ascii="David" w:hAnsi="David"/>
          <w:b/>
          <w:bCs/>
          <w:u w:val="single"/>
        </w:rPr>
      </w:pPr>
    </w:p>
    <w:p w14:paraId="73062B4F" w14:textId="77777777" w:rsidR="00625F52" w:rsidRDefault="00625F52" w:rsidP="00625F52">
      <w:pPr>
        <w:spacing w:line="360" w:lineRule="auto"/>
        <w:ind w:left="360" w:firstLine="65"/>
        <w:jc w:val="both"/>
        <w:rPr>
          <w:rFonts w:ascii="David" w:hAnsi="David"/>
          <w:b/>
          <w:bCs/>
          <w:u w:val="single"/>
          <w:rtl/>
        </w:rPr>
      </w:pPr>
      <w:r>
        <w:rPr>
          <w:rFonts w:ascii="David" w:hAnsi="David"/>
          <w:b/>
          <w:bCs/>
          <w:u w:val="single"/>
          <w:rtl/>
        </w:rPr>
        <w:t xml:space="preserve">נסיבות ביצוע העבירה </w:t>
      </w:r>
    </w:p>
    <w:p w14:paraId="4EB85D06" w14:textId="77777777" w:rsidR="00625F52" w:rsidRDefault="00625F52" w:rsidP="00625F52">
      <w:pPr>
        <w:pStyle w:val="a9"/>
        <w:numPr>
          <w:ilvl w:val="0"/>
          <w:numId w:val="1"/>
        </w:numPr>
        <w:tabs>
          <w:tab w:val="left" w:pos="8363"/>
        </w:tabs>
        <w:spacing w:line="360" w:lineRule="auto"/>
        <w:jc w:val="both"/>
        <w:rPr>
          <w:rFonts w:ascii="David" w:hAnsi="David" w:cs="David"/>
          <w:sz w:val="24"/>
          <w:szCs w:val="24"/>
        </w:rPr>
      </w:pPr>
      <w:r>
        <w:rPr>
          <w:rFonts w:ascii="David" w:hAnsi="David" w:cs="David"/>
          <w:sz w:val="24"/>
          <w:szCs w:val="24"/>
          <w:rtl/>
        </w:rPr>
        <w:t>לפי עובדות המקרה</w:t>
      </w:r>
      <w:r>
        <w:rPr>
          <w:rFonts w:ascii="David" w:hAnsi="David" w:cs="David" w:hint="cs"/>
          <w:sz w:val="24"/>
          <w:szCs w:val="24"/>
          <w:rtl/>
        </w:rPr>
        <w:t>,</w:t>
      </w:r>
      <w:r>
        <w:rPr>
          <w:rFonts w:ascii="David" w:hAnsi="David" w:cs="David"/>
          <w:sz w:val="24"/>
          <w:szCs w:val="24"/>
          <w:rtl/>
        </w:rPr>
        <w:t xml:space="preserve"> הנאשם נשא והוביל </w:t>
      </w:r>
      <w:r>
        <w:rPr>
          <w:rFonts w:ascii="David" w:hAnsi="David" w:cs="David" w:hint="cs"/>
          <w:sz w:val="24"/>
          <w:szCs w:val="24"/>
          <w:rtl/>
        </w:rPr>
        <w:t>שתי מחסניות ו</w:t>
      </w:r>
      <w:r>
        <w:rPr>
          <w:rFonts w:ascii="David" w:hAnsi="David" w:cs="David"/>
          <w:sz w:val="24"/>
          <w:szCs w:val="24"/>
          <w:rtl/>
        </w:rPr>
        <w:t>אקדח ברכבו, ובשלב מסוים</w:t>
      </w:r>
      <w:r>
        <w:rPr>
          <w:rFonts w:ascii="David" w:hAnsi="David" w:cs="David" w:hint="cs"/>
          <w:sz w:val="24"/>
          <w:szCs w:val="24"/>
          <w:rtl/>
        </w:rPr>
        <w:t xml:space="preserve">, לאחר שהתנגש ברכב המתלונן, נשא את האקדח והמחסנית על </w:t>
      </w:r>
      <w:r>
        <w:rPr>
          <w:rFonts w:ascii="David" w:hAnsi="David" w:cs="David"/>
          <w:sz w:val="24"/>
          <w:szCs w:val="24"/>
          <w:rtl/>
        </w:rPr>
        <w:t>גופו, תוך שבמהלך דרישת המתלונן את פרטי הנאשם כמי שפגע בו עם רכבו, ובעודו נושא את הנשק על גופו, אמר למתלונן "זה לא ייגמר טוב", וניסה לערב אנשים אחרים שיניאו את המתלונן ויאפשרו לנאשם לעזוב את מקום התאונה, תוך שהוא יוזם ולוחץ על קיום שיחה של המתלונן עם אותם אנשים. בנוסף, הנאשם ה</w:t>
      </w:r>
      <w:r>
        <w:rPr>
          <w:rFonts w:ascii="David" w:hAnsi="David" w:cs="David" w:hint="cs"/>
          <w:sz w:val="24"/>
          <w:szCs w:val="24"/>
          <w:rtl/>
        </w:rPr>
        <w:t>סתיר</w:t>
      </w:r>
      <w:r>
        <w:rPr>
          <w:rFonts w:ascii="David" w:hAnsi="David" w:cs="David"/>
          <w:sz w:val="24"/>
          <w:szCs w:val="24"/>
          <w:rtl/>
        </w:rPr>
        <w:t xml:space="preserve"> את האקדח ושתי המחסניות ברכבו כאשר הבין כי המשטרה תגיע למקום.  </w:t>
      </w:r>
    </w:p>
    <w:p w14:paraId="11D59B9B" w14:textId="77777777" w:rsidR="00625F52" w:rsidRDefault="00625F52" w:rsidP="00625F52">
      <w:pPr>
        <w:pStyle w:val="a9"/>
        <w:tabs>
          <w:tab w:val="left" w:pos="8363"/>
        </w:tabs>
        <w:spacing w:line="360" w:lineRule="auto"/>
        <w:jc w:val="both"/>
        <w:rPr>
          <w:rFonts w:ascii="David" w:hAnsi="David" w:cs="David"/>
          <w:sz w:val="24"/>
          <w:szCs w:val="24"/>
        </w:rPr>
      </w:pPr>
    </w:p>
    <w:p w14:paraId="4ABF366A" w14:textId="77777777" w:rsidR="00625F52" w:rsidRDefault="00625F52" w:rsidP="00625F52">
      <w:pPr>
        <w:pStyle w:val="a9"/>
        <w:numPr>
          <w:ilvl w:val="0"/>
          <w:numId w:val="1"/>
        </w:numPr>
        <w:tabs>
          <w:tab w:val="left" w:pos="8363"/>
        </w:tabs>
        <w:spacing w:line="360" w:lineRule="auto"/>
        <w:jc w:val="both"/>
        <w:rPr>
          <w:rFonts w:ascii="David" w:hAnsi="David" w:cs="David"/>
          <w:sz w:val="24"/>
          <w:szCs w:val="24"/>
        </w:rPr>
      </w:pPr>
      <w:r>
        <w:rPr>
          <w:rFonts w:ascii="David" w:hAnsi="David" w:cs="David"/>
          <w:sz w:val="24"/>
          <w:szCs w:val="24"/>
          <w:rtl/>
        </w:rPr>
        <w:t>מעשיו של הנאשם מלמדים על תעוזה רבה ונושאים מימד של אשם גבוה</w:t>
      </w:r>
      <w:r>
        <w:rPr>
          <w:rFonts w:ascii="David" w:hAnsi="David" w:cs="David" w:hint="cs"/>
          <w:sz w:val="24"/>
          <w:szCs w:val="24"/>
          <w:rtl/>
        </w:rPr>
        <w:t>, גם אם אני מניח לטובתו שהמחסניות היו ריקות</w:t>
      </w:r>
      <w:r>
        <w:rPr>
          <w:rFonts w:ascii="David" w:hAnsi="David" w:cs="David"/>
          <w:sz w:val="24"/>
          <w:szCs w:val="24"/>
          <w:rtl/>
        </w:rPr>
        <w:t>. שכן, הנאשם נושא עימו אקדח ו</w:t>
      </w:r>
      <w:r>
        <w:rPr>
          <w:rFonts w:ascii="David" w:hAnsi="David" w:cs="David" w:hint="cs"/>
          <w:sz w:val="24"/>
          <w:szCs w:val="24"/>
          <w:rtl/>
        </w:rPr>
        <w:t xml:space="preserve">שתי </w:t>
      </w:r>
      <w:r>
        <w:rPr>
          <w:rFonts w:ascii="David" w:hAnsi="David" w:cs="David"/>
          <w:sz w:val="24"/>
          <w:szCs w:val="24"/>
          <w:rtl/>
        </w:rPr>
        <w:t>מחסני</w:t>
      </w:r>
      <w:r>
        <w:rPr>
          <w:rFonts w:ascii="David" w:hAnsi="David" w:cs="David" w:hint="cs"/>
          <w:sz w:val="24"/>
          <w:szCs w:val="24"/>
          <w:rtl/>
        </w:rPr>
        <w:t>ו</w:t>
      </w:r>
      <w:r>
        <w:rPr>
          <w:rFonts w:ascii="David" w:hAnsi="David" w:cs="David"/>
          <w:sz w:val="24"/>
          <w:szCs w:val="24"/>
          <w:rtl/>
        </w:rPr>
        <w:t>ת ברכב, כשהוא נוסע ברחבי העיר עם רכבו, דבר המגלם בתוכו פוטנציאל סיכון חיי אדם, הואיל והאקדח זמין לידיו, וידועה הזיקה בין החזקת נשק לבין השימוש בו. בנוסף, הסלמת האירוע ע"י השמעת איומים מרומזים למתלונן ועירוב אחרים כדי שיניאו את המתלונן שפעל כחוק ודרש פרטים עקב התאונה, מוסיפים אף הם מימד כוחני ובריוני ומוסיפים חומרה למעשיו של הנאשם.</w:t>
      </w:r>
    </w:p>
    <w:p w14:paraId="249767B0" w14:textId="77777777" w:rsidR="00625F52" w:rsidRDefault="00625F52" w:rsidP="00625F52">
      <w:pPr>
        <w:pStyle w:val="a9"/>
        <w:tabs>
          <w:tab w:val="left" w:pos="8363"/>
        </w:tabs>
        <w:spacing w:line="360" w:lineRule="auto"/>
        <w:jc w:val="both"/>
        <w:rPr>
          <w:rFonts w:ascii="David" w:hAnsi="David" w:cs="David"/>
          <w:sz w:val="24"/>
          <w:szCs w:val="24"/>
        </w:rPr>
      </w:pPr>
    </w:p>
    <w:p w14:paraId="5F7182FB" w14:textId="77777777" w:rsidR="00625F52" w:rsidRDefault="00625F52" w:rsidP="00625F52">
      <w:pPr>
        <w:pStyle w:val="a9"/>
        <w:numPr>
          <w:ilvl w:val="0"/>
          <w:numId w:val="1"/>
        </w:numPr>
        <w:tabs>
          <w:tab w:val="left" w:pos="8363"/>
        </w:tabs>
        <w:spacing w:line="360" w:lineRule="auto"/>
        <w:jc w:val="both"/>
        <w:rPr>
          <w:rFonts w:ascii="David" w:hAnsi="David" w:cs="David"/>
          <w:sz w:val="24"/>
          <w:szCs w:val="24"/>
        </w:rPr>
      </w:pPr>
      <w:r>
        <w:rPr>
          <w:rFonts w:ascii="David" w:hAnsi="David" w:cs="David"/>
          <w:sz w:val="24"/>
          <w:szCs w:val="24"/>
          <w:rtl/>
        </w:rPr>
        <w:t xml:space="preserve">אשר לנזק שנגרם כתוצאה ממעשיי הנאשם אפנה לנאמר: </w:t>
      </w:r>
      <w:r w:rsidRPr="002B4DE9">
        <w:rPr>
          <w:rFonts w:ascii="David" w:hAnsi="David" w:cs="David"/>
          <w:b/>
          <w:bCs/>
          <w:sz w:val="24"/>
          <w:szCs w:val="24"/>
          <w:rtl/>
        </w:rPr>
        <w:t>"אכן, המשיב לא הורשע בשימוש בנשק כלפי מאן דהוא, אולם מכאן אין מקום להסיק כי לא נגרם נזק, וודאי שאין להסיק זאת באופן המצדיק הקלה בעונשו של המשיב. עצם החזקת נשק שלא כדין מהווה איום על שלום הציבור ועל הסדר הציבורי, וכבר נפסק כי החזקת נשק מהווה תשתית, "גורם בלתו אין", למגוון רחב של עבירות</w:t>
      </w:r>
      <w:r>
        <w:rPr>
          <w:rFonts w:ascii="David" w:hAnsi="David" w:cs="David" w:hint="cs"/>
          <w:sz w:val="24"/>
          <w:szCs w:val="24"/>
          <w:rtl/>
        </w:rPr>
        <w:t>"</w:t>
      </w:r>
      <w:r>
        <w:rPr>
          <w:rFonts w:ascii="David" w:hAnsi="David" w:cs="David"/>
          <w:sz w:val="24"/>
          <w:szCs w:val="24"/>
          <w:rtl/>
        </w:rPr>
        <w:t xml:space="preserve"> (</w:t>
      </w:r>
      <w:hyperlink r:id="rId69" w:history="1">
        <w:r w:rsidR="006D0A4F" w:rsidRPr="006D0A4F">
          <w:rPr>
            <w:rFonts w:ascii="David" w:hAnsi="David" w:cs="David"/>
            <w:color w:val="0000FF"/>
            <w:sz w:val="24"/>
            <w:szCs w:val="24"/>
            <w:u w:val="single"/>
            <w:rtl/>
          </w:rPr>
          <w:t>ע"פ 7473/20</w:t>
        </w:r>
      </w:hyperlink>
      <w:r>
        <w:rPr>
          <w:rFonts w:ascii="David" w:hAnsi="David" w:cs="David"/>
          <w:sz w:val="24"/>
          <w:szCs w:val="24"/>
          <w:rtl/>
        </w:rPr>
        <w:t xml:space="preserve"> </w:t>
      </w:r>
      <w:r>
        <w:rPr>
          <w:rFonts w:ascii="David" w:hAnsi="David" w:cs="David"/>
          <w:b/>
          <w:bCs/>
          <w:sz w:val="24"/>
          <w:szCs w:val="24"/>
          <w:rtl/>
        </w:rPr>
        <w:t>מדינת ישראל נ' מחאמיד</w:t>
      </w:r>
      <w:r>
        <w:rPr>
          <w:rFonts w:ascii="David" w:hAnsi="David" w:cs="David"/>
          <w:sz w:val="24"/>
          <w:szCs w:val="24"/>
          <w:rtl/>
        </w:rPr>
        <w:t xml:space="preserve">, פסקה 24 [פורסם בנבו] (29.6.2021)‏‏)" - מתוך </w:t>
      </w:r>
      <w:hyperlink r:id="rId70" w:history="1">
        <w:r w:rsidR="006D0A4F" w:rsidRPr="006D0A4F">
          <w:rPr>
            <w:rFonts w:ascii="David" w:hAnsi="David" w:cs="David"/>
            <w:color w:val="0000FF"/>
            <w:sz w:val="24"/>
            <w:szCs w:val="24"/>
            <w:u w:val="single"/>
            <w:rtl/>
          </w:rPr>
          <w:t>ע"פ 4456/21</w:t>
        </w:r>
      </w:hyperlink>
      <w:r>
        <w:rPr>
          <w:rFonts w:ascii="David" w:hAnsi="David" w:cs="David"/>
          <w:sz w:val="24"/>
          <w:szCs w:val="24"/>
          <w:rtl/>
        </w:rPr>
        <w:t xml:space="preserve"> </w:t>
      </w:r>
      <w:r>
        <w:rPr>
          <w:rFonts w:ascii="David" w:hAnsi="David" w:cs="David"/>
          <w:b/>
          <w:bCs/>
          <w:sz w:val="24"/>
          <w:szCs w:val="24"/>
          <w:rtl/>
        </w:rPr>
        <w:t>מדינת ישראל נ' אבו עבסה</w:t>
      </w:r>
      <w:r>
        <w:rPr>
          <w:rFonts w:ascii="David" w:hAnsi="David" w:cs="David"/>
          <w:sz w:val="24"/>
          <w:szCs w:val="24"/>
          <w:rtl/>
        </w:rPr>
        <w:t xml:space="preserve">, פסקה 17, (23.1.2022); ראו גם </w:t>
      </w:r>
      <w:hyperlink r:id="rId71" w:history="1">
        <w:r w:rsidR="006D0A4F" w:rsidRPr="006D0A4F">
          <w:rPr>
            <w:rFonts w:ascii="David" w:hAnsi="David" w:cs="David"/>
            <w:color w:val="0000FF"/>
            <w:sz w:val="24"/>
            <w:szCs w:val="24"/>
            <w:u w:val="single"/>
            <w:rtl/>
          </w:rPr>
          <w:t>ע"פ 8869/21</w:t>
        </w:r>
      </w:hyperlink>
      <w:r>
        <w:rPr>
          <w:rFonts w:ascii="David" w:hAnsi="David" w:cs="David"/>
          <w:sz w:val="24"/>
          <w:szCs w:val="24"/>
          <w:rtl/>
        </w:rPr>
        <w:t xml:space="preserve"> </w:t>
      </w:r>
      <w:r>
        <w:rPr>
          <w:rFonts w:ascii="David" w:hAnsi="David" w:cs="David"/>
          <w:b/>
          <w:bCs/>
          <w:sz w:val="24"/>
          <w:szCs w:val="24"/>
          <w:rtl/>
        </w:rPr>
        <w:t>מדינת ישראל נ' קוואסמה</w:t>
      </w:r>
      <w:r>
        <w:rPr>
          <w:rFonts w:ascii="David" w:hAnsi="David" w:cs="David"/>
          <w:sz w:val="24"/>
          <w:szCs w:val="24"/>
          <w:rtl/>
        </w:rPr>
        <w:t>, פסקה 12, 13.3.2022).</w:t>
      </w:r>
    </w:p>
    <w:p w14:paraId="20BAD24B" w14:textId="77777777" w:rsidR="00625F52" w:rsidRDefault="00625F52" w:rsidP="00625F52">
      <w:pPr>
        <w:pStyle w:val="a9"/>
        <w:tabs>
          <w:tab w:val="left" w:pos="8363"/>
        </w:tabs>
        <w:spacing w:line="360" w:lineRule="auto"/>
        <w:jc w:val="both"/>
        <w:rPr>
          <w:rFonts w:ascii="David" w:hAnsi="David" w:cs="David"/>
          <w:sz w:val="24"/>
          <w:szCs w:val="24"/>
          <w:rtl/>
        </w:rPr>
      </w:pPr>
    </w:p>
    <w:p w14:paraId="3A224B6E" w14:textId="77777777" w:rsidR="00625F52" w:rsidRDefault="00625F52" w:rsidP="00625F52">
      <w:pPr>
        <w:pStyle w:val="a9"/>
        <w:spacing w:line="360" w:lineRule="auto"/>
        <w:ind w:right="993"/>
        <w:jc w:val="both"/>
        <w:rPr>
          <w:rFonts w:ascii="David" w:hAnsi="David" w:cs="David"/>
          <w:sz w:val="24"/>
          <w:szCs w:val="24"/>
          <w:rtl/>
        </w:rPr>
      </w:pPr>
    </w:p>
    <w:p w14:paraId="50B4A00A" w14:textId="77777777" w:rsidR="00625F52" w:rsidRDefault="00625F52" w:rsidP="00625F52">
      <w:pPr>
        <w:spacing w:line="360" w:lineRule="auto"/>
        <w:ind w:firstLine="425"/>
        <w:jc w:val="both"/>
        <w:rPr>
          <w:rFonts w:ascii="David" w:hAnsi="David"/>
          <w:b/>
          <w:bCs/>
          <w:u w:val="single"/>
          <w:rtl/>
        </w:rPr>
      </w:pPr>
    </w:p>
    <w:p w14:paraId="3C6C7ABF" w14:textId="77777777" w:rsidR="00625F52" w:rsidRDefault="00625F52" w:rsidP="00625F52">
      <w:pPr>
        <w:spacing w:line="360" w:lineRule="auto"/>
        <w:ind w:firstLine="425"/>
        <w:jc w:val="both"/>
        <w:rPr>
          <w:rFonts w:ascii="David" w:hAnsi="David"/>
          <w:b/>
          <w:bCs/>
          <w:u w:val="single"/>
          <w:rtl/>
        </w:rPr>
      </w:pPr>
    </w:p>
    <w:p w14:paraId="28ADC66F" w14:textId="77777777" w:rsidR="00625F52" w:rsidRDefault="00625F52" w:rsidP="00625F52">
      <w:pPr>
        <w:spacing w:line="360" w:lineRule="auto"/>
        <w:ind w:firstLine="425"/>
        <w:jc w:val="both"/>
        <w:rPr>
          <w:rFonts w:ascii="David" w:hAnsi="David"/>
          <w:b/>
          <w:bCs/>
          <w:u w:val="single"/>
        </w:rPr>
      </w:pPr>
      <w:r>
        <w:rPr>
          <w:rFonts w:ascii="David" w:hAnsi="David"/>
          <w:b/>
          <w:bCs/>
          <w:u w:val="single"/>
          <w:rtl/>
        </w:rPr>
        <w:t>מתחם העונש ההולם</w:t>
      </w:r>
    </w:p>
    <w:p w14:paraId="2DA24A05" w14:textId="77777777" w:rsidR="00625F52" w:rsidRDefault="00625F52" w:rsidP="00625F52">
      <w:pPr>
        <w:pStyle w:val="a9"/>
        <w:numPr>
          <w:ilvl w:val="0"/>
          <w:numId w:val="1"/>
        </w:numPr>
        <w:spacing w:line="360" w:lineRule="auto"/>
        <w:jc w:val="both"/>
        <w:rPr>
          <w:rFonts w:ascii="David" w:hAnsi="David" w:cs="David"/>
          <w:sz w:val="24"/>
          <w:szCs w:val="24"/>
          <w:rtl/>
        </w:rPr>
      </w:pPr>
      <w:r>
        <w:rPr>
          <w:rFonts w:ascii="David" w:hAnsi="David" w:cs="David"/>
          <w:sz w:val="24"/>
          <w:szCs w:val="24"/>
          <w:rtl/>
        </w:rPr>
        <w:t>לאחר שנתתי את דעתי שנתתי דעתי לנסיבות מעשי הנאשם, מידת הפגיעה בערכים המוגנים, מדיניות הענישה הנוהגת, נסיבות ביצוע העבירה, מצאתי לקבוע מתחם שנע בין 28-48 חודשי מאסר בפועל לצד מאסר מותנה</w:t>
      </w:r>
      <w:r>
        <w:rPr>
          <w:rFonts w:ascii="David" w:hAnsi="David" w:cs="David" w:hint="cs"/>
          <w:sz w:val="24"/>
          <w:szCs w:val="24"/>
          <w:rtl/>
        </w:rPr>
        <w:t xml:space="preserve">, </w:t>
      </w:r>
      <w:r>
        <w:rPr>
          <w:rFonts w:ascii="David" w:hAnsi="David" w:cs="David"/>
          <w:sz w:val="24"/>
          <w:szCs w:val="24"/>
          <w:rtl/>
        </w:rPr>
        <w:t xml:space="preserve">קנס </w:t>
      </w:r>
      <w:r>
        <w:rPr>
          <w:rFonts w:ascii="David" w:hAnsi="David" w:cs="David" w:hint="cs"/>
          <w:sz w:val="24"/>
          <w:szCs w:val="24"/>
          <w:rtl/>
        </w:rPr>
        <w:t xml:space="preserve">ופיצוי </w:t>
      </w:r>
      <w:r>
        <w:rPr>
          <w:rFonts w:ascii="David" w:hAnsi="David" w:cs="David"/>
          <w:sz w:val="24"/>
          <w:szCs w:val="24"/>
          <w:rtl/>
        </w:rPr>
        <w:t>כספי</w:t>
      </w:r>
      <w:r>
        <w:rPr>
          <w:rFonts w:ascii="David" w:hAnsi="David" w:cs="David" w:hint="cs"/>
          <w:sz w:val="24"/>
          <w:szCs w:val="24"/>
          <w:rtl/>
        </w:rPr>
        <w:t xml:space="preserve"> למתלונן</w:t>
      </w:r>
      <w:r>
        <w:rPr>
          <w:rFonts w:ascii="David" w:hAnsi="David" w:cs="David"/>
          <w:sz w:val="24"/>
          <w:szCs w:val="24"/>
          <w:rtl/>
        </w:rPr>
        <w:t xml:space="preserve">. </w:t>
      </w:r>
    </w:p>
    <w:p w14:paraId="45FE7669" w14:textId="77777777" w:rsidR="00625F52" w:rsidRDefault="00625F52" w:rsidP="00625F52">
      <w:pPr>
        <w:spacing w:line="360" w:lineRule="auto"/>
        <w:jc w:val="both"/>
        <w:rPr>
          <w:rFonts w:ascii="David" w:hAnsi="David"/>
          <w:b/>
          <w:bCs/>
          <w:u w:val="single"/>
        </w:rPr>
      </w:pPr>
    </w:p>
    <w:p w14:paraId="4E1176C1" w14:textId="77777777" w:rsidR="00625F52" w:rsidRDefault="00625F52" w:rsidP="00625F52">
      <w:pPr>
        <w:spacing w:line="360" w:lineRule="auto"/>
        <w:ind w:firstLine="425"/>
        <w:jc w:val="both"/>
        <w:rPr>
          <w:rFonts w:ascii="David" w:hAnsi="David"/>
          <w:b/>
          <w:bCs/>
          <w:u w:val="single"/>
          <w:rtl/>
        </w:rPr>
      </w:pPr>
      <w:r>
        <w:rPr>
          <w:rFonts w:ascii="David" w:hAnsi="David"/>
          <w:b/>
          <w:bCs/>
          <w:u w:val="single"/>
          <w:rtl/>
        </w:rPr>
        <w:t>נסיבות שאינן קשורות לביצוע העבירה</w:t>
      </w:r>
    </w:p>
    <w:p w14:paraId="0F05B770" w14:textId="77777777" w:rsidR="00625F52" w:rsidRPr="009105A1" w:rsidRDefault="00625F52" w:rsidP="00625F52">
      <w:pPr>
        <w:shd w:val="clear" w:color="auto" w:fill="FFFFFF"/>
        <w:spacing w:line="360" w:lineRule="auto"/>
        <w:ind w:left="850" w:right="142" w:hanging="425"/>
        <w:jc w:val="both"/>
        <w:rPr>
          <w:rFonts w:ascii="David" w:hAnsi="David"/>
          <w:b/>
          <w:bCs/>
          <w:color w:val="000000"/>
          <w:u w:val="single"/>
        </w:rPr>
      </w:pPr>
      <w:r>
        <w:rPr>
          <w:rFonts w:ascii="David" w:hAnsi="David" w:hint="cs"/>
          <w:color w:val="000000"/>
          <w:rtl/>
        </w:rPr>
        <w:t xml:space="preserve">27. </w:t>
      </w:r>
      <w:r>
        <w:rPr>
          <w:rFonts w:ascii="David" w:hAnsi="David"/>
          <w:color w:val="000000"/>
          <w:rtl/>
        </w:rPr>
        <w:tab/>
      </w:r>
      <w:r w:rsidRPr="009105A1">
        <w:rPr>
          <w:rFonts w:ascii="David" w:hAnsi="David"/>
          <w:color w:val="000000"/>
          <w:rtl/>
        </w:rPr>
        <w:t xml:space="preserve">הנאשם יליד שנת 1990, לחובתו הרשעה פלילית בעבירה של החזקת אגרופן או סכין למטרה לא כשרה, ו- 10 הרשעות תעבורתיות מגוונות. מדובר במי שנוהג מאז 2008, וצבר במשך כשנתיים בלבד, שורה של עבירות חמורות, בהן </w:t>
      </w:r>
      <w:r w:rsidRPr="009105A1">
        <w:rPr>
          <w:rFonts w:ascii="David" w:hAnsi="David"/>
          <w:rtl/>
        </w:rPr>
        <w:t>סירוב להיבדק בדיקת נשיפה, עבירות מהירות, נהיגה בקלות ראש, נהיגה בזמן פסילה, אי ציות לשוטר במדים וכיו"ב.</w:t>
      </w:r>
    </w:p>
    <w:p w14:paraId="695AF7AF" w14:textId="77777777" w:rsidR="00625F52" w:rsidRDefault="00625F52" w:rsidP="00625F52">
      <w:pPr>
        <w:pStyle w:val="a9"/>
        <w:shd w:val="clear" w:color="auto" w:fill="FFFFFF"/>
        <w:spacing w:after="0" w:line="360" w:lineRule="auto"/>
        <w:ind w:right="142"/>
        <w:jc w:val="both"/>
        <w:rPr>
          <w:rFonts w:ascii="David" w:eastAsia="Times New Roman" w:hAnsi="David" w:cs="David"/>
          <w:b/>
          <w:bCs/>
          <w:color w:val="000000"/>
          <w:sz w:val="24"/>
          <w:szCs w:val="24"/>
          <w:u w:val="single"/>
        </w:rPr>
      </w:pPr>
    </w:p>
    <w:p w14:paraId="61DCF706" w14:textId="77777777" w:rsidR="00625F52" w:rsidRDefault="00625F52" w:rsidP="00625F52">
      <w:pPr>
        <w:shd w:val="clear" w:color="auto" w:fill="FFFFFF"/>
        <w:spacing w:line="360" w:lineRule="auto"/>
        <w:ind w:left="708" w:right="142" w:hanging="348"/>
        <w:jc w:val="both"/>
        <w:rPr>
          <w:rFonts w:ascii="David" w:hAnsi="David"/>
          <w:b/>
          <w:bCs/>
          <w:color w:val="000000"/>
          <w:u w:val="single"/>
          <w:rtl/>
        </w:rPr>
      </w:pPr>
      <w:r>
        <w:rPr>
          <w:rFonts w:ascii="David" w:hAnsi="David"/>
        </w:rPr>
        <w:t>28</w:t>
      </w:r>
      <w:r>
        <w:rPr>
          <w:rFonts w:ascii="David" w:hAnsi="David" w:hint="cs"/>
          <w:rtl/>
        </w:rPr>
        <w:t>.</w:t>
      </w:r>
      <w:r>
        <w:rPr>
          <w:rFonts w:ascii="David" w:hAnsi="David"/>
        </w:rPr>
        <w:tab/>
      </w:r>
      <w:r w:rsidRPr="007957DD">
        <w:rPr>
          <w:rFonts w:ascii="David" w:hAnsi="David"/>
          <w:rtl/>
        </w:rPr>
        <w:t>הנאשם נשפט ביום 4.11.24 בבית משפט לתעבורה בחדרה בתיק 5693-07-21, ובמסגרת הסדר טיעון נגזרו עליו שם 11 ח' מאסר בפועל, הופעל מאסר מותנה של 6 ח' מתיק אחר, כך שסה"כ הוטלו עליו 17 חודשי מאסר לריצוי בפועל. באותו גזר דין הוטלו עליו גם 8 ח' מאסר מותנים ל- 3 שנים שלא יעבור עבירות של נהיגה בשכרות או תחת השפעת משקאות משכרים, סירוב להבדק בדיקת שכרות ונהיגה בזמן פסילה. כמו כן הוטלה עליו פסילה מותנית של 10 ח' שלא יעבור את העבירות בהן הורשע או כל עבירה מהתוספת הראשונה והשניה שבתוספת ל</w:t>
      </w:r>
      <w:hyperlink r:id="rId72" w:history="1">
        <w:r w:rsidR="006D0A4F" w:rsidRPr="006D0A4F">
          <w:rPr>
            <w:rFonts w:ascii="David" w:hAnsi="David"/>
            <w:color w:val="0000FF"/>
            <w:u w:val="single"/>
            <w:rtl/>
          </w:rPr>
          <w:t>פקודת התעבורה</w:t>
        </w:r>
      </w:hyperlink>
      <w:r w:rsidRPr="007957DD">
        <w:rPr>
          <w:rFonts w:ascii="David" w:hAnsi="David"/>
          <w:rtl/>
        </w:rPr>
        <w:t xml:space="preserve"> (הכוללות נהיגה ללא ר</w:t>
      </w:r>
      <w:r>
        <w:rPr>
          <w:rFonts w:ascii="David" w:hAnsi="David" w:hint="cs"/>
          <w:rtl/>
        </w:rPr>
        <w:t>י</w:t>
      </w:r>
      <w:r w:rsidRPr="007957DD">
        <w:rPr>
          <w:rFonts w:ascii="David" w:hAnsi="David"/>
          <w:rtl/>
        </w:rPr>
        <w:t>שיון נהיגה תקף שבנדוננו).</w:t>
      </w:r>
      <w:r>
        <w:rPr>
          <w:rFonts w:ascii="David" w:hAnsi="David" w:hint="cs"/>
          <w:b/>
          <w:bCs/>
          <w:color w:val="000000"/>
          <w:u w:val="single"/>
          <w:rtl/>
        </w:rPr>
        <w:t xml:space="preserve"> </w:t>
      </w:r>
    </w:p>
    <w:p w14:paraId="74FD8415" w14:textId="77777777" w:rsidR="00625F52" w:rsidRDefault="00625F52" w:rsidP="00625F52">
      <w:pPr>
        <w:shd w:val="clear" w:color="auto" w:fill="FFFFFF"/>
        <w:spacing w:line="360" w:lineRule="auto"/>
        <w:ind w:left="708" w:right="142" w:hanging="348"/>
        <w:jc w:val="both"/>
        <w:rPr>
          <w:rFonts w:ascii="David" w:hAnsi="David"/>
          <w:b/>
          <w:bCs/>
          <w:color w:val="000000"/>
          <w:u w:val="single"/>
          <w:rtl/>
        </w:rPr>
      </w:pPr>
    </w:p>
    <w:p w14:paraId="3CC110D7" w14:textId="77777777" w:rsidR="00625F52" w:rsidRDefault="00625F52" w:rsidP="00625F52">
      <w:pPr>
        <w:shd w:val="clear" w:color="auto" w:fill="FFFFFF"/>
        <w:spacing w:line="360" w:lineRule="auto"/>
        <w:ind w:left="708" w:right="142" w:hanging="348"/>
        <w:jc w:val="both"/>
        <w:rPr>
          <w:rFonts w:ascii="David" w:hAnsi="David"/>
          <w:color w:val="000000"/>
        </w:rPr>
      </w:pPr>
      <w:r>
        <w:rPr>
          <w:rFonts w:ascii="David" w:hAnsi="David" w:hint="cs"/>
          <w:color w:val="000000"/>
          <w:rtl/>
        </w:rPr>
        <w:t>29.</w:t>
      </w:r>
      <w:r>
        <w:rPr>
          <w:rFonts w:ascii="David" w:hAnsi="David"/>
          <w:color w:val="000000"/>
          <w:rtl/>
        </w:rPr>
        <w:tab/>
      </w:r>
      <w:r>
        <w:rPr>
          <w:rFonts w:ascii="David" w:hAnsi="David" w:hint="cs"/>
          <w:color w:val="000000"/>
          <w:rtl/>
        </w:rPr>
        <w:t>מהנתונים</w:t>
      </w:r>
      <w:r>
        <w:rPr>
          <w:rFonts w:ascii="David" w:hAnsi="David"/>
          <w:color w:val="000000"/>
          <w:rtl/>
        </w:rPr>
        <w:t xml:space="preserve"> שבפני עולה כי אין זו הפעם הראשונה שהנאשם מסתבך בחומרה עם החוק ועל אף שעברו הפלילי אינו חומר הוא נושא מימד אלים, ומצטרף לשרשרת ארוכה של עבירות תעבורה מהחומרות שבפק' התעבורה, ומלמדת על התנהלות פורצת גבולות מצד הנאשם על אף גילו הצעיר.</w:t>
      </w:r>
    </w:p>
    <w:p w14:paraId="55AFE1A5" w14:textId="77777777" w:rsidR="00625F52" w:rsidRDefault="00625F52" w:rsidP="00625F52">
      <w:pPr>
        <w:pStyle w:val="a9"/>
        <w:shd w:val="clear" w:color="auto" w:fill="FFFFFF"/>
        <w:spacing w:after="0" w:line="360" w:lineRule="auto"/>
        <w:ind w:right="142"/>
        <w:jc w:val="both"/>
        <w:rPr>
          <w:rFonts w:ascii="David" w:eastAsia="Times New Roman" w:hAnsi="David" w:cs="David"/>
          <w:b/>
          <w:bCs/>
          <w:color w:val="000000"/>
          <w:sz w:val="24"/>
          <w:szCs w:val="24"/>
          <w:u w:val="single"/>
        </w:rPr>
      </w:pPr>
    </w:p>
    <w:p w14:paraId="5770531A" w14:textId="77777777" w:rsidR="00625F52" w:rsidRPr="007957DD" w:rsidRDefault="00625F52" w:rsidP="00625F52">
      <w:pPr>
        <w:shd w:val="clear" w:color="auto" w:fill="FFFFFF"/>
        <w:spacing w:line="360" w:lineRule="auto"/>
        <w:ind w:left="708" w:right="142" w:hanging="348"/>
        <w:jc w:val="both"/>
        <w:rPr>
          <w:rFonts w:ascii="David" w:hAnsi="David"/>
          <w:color w:val="000000"/>
        </w:rPr>
      </w:pPr>
      <w:r>
        <w:rPr>
          <w:rFonts w:ascii="David" w:hAnsi="David"/>
        </w:rPr>
        <w:t>30</w:t>
      </w:r>
      <w:r>
        <w:rPr>
          <w:rFonts w:ascii="David" w:hAnsi="David" w:hint="cs"/>
          <w:rtl/>
        </w:rPr>
        <w:t>.</w:t>
      </w:r>
      <w:r>
        <w:rPr>
          <w:rFonts w:ascii="David" w:hAnsi="David"/>
          <w:rtl/>
        </w:rPr>
        <w:tab/>
      </w:r>
      <w:r w:rsidRPr="007957DD">
        <w:rPr>
          <w:rFonts w:ascii="David" w:hAnsi="David"/>
          <w:rtl/>
        </w:rPr>
        <w:t xml:space="preserve">ב"כ הנאשם המלומד ביקש לשכנעני בכשרונו הרב, כי נוכח הנסיבות שתיאר הן בעל פה והן בכתב יש להימנע מקביעה כי העונש שיוטל עליו בתיק זה יהיה במצטבר, כך שהעונש שהנאשם מרצה כבר בתיק התעבורה הנ"ל ירוצה בחופף לעונש המוטל עליו כאן. ב"כ המאשימה מתנגד לכך וטען כי יש לקבוע כי המאסרים ירוצו במצטבר. </w:t>
      </w:r>
      <w:r w:rsidRPr="007957DD">
        <w:rPr>
          <w:rFonts w:ascii="David" w:hAnsi="David"/>
          <w:color w:val="000000"/>
          <w:rtl/>
        </w:rPr>
        <w:t xml:space="preserve">מהוראות הדין עולה כי מאסרים המוטלים על נאשם צריכים להיות מרוצים במצטבר, אלא אם הורה בית המשפט אחרת </w:t>
      </w:r>
      <w:r w:rsidRPr="007957DD">
        <w:rPr>
          <w:rFonts w:ascii="David" w:hAnsi="David" w:hint="cs"/>
          <w:color w:val="000000"/>
          <w:rtl/>
        </w:rPr>
        <w:t xml:space="preserve">בהתאם להוראת </w:t>
      </w:r>
      <w:hyperlink r:id="rId73" w:history="1">
        <w:r w:rsidR="009D29EC" w:rsidRPr="009D29EC">
          <w:rPr>
            <w:rStyle w:val="Hyperlink"/>
            <w:rFonts w:ascii="David" w:hAnsi="David"/>
            <w:color w:val="0000FF"/>
            <w:rtl/>
          </w:rPr>
          <w:t>סעיף 45(ב)</w:t>
        </w:r>
      </w:hyperlink>
      <w:r w:rsidRPr="007957DD">
        <w:rPr>
          <w:rFonts w:ascii="David" w:hAnsi="David"/>
          <w:color w:val="000000"/>
          <w:rtl/>
        </w:rPr>
        <w:t xml:space="preserve"> ל</w:t>
      </w:r>
      <w:hyperlink r:id="rId74" w:history="1">
        <w:r w:rsidR="006D0A4F" w:rsidRPr="006D0A4F">
          <w:rPr>
            <w:rFonts w:ascii="David" w:hAnsi="David"/>
            <w:color w:val="0000FF"/>
            <w:u w:val="single"/>
            <w:rtl/>
          </w:rPr>
          <w:t>חוק העונשין</w:t>
        </w:r>
      </w:hyperlink>
      <w:r w:rsidRPr="007957DD">
        <w:rPr>
          <w:rFonts w:ascii="David" w:hAnsi="David" w:hint="cs"/>
          <w:color w:val="000000"/>
          <w:rtl/>
        </w:rPr>
        <w:t xml:space="preserve">. </w:t>
      </w:r>
      <w:r w:rsidRPr="007957DD">
        <w:rPr>
          <w:rFonts w:ascii="David" w:hAnsi="David"/>
          <w:rtl/>
        </w:rPr>
        <w:t>סעיף</w:t>
      </w:r>
      <w:r w:rsidRPr="007957DD">
        <w:rPr>
          <w:rFonts w:ascii="David" w:hAnsi="David" w:hint="cs"/>
          <w:rtl/>
        </w:rPr>
        <w:t xml:space="preserve"> זה </w:t>
      </w:r>
      <w:r w:rsidRPr="007957DD">
        <w:rPr>
          <w:rFonts w:ascii="David" w:hAnsi="David"/>
          <w:rtl/>
        </w:rPr>
        <w:t xml:space="preserve">עוסק בסמכות בית המשפט הגוזר את עונשו של מי שכבר נידון לעונש מאסר בתיק אחר, ומסמיך אותו להטיל את העונש בחופף או במצטבר לעונש המאסר הראשון (ראו </w:t>
      </w:r>
      <w:hyperlink r:id="rId75" w:history="1">
        <w:r w:rsidR="006D0A4F" w:rsidRPr="006D0A4F">
          <w:rPr>
            <w:rFonts w:ascii="David" w:hAnsi="David"/>
            <w:color w:val="0000FF"/>
            <w:u w:val="single"/>
            <w:rtl/>
          </w:rPr>
          <w:t>ע"פ 7907/14</w:t>
        </w:r>
      </w:hyperlink>
      <w:r w:rsidRPr="007957DD">
        <w:rPr>
          <w:rFonts w:ascii="David" w:hAnsi="David"/>
          <w:rtl/>
        </w:rPr>
        <w:t xml:space="preserve"> </w:t>
      </w:r>
      <w:r w:rsidRPr="007957DD">
        <w:rPr>
          <w:rFonts w:ascii="David" w:hAnsi="David"/>
          <w:b/>
          <w:bCs/>
          <w:rtl/>
        </w:rPr>
        <w:t>ואזנה נ' מדינת ישראל</w:t>
      </w:r>
      <w:r w:rsidRPr="007957DD">
        <w:rPr>
          <w:rFonts w:ascii="David" w:hAnsi="David"/>
          <w:rtl/>
        </w:rPr>
        <w:t xml:space="preserve">, פסקה 12 [נבו] (22.2.2015); </w:t>
      </w:r>
      <w:hyperlink r:id="rId76" w:history="1">
        <w:r w:rsidR="006D0A4F" w:rsidRPr="006D0A4F">
          <w:rPr>
            <w:rFonts w:ascii="David" w:hAnsi="David"/>
            <w:color w:val="0000FF"/>
            <w:u w:val="single"/>
            <w:rtl/>
          </w:rPr>
          <w:t>ע"פ 7786/21</w:t>
        </w:r>
      </w:hyperlink>
      <w:r w:rsidRPr="007957DD">
        <w:rPr>
          <w:rFonts w:ascii="David" w:hAnsi="David"/>
          <w:rtl/>
        </w:rPr>
        <w:t xml:space="preserve"> </w:t>
      </w:r>
      <w:r w:rsidRPr="007957DD">
        <w:rPr>
          <w:rFonts w:ascii="David" w:hAnsi="David"/>
          <w:b/>
          <w:bCs/>
          <w:rtl/>
        </w:rPr>
        <w:t>אזמה נ' מדינת ישראל</w:t>
      </w:r>
      <w:r w:rsidRPr="007957DD">
        <w:rPr>
          <w:rFonts w:ascii="David" w:hAnsi="David"/>
          <w:rtl/>
        </w:rPr>
        <w:t xml:space="preserve">, פסקאות 62-57 [נבו] (14.7.2022)). </w:t>
      </w:r>
      <w:r w:rsidRPr="007957DD">
        <w:rPr>
          <w:rFonts w:ascii="David" w:hAnsi="David" w:hint="cs"/>
          <w:rtl/>
        </w:rPr>
        <w:t>נפסק</w:t>
      </w:r>
      <w:r w:rsidRPr="007957DD">
        <w:rPr>
          <w:rFonts w:ascii="David" w:hAnsi="David"/>
          <w:rtl/>
        </w:rPr>
        <w:t>, כי "אין זה בסמכותו של השופט בגזר הדין השני לשנות או להפחית מתקופת המאסר שהושתה על הנאשם במסגרת גזר הדין הראשון" (</w:t>
      </w:r>
      <w:hyperlink r:id="rId77" w:history="1">
        <w:r w:rsidR="006D0A4F" w:rsidRPr="006D0A4F">
          <w:rPr>
            <w:rFonts w:ascii="David" w:hAnsi="David"/>
            <w:color w:val="0000FF"/>
            <w:u w:val="single"/>
            <w:rtl/>
          </w:rPr>
          <w:t>רע"ב 2720/14</w:t>
        </w:r>
      </w:hyperlink>
      <w:r w:rsidRPr="007957DD">
        <w:rPr>
          <w:rFonts w:ascii="David" w:hAnsi="David"/>
          <w:rtl/>
        </w:rPr>
        <w:t xml:space="preserve"> </w:t>
      </w:r>
      <w:r w:rsidRPr="007957DD">
        <w:rPr>
          <w:rFonts w:ascii="David" w:hAnsi="David"/>
          <w:b/>
          <w:bCs/>
          <w:rtl/>
        </w:rPr>
        <w:t>מחיסן נ' שירות בתי הסוהר</w:t>
      </w:r>
      <w:r w:rsidRPr="007957DD">
        <w:rPr>
          <w:rFonts w:ascii="David" w:hAnsi="David"/>
          <w:rtl/>
        </w:rPr>
        <w:t>, פסקה 9 [נבו] (22.7.2014))</w:t>
      </w:r>
      <w:r w:rsidRPr="007957DD">
        <w:rPr>
          <w:rFonts w:ascii="David" w:hAnsi="David" w:hint="cs"/>
          <w:rtl/>
        </w:rPr>
        <w:t xml:space="preserve">. מעבר לכך, ובכל הנוגע לחפיפת העונשים, </w:t>
      </w:r>
      <w:r w:rsidRPr="007957DD">
        <w:rPr>
          <w:rFonts w:ascii="David" w:hAnsi="David"/>
          <w:color w:val="000000"/>
          <w:rtl/>
        </w:rPr>
        <w:t xml:space="preserve">החפפת עונש המאסר אותו מרצה הנאשם בתיק התעבורה הנ"ל, בגין ביצוע שורה של עבירות תעבורה חמורות, משמעותה היא ריקון מכל תוכן של גזר דינו של בית המשפט לתעבורה, אשר יצא כברת דרך כלפי הנאשם, בהינתן עברו המכביד וטיבן של העבירות אותן ביצע. </w:t>
      </w:r>
      <w:r w:rsidRPr="007957DD">
        <w:rPr>
          <w:rFonts w:ascii="David" w:hAnsi="David" w:hint="cs"/>
          <w:color w:val="000000"/>
          <w:rtl/>
        </w:rPr>
        <w:t xml:space="preserve">השימוש ברכב בתיק שבפני בעודו נוהג ללא רשיון בתוקף, מעורב בתאונה, בנסיבות המפורטות בכתב האישום, כל אלה יחד עם נסיבות גזר דינו של בית המשפט לתעבורה, אינן מצדיקות </w:t>
      </w:r>
      <w:r w:rsidRPr="007957DD">
        <w:rPr>
          <w:rFonts w:ascii="David" w:hAnsi="David"/>
          <w:color w:val="000000"/>
          <w:rtl/>
        </w:rPr>
        <w:t>החפפת עונש המאסר. ההיפך מכך, ביצוע עבירות נוספות מלמדת על נסיבה לחומרה המצדיקה פסיעה במסגרת הכלל שקבע הדין והיא ריצוי מצטבר של עונש מאסר</w:t>
      </w:r>
      <w:r w:rsidRPr="007957DD">
        <w:rPr>
          <w:rFonts w:ascii="David" w:hAnsi="David" w:hint="cs"/>
          <w:color w:val="000000"/>
          <w:rtl/>
        </w:rPr>
        <w:t>, וראו אודות השיקולים (</w:t>
      </w:r>
      <w:r w:rsidRPr="007957DD">
        <w:rPr>
          <w:rFonts w:ascii="David" w:hAnsi="David"/>
          <w:color w:val="000000"/>
          <w:rtl/>
        </w:rPr>
        <w:t>אופי המעשים</w:t>
      </w:r>
      <w:r w:rsidRPr="007957DD">
        <w:rPr>
          <w:rFonts w:ascii="David" w:hAnsi="David" w:hint="cs"/>
          <w:color w:val="000000"/>
          <w:rtl/>
        </w:rPr>
        <w:t xml:space="preserve">, </w:t>
      </w:r>
      <w:r w:rsidRPr="007957DD">
        <w:rPr>
          <w:rFonts w:ascii="David" w:hAnsi="David"/>
          <w:color w:val="000000"/>
          <w:rtl/>
        </w:rPr>
        <w:t>חומרת העבירות ונסיבות ביצוען</w:t>
      </w:r>
      <w:r w:rsidRPr="007957DD">
        <w:rPr>
          <w:rFonts w:ascii="David" w:hAnsi="David" w:hint="cs"/>
          <w:color w:val="000000"/>
          <w:rtl/>
        </w:rPr>
        <w:t>,</w:t>
      </w:r>
      <w:r w:rsidRPr="007957DD">
        <w:rPr>
          <w:rFonts w:ascii="David" w:hAnsi="David"/>
          <w:color w:val="000000"/>
          <w:rtl/>
        </w:rPr>
        <w:t xml:space="preserve"> קיומה או היעדרה של זיקה בין העבירות</w:t>
      </w:r>
      <w:r w:rsidRPr="007957DD">
        <w:rPr>
          <w:rFonts w:ascii="David" w:hAnsi="David" w:hint="cs"/>
          <w:color w:val="000000"/>
          <w:rtl/>
        </w:rPr>
        <w:t xml:space="preserve">, </w:t>
      </w:r>
      <w:r>
        <w:rPr>
          <w:rFonts w:ascii="David" w:hAnsi="David"/>
          <w:color w:val="000000"/>
          <w:rtl/>
        </w:rPr>
        <w:t>ושיקולי גמול והרתעה</w:t>
      </w:r>
      <w:r>
        <w:rPr>
          <w:rFonts w:ascii="David" w:hAnsi="David" w:hint="cs"/>
          <w:color w:val="000000"/>
          <w:rtl/>
        </w:rPr>
        <w:t xml:space="preserve"> - </w:t>
      </w:r>
      <w:hyperlink r:id="rId78" w:history="1">
        <w:r w:rsidR="006D0A4F" w:rsidRPr="006D0A4F">
          <w:rPr>
            <w:rFonts w:ascii="David" w:hAnsi="David"/>
            <w:color w:val="0000FF"/>
            <w:u w:val="single"/>
            <w:rtl/>
          </w:rPr>
          <w:t>רע"פ 3589/17</w:t>
        </w:r>
      </w:hyperlink>
      <w:r w:rsidRPr="007957DD">
        <w:rPr>
          <w:rFonts w:ascii="David" w:hAnsi="David"/>
          <w:color w:val="000000"/>
          <w:rtl/>
        </w:rPr>
        <w:t xml:space="preserve"> </w:t>
      </w:r>
      <w:r w:rsidRPr="007957DD">
        <w:rPr>
          <w:rFonts w:ascii="David" w:hAnsi="David"/>
          <w:b/>
          <w:bCs/>
          <w:color w:val="000000"/>
          <w:rtl/>
        </w:rPr>
        <w:t>שמואל נ' מדינת ישראל</w:t>
      </w:r>
      <w:r w:rsidRPr="007957DD">
        <w:rPr>
          <w:rFonts w:ascii="David" w:hAnsi="David"/>
          <w:color w:val="000000"/>
          <w:rtl/>
        </w:rPr>
        <w:t>, פסקה 16 [פורסם בנבו] (10.02.2020)</w:t>
      </w:r>
      <w:r w:rsidRPr="007957DD">
        <w:rPr>
          <w:rFonts w:ascii="David" w:hAnsi="David" w:hint="cs"/>
          <w:color w:val="000000"/>
          <w:rtl/>
        </w:rPr>
        <w:t xml:space="preserve">; </w:t>
      </w:r>
      <w:hyperlink r:id="rId79" w:history="1">
        <w:r w:rsidR="006D0A4F" w:rsidRPr="006D0A4F">
          <w:rPr>
            <w:rFonts w:ascii="David" w:hAnsi="David"/>
            <w:color w:val="0000FF"/>
            <w:u w:val="single"/>
            <w:rtl/>
          </w:rPr>
          <w:t>ע"פ 7786/21</w:t>
        </w:r>
      </w:hyperlink>
      <w:r w:rsidRPr="007957DD">
        <w:rPr>
          <w:rFonts w:ascii="David" w:hAnsi="David" w:hint="cs"/>
          <w:color w:val="000000"/>
          <w:rtl/>
        </w:rPr>
        <w:t xml:space="preserve"> </w:t>
      </w:r>
      <w:r w:rsidRPr="007957DD">
        <w:rPr>
          <w:rFonts w:ascii="David" w:hAnsi="David" w:hint="cs"/>
          <w:b/>
          <w:bCs/>
          <w:color w:val="000000"/>
          <w:rtl/>
        </w:rPr>
        <w:t>אזמה נ' מדינת ישראל</w:t>
      </w:r>
      <w:r w:rsidRPr="007957DD">
        <w:rPr>
          <w:rFonts w:ascii="David" w:hAnsi="David" w:hint="cs"/>
          <w:color w:val="000000"/>
          <w:rtl/>
        </w:rPr>
        <w:t>, פסקה 61, 14.7.2022).</w:t>
      </w:r>
    </w:p>
    <w:p w14:paraId="0B30F653" w14:textId="77777777" w:rsidR="00625F52" w:rsidRDefault="00625F52" w:rsidP="00625F52">
      <w:pPr>
        <w:pStyle w:val="a9"/>
        <w:shd w:val="clear" w:color="auto" w:fill="FFFFFF"/>
        <w:spacing w:after="0" w:line="360" w:lineRule="auto"/>
        <w:ind w:right="142"/>
        <w:jc w:val="both"/>
        <w:rPr>
          <w:rFonts w:ascii="David" w:eastAsia="Times New Roman" w:hAnsi="David" w:cs="David"/>
          <w:b/>
          <w:bCs/>
          <w:color w:val="000000"/>
          <w:sz w:val="24"/>
          <w:szCs w:val="24"/>
          <w:u w:val="single"/>
        </w:rPr>
      </w:pPr>
    </w:p>
    <w:p w14:paraId="70667483" w14:textId="77777777" w:rsidR="00625F52" w:rsidRPr="007957DD" w:rsidRDefault="00625F52" w:rsidP="00625F52">
      <w:pPr>
        <w:shd w:val="clear" w:color="auto" w:fill="FFFFFF"/>
        <w:spacing w:line="360" w:lineRule="auto"/>
        <w:ind w:left="708" w:right="142" w:hanging="348"/>
        <w:jc w:val="both"/>
        <w:rPr>
          <w:rFonts w:ascii="David" w:hAnsi="David"/>
          <w:color w:val="000000"/>
        </w:rPr>
      </w:pPr>
      <w:r>
        <w:rPr>
          <w:rFonts w:ascii="David" w:hAnsi="David" w:hint="cs"/>
          <w:color w:val="000000"/>
          <w:rtl/>
        </w:rPr>
        <w:t>31.</w:t>
      </w:r>
      <w:r>
        <w:rPr>
          <w:rFonts w:ascii="David" w:hAnsi="David"/>
          <w:color w:val="000000"/>
          <w:rtl/>
        </w:rPr>
        <w:tab/>
      </w:r>
      <w:r w:rsidRPr="007957DD">
        <w:rPr>
          <w:rFonts w:ascii="David" w:hAnsi="David"/>
          <w:color w:val="000000"/>
          <w:rtl/>
        </w:rPr>
        <w:t>עוד נתתי דעתי לטענותיו של הסניגור המלומד אודות הסיטואציה בה היה נתון הנאשם, למצב הבריאותי של הורי הנאשם, כעולה מהטענות מהנתונים הרפואיים שהונחו בפני. חשיבות מיוחדת נתתי לעובדה, כי הנאשם נתן אל ליבו, הודה בהזדמנות הראשונה, חסך מזמנו של בית המשפט והשמיע חרטה על מעשיו.</w:t>
      </w:r>
    </w:p>
    <w:p w14:paraId="2590C5CB" w14:textId="77777777" w:rsidR="00625F52" w:rsidRDefault="00625F52" w:rsidP="00625F52">
      <w:pPr>
        <w:shd w:val="clear" w:color="auto" w:fill="FFFFFF"/>
        <w:spacing w:line="360" w:lineRule="auto"/>
        <w:ind w:right="142"/>
        <w:jc w:val="both"/>
        <w:rPr>
          <w:rFonts w:ascii="David" w:hAnsi="David"/>
          <w:b/>
          <w:bCs/>
          <w:color w:val="000000"/>
          <w:u w:val="single"/>
          <w:rtl/>
        </w:rPr>
      </w:pPr>
    </w:p>
    <w:p w14:paraId="3E00CE7E" w14:textId="77777777" w:rsidR="00625F52" w:rsidRDefault="00625F52" w:rsidP="00625F52">
      <w:pPr>
        <w:shd w:val="clear" w:color="auto" w:fill="FFFFFF"/>
        <w:spacing w:line="360" w:lineRule="auto"/>
        <w:ind w:right="142" w:firstLine="425"/>
        <w:jc w:val="both"/>
        <w:rPr>
          <w:rFonts w:ascii="David" w:hAnsi="David"/>
          <w:b/>
          <w:bCs/>
          <w:color w:val="000000"/>
          <w:u w:val="single"/>
          <w:rtl/>
        </w:rPr>
      </w:pPr>
      <w:r>
        <w:rPr>
          <w:rFonts w:ascii="David" w:hAnsi="David"/>
          <w:b/>
          <w:bCs/>
          <w:color w:val="000000"/>
          <w:u w:val="single"/>
          <w:rtl/>
        </w:rPr>
        <w:t xml:space="preserve">העונש המתאים </w:t>
      </w:r>
    </w:p>
    <w:p w14:paraId="3FFE9822" w14:textId="77777777" w:rsidR="00625F52" w:rsidRPr="007957DD" w:rsidRDefault="00625F52" w:rsidP="00625F52">
      <w:pPr>
        <w:shd w:val="clear" w:color="auto" w:fill="FFFFFF"/>
        <w:spacing w:line="360" w:lineRule="auto"/>
        <w:ind w:left="708" w:right="142" w:hanging="283"/>
        <w:jc w:val="both"/>
        <w:rPr>
          <w:rFonts w:ascii="David" w:hAnsi="David"/>
          <w:rtl/>
        </w:rPr>
      </w:pPr>
      <w:r>
        <w:rPr>
          <w:rFonts w:ascii="David" w:hAnsi="David" w:hint="cs"/>
          <w:rtl/>
        </w:rPr>
        <w:t xml:space="preserve">32. </w:t>
      </w:r>
      <w:r w:rsidRPr="007957DD">
        <w:rPr>
          <w:rFonts w:ascii="David" w:hAnsi="David"/>
          <w:rtl/>
        </w:rPr>
        <w:t xml:space="preserve">לפי פסיקת בית המשפט העליון והוראת המחוקק, צו השעה להחמיר בענישה בגין עבירות </w:t>
      </w:r>
      <w:r>
        <w:rPr>
          <w:rFonts w:ascii="David" w:hAnsi="David" w:hint="cs"/>
          <w:rtl/>
        </w:rPr>
        <w:t xml:space="preserve"> </w:t>
      </w:r>
      <w:r w:rsidRPr="007957DD">
        <w:rPr>
          <w:rFonts w:ascii="David" w:hAnsi="David"/>
          <w:rtl/>
        </w:rPr>
        <w:t>נשק תוך מתן משקל בכורה לשיקולי הרתעת הרבים על פני נסיבותיו האישיות של הנאשם (</w:t>
      </w:r>
      <w:hyperlink r:id="rId80" w:history="1">
        <w:r w:rsidR="006D0A4F" w:rsidRPr="006D0A4F">
          <w:rPr>
            <w:rFonts w:ascii="David" w:hAnsi="David"/>
            <w:color w:val="0000FF"/>
            <w:u w:val="single"/>
            <w:rtl/>
          </w:rPr>
          <w:t>ע"פ 2482/22</w:t>
        </w:r>
      </w:hyperlink>
      <w:r w:rsidRPr="007957DD">
        <w:rPr>
          <w:rFonts w:ascii="David" w:hAnsi="David"/>
          <w:rtl/>
        </w:rPr>
        <w:t xml:space="preserve"> </w:t>
      </w:r>
      <w:r w:rsidRPr="007957DD">
        <w:rPr>
          <w:rFonts w:ascii="David" w:hAnsi="David"/>
          <w:b/>
          <w:bCs/>
          <w:rtl/>
        </w:rPr>
        <w:t>מדינת ישראל נ' קדורה</w:t>
      </w:r>
      <w:r w:rsidRPr="007957DD">
        <w:rPr>
          <w:rFonts w:ascii="David" w:hAnsi="David"/>
          <w:rtl/>
        </w:rPr>
        <w:t xml:space="preserve">, פסקאות 5-6 (14.4.22); </w:t>
      </w:r>
      <w:hyperlink r:id="rId81" w:history="1">
        <w:r w:rsidR="006D0A4F" w:rsidRPr="006D0A4F">
          <w:rPr>
            <w:rFonts w:ascii="David" w:hAnsi="David"/>
            <w:color w:val="0000FF"/>
            <w:u w:val="single"/>
            <w:rtl/>
          </w:rPr>
          <w:t>ע"פ 5602/22</w:t>
        </w:r>
      </w:hyperlink>
      <w:r w:rsidRPr="007957DD">
        <w:rPr>
          <w:rFonts w:ascii="David" w:hAnsi="David"/>
          <w:rtl/>
        </w:rPr>
        <w:t xml:space="preserve"> </w:t>
      </w:r>
      <w:r w:rsidRPr="007957DD">
        <w:rPr>
          <w:rFonts w:ascii="David" w:hAnsi="David"/>
          <w:b/>
          <w:bCs/>
          <w:rtl/>
        </w:rPr>
        <w:t>מדינת ישראל נ' פלוני</w:t>
      </w:r>
      <w:r w:rsidRPr="007957DD">
        <w:rPr>
          <w:rFonts w:ascii="David" w:hAnsi="David"/>
          <w:rtl/>
        </w:rPr>
        <w:t xml:space="preserve">, פסקה 15 (14.9.22); ע"פ 5812/21 </w:t>
      </w:r>
      <w:r w:rsidRPr="007957DD">
        <w:rPr>
          <w:rFonts w:ascii="David" w:hAnsi="David"/>
          <w:b/>
          <w:bCs/>
          <w:rtl/>
        </w:rPr>
        <w:t>ג'בארין נ' מדינת ישראל</w:t>
      </w:r>
      <w:r w:rsidRPr="007957DD">
        <w:rPr>
          <w:rFonts w:ascii="David" w:hAnsi="David"/>
          <w:rtl/>
        </w:rPr>
        <w:t>, פסקה 14 (31.5.22)).</w:t>
      </w:r>
    </w:p>
    <w:p w14:paraId="251F1A75" w14:textId="77777777" w:rsidR="00625F52" w:rsidRDefault="00625F52" w:rsidP="00625F52">
      <w:pPr>
        <w:pStyle w:val="a9"/>
        <w:spacing w:line="360" w:lineRule="auto"/>
        <w:jc w:val="both"/>
        <w:rPr>
          <w:rFonts w:ascii="David" w:hAnsi="David" w:cs="David"/>
          <w:sz w:val="24"/>
          <w:szCs w:val="24"/>
        </w:rPr>
      </w:pPr>
    </w:p>
    <w:p w14:paraId="3546C6A2" w14:textId="77777777" w:rsidR="00625F52" w:rsidRPr="00E82A2E" w:rsidRDefault="00625F52" w:rsidP="00625F52">
      <w:pPr>
        <w:spacing w:line="360" w:lineRule="auto"/>
        <w:ind w:left="708" w:hanging="283"/>
        <w:jc w:val="both"/>
        <w:rPr>
          <w:rFonts w:ascii="David" w:hAnsi="David"/>
        </w:rPr>
      </w:pPr>
      <w:r>
        <w:rPr>
          <w:rFonts w:ascii="David" w:hAnsi="David"/>
        </w:rPr>
        <w:t>33</w:t>
      </w:r>
      <w:r>
        <w:rPr>
          <w:rFonts w:ascii="David" w:hAnsi="David" w:hint="cs"/>
          <w:rtl/>
        </w:rPr>
        <w:t xml:space="preserve">. </w:t>
      </w:r>
      <w:r w:rsidRPr="00E82A2E">
        <w:rPr>
          <w:rFonts w:ascii="David" w:hAnsi="David"/>
          <w:rtl/>
        </w:rPr>
        <w:t>לפי תיקון 140 ל</w:t>
      </w:r>
      <w:hyperlink r:id="rId82" w:history="1">
        <w:r w:rsidR="006D0A4F" w:rsidRPr="006D0A4F">
          <w:rPr>
            <w:rFonts w:ascii="David" w:hAnsi="David"/>
            <w:color w:val="0000FF"/>
            <w:u w:val="single"/>
            <w:rtl/>
          </w:rPr>
          <w:t>חוק העונשין</w:t>
        </w:r>
      </w:hyperlink>
      <w:r w:rsidRPr="00E82A2E">
        <w:rPr>
          <w:rFonts w:ascii="David" w:hAnsi="David"/>
          <w:rtl/>
        </w:rPr>
        <w:t>, מצוות המחוקק היא כי העונש המזערי לעבירה מסוג זה, לא יפחת מרבע העונש הקובע בצידה, ובכללם עונש צופה פני עתיד, אלא אם קיימים טעמים מיוחדים שיירשמו (</w:t>
      </w:r>
      <w:hyperlink r:id="rId83" w:history="1">
        <w:r w:rsidR="009D29EC" w:rsidRPr="009D29EC">
          <w:rPr>
            <w:rStyle w:val="Hyperlink"/>
            <w:rFonts w:ascii="David" w:hAnsi="David"/>
            <w:color w:val="0000FF"/>
            <w:rtl/>
          </w:rPr>
          <w:t>סעיף 144(ז)</w:t>
        </w:r>
      </w:hyperlink>
      <w:r w:rsidRPr="00E82A2E">
        <w:rPr>
          <w:rFonts w:ascii="David" w:hAnsi="David"/>
          <w:rtl/>
        </w:rPr>
        <w:t xml:space="preserve"> לחוק העונשין. לפי הפסיקה, עונשים אלה באים לבטא את רמת הענישה הראויה בעבירות מסוג זה, ממנה יש לגזור את העונש הראוי במקרה הפרטני, תוך זיקה עניינית לחומרת העבירה (ראו 147/21 </w:t>
      </w:r>
      <w:r w:rsidRPr="00E82A2E">
        <w:rPr>
          <w:rFonts w:ascii="David" w:hAnsi="David"/>
          <w:b/>
          <w:bCs/>
          <w:rtl/>
        </w:rPr>
        <w:t>מדינת ישראל נ' ביטון</w:t>
      </w:r>
      <w:r w:rsidRPr="00E82A2E">
        <w:rPr>
          <w:rFonts w:ascii="David" w:hAnsi="David"/>
          <w:rtl/>
        </w:rPr>
        <w:t xml:space="preserve">, פסקה 8 (14.2.21), ותוך מתן משקל לנסיבותיו האישיות של הנאשם, בקביעת העונש בתוך מתחם העונש ההולם. </w:t>
      </w:r>
    </w:p>
    <w:p w14:paraId="773EFD4E" w14:textId="77777777" w:rsidR="00625F52" w:rsidRDefault="00625F52" w:rsidP="00625F52">
      <w:pPr>
        <w:pStyle w:val="a9"/>
        <w:spacing w:line="360" w:lineRule="auto"/>
        <w:jc w:val="both"/>
        <w:rPr>
          <w:rFonts w:ascii="David" w:hAnsi="David" w:cs="David"/>
          <w:sz w:val="24"/>
          <w:szCs w:val="24"/>
        </w:rPr>
      </w:pPr>
    </w:p>
    <w:p w14:paraId="46888BFA" w14:textId="77777777" w:rsidR="00625F52" w:rsidRPr="00E82A2E" w:rsidRDefault="00625F52" w:rsidP="00625F52">
      <w:pPr>
        <w:spacing w:line="360" w:lineRule="auto"/>
        <w:ind w:left="708" w:hanging="283"/>
        <w:jc w:val="both"/>
        <w:rPr>
          <w:rFonts w:ascii="David" w:hAnsi="David"/>
        </w:rPr>
      </w:pPr>
      <w:r>
        <w:rPr>
          <w:rFonts w:ascii="David" w:hAnsi="David"/>
        </w:rPr>
        <w:t>34</w:t>
      </w:r>
      <w:r>
        <w:rPr>
          <w:rFonts w:ascii="David" w:hAnsi="David" w:hint="cs"/>
          <w:rtl/>
        </w:rPr>
        <w:t xml:space="preserve">. </w:t>
      </w:r>
      <w:r w:rsidRPr="00E82A2E">
        <w:rPr>
          <w:rFonts w:ascii="David" w:hAnsi="David"/>
          <w:rtl/>
        </w:rPr>
        <w:t>בית המשפט העליון הבהיר הבהר היטב, כי עת היא להחמיר בעונשם של אלה הנושאים נשק עליהם ומסכנים את המרחב הציבורי, וכי ברגיל עונשו של הנושא נשק צריך להתחיל בעונש מאסר של 30 חודשים, גם אם הוא צעיר (</w:t>
      </w:r>
      <w:hyperlink r:id="rId84" w:history="1">
        <w:r w:rsidR="006D0A4F" w:rsidRPr="006D0A4F">
          <w:rPr>
            <w:rFonts w:ascii="David" w:hAnsi="David"/>
            <w:color w:val="0000FF"/>
            <w:u w:val="single"/>
            <w:rtl/>
          </w:rPr>
          <w:t>ע"פ 4077/22</w:t>
        </w:r>
      </w:hyperlink>
      <w:r w:rsidRPr="00E82A2E">
        <w:rPr>
          <w:rFonts w:ascii="David" w:hAnsi="David"/>
          <w:rtl/>
        </w:rPr>
        <w:t>). שיקומו של נאשם נדחה מפני שיקום המרחב הציבורי המדמם, ואוסיף כי הדברים שנאמרו שם, אותם הבאתי בפתיח למדיניות הענישה, יפים ביתר שאת למגזר הערבי הסובל במיוחד מריבוי עבירות נשק, הפוגעות ומסכנות ציבור שלם</w:t>
      </w:r>
      <w:r w:rsidRPr="00E82A2E">
        <w:rPr>
          <w:rFonts w:ascii="David" w:hAnsi="David" w:hint="cs"/>
          <w:rtl/>
        </w:rPr>
        <w:t>,</w:t>
      </w:r>
      <w:r w:rsidRPr="00E82A2E">
        <w:rPr>
          <w:rFonts w:ascii="David" w:hAnsi="David"/>
          <w:rtl/>
        </w:rPr>
        <w:t xml:space="preserve"> </w:t>
      </w:r>
      <w:r w:rsidRPr="00E82A2E">
        <w:rPr>
          <w:rFonts w:ascii="David" w:hAnsi="David" w:hint="cs"/>
          <w:rtl/>
        </w:rPr>
        <w:t xml:space="preserve">את שלומו ובטחונו, </w:t>
      </w:r>
      <w:r w:rsidRPr="00E82A2E">
        <w:rPr>
          <w:rFonts w:ascii="David" w:hAnsi="David"/>
          <w:rtl/>
        </w:rPr>
        <w:t xml:space="preserve">על לא עוול בכפו.  </w:t>
      </w:r>
    </w:p>
    <w:p w14:paraId="7F6ECC5C" w14:textId="77777777" w:rsidR="00625F52" w:rsidRDefault="00625F52" w:rsidP="00625F52">
      <w:pPr>
        <w:pStyle w:val="a9"/>
        <w:spacing w:line="360" w:lineRule="auto"/>
        <w:jc w:val="both"/>
        <w:rPr>
          <w:rFonts w:ascii="David" w:hAnsi="David" w:cs="David"/>
          <w:sz w:val="24"/>
          <w:szCs w:val="24"/>
        </w:rPr>
      </w:pPr>
    </w:p>
    <w:p w14:paraId="58A2DDC1" w14:textId="77777777" w:rsidR="00625F52" w:rsidRPr="001647F6" w:rsidRDefault="00625F52" w:rsidP="00625F52">
      <w:pPr>
        <w:spacing w:line="360" w:lineRule="auto"/>
        <w:ind w:left="708" w:hanging="283"/>
        <w:jc w:val="both"/>
        <w:rPr>
          <w:rFonts w:ascii="David" w:hAnsi="David"/>
        </w:rPr>
      </w:pPr>
      <w:r>
        <w:rPr>
          <w:rFonts w:ascii="David" w:hAnsi="David" w:hint="cs"/>
          <w:rtl/>
        </w:rPr>
        <w:t xml:space="preserve">35. </w:t>
      </w:r>
      <w:r w:rsidRPr="001647F6">
        <w:rPr>
          <w:rFonts w:ascii="David" w:hAnsi="David"/>
          <w:rtl/>
        </w:rPr>
        <w:t xml:space="preserve">לאחר שנתתי דעתי למכלול השיקולים הרלבנטיים לחומרה ולקולא, לערכים המוגנים שנפגעו כתוצאה ממעשיו של הנאשם, לעוצמת הפגיעה בהם, למדיניות הענישה הנוהגת בסוג זה של עבירות, לנסיבות ביצוע העבירה בה הורשע הנאשם, לעברו הפלילי והתעבורתי של הנאשם, להודאה והחסכון בזמן שיפוטי, מצאתי למקם את עונשו של הנאשם </w:t>
      </w:r>
      <w:r w:rsidRPr="001647F6">
        <w:rPr>
          <w:rFonts w:ascii="David" w:hAnsi="David" w:hint="cs"/>
          <w:rtl/>
        </w:rPr>
        <w:t xml:space="preserve">לקראת מחצית </w:t>
      </w:r>
      <w:r w:rsidRPr="001647F6">
        <w:rPr>
          <w:rFonts w:ascii="David" w:hAnsi="David"/>
          <w:rtl/>
        </w:rPr>
        <w:t>המתחם על מנת לשקף הלימה ראויה ואיזון בין מכלול השיקולים העונשיים.</w:t>
      </w:r>
      <w:r w:rsidRPr="001647F6">
        <w:rPr>
          <w:rFonts w:ascii="David" w:hAnsi="David" w:hint="cs"/>
          <w:rtl/>
        </w:rPr>
        <w:t xml:space="preserve"> כמו כן מצאתי לפסול את רשיונו של הנאשם, נוכח טיב הנסיבות, אך בשים לב לפסילת המותנית הממושכת והפעלתה, פסילה לתקופה קצרה מדודה, וכן לחלט את הרכב בו נעשה שימוש לביצוע העבירה.</w:t>
      </w:r>
    </w:p>
    <w:p w14:paraId="7B222A86" w14:textId="77777777" w:rsidR="00625F52" w:rsidRDefault="00625F52" w:rsidP="00625F52">
      <w:pPr>
        <w:pStyle w:val="a9"/>
        <w:spacing w:line="360" w:lineRule="auto"/>
        <w:jc w:val="both"/>
        <w:rPr>
          <w:rFonts w:ascii="David" w:hAnsi="David" w:cs="David"/>
          <w:sz w:val="24"/>
          <w:szCs w:val="24"/>
        </w:rPr>
      </w:pPr>
    </w:p>
    <w:p w14:paraId="68C648B8" w14:textId="77777777" w:rsidR="00625F52" w:rsidRDefault="00625F52" w:rsidP="00625F52">
      <w:pPr>
        <w:spacing w:line="360" w:lineRule="auto"/>
        <w:jc w:val="both"/>
        <w:rPr>
          <w:rFonts w:ascii="David" w:hAnsi="David"/>
        </w:rPr>
      </w:pPr>
      <w:r>
        <w:rPr>
          <w:rFonts w:ascii="David" w:hAnsi="David"/>
          <w:b/>
          <w:bCs/>
          <w:u w:val="single"/>
          <w:rtl/>
        </w:rPr>
        <w:t>אשר על כן אני גוזר על הנאשם את העונשים הבאים</w:t>
      </w:r>
      <w:r>
        <w:rPr>
          <w:rFonts w:ascii="David" w:hAnsi="David"/>
          <w:rtl/>
        </w:rPr>
        <w:t xml:space="preserve">: </w:t>
      </w:r>
    </w:p>
    <w:p w14:paraId="19E0A65E" w14:textId="77777777" w:rsidR="00625F52" w:rsidRDefault="00625F52" w:rsidP="00625F52">
      <w:pPr>
        <w:spacing w:line="360" w:lineRule="auto"/>
        <w:jc w:val="both"/>
        <w:rPr>
          <w:rFonts w:ascii="David" w:hAnsi="David"/>
          <w:rtl/>
        </w:rPr>
      </w:pPr>
    </w:p>
    <w:p w14:paraId="5A5B30B9" w14:textId="77777777" w:rsidR="00625F52" w:rsidRDefault="00625F52" w:rsidP="00625F52">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34 חודשי מאסר בפועל מיום 16.5.24. </w:t>
      </w:r>
    </w:p>
    <w:p w14:paraId="77691B78" w14:textId="77777777" w:rsidR="00625F52" w:rsidRDefault="00625F52" w:rsidP="00625F52">
      <w:pPr>
        <w:pStyle w:val="a9"/>
        <w:spacing w:line="360" w:lineRule="auto"/>
        <w:jc w:val="both"/>
        <w:rPr>
          <w:rFonts w:ascii="David" w:hAnsi="David" w:cs="David"/>
          <w:sz w:val="24"/>
          <w:szCs w:val="24"/>
        </w:rPr>
      </w:pPr>
    </w:p>
    <w:p w14:paraId="164FCAE0" w14:textId="77777777" w:rsidR="00625F52" w:rsidRDefault="00625F52" w:rsidP="00625F52">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בהתאם להורות </w:t>
      </w:r>
      <w:hyperlink r:id="rId85" w:history="1">
        <w:r w:rsidR="009D29EC" w:rsidRPr="009D29EC">
          <w:rPr>
            <w:rStyle w:val="Hyperlink"/>
            <w:rFonts w:ascii="David" w:hAnsi="David" w:cs="David"/>
            <w:color w:val="0000FF"/>
            <w:sz w:val="24"/>
            <w:szCs w:val="24"/>
            <w:rtl/>
          </w:rPr>
          <w:t>סעיף 45(ב)</w:t>
        </w:r>
      </w:hyperlink>
      <w:r>
        <w:rPr>
          <w:rFonts w:ascii="David" w:hAnsi="David" w:cs="David"/>
          <w:sz w:val="24"/>
          <w:szCs w:val="24"/>
          <w:rtl/>
        </w:rPr>
        <w:t xml:space="preserve"> ל</w:t>
      </w:r>
      <w:hyperlink r:id="rId86" w:history="1">
        <w:r w:rsidR="006D0A4F" w:rsidRPr="006D0A4F">
          <w:rPr>
            <w:rFonts w:ascii="David" w:hAnsi="David" w:cs="David"/>
            <w:color w:val="0000FF"/>
            <w:sz w:val="24"/>
            <w:szCs w:val="24"/>
            <w:u w:val="single"/>
            <w:rtl/>
          </w:rPr>
          <w:t>חוק העונשין</w:t>
        </w:r>
      </w:hyperlink>
      <w:r>
        <w:rPr>
          <w:rFonts w:ascii="David" w:hAnsi="David" w:cs="David"/>
          <w:sz w:val="24"/>
          <w:szCs w:val="24"/>
          <w:rtl/>
        </w:rPr>
        <w:t>, הנני מורה כי עונש זה ירוצה במצטבר לכל עונש מאסר אחר המרצה כיום הנאשם.</w:t>
      </w:r>
    </w:p>
    <w:p w14:paraId="0E26A5A8" w14:textId="77777777" w:rsidR="00625F52" w:rsidRDefault="00625F52" w:rsidP="00625F52">
      <w:pPr>
        <w:pStyle w:val="a9"/>
        <w:spacing w:line="360" w:lineRule="auto"/>
        <w:jc w:val="both"/>
        <w:rPr>
          <w:rFonts w:ascii="David" w:hAnsi="David" w:cs="David"/>
          <w:sz w:val="24"/>
          <w:szCs w:val="24"/>
        </w:rPr>
      </w:pPr>
    </w:p>
    <w:p w14:paraId="7BADCCEF" w14:textId="77777777" w:rsidR="00625F52" w:rsidRDefault="00625F52" w:rsidP="00625F52">
      <w:pPr>
        <w:pStyle w:val="a9"/>
        <w:numPr>
          <w:ilvl w:val="0"/>
          <w:numId w:val="2"/>
        </w:numPr>
        <w:spacing w:line="360" w:lineRule="auto"/>
        <w:jc w:val="both"/>
        <w:rPr>
          <w:rFonts w:ascii="David" w:hAnsi="David" w:cs="David"/>
          <w:sz w:val="24"/>
          <w:szCs w:val="24"/>
        </w:rPr>
      </w:pPr>
      <w:r>
        <w:rPr>
          <w:rFonts w:ascii="David" w:hAnsi="David" w:cs="David"/>
          <w:sz w:val="24"/>
          <w:szCs w:val="24"/>
          <w:rtl/>
        </w:rPr>
        <w:t>10 חודשי מאסר על תנאי למשך 3 שנים מיום שחרורו שלא יעבור עבירות נשק מסוג פשע.</w:t>
      </w:r>
    </w:p>
    <w:p w14:paraId="559BE1C9" w14:textId="77777777" w:rsidR="00625F52" w:rsidRDefault="00625F52" w:rsidP="00625F52">
      <w:pPr>
        <w:pStyle w:val="a9"/>
        <w:spacing w:line="360" w:lineRule="auto"/>
        <w:jc w:val="both"/>
        <w:rPr>
          <w:rFonts w:ascii="David" w:hAnsi="David" w:cs="David"/>
          <w:sz w:val="24"/>
          <w:szCs w:val="24"/>
        </w:rPr>
      </w:pPr>
    </w:p>
    <w:p w14:paraId="5831CAB0" w14:textId="77777777" w:rsidR="00625F52" w:rsidRDefault="00625F52" w:rsidP="00625F52">
      <w:pPr>
        <w:pStyle w:val="a9"/>
        <w:numPr>
          <w:ilvl w:val="0"/>
          <w:numId w:val="2"/>
        </w:numPr>
        <w:spacing w:line="360" w:lineRule="auto"/>
        <w:jc w:val="both"/>
        <w:rPr>
          <w:rFonts w:ascii="David" w:hAnsi="David" w:cs="David"/>
          <w:sz w:val="24"/>
          <w:szCs w:val="24"/>
        </w:rPr>
      </w:pPr>
      <w:r>
        <w:rPr>
          <w:rFonts w:ascii="David" w:hAnsi="David" w:cs="David"/>
          <w:sz w:val="24"/>
          <w:szCs w:val="24"/>
          <w:rtl/>
        </w:rPr>
        <w:t>6 חודשי מאסר על תנאי למשך 3 שנים מיום שחרורו שלא יעבור עבירות נשק מסוג עוון.</w:t>
      </w:r>
    </w:p>
    <w:p w14:paraId="0939A6A5" w14:textId="77777777" w:rsidR="00625F52" w:rsidRDefault="00625F52" w:rsidP="00625F52">
      <w:pPr>
        <w:pStyle w:val="a9"/>
        <w:spacing w:line="360" w:lineRule="auto"/>
        <w:jc w:val="both"/>
        <w:rPr>
          <w:rFonts w:ascii="David" w:hAnsi="David" w:cs="David"/>
          <w:sz w:val="24"/>
          <w:szCs w:val="24"/>
        </w:rPr>
      </w:pPr>
    </w:p>
    <w:p w14:paraId="03BAC037" w14:textId="77777777" w:rsidR="00625F52" w:rsidRDefault="00625F52" w:rsidP="00625F52">
      <w:pPr>
        <w:pStyle w:val="a9"/>
        <w:numPr>
          <w:ilvl w:val="0"/>
          <w:numId w:val="2"/>
        </w:numPr>
        <w:spacing w:line="360" w:lineRule="auto"/>
        <w:jc w:val="both"/>
        <w:rPr>
          <w:rFonts w:ascii="David" w:hAnsi="David" w:cs="David"/>
          <w:sz w:val="24"/>
          <w:szCs w:val="24"/>
        </w:rPr>
      </w:pPr>
      <w:r>
        <w:rPr>
          <w:rFonts w:ascii="David" w:hAnsi="David" w:cs="David"/>
          <w:sz w:val="24"/>
          <w:szCs w:val="24"/>
          <w:rtl/>
        </w:rPr>
        <w:t>הואיל והנאשם פסול מנהיגה לתקופה ארוכה בתיק 5693-07-21 הנ"ל, ובהינתן "נזק פח" בלבד כתוצאה מהתאונה, הנני מטיל עליו פסילה בפועל למשך 2 חודשים. הנני מפעיל את עונש הפסילה מותנה של 10 חודשים מהתיק הנ"ל, חלקו בחופף וחלקו במצטבר לעונש הפסילה, כך שסך הכל יהיה על הנאשם לרצות עונש פסילה של 9 חודשים וזאת מיום שחרורו ממאסר, הפסילה תימנה לו בכפוף לביצוע הפקדה כדין.</w:t>
      </w:r>
    </w:p>
    <w:p w14:paraId="2E6CC144" w14:textId="77777777" w:rsidR="00625F52" w:rsidRDefault="00625F52" w:rsidP="00625F52">
      <w:pPr>
        <w:pStyle w:val="a9"/>
        <w:spacing w:line="360" w:lineRule="auto"/>
        <w:jc w:val="both"/>
        <w:rPr>
          <w:rFonts w:ascii="David" w:hAnsi="David" w:cs="David"/>
          <w:sz w:val="24"/>
          <w:szCs w:val="24"/>
        </w:rPr>
      </w:pPr>
    </w:p>
    <w:p w14:paraId="1D3F2BE4" w14:textId="77777777" w:rsidR="00625F52" w:rsidRDefault="00625F52" w:rsidP="00625F52">
      <w:pPr>
        <w:pStyle w:val="a9"/>
        <w:numPr>
          <w:ilvl w:val="0"/>
          <w:numId w:val="2"/>
        </w:numPr>
        <w:spacing w:line="360" w:lineRule="auto"/>
        <w:jc w:val="both"/>
        <w:rPr>
          <w:rFonts w:ascii="David" w:hAnsi="David" w:cs="David"/>
          <w:sz w:val="24"/>
          <w:szCs w:val="24"/>
        </w:rPr>
      </w:pPr>
      <w:r>
        <w:rPr>
          <w:rFonts w:ascii="David" w:hAnsi="David" w:cs="David"/>
          <w:sz w:val="24"/>
          <w:szCs w:val="24"/>
          <w:rtl/>
        </w:rPr>
        <w:t>קנס על בסך של 5,000 ₪ או 40 ימי מאסר תמורתו. הקנס ישולם בתוך 60 יום.</w:t>
      </w:r>
    </w:p>
    <w:p w14:paraId="1B8389AB" w14:textId="77777777" w:rsidR="00625F52" w:rsidRDefault="00625F52" w:rsidP="00625F52">
      <w:pPr>
        <w:pStyle w:val="a9"/>
        <w:spacing w:line="360" w:lineRule="auto"/>
        <w:jc w:val="both"/>
        <w:rPr>
          <w:rFonts w:ascii="David" w:hAnsi="David" w:cs="David"/>
          <w:sz w:val="24"/>
          <w:szCs w:val="24"/>
        </w:rPr>
      </w:pPr>
    </w:p>
    <w:p w14:paraId="204535AC" w14:textId="77777777" w:rsidR="00625F52" w:rsidRDefault="00625F52" w:rsidP="00625F52">
      <w:pPr>
        <w:pStyle w:val="a9"/>
        <w:numPr>
          <w:ilvl w:val="0"/>
          <w:numId w:val="2"/>
        </w:numPr>
        <w:spacing w:line="360" w:lineRule="auto"/>
        <w:jc w:val="both"/>
        <w:rPr>
          <w:rFonts w:ascii="David" w:hAnsi="David" w:cs="David"/>
          <w:sz w:val="24"/>
          <w:szCs w:val="24"/>
        </w:rPr>
      </w:pPr>
      <w:r>
        <w:rPr>
          <w:rFonts w:ascii="David" w:hAnsi="David" w:cs="David"/>
          <w:sz w:val="24"/>
          <w:szCs w:val="24"/>
          <w:rtl/>
        </w:rPr>
        <w:t>פיצוי למתלונן בסך 7000 ₪ שישולם בתוך 60 יום.</w:t>
      </w:r>
    </w:p>
    <w:p w14:paraId="1A28C514" w14:textId="77777777" w:rsidR="00625F52" w:rsidRDefault="00625F52" w:rsidP="00625F52">
      <w:pPr>
        <w:pStyle w:val="a9"/>
        <w:spacing w:line="360" w:lineRule="auto"/>
        <w:jc w:val="both"/>
        <w:rPr>
          <w:rFonts w:ascii="David" w:hAnsi="David" w:cs="David"/>
          <w:sz w:val="24"/>
          <w:szCs w:val="24"/>
        </w:rPr>
      </w:pPr>
    </w:p>
    <w:p w14:paraId="291D4F95" w14:textId="77777777" w:rsidR="00625F52" w:rsidRDefault="00625F52" w:rsidP="00625F52">
      <w:pPr>
        <w:pStyle w:val="a9"/>
        <w:numPr>
          <w:ilvl w:val="0"/>
          <w:numId w:val="2"/>
        </w:numPr>
        <w:spacing w:line="360" w:lineRule="auto"/>
        <w:jc w:val="both"/>
        <w:rPr>
          <w:rFonts w:ascii="David" w:hAnsi="David" w:cs="David"/>
          <w:sz w:val="24"/>
          <w:szCs w:val="24"/>
        </w:rPr>
      </w:pPr>
      <w:r>
        <w:rPr>
          <w:rFonts w:ascii="David" w:hAnsi="David" w:cs="David"/>
          <w:sz w:val="24"/>
          <w:szCs w:val="24"/>
          <w:rtl/>
        </w:rPr>
        <w:t>המוצגים יושמדו בתוך 45 יום.</w:t>
      </w:r>
    </w:p>
    <w:p w14:paraId="6482CD43" w14:textId="77777777" w:rsidR="00625F52" w:rsidRDefault="00625F52" w:rsidP="00625F52">
      <w:pPr>
        <w:pStyle w:val="a9"/>
        <w:spacing w:line="360" w:lineRule="auto"/>
        <w:jc w:val="both"/>
        <w:rPr>
          <w:rFonts w:ascii="David" w:hAnsi="David" w:cs="David"/>
          <w:sz w:val="24"/>
          <w:szCs w:val="24"/>
        </w:rPr>
      </w:pPr>
    </w:p>
    <w:p w14:paraId="09095DC8" w14:textId="77777777" w:rsidR="00625F52" w:rsidRDefault="00625F52" w:rsidP="00625F52">
      <w:pPr>
        <w:pStyle w:val="a9"/>
        <w:numPr>
          <w:ilvl w:val="0"/>
          <w:numId w:val="2"/>
        </w:numPr>
        <w:shd w:val="clear" w:color="auto" w:fill="FFFFFF"/>
        <w:spacing w:after="0" w:line="360" w:lineRule="auto"/>
        <w:ind w:right="142"/>
        <w:jc w:val="both"/>
        <w:rPr>
          <w:rFonts w:ascii="David" w:hAnsi="David" w:cs="David"/>
          <w:b/>
          <w:bCs/>
          <w:sz w:val="24"/>
          <w:szCs w:val="24"/>
        </w:rPr>
      </w:pPr>
      <w:r>
        <w:rPr>
          <w:rFonts w:ascii="David" w:hAnsi="David" w:cs="David"/>
          <w:sz w:val="24"/>
          <w:szCs w:val="24"/>
          <w:rtl/>
        </w:rPr>
        <w:t>הרכב ששימש לביצוע העבירה מיצובישי מ.ר. 63-329-66 יחולט לטובת המדינה.</w:t>
      </w:r>
    </w:p>
    <w:p w14:paraId="475F7E59" w14:textId="77777777" w:rsidR="00625F52" w:rsidRDefault="00625F52" w:rsidP="00625F52">
      <w:pPr>
        <w:shd w:val="clear" w:color="auto" w:fill="FFFFFF"/>
        <w:spacing w:line="360" w:lineRule="auto"/>
        <w:ind w:right="142"/>
        <w:jc w:val="both"/>
        <w:rPr>
          <w:rFonts w:ascii="David" w:hAnsi="David"/>
          <w:b/>
          <w:bCs/>
        </w:rPr>
      </w:pPr>
    </w:p>
    <w:p w14:paraId="357EFB1E" w14:textId="77777777" w:rsidR="00625F52" w:rsidRDefault="00625F52" w:rsidP="00625F52">
      <w:pPr>
        <w:shd w:val="clear" w:color="auto" w:fill="FFFFFF"/>
        <w:spacing w:line="360" w:lineRule="auto"/>
        <w:ind w:right="142"/>
        <w:jc w:val="both"/>
        <w:rPr>
          <w:rFonts w:ascii="David" w:hAnsi="David"/>
          <w:b/>
          <w:bCs/>
          <w:rtl/>
        </w:rPr>
      </w:pPr>
    </w:p>
    <w:p w14:paraId="63747F1E" w14:textId="77777777" w:rsidR="00625F52" w:rsidRDefault="00625F52" w:rsidP="00625F52">
      <w:pPr>
        <w:shd w:val="clear" w:color="auto" w:fill="FFFFFF"/>
        <w:spacing w:line="360" w:lineRule="auto"/>
        <w:ind w:right="142" w:firstLine="360"/>
        <w:jc w:val="both"/>
        <w:rPr>
          <w:rFonts w:ascii="David" w:hAnsi="David"/>
          <w:b/>
          <w:bCs/>
          <w:rtl/>
        </w:rPr>
      </w:pPr>
      <w:r>
        <w:rPr>
          <w:rFonts w:ascii="David" w:hAnsi="David"/>
          <w:b/>
          <w:bCs/>
          <w:rtl/>
        </w:rPr>
        <w:t>זכות ערעור תוך 45 יום לבית המשפט העליון.</w:t>
      </w:r>
    </w:p>
    <w:p w14:paraId="073D9E35" w14:textId="77777777" w:rsidR="00625F52" w:rsidRPr="006D0A4F" w:rsidRDefault="006D0A4F" w:rsidP="00625F52">
      <w:pPr>
        <w:rPr>
          <w:rFonts w:ascii="Arial" w:hAnsi="Arial"/>
          <w:b/>
          <w:bCs/>
          <w:color w:val="FFFFFF"/>
          <w:sz w:val="2"/>
          <w:szCs w:val="2"/>
          <w:rtl/>
        </w:rPr>
      </w:pPr>
      <w:r w:rsidRPr="006D0A4F">
        <w:rPr>
          <w:rFonts w:ascii="Arial" w:hAnsi="Arial"/>
          <w:b/>
          <w:bCs/>
          <w:color w:val="FFFFFF"/>
          <w:sz w:val="2"/>
          <w:szCs w:val="2"/>
          <w:rtl/>
        </w:rPr>
        <w:t>5129371</w:t>
      </w:r>
    </w:p>
    <w:p w14:paraId="61EB17D7" w14:textId="77777777" w:rsidR="00625F52" w:rsidRPr="006D0A4F" w:rsidRDefault="006D0A4F" w:rsidP="00625F52">
      <w:pPr>
        <w:rPr>
          <w:rFonts w:ascii="Arial" w:hAnsi="Arial"/>
          <w:b/>
          <w:bCs/>
          <w:color w:val="FFFFFF"/>
          <w:sz w:val="2"/>
          <w:szCs w:val="2"/>
          <w:rtl/>
        </w:rPr>
      </w:pPr>
      <w:r w:rsidRPr="006D0A4F">
        <w:rPr>
          <w:rFonts w:ascii="Arial" w:hAnsi="Arial"/>
          <w:b/>
          <w:bCs/>
          <w:color w:val="FFFFFF"/>
          <w:sz w:val="2"/>
          <w:szCs w:val="2"/>
          <w:rtl/>
        </w:rPr>
        <w:t>54678313</w:t>
      </w:r>
    </w:p>
    <w:p w14:paraId="12FE82FA" w14:textId="77777777" w:rsidR="00625F52" w:rsidRPr="000F2247" w:rsidRDefault="00625F52" w:rsidP="00625F52">
      <w:pPr>
        <w:rPr>
          <w:rFonts w:ascii="Arial" w:hAnsi="Arial"/>
          <w:b/>
          <w:bCs/>
          <w:sz w:val="26"/>
          <w:szCs w:val="26"/>
          <w:rtl/>
        </w:rPr>
      </w:pPr>
    </w:p>
    <w:p w14:paraId="48F36B90" w14:textId="77777777" w:rsidR="00625F52" w:rsidRPr="000F2247" w:rsidRDefault="006D0A4F" w:rsidP="00625F52">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י"א אדר תשפ"ה, 11 מרץ 2025, בהעדר הצדדים. </w:t>
      </w:r>
      <w:bookmarkEnd w:id="7"/>
      <w:r w:rsidR="00625F52">
        <w:rPr>
          <w:rFonts w:ascii="Arial" w:hAnsi="Arial"/>
          <w:b/>
          <w:bCs/>
          <w:sz w:val="26"/>
          <w:szCs w:val="26"/>
          <w:rtl/>
        </w:rPr>
        <w:tab/>
      </w:r>
      <w:r w:rsidR="00625F52">
        <w:rPr>
          <w:rFonts w:ascii="Arial" w:hAnsi="Arial"/>
          <w:b/>
          <w:bCs/>
          <w:sz w:val="26"/>
          <w:szCs w:val="26"/>
          <w:rtl/>
        </w:rPr>
        <w:tab/>
      </w:r>
      <w:r w:rsidR="00625F52">
        <w:rPr>
          <w:rFonts w:ascii="Arial" w:hAnsi="Arial"/>
          <w:b/>
          <w:bCs/>
          <w:sz w:val="26"/>
          <w:szCs w:val="26"/>
          <w:rtl/>
        </w:rPr>
        <w:tab/>
      </w:r>
      <w:r w:rsidR="00625F52">
        <w:rPr>
          <w:rFonts w:ascii="Arial" w:hAnsi="Arial"/>
          <w:b/>
          <w:bCs/>
          <w:sz w:val="26"/>
          <w:szCs w:val="26"/>
          <w:rtl/>
        </w:rPr>
        <w:tab/>
      </w:r>
      <w:r w:rsidR="00625F52">
        <w:rPr>
          <w:rFonts w:ascii="Arial" w:hAnsi="Arial"/>
          <w:b/>
          <w:bCs/>
          <w:sz w:val="26"/>
          <w:szCs w:val="26"/>
          <w:rtl/>
        </w:rPr>
        <w:tab/>
      </w:r>
      <w:r w:rsidR="00625F52">
        <w:rPr>
          <w:rFonts w:ascii="Arial" w:hAnsi="Arial"/>
          <w:b/>
          <w:bCs/>
          <w:sz w:val="26"/>
          <w:szCs w:val="26"/>
          <w:rtl/>
        </w:rPr>
        <w:tab/>
      </w:r>
      <w:r w:rsidR="00625F52">
        <w:rPr>
          <w:rFonts w:ascii="Arial" w:hAnsi="Arial"/>
          <w:b/>
          <w:bCs/>
          <w:sz w:val="26"/>
          <w:szCs w:val="26"/>
          <w:rtl/>
        </w:rPr>
        <w:tab/>
      </w:r>
      <w:r w:rsidR="00625F52">
        <w:rPr>
          <w:rFonts w:ascii="Arial" w:hAnsi="Arial" w:hint="cs"/>
          <w:b/>
          <w:bCs/>
          <w:sz w:val="26"/>
          <w:szCs w:val="26"/>
          <w:rtl/>
        </w:rPr>
        <w:t xml:space="preserve">         </w:t>
      </w:r>
    </w:p>
    <w:p w14:paraId="3D725CBD" w14:textId="77777777" w:rsidR="00625F52" w:rsidRPr="000F2247" w:rsidRDefault="00625F52" w:rsidP="006D0A4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75C87F0" w14:textId="77777777" w:rsidR="00625F52" w:rsidRPr="000F2247" w:rsidRDefault="00625F52" w:rsidP="00625F52">
      <w:pPr>
        <w:jc w:val="center"/>
        <w:rPr>
          <w:rFonts w:ascii="Arial" w:hAnsi="Arial"/>
          <w:b/>
          <w:bCs/>
          <w:sz w:val="26"/>
          <w:szCs w:val="26"/>
          <w:rtl/>
        </w:rPr>
      </w:pPr>
    </w:p>
    <w:p w14:paraId="63D7F4C0" w14:textId="77777777" w:rsidR="009070AA" w:rsidRPr="006D0A4F" w:rsidRDefault="009070AA" w:rsidP="006D0A4F">
      <w:pPr>
        <w:keepNext/>
        <w:rPr>
          <w:rFonts w:ascii="David" w:hAnsi="David"/>
          <w:color w:val="000000"/>
          <w:sz w:val="22"/>
          <w:szCs w:val="22"/>
          <w:rtl/>
        </w:rPr>
      </w:pPr>
    </w:p>
    <w:p w14:paraId="6ED55F89" w14:textId="77777777" w:rsidR="006D0A4F" w:rsidRPr="006D0A4F" w:rsidRDefault="006D0A4F" w:rsidP="006D0A4F">
      <w:pPr>
        <w:keepNext/>
        <w:rPr>
          <w:rFonts w:ascii="David" w:hAnsi="David"/>
          <w:color w:val="000000"/>
          <w:sz w:val="22"/>
          <w:szCs w:val="22"/>
          <w:rtl/>
        </w:rPr>
      </w:pPr>
      <w:r w:rsidRPr="006D0A4F">
        <w:rPr>
          <w:rFonts w:ascii="David" w:hAnsi="David"/>
          <w:color w:val="000000"/>
          <w:sz w:val="22"/>
          <w:szCs w:val="22"/>
          <w:rtl/>
        </w:rPr>
        <w:t>שלמה בנג'ו 54678313</w:t>
      </w:r>
    </w:p>
    <w:p w14:paraId="0ABEF94B" w14:textId="77777777" w:rsidR="006D0A4F" w:rsidRDefault="006D0A4F" w:rsidP="006D0A4F">
      <w:r w:rsidRPr="006D0A4F">
        <w:rPr>
          <w:color w:val="000000"/>
          <w:rtl/>
        </w:rPr>
        <w:t>נוסח מסמך זה כפוף לשינויי ניסוח ועריכה</w:t>
      </w:r>
    </w:p>
    <w:p w14:paraId="5B6E62B9" w14:textId="77777777" w:rsidR="006D0A4F" w:rsidRDefault="006D0A4F" w:rsidP="006D0A4F">
      <w:pPr>
        <w:rPr>
          <w:rtl/>
        </w:rPr>
      </w:pPr>
    </w:p>
    <w:p w14:paraId="34CE410E" w14:textId="77777777" w:rsidR="006D0A4F" w:rsidRDefault="006D0A4F" w:rsidP="006D0A4F">
      <w:pPr>
        <w:jc w:val="center"/>
        <w:rPr>
          <w:color w:val="0000FF"/>
          <w:u w:val="single"/>
        </w:rPr>
      </w:pPr>
      <w:hyperlink r:id="rId87" w:history="1">
        <w:r>
          <w:rPr>
            <w:color w:val="0000FF"/>
            <w:u w:val="single"/>
            <w:rtl/>
          </w:rPr>
          <w:t>בעניין עריכה ושינויים במסמכי פסיקה, חקיקה ועוד באתר נבו – הקש כאן</w:t>
        </w:r>
      </w:hyperlink>
    </w:p>
    <w:p w14:paraId="67A27480" w14:textId="77777777" w:rsidR="006D0A4F" w:rsidRPr="006D0A4F" w:rsidRDefault="006D0A4F" w:rsidP="006D0A4F">
      <w:pPr>
        <w:jc w:val="center"/>
        <w:rPr>
          <w:color w:val="0000FF"/>
          <w:u w:val="single"/>
        </w:rPr>
      </w:pPr>
    </w:p>
    <w:sectPr w:rsidR="006D0A4F" w:rsidRPr="006D0A4F" w:rsidSect="006D0A4F">
      <w:headerReference w:type="even" r:id="rId88"/>
      <w:headerReference w:type="default" r:id="rId89"/>
      <w:footerReference w:type="even" r:id="rId90"/>
      <w:footerReference w:type="default" r:id="rId9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9EDDD" w14:textId="77777777" w:rsidR="00E12F0A" w:rsidRDefault="00E12F0A" w:rsidP="00C50991">
      <w:r>
        <w:separator/>
      </w:r>
    </w:p>
  </w:endnote>
  <w:endnote w:type="continuationSeparator" w:id="0">
    <w:p w14:paraId="2C4BB679" w14:textId="77777777" w:rsidR="00E12F0A" w:rsidRDefault="00E12F0A" w:rsidP="00C50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25AC" w14:textId="77777777" w:rsidR="006D0A4F" w:rsidRDefault="006D0A4F" w:rsidP="006D0A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EC2837" w14:textId="77777777" w:rsidR="006B1275" w:rsidRPr="006D0A4F" w:rsidRDefault="006D0A4F" w:rsidP="006D0A4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E3B94" w14:textId="77777777" w:rsidR="006D0A4F" w:rsidRDefault="006D0A4F" w:rsidP="006D0A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B0CF3">
      <w:rPr>
        <w:rFonts w:ascii="FrankRuehl" w:hAnsi="FrankRuehl" w:cs="FrankRuehl"/>
        <w:noProof/>
        <w:rtl/>
      </w:rPr>
      <w:t>1</w:t>
    </w:r>
    <w:r>
      <w:rPr>
        <w:rFonts w:ascii="FrankRuehl" w:hAnsi="FrankRuehl" w:cs="FrankRuehl"/>
        <w:rtl/>
      </w:rPr>
      <w:fldChar w:fldCharType="end"/>
    </w:r>
  </w:p>
  <w:p w14:paraId="5670551C" w14:textId="77777777" w:rsidR="006B1275" w:rsidRPr="006D0A4F" w:rsidRDefault="006D0A4F" w:rsidP="006D0A4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6899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122FA" w14:textId="77777777" w:rsidR="00E12F0A" w:rsidRDefault="00E12F0A" w:rsidP="00C50991">
      <w:r>
        <w:separator/>
      </w:r>
    </w:p>
  </w:footnote>
  <w:footnote w:type="continuationSeparator" w:id="0">
    <w:p w14:paraId="56204122" w14:textId="77777777" w:rsidR="00E12F0A" w:rsidRDefault="00E12F0A" w:rsidP="00C50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D09CD" w14:textId="77777777" w:rsidR="006D0A4F" w:rsidRPr="006D0A4F" w:rsidRDefault="006D0A4F" w:rsidP="006D0A4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67437-05-24</w:t>
    </w:r>
    <w:r>
      <w:rPr>
        <w:rFonts w:ascii="David" w:hAnsi="David"/>
        <w:color w:val="000000"/>
        <w:sz w:val="22"/>
        <w:szCs w:val="22"/>
        <w:rtl/>
      </w:rPr>
      <w:tab/>
      <w:t xml:space="preserve"> מדינת ישראל נ' עבד אלסלים מנצור עומר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53F9C" w14:textId="77777777" w:rsidR="006D0A4F" w:rsidRPr="006D0A4F" w:rsidRDefault="006D0A4F" w:rsidP="006D0A4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67437-05-24</w:t>
    </w:r>
    <w:r>
      <w:rPr>
        <w:rFonts w:ascii="David" w:hAnsi="David"/>
        <w:color w:val="000000"/>
        <w:sz w:val="22"/>
        <w:szCs w:val="22"/>
        <w:rtl/>
      </w:rPr>
      <w:tab/>
      <w:t xml:space="preserve"> מדינת ישראל נ' עבד אלסלים מנצור עומר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00C8A"/>
    <w:multiLevelType w:val="hybridMultilevel"/>
    <w:tmpl w:val="0B0C4FFC"/>
    <w:lvl w:ilvl="0" w:tplc="B4489D8C">
      <w:start w:val="1"/>
      <w:numFmt w:val="decimal"/>
      <w:lvlText w:val="%1."/>
      <w:lvlJc w:val="left"/>
      <w:pPr>
        <w:ind w:left="785"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8EE6661"/>
    <w:multiLevelType w:val="hybridMultilevel"/>
    <w:tmpl w:val="BF1AEA3E"/>
    <w:lvl w:ilvl="0" w:tplc="F2AEA9C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905989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76717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5F52"/>
    <w:rsid w:val="00276BCA"/>
    <w:rsid w:val="002E5DDE"/>
    <w:rsid w:val="00625F52"/>
    <w:rsid w:val="006B1275"/>
    <w:rsid w:val="006D0A4F"/>
    <w:rsid w:val="009070AA"/>
    <w:rsid w:val="009D29EC"/>
    <w:rsid w:val="00A912ED"/>
    <w:rsid w:val="00BB0CF3"/>
    <w:rsid w:val="00C50991"/>
    <w:rsid w:val="00E12F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5EC353"/>
  <w15:chartTrackingRefBased/>
  <w15:docId w15:val="{A38E3BAB-1576-491D-A218-E615FE6E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5F5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5F52"/>
    <w:pPr>
      <w:tabs>
        <w:tab w:val="center" w:pos="4153"/>
        <w:tab w:val="right" w:pos="8306"/>
      </w:tabs>
    </w:pPr>
  </w:style>
  <w:style w:type="character" w:customStyle="1" w:styleId="a4">
    <w:name w:val="כותרת עליונה תו"/>
    <w:link w:val="a3"/>
    <w:rsid w:val="00625F52"/>
    <w:rPr>
      <w:rFonts w:ascii="Times New Roman" w:eastAsia="Times New Roman" w:hAnsi="Times New Roman" w:cs="David"/>
      <w:sz w:val="24"/>
      <w:szCs w:val="24"/>
    </w:rPr>
  </w:style>
  <w:style w:type="paragraph" w:styleId="a5">
    <w:name w:val="footer"/>
    <w:basedOn w:val="a"/>
    <w:link w:val="a6"/>
    <w:rsid w:val="00625F52"/>
    <w:pPr>
      <w:tabs>
        <w:tab w:val="center" w:pos="4153"/>
        <w:tab w:val="right" w:pos="8306"/>
      </w:tabs>
    </w:pPr>
  </w:style>
  <w:style w:type="character" w:customStyle="1" w:styleId="a6">
    <w:name w:val="כותרת תחתונה תו"/>
    <w:link w:val="a5"/>
    <w:rsid w:val="00625F52"/>
    <w:rPr>
      <w:rFonts w:ascii="Times New Roman" w:eastAsia="Times New Roman" w:hAnsi="Times New Roman" w:cs="David"/>
      <w:sz w:val="24"/>
      <w:szCs w:val="24"/>
    </w:rPr>
  </w:style>
  <w:style w:type="table" w:styleId="a7">
    <w:name w:val="Table Grid"/>
    <w:basedOn w:val="a1"/>
    <w:rsid w:val="00625F5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5F52"/>
  </w:style>
  <w:style w:type="paragraph" w:styleId="a9">
    <w:name w:val="List Paragraph"/>
    <w:basedOn w:val="a"/>
    <w:qFormat/>
    <w:rsid w:val="00625F52"/>
    <w:pPr>
      <w:spacing w:after="160" w:line="256" w:lineRule="auto"/>
      <w:ind w:left="720"/>
      <w:contextualSpacing/>
    </w:pPr>
    <w:rPr>
      <w:rFonts w:ascii="Calibri" w:eastAsia="Calibri" w:hAnsi="Calibri" w:cs="Arial"/>
      <w:sz w:val="22"/>
      <w:szCs w:val="22"/>
    </w:rPr>
  </w:style>
  <w:style w:type="character" w:styleId="Hyperlink">
    <w:name w:val="Hyperlink"/>
    <w:rsid w:val="006D0A4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501"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case/27499246" TargetMode="External"/><Relationship Id="rId47" Type="http://schemas.openxmlformats.org/officeDocument/2006/relationships/hyperlink" Target="http://www.nevo.co.il/law/70301/144.b" TargetMode="External"/><Relationship Id="rId63" Type="http://schemas.openxmlformats.org/officeDocument/2006/relationships/hyperlink" Target="http://www.nevo.co.il/law/70301/338.a.1" TargetMode="External"/><Relationship Id="rId68" Type="http://schemas.openxmlformats.org/officeDocument/2006/relationships/hyperlink" Target="http://www.nevo.co.il/case/26986954" TargetMode="External"/><Relationship Id="rId84" Type="http://schemas.openxmlformats.org/officeDocument/2006/relationships/hyperlink" Target="http://www.nevo.co.il/case/28697227" TargetMode="External"/><Relationship Id="rId89" Type="http://schemas.openxmlformats.org/officeDocument/2006/relationships/header" Target="header2.xml"/><Relationship Id="rId16" Type="http://schemas.openxmlformats.org/officeDocument/2006/relationships/hyperlink" Target="http://www.nevo.co.il/law/5227/10.a" TargetMode="External"/><Relationship Id="rId11" Type="http://schemas.openxmlformats.org/officeDocument/2006/relationships/hyperlink" Target="http://www.nevo.co.il/law/70301/144.g"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8200855" TargetMode="External"/><Relationship Id="rId53" Type="http://schemas.openxmlformats.org/officeDocument/2006/relationships/hyperlink" Target="http://www.nevo.co.il/case/23750625"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 TargetMode="External"/><Relationship Id="rId79" Type="http://schemas.openxmlformats.org/officeDocument/2006/relationships/hyperlink" Target="http://www.nevo.co.il/case/28092428" TargetMode="External"/><Relationship Id="rId5" Type="http://schemas.openxmlformats.org/officeDocument/2006/relationships/footnotes" Target="footnotes.xml"/><Relationship Id="rId90" Type="http://schemas.openxmlformats.org/officeDocument/2006/relationships/footer" Target="footer1.xml"/><Relationship Id="rId22" Type="http://schemas.openxmlformats.org/officeDocument/2006/relationships/hyperlink" Target="http://www.nevo.co.il/law/70301" TargetMode="External"/><Relationship Id="rId27" Type="http://schemas.openxmlformats.org/officeDocument/2006/relationships/hyperlink" Target="http://www.nevo.co.il/case/29042932"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 TargetMode="External"/><Relationship Id="rId64" Type="http://schemas.openxmlformats.org/officeDocument/2006/relationships/hyperlink" Target="http://www.nevo.co.il/law/70301/244" TargetMode="External"/><Relationship Id="rId69" Type="http://schemas.openxmlformats.org/officeDocument/2006/relationships/hyperlink" Target="http://www.nevo.co.il/case/27115374" TargetMode="External"/><Relationship Id="rId8" Type="http://schemas.openxmlformats.org/officeDocument/2006/relationships/hyperlink" Target="http://www.nevo.co.il/law/70301/45.b" TargetMode="External"/><Relationship Id="rId51" Type="http://schemas.openxmlformats.org/officeDocument/2006/relationships/hyperlink" Target="http://www.nevo.co.il/law/90721" TargetMode="External"/><Relationship Id="rId72" Type="http://schemas.openxmlformats.org/officeDocument/2006/relationships/hyperlink" Target="http://www.nevo.co.il/law/5227" TargetMode="External"/><Relationship Id="rId80" Type="http://schemas.openxmlformats.org/officeDocument/2006/relationships/hyperlink" Target="http://www.nevo.co.il/case/28513828" TargetMode="External"/><Relationship Id="rId85" Type="http://schemas.openxmlformats.org/officeDocument/2006/relationships/hyperlink" Target="http://www.nevo.co.il/law/70301/45.b"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law/74501" TargetMode="External"/><Relationship Id="rId25" Type="http://schemas.openxmlformats.org/officeDocument/2006/relationships/hyperlink" Target="http://www.nevo.co.il/law/74501/2.a" TargetMode="External"/><Relationship Id="rId33" Type="http://schemas.openxmlformats.org/officeDocument/2006/relationships/hyperlink" Target="http://www.nevo.co.il/case/6473037" TargetMode="External"/><Relationship Id="rId38" Type="http://schemas.openxmlformats.org/officeDocument/2006/relationships/hyperlink" Target="http://www.nevo.co.il/case/25824863" TargetMode="External"/><Relationship Id="rId46" Type="http://schemas.openxmlformats.org/officeDocument/2006/relationships/hyperlink" Target="http://www.nevo.co.il/law/70301/144.b" TargetMode="External"/><Relationship Id="rId59" Type="http://schemas.openxmlformats.org/officeDocument/2006/relationships/hyperlink" Target="http://www.nevo.co.il/case/30627520" TargetMode="External"/><Relationship Id="rId67" Type="http://schemas.openxmlformats.org/officeDocument/2006/relationships/hyperlink" Target="http://www.nevo.co.il/law/70301" TargetMode="External"/><Relationship Id="rId20" Type="http://schemas.openxmlformats.org/officeDocument/2006/relationships/hyperlink" Target="http://www.nevo.co.il/law/90721/12.1" TargetMode="External"/><Relationship Id="rId41" Type="http://schemas.openxmlformats.org/officeDocument/2006/relationships/hyperlink" Target="http://www.nevo.co.il/case/28243273" TargetMode="External"/><Relationship Id="rId54" Type="http://schemas.openxmlformats.org/officeDocument/2006/relationships/hyperlink" Target="http://www.nevo.co.il/case/17954235" TargetMode="External"/><Relationship Id="rId62" Type="http://schemas.openxmlformats.org/officeDocument/2006/relationships/hyperlink" Target="http://www.nevo.co.il/law/70301/275" TargetMode="External"/><Relationship Id="rId70" Type="http://schemas.openxmlformats.org/officeDocument/2006/relationships/hyperlink" Target="http://www.nevo.co.il/case/27734980" TargetMode="External"/><Relationship Id="rId75" Type="http://schemas.openxmlformats.org/officeDocument/2006/relationships/hyperlink" Target="http://www.nevo.co.il/case/18654248" TargetMode="External"/><Relationship Id="rId83" Type="http://schemas.openxmlformats.org/officeDocument/2006/relationships/hyperlink" Target="http://www.nevo.co.il/law/70301/144.g"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5227/10.a" TargetMode="External"/><Relationship Id="rId28" Type="http://schemas.openxmlformats.org/officeDocument/2006/relationships/hyperlink" Target="http://www.nevo.co.il/case/29090003" TargetMode="External"/><Relationship Id="rId36" Type="http://schemas.openxmlformats.org/officeDocument/2006/relationships/hyperlink" Target="http://www.nevo.co.il/case/28266138" TargetMode="External"/><Relationship Id="rId49" Type="http://schemas.openxmlformats.org/officeDocument/2006/relationships/hyperlink" Target="http://www.nevo.co.il/law/70301/275" TargetMode="External"/><Relationship Id="rId57" Type="http://schemas.openxmlformats.org/officeDocument/2006/relationships/hyperlink" Target="http://www.nevo.co.il/law/70301/144.b"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case/28152132"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7894608" TargetMode="External"/><Relationship Id="rId60" Type="http://schemas.openxmlformats.org/officeDocument/2006/relationships/hyperlink" Target="http://www.nevo.co.il/law/70301/144.a.;144.b" TargetMode="External"/><Relationship Id="rId65" Type="http://schemas.openxmlformats.org/officeDocument/2006/relationships/hyperlink" Target="http://www.nevo.co.il/case/30326155" TargetMode="External"/><Relationship Id="rId73" Type="http://schemas.openxmlformats.org/officeDocument/2006/relationships/hyperlink" Target="http://www.nevo.co.il/law/70301/45.b" TargetMode="External"/><Relationship Id="rId78" Type="http://schemas.openxmlformats.org/officeDocument/2006/relationships/hyperlink" Target="http://www.nevo.co.il/case/22578455" TargetMode="External"/><Relationship Id="rId81" Type="http://schemas.openxmlformats.org/officeDocument/2006/relationships/hyperlink" Target="http://www.nevo.co.il/case/28883087" TargetMode="External"/><Relationship Id="rId86"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74501/2.a" TargetMode="External"/><Relationship Id="rId39" Type="http://schemas.openxmlformats.org/officeDocument/2006/relationships/hyperlink" Target="http://www.nevo.co.il/case/27309272" TargetMode="External"/><Relationship Id="rId34" Type="http://schemas.openxmlformats.org/officeDocument/2006/relationships/hyperlink" Target="http://www.nevo.co.il/case/28697227" TargetMode="External"/><Relationship Id="rId50" Type="http://schemas.openxmlformats.org/officeDocument/2006/relationships/hyperlink" Target="http://www.nevo.co.il/law/90721/12.1" TargetMode="External"/><Relationship Id="rId55" Type="http://schemas.openxmlformats.org/officeDocument/2006/relationships/hyperlink" Target="http://www.nevo.co.il/case/28268880" TargetMode="External"/><Relationship Id="rId76" Type="http://schemas.openxmlformats.org/officeDocument/2006/relationships/hyperlink" Target="http://www.nevo.co.il/case/28092428"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8200855"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evo.co.il/case/28660017" TargetMode="External"/><Relationship Id="rId24" Type="http://schemas.openxmlformats.org/officeDocument/2006/relationships/hyperlink" Target="http://www.nevo.co.il/law/5227" TargetMode="External"/><Relationship Id="rId40" Type="http://schemas.openxmlformats.org/officeDocument/2006/relationships/hyperlink" Target="http://www.nevo.co.il/case/27911655" TargetMode="External"/><Relationship Id="rId45" Type="http://schemas.openxmlformats.org/officeDocument/2006/relationships/hyperlink" Target="http://www.nevo.co.il/case/28883087" TargetMode="External"/><Relationship Id="rId66" Type="http://schemas.openxmlformats.org/officeDocument/2006/relationships/hyperlink" Target="http://www.nevo.co.il/law/70301/144.b" TargetMode="External"/><Relationship Id="rId87" Type="http://schemas.openxmlformats.org/officeDocument/2006/relationships/hyperlink" Target="http://www.nevo.co.il/advertisements/nevo-100.doc" TargetMode="External"/><Relationship Id="rId61" Type="http://schemas.openxmlformats.org/officeDocument/2006/relationships/hyperlink" Target="http://www.nevo.co.il/law/70301" TargetMode="External"/><Relationship Id="rId82" Type="http://schemas.openxmlformats.org/officeDocument/2006/relationships/hyperlink" Target="http://www.nevo.co.il/law/70301" TargetMode="External"/><Relationship Id="rId19" Type="http://schemas.openxmlformats.org/officeDocument/2006/relationships/hyperlink" Target="http://www.nevo.co.il/law/90721" TargetMode="External"/><Relationship Id="rId14" Type="http://schemas.openxmlformats.org/officeDocument/2006/relationships/hyperlink" Target="http://www.nevo.co.il/law/70301/338.a.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7734980" TargetMode="External"/><Relationship Id="rId56" Type="http://schemas.openxmlformats.org/officeDocument/2006/relationships/hyperlink" Target="http://www.nevo.co.il/case/30625606" TargetMode="External"/><Relationship Id="rId77" Type="http://schemas.openxmlformats.org/officeDocument/2006/relationships/hyperlink" Target="http://www.nevo.co.il/case/1311249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4092</Words>
  <Characters>20463</Characters>
  <Application>Microsoft Office Word</Application>
  <DocSecurity>0</DocSecurity>
  <Lines>170</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24506</CharactersWithSpaces>
  <SharedDoc>false</SharedDoc>
  <HLinks>
    <vt:vector size="486" baseType="variant">
      <vt:variant>
        <vt:i4>393283</vt:i4>
      </vt:variant>
      <vt:variant>
        <vt:i4>240</vt:i4>
      </vt:variant>
      <vt:variant>
        <vt:i4>0</vt:i4>
      </vt:variant>
      <vt:variant>
        <vt:i4>5</vt:i4>
      </vt:variant>
      <vt:variant>
        <vt:lpwstr>http://www.nevo.co.il/advertisements/nevo-100.doc</vt:lpwstr>
      </vt:variant>
      <vt:variant>
        <vt:lpwstr/>
      </vt:variant>
      <vt:variant>
        <vt:i4>7995492</vt:i4>
      </vt:variant>
      <vt:variant>
        <vt:i4>237</vt:i4>
      </vt:variant>
      <vt:variant>
        <vt:i4>0</vt:i4>
      </vt:variant>
      <vt:variant>
        <vt:i4>5</vt:i4>
      </vt:variant>
      <vt:variant>
        <vt:lpwstr>http://www.nevo.co.il/law/70301</vt:lpwstr>
      </vt:variant>
      <vt:variant>
        <vt:lpwstr/>
      </vt:variant>
      <vt:variant>
        <vt:i4>131151</vt:i4>
      </vt:variant>
      <vt:variant>
        <vt:i4>234</vt:i4>
      </vt:variant>
      <vt:variant>
        <vt:i4>0</vt:i4>
      </vt:variant>
      <vt:variant>
        <vt:i4>5</vt:i4>
      </vt:variant>
      <vt:variant>
        <vt:lpwstr>http://www.nevo.co.il/law/70301/45.b</vt:lpwstr>
      </vt:variant>
      <vt:variant>
        <vt:lpwstr/>
      </vt:variant>
      <vt:variant>
        <vt:i4>3211383</vt:i4>
      </vt:variant>
      <vt:variant>
        <vt:i4>231</vt:i4>
      </vt:variant>
      <vt:variant>
        <vt:i4>0</vt:i4>
      </vt:variant>
      <vt:variant>
        <vt:i4>5</vt:i4>
      </vt:variant>
      <vt:variant>
        <vt:lpwstr>http://www.nevo.co.il/case/28697227</vt:lpwstr>
      </vt:variant>
      <vt:variant>
        <vt:lpwstr/>
      </vt:variant>
      <vt:variant>
        <vt:i4>5177424</vt:i4>
      </vt:variant>
      <vt:variant>
        <vt:i4>228</vt:i4>
      </vt:variant>
      <vt:variant>
        <vt:i4>0</vt:i4>
      </vt:variant>
      <vt:variant>
        <vt:i4>5</vt:i4>
      </vt:variant>
      <vt:variant>
        <vt:lpwstr>http://www.nevo.co.il/law/70301/144.g</vt:lpwstr>
      </vt:variant>
      <vt:variant>
        <vt:lpwstr/>
      </vt:variant>
      <vt:variant>
        <vt:i4>7995492</vt:i4>
      </vt:variant>
      <vt:variant>
        <vt:i4>225</vt:i4>
      </vt:variant>
      <vt:variant>
        <vt:i4>0</vt:i4>
      </vt:variant>
      <vt:variant>
        <vt:i4>5</vt:i4>
      </vt:variant>
      <vt:variant>
        <vt:lpwstr>http://www.nevo.co.il/law/70301</vt:lpwstr>
      </vt:variant>
      <vt:variant>
        <vt:lpwstr/>
      </vt:variant>
      <vt:variant>
        <vt:i4>3211380</vt:i4>
      </vt:variant>
      <vt:variant>
        <vt:i4>222</vt:i4>
      </vt:variant>
      <vt:variant>
        <vt:i4>0</vt:i4>
      </vt:variant>
      <vt:variant>
        <vt:i4>5</vt:i4>
      </vt:variant>
      <vt:variant>
        <vt:lpwstr>http://www.nevo.co.il/case/28883087</vt:lpwstr>
      </vt:variant>
      <vt:variant>
        <vt:lpwstr/>
      </vt:variant>
      <vt:variant>
        <vt:i4>3539061</vt:i4>
      </vt:variant>
      <vt:variant>
        <vt:i4>219</vt:i4>
      </vt:variant>
      <vt:variant>
        <vt:i4>0</vt:i4>
      </vt:variant>
      <vt:variant>
        <vt:i4>5</vt:i4>
      </vt:variant>
      <vt:variant>
        <vt:lpwstr>http://www.nevo.co.il/case/28513828</vt:lpwstr>
      </vt:variant>
      <vt:variant>
        <vt:lpwstr/>
      </vt:variant>
      <vt:variant>
        <vt:i4>3276913</vt:i4>
      </vt:variant>
      <vt:variant>
        <vt:i4>216</vt:i4>
      </vt:variant>
      <vt:variant>
        <vt:i4>0</vt:i4>
      </vt:variant>
      <vt:variant>
        <vt:i4>5</vt:i4>
      </vt:variant>
      <vt:variant>
        <vt:lpwstr>http://www.nevo.co.il/case/28092428</vt:lpwstr>
      </vt:variant>
      <vt:variant>
        <vt:lpwstr/>
      </vt:variant>
      <vt:variant>
        <vt:i4>3801205</vt:i4>
      </vt:variant>
      <vt:variant>
        <vt:i4>213</vt:i4>
      </vt:variant>
      <vt:variant>
        <vt:i4>0</vt:i4>
      </vt:variant>
      <vt:variant>
        <vt:i4>5</vt:i4>
      </vt:variant>
      <vt:variant>
        <vt:lpwstr>http://www.nevo.co.il/case/22578455</vt:lpwstr>
      </vt:variant>
      <vt:variant>
        <vt:lpwstr/>
      </vt:variant>
      <vt:variant>
        <vt:i4>3866738</vt:i4>
      </vt:variant>
      <vt:variant>
        <vt:i4>210</vt:i4>
      </vt:variant>
      <vt:variant>
        <vt:i4>0</vt:i4>
      </vt:variant>
      <vt:variant>
        <vt:i4>5</vt:i4>
      </vt:variant>
      <vt:variant>
        <vt:lpwstr>http://www.nevo.co.il/case/13112493</vt:lpwstr>
      </vt:variant>
      <vt:variant>
        <vt:lpwstr/>
      </vt:variant>
      <vt:variant>
        <vt:i4>3276913</vt:i4>
      </vt:variant>
      <vt:variant>
        <vt:i4>207</vt:i4>
      </vt:variant>
      <vt:variant>
        <vt:i4>0</vt:i4>
      </vt:variant>
      <vt:variant>
        <vt:i4>5</vt:i4>
      </vt:variant>
      <vt:variant>
        <vt:lpwstr>http://www.nevo.co.il/case/28092428</vt:lpwstr>
      </vt:variant>
      <vt:variant>
        <vt:lpwstr/>
      </vt:variant>
      <vt:variant>
        <vt:i4>3604603</vt:i4>
      </vt:variant>
      <vt:variant>
        <vt:i4>204</vt:i4>
      </vt:variant>
      <vt:variant>
        <vt:i4>0</vt:i4>
      </vt:variant>
      <vt:variant>
        <vt:i4>5</vt:i4>
      </vt:variant>
      <vt:variant>
        <vt:lpwstr>http://www.nevo.co.il/case/18654248</vt:lpwstr>
      </vt:variant>
      <vt:variant>
        <vt:lpwstr/>
      </vt:variant>
      <vt:variant>
        <vt:i4>7995492</vt:i4>
      </vt:variant>
      <vt:variant>
        <vt:i4>201</vt:i4>
      </vt:variant>
      <vt:variant>
        <vt:i4>0</vt:i4>
      </vt:variant>
      <vt:variant>
        <vt:i4>5</vt:i4>
      </vt:variant>
      <vt:variant>
        <vt:lpwstr>http://www.nevo.co.il/law/70301</vt:lpwstr>
      </vt:variant>
      <vt:variant>
        <vt:lpwstr/>
      </vt:variant>
      <vt:variant>
        <vt:i4>131151</vt:i4>
      </vt:variant>
      <vt:variant>
        <vt:i4>198</vt:i4>
      </vt:variant>
      <vt:variant>
        <vt:i4>0</vt:i4>
      </vt:variant>
      <vt:variant>
        <vt:i4>5</vt:i4>
      </vt:variant>
      <vt:variant>
        <vt:lpwstr>http://www.nevo.co.il/law/70301/45.b</vt:lpwstr>
      </vt:variant>
      <vt:variant>
        <vt:lpwstr/>
      </vt:variant>
      <vt:variant>
        <vt:i4>8323175</vt:i4>
      </vt:variant>
      <vt:variant>
        <vt:i4>195</vt:i4>
      </vt:variant>
      <vt:variant>
        <vt:i4>0</vt:i4>
      </vt:variant>
      <vt:variant>
        <vt:i4>5</vt:i4>
      </vt:variant>
      <vt:variant>
        <vt:lpwstr>http://www.nevo.co.il/law/5227</vt:lpwstr>
      </vt:variant>
      <vt:variant>
        <vt:lpwstr/>
      </vt:variant>
      <vt:variant>
        <vt:i4>3473524</vt:i4>
      </vt:variant>
      <vt:variant>
        <vt:i4>192</vt:i4>
      </vt:variant>
      <vt:variant>
        <vt:i4>0</vt:i4>
      </vt:variant>
      <vt:variant>
        <vt:i4>5</vt:i4>
      </vt:variant>
      <vt:variant>
        <vt:lpwstr>http://www.nevo.co.il/case/28200855</vt:lpwstr>
      </vt:variant>
      <vt:variant>
        <vt:lpwstr/>
      </vt:variant>
      <vt:variant>
        <vt:i4>3735673</vt:i4>
      </vt:variant>
      <vt:variant>
        <vt:i4>189</vt:i4>
      </vt:variant>
      <vt:variant>
        <vt:i4>0</vt:i4>
      </vt:variant>
      <vt:variant>
        <vt:i4>5</vt:i4>
      </vt:variant>
      <vt:variant>
        <vt:lpwstr>http://www.nevo.co.il/case/27734980</vt:lpwstr>
      </vt:variant>
      <vt:variant>
        <vt:lpwstr/>
      </vt:variant>
      <vt:variant>
        <vt:i4>3211377</vt:i4>
      </vt:variant>
      <vt:variant>
        <vt:i4>186</vt:i4>
      </vt:variant>
      <vt:variant>
        <vt:i4>0</vt:i4>
      </vt:variant>
      <vt:variant>
        <vt:i4>5</vt:i4>
      </vt:variant>
      <vt:variant>
        <vt:lpwstr>http://www.nevo.co.il/case/27115374</vt:lpwstr>
      </vt:variant>
      <vt:variant>
        <vt:lpwstr/>
      </vt:variant>
      <vt:variant>
        <vt:i4>3670131</vt:i4>
      </vt:variant>
      <vt:variant>
        <vt:i4>183</vt:i4>
      </vt:variant>
      <vt:variant>
        <vt:i4>0</vt:i4>
      </vt:variant>
      <vt:variant>
        <vt:i4>5</vt:i4>
      </vt:variant>
      <vt:variant>
        <vt:lpwstr>http://www.nevo.co.il/case/26986954</vt:lpwstr>
      </vt:variant>
      <vt:variant>
        <vt:lpwstr/>
      </vt:variant>
      <vt:variant>
        <vt:i4>7995492</vt:i4>
      </vt:variant>
      <vt:variant>
        <vt:i4>180</vt:i4>
      </vt:variant>
      <vt:variant>
        <vt:i4>0</vt:i4>
      </vt:variant>
      <vt:variant>
        <vt:i4>5</vt:i4>
      </vt:variant>
      <vt:variant>
        <vt:lpwstr>http://www.nevo.co.il/law/70301</vt:lpwstr>
      </vt:variant>
      <vt:variant>
        <vt:lpwstr/>
      </vt:variant>
      <vt:variant>
        <vt:i4>5177424</vt:i4>
      </vt:variant>
      <vt:variant>
        <vt:i4>177</vt:i4>
      </vt:variant>
      <vt:variant>
        <vt:i4>0</vt:i4>
      </vt:variant>
      <vt:variant>
        <vt:i4>5</vt:i4>
      </vt:variant>
      <vt:variant>
        <vt:lpwstr>http://www.nevo.co.il/law/70301/144.b</vt:lpwstr>
      </vt:variant>
      <vt:variant>
        <vt:lpwstr/>
      </vt:variant>
      <vt:variant>
        <vt:i4>3342455</vt:i4>
      </vt:variant>
      <vt:variant>
        <vt:i4>174</vt:i4>
      </vt:variant>
      <vt:variant>
        <vt:i4>0</vt:i4>
      </vt:variant>
      <vt:variant>
        <vt:i4>5</vt:i4>
      </vt:variant>
      <vt:variant>
        <vt:lpwstr>http://www.nevo.co.il/case/30326155</vt:lpwstr>
      </vt:variant>
      <vt:variant>
        <vt:lpwstr/>
      </vt:variant>
      <vt:variant>
        <vt:i4>6357095</vt:i4>
      </vt:variant>
      <vt:variant>
        <vt:i4>171</vt:i4>
      </vt:variant>
      <vt:variant>
        <vt:i4>0</vt:i4>
      </vt:variant>
      <vt:variant>
        <vt:i4>5</vt:i4>
      </vt:variant>
      <vt:variant>
        <vt:lpwstr>http://www.nevo.co.il/law/70301/244</vt:lpwstr>
      </vt:variant>
      <vt:variant>
        <vt:lpwstr/>
      </vt:variant>
      <vt:variant>
        <vt:i4>6684735</vt:i4>
      </vt:variant>
      <vt:variant>
        <vt:i4>168</vt:i4>
      </vt:variant>
      <vt:variant>
        <vt:i4>0</vt:i4>
      </vt:variant>
      <vt:variant>
        <vt:i4>5</vt:i4>
      </vt:variant>
      <vt:variant>
        <vt:lpwstr>http://www.nevo.co.il/law/70301/338.a.1</vt:lpwstr>
      </vt:variant>
      <vt:variant>
        <vt:lpwstr/>
      </vt:variant>
      <vt:variant>
        <vt:i4>6422631</vt:i4>
      </vt:variant>
      <vt:variant>
        <vt:i4>165</vt:i4>
      </vt:variant>
      <vt:variant>
        <vt:i4>0</vt:i4>
      </vt:variant>
      <vt:variant>
        <vt:i4>5</vt:i4>
      </vt:variant>
      <vt:variant>
        <vt:lpwstr>http://www.nevo.co.il/law/70301/275</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393232</vt:i4>
      </vt:variant>
      <vt:variant>
        <vt:i4>159</vt:i4>
      </vt:variant>
      <vt:variant>
        <vt:i4>0</vt:i4>
      </vt:variant>
      <vt:variant>
        <vt:i4>5</vt:i4>
      </vt:variant>
      <vt:variant>
        <vt:lpwstr>http://www.nevo.co.il/law/70301/144.a.;144.b</vt:lpwstr>
      </vt:variant>
      <vt:variant>
        <vt:lpwstr/>
      </vt:variant>
      <vt:variant>
        <vt:i4>3145843</vt:i4>
      </vt:variant>
      <vt:variant>
        <vt:i4>156</vt:i4>
      </vt:variant>
      <vt:variant>
        <vt:i4>0</vt:i4>
      </vt:variant>
      <vt:variant>
        <vt:i4>5</vt:i4>
      </vt:variant>
      <vt:variant>
        <vt:lpwstr>http://www.nevo.co.il/case/30627520</vt:lpwstr>
      </vt:variant>
      <vt:variant>
        <vt:lpwstr/>
      </vt:variant>
      <vt:variant>
        <vt:i4>7995492</vt:i4>
      </vt:variant>
      <vt:variant>
        <vt:i4>153</vt:i4>
      </vt:variant>
      <vt:variant>
        <vt:i4>0</vt:i4>
      </vt:variant>
      <vt:variant>
        <vt:i4>5</vt:i4>
      </vt:variant>
      <vt:variant>
        <vt:lpwstr>http://www.nevo.co.il/law/70301</vt:lpwstr>
      </vt:variant>
      <vt:variant>
        <vt:lpwstr/>
      </vt:variant>
      <vt:variant>
        <vt:i4>5177424</vt:i4>
      </vt:variant>
      <vt:variant>
        <vt:i4>150</vt:i4>
      </vt:variant>
      <vt:variant>
        <vt:i4>0</vt:i4>
      </vt:variant>
      <vt:variant>
        <vt:i4>5</vt:i4>
      </vt:variant>
      <vt:variant>
        <vt:lpwstr>http://www.nevo.co.il/law/70301/144.b</vt:lpwstr>
      </vt:variant>
      <vt:variant>
        <vt:lpwstr/>
      </vt:variant>
      <vt:variant>
        <vt:i4>3145840</vt:i4>
      </vt:variant>
      <vt:variant>
        <vt:i4>147</vt:i4>
      </vt:variant>
      <vt:variant>
        <vt:i4>0</vt:i4>
      </vt:variant>
      <vt:variant>
        <vt:i4>5</vt:i4>
      </vt:variant>
      <vt:variant>
        <vt:lpwstr>http://www.nevo.co.il/case/30625606</vt:lpwstr>
      </vt:variant>
      <vt:variant>
        <vt:lpwstr/>
      </vt:variant>
      <vt:variant>
        <vt:i4>3145842</vt:i4>
      </vt:variant>
      <vt:variant>
        <vt:i4>144</vt:i4>
      </vt:variant>
      <vt:variant>
        <vt:i4>0</vt:i4>
      </vt:variant>
      <vt:variant>
        <vt:i4>5</vt:i4>
      </vt:variant>
      <vt:variant>
        <vt:lpwstr>http://www.nevo.co.il/case/28268880</vt:lpwstr>
      </vt:variant>
      <vt:variant>
        <vt:lpwstr/>
      </vt:variant>
      <vt:variant>
        <vt:i4>4128884</vt:i4>
      </vt:variant>
      <vt:variant>
        <vt:i4>141</vt:i4>
      </vt:variant>
      <vt:variant>
        <vt:i4>0</vt:i4>
      </vt:variant>
      <vt:variant>
        <vt:i4>5</vt:i4>
      </vt:variant>
      <vt:variant>
        <vt:lpwstr>http://www.nevo.co.il/case/17954235</vt:lpwstr>
      </vt:variant>
      <vt:variant>
        <vt:lpwstr/>
      </vt:variant>
      <vt:variant>
        <vt:i4>3604596</vt:i4>
      </vt:variant>
      <vt:variant>
        <vt:i4>138</vt:i4>
      </vt:variant>
      <vt:variant>
        <vt:i4>0</vt:i4>
      </vt:variant>
      <vt:variant>
        <vt:i4>5</vt:i4>
      </vt:variant>
      <vt:variant>
        <vt:lpwstr>http://www.nevo.co.il/case/23750625</vt:lpwstr>
      </vt:variant>
      <vt:variant>
        <vt:lpwstr/>
      </vt:variant>
      <vt:variant>
        <vt:i4>4063356</vt:i4>
      </vt:variant>
      <vt:variant>
        <vt:i4>135</vt:i4>
      </vt:variant>
      <vt:variant>
        <vt:i4>0</vt:i4>
      </vt:variant>
      <vt:variant>
        <vt:i4>5</vt:i4>
      </vt:variant>
      <vt:variant>
        <vt:lpwstr>http://www.nevo.co.il/case/27894608</vt:lpwstr>
      </vt:variant>
      <vt:variant>
        <vt:lpwstr/>
      </vt:variant>
      <vt:variant>
        <vt:i4>7864430</vt:i4>
      </vt:variant>
      <vt:variant>
        <vt:i4>132</vt:i4>
      </vt:variant>
      <vt:variant>
        <vt:i4>0</vt:i4>
      </vt:variant>
      <vt:variant>
        <vt:i4>5</vt:i4>
      </vt:variant>
      <vt:variant>
        <vt:lpwstr>http://www.nevo.co.il/law/90721</vt:lpwstr>
      </vt:variant>
      <vt:variant>
        <vt:lpwstr/>
      </vt:variant>
      <vt:variant>
        <vt:i4>5505088</vt:i4>
      </vt:variant>
      <vt:variant>
        <vt:i4>129</vt:i4>
      </vt:variant>
      <vt:variant>
        <vt:i4>0</vt:i4>
      </vt:variant>
      <vt:variant>
        <vt:i4>5</vt:i4>
      </vt:variant>
      <vt:variant>
        <vt:lpwstr>http://www.nevo.co.il/law/90721/12.1</vt:lpwstr>
      </vt:variant>
      <vt:variant>
        <vt:lpwstr/>
      </vt:variant>
      <vt:variant>
        <vt:i4>6422631</vt:i4>
      </vt:variant>
      <vt:variant>
        <vt:i4>126</vt:i4>
      </vt:variant>
      <vt:variant>
        <vt:i4>0</vt:i4>
      </vt:variant>
      <vt:variant>
        <vt:i4>5</vt:i4>
      </vt:variant>
      <vt:variant>
        <vt:lpwstr>http://www.nevo.co.il/law/70301/275</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3211380</vt:i4>
      </vt:variant>
      <vt:variant>
        <vt:i4>114</vt:i4>
      </vt:variant>
      <vt:variant>
        <vt:i4>0</vt:i4>
      </vt:variant>
      <vt:variant>
        <vt:i4>5</vt:i4>
      </vt:variant>
      <vt:variant>
        <vt:lpwstr>http://www.nevo.co.il/case/28883087</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3866744</vt:i4>
      </vt:variant>
      <vt:variant>
        <vt:i4>105</vt:i4>
      </vt:variant>
      <vt:variant>
        <vt:i4>0</vt:i4>
      </vt:variant>
      <vt:variant>
        <vt:i4>5</vt:i4>
      </vt:variant>
      <vt:variant>
        <vt:lpwstr>http://www.nevo.co.il/case/27499246</vt:lpwstr>
      </vt:variant>
      <vt:variant>
        <vt:lpwstr/>
      </vt:variant>
      <vt:variant>
        <vt:i4>3407994</vt:i4>
      </vt:variant>
      <vt:variant>
        <vt:i4>102</vt:i4>
      </vt:variant>
      <vt:variant>
        <vt:i4>0</vt:i4>
      </vt:variant>
      <vt:variant>
        <vt:i4>5</vt:i4>
      </vt:variant>
      <vt:variant>
        <vt:lpwstr>http://www.nevo.co.il/case/28243273</vt:lpwstr>
      </vt:variant>
      <vt:variant>
        <vt:lpwstr/>
      </vt:variant>
      <vt:variant>
        <vt:i4>4128884</vt:i4>
      </vt:variant>
      <vt:variant>
        <vt:i4>99</vt:i4>
      </vt:variant>
      <vt:variant>
        <vt:i4>0</vt:i4>
      </vt:variant>
      <vt:variant>
        <vt:i4>5</vt:i4>
      </vt:variant>
      <vt:variant>
        <vt:lpwstr>http://www.nevo.co.il/case/27911655</vt:lpwstr>
      </vt:variant>
      <vt:variant>
        <vt:lpwstr/>
      </vt:variant>
      <vt:variant>
        <vt:i4>4128881</vt:i4>
      </vt:variant>
      <vt:variant>
        <vt:i4>96</vt:i4>
      </vt:variant>
      <vt:variant>
        <vt:i4>0</vt:i4>
      </vt:variant>
      <vt:variant>
        <vt:i4>5</vt:i4>
      </vt:variant>
      <vt:variant>
        <vt:lpwstr>http://www.nevo.co.il/case/27309272</vt:lpwstr>
      </vt:variant>
      <vt:variant>
        <vt:lpwstr/>
      </vt:variant>
      <vt:variant>
        <vt:i4>3670139</vt:i4>
      </vt:variant>
      <vt:variant>
        <vt:i4>93</vt:i4>
      </vt:variant>
      <vt:variant>
        <vt:i4>0</vt:i4>
      </vt:variant>
      <vt:variant>
        <vt:i4>5</vt:i4>
      </vt:variant>
      <vt:variant>
        <vt:lpwstr>http://www.nevo.co.il/case/25824863</vt:lpwstr>
      </vt:variant>
      <vt:variant>
        <vt:lpwstr/>
      </vt:variant>
      <vt:variant>
        <vt:i4>3473524</vt:i4>
      </vt:variant>
      <vt:variant>
        <vt:i4>90</vt:i4>
      </vt:variant>
      <vt:variant>
        <vt:i4>0</vt:i4>
      </vt:variant>
      <vt:variant>
        <vt:i4>5</vt:i4>
      </vt:variant>
      <vt:variant>
        <vt:lpwstr>http://www.nevo.co.il/case/28200855</vt:lpwstr>
      </vt:variant>
      <vt:variant>
        <vt:lpwstr/>
      </vt:variant>
      <vt:variant>
        <vt:i4>3473531</vt:i4>
      </vt:variant>
      <vt:variant>
        <vt:i4>87</vt:i4>
      </vt:variant>
      <vt:variant>
        <vt:i4>0</vt:i4>
      </vt:variant>
      <vt:variant>
        <vt:i4>5</vt:i4>
      </vt:variant>
      <vt:variant>
        <vt:lpwstr>http://www.nevo.co.il/case/28266138</vt:lpwstr>
      </vt:variant>
      <vt:variant>
        <vt:lpwstr/>
      </vt:variant>
      <vt:variant>
        <vt:i4>3735673</vt:i4>
      </vt:variant>
      <vt:variant>
        <vt:i4>84</vt:i4>
      </vt:variant>
      <vt:variant>
        <vt:i4>0</vt:i4>
      </vt:variant>
      <vt:variant>
        <vt:i4>5</vt:i4>
      </vt:variant>
      <vt:variant>
        <vt:lpwstr>http://www.nevo.co.il/case/27734980</vt:lpwstr>
      </vt:variant>
      <vt:variant>
        <vt:lpwstr/>
      </vt:variant>
      <vt:variant>
        <vt:i4>3211383</vt:i4>
      </vt:variant>
      <vt:variant>
        <vt:i4>81</vt:i4>
      </vt:variant>
      <vt:variant>
        <vt:i4>0</vt:i4>
      </vt:variant>
      <vt:variant>
        <vt:i4>5</vt:i4>
      </vt:variant>
      <vt:variant>
        <vt:lpwstr>http://www.nevo.co.il/case/28697227</vt:lpwstr>
      </vt:variant>
      <vt:variant>
        <vt:lpwstr/>
      </vt:variant>
      <vt:variant>
        <vt:i4>3539056</vt:i4>
      </vt:variant>
      <vt:variant>
        <vt:i4>78</vt:i4>
      </vt:variant>
      <vt:variant>
        <vt:i4>0</vt:i4>
      </vt:variant>
      <vt:variant>
        <vt:i4>5</vt:i4>
      </vt:variant>
      <vt:variant>
        <vt:lpwstr>http://www.nevo.co.il/case/6473037</vt:lpwstr>
      </vt:variant>
      <vt:variant>
        <vt:lpwstr/>
      </vt:variant>
      <vt:variant>
        <vt:i4>7995492</vt:i4>
      </vt:variant>
      <vt:variant>
        <vt:i4>75</vt:i4>
      </vt:variant>
      <vt:variant>
        <vt:i4>0</vt:i4>
      </vt:variant>
      <vt:variant>
        <vt:i4>5</vt:i4>
      </vt:variant>
      <vt:variant>
        <vt:lpwstr>http://www.nevo.co.il/law/70301</vt:lpwstr>
      </vt:variant>
      <vt:variant>
        <vt:lpwstr/>
      </vt:variant>
      <vt:variant>
        <vt:i4>3276920</vt:i4>
      </vt:variant>
      <vt:variant>
        <vt:i4>72</vt:i4>
      </vt:variant>
      <vt:variant>
        <vt:i4>0</vt:i4>
      </vt:variant>
      <vt:variant>
        <vt:i4>5</vt:i4>
      </vt:variant>
      <vt:variant>
        <vt:lpwstr>http://www.nevo.co.il/case/28152132</vt:lpwstr>
      </vt:variant>
      <vt:variant>
        <vt:lpwstr/>
      </vt:variant>
      <vt:variant>
        <vt:i4>7995492</vt:i4>
      </vt:variant>
      <vt:variant>
        <vt:i4>69</vt:i4>
      </vt:variant>
      <vt:variant>
        <vt:i4>0</vt:i4>
      </vt:variant>
      <vt:variant>
        <vt:i4>5</vt:i4>
      </vt:variant>
      <vt:variant>
        <vt:lpwstr>http://www.nevo.co.il/law/70301</vt:lpwstr>
      </vt:variant>
      <vt:variant>
        <vt:lpwstr/>
      </vt:variant>
      <vt:variant>
        <vt:i4>3473530</vt:i4>
      </vt:variant>
      <vt:variant>
        <vt:i4>66</vt:i4>
      </vt:variant>
      <vt:variant>
        <vt:i4>0</vt:i4>
      </vt:variant>
      <vt:variant>
        <vt:i4>5</vt:i4>
      </vt:variant>
      <vt:variant>
        <vt:lpwstr>http://www.nevo.co.il/case/28660017</vt:lpwstr>
      </vt:variant>
      <vt:variant>
        <vt:lpwstr/>
      </vt:variant>
      <vt:variant>
        <vt:i4>3276916</vt:i4>
      </vt:variant>
      <vt:variant>
        <vt:i4>63</vt:i4>
      </vt:variant>
      <vt:variant>
        <vt:i4>0</vt:i4>
      </vt:variant>
      <vt:variant>
        <vt:i4>5</vt:i4>
      </vt:variant>
      <vt:variant>
        <vt:lpwstr>http://www.nevo.co.il/case/29090003</vt:lpwstr>
      </vt:variant>
      <vt:variant>
        <vt:lpwstr/>
      </vt:variant>
      <vt:variant>
        <vt:i4>3342448</vt:i4>
      </vt:variant>
      <vt:variant>
        <vt:i4>60</vt:i4>
      </vt:variant>
      <vt:variant>
        <vt:i4>0</vt:i4>
      </vt:variant>
      <vt:variant>
        <vt:i4>5</vt:i4>
      </vt:variant>
      <vt:variant>
        <vt:lpwstr>http://www.nevo.co.il/case/29042932</vt:lpwstr>
      </vt:variant>
      <vt:variant>
        <vt:lpwstr/>
      </vt:variant>
      <vt:variant>
        <vt:i4>8257634</vt:i4>
      </vt:variant>
      <vt:variant>
        <vt:i4>57</vt:i4>
      </vt:variant>
      <vt:variant>
        <vt:i4>0</vt:i4>
      </vt:variant>
      <vt:variant>
        <vt:i4>5</vt:i4>
      </vt:variant>
      <vt:variant>
        <vt:lpwstr>http://www.nevo.co.il/law/74501</vt:lpwstr>
      </vt:variant>
      <vt:variant>
        <vt:lpwstr/>
      </vt:variant>
      <vt:variant>
        <vt:i4>8323169</vt:i4>
      </vt:variant>
      <vt:variant>
        <vt:i4>54</vt:i4>
      </vt:variant>
      <vt:variant>
        <vt:i4>0</vt:i4>
      </vt:variant>
      <vt:variant>
        <vt:i4>5</vt:i4>
      </vt:variant>
      <vt:variant>
        <vt:lpwstr>http://www.nevo.co.il/law/74501/2.a</vt:lpwstr>
      </vt:variant>
      <vt:variant>
        <vt:lpwstr/>
      </vt:variant>
      <vt:variant>
        <vt:i4>8323175</vt:i4>
      </vt:variant>
      <vt:variant>
        <vt:i4>51</vt:i4>
      </vt:variant>
      <vt:variant>
        <vt:i4>0</vt:i4>
      </vt:variant>
      <vt:variant>
        <vt:i4>5</vt:i4>
      </vt:variant>
      <vt:variant>
        <vt:lpwstr>http://www.nevo.co.il/law/5227</vt:lpwstr>
      </vt:variant>
      <vt:variant>
        <vt:lpwstr/>
      </vt:variant>
      <vt:variant>
        <vt:i4>6291576</vt:i4>
      </vt:variant>
      <vt:variant>
        <vt:i4>48</vt:i4>
      </vt:variant>
      <vt:variant>
        <vt:i4>0</vt:i4>
      </vt:variant>
      <vt:variant>
        <vt:i4>5</vt:i4>
      </vt:variant>
      <vt:variant>
        <vt:lpwstr>http://www.nevo.co.il/law/5227/10.a</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5505088</vt:i4>
      </vt:variant>
      <vt:variant>
        <vt:i4>39</vt:i4>
      </vt:variant>
      <vt:variant>
        <vt:i4>0</vt:i4>
      </vt:variant>
      <vt:variant>
        <vt:i4>5</vt:i4>
      </vt:variant>
      <vt:variant>
        <vt:lpwstr>http://www.nevo.co.il/law/90721/12.1</vt:lpwstr>
      </vt:variant>
      <vt:variant>
        <vt:lpwstr/>
      </vt:variant>
      <vt:variant>
        <vt:i4>7864430</vt:i4>
      </vt:variant>
      <vt:variant>
        <vt:i4>36</vt:i4>
      </vt:variant>
      <vt:variant>
        <vt:i4>0</vt:i4>
      </vt:variant>
      <vt:variant>
        <vt:i4>5</vt:i4>
      </vt:variant>
      <vt:variant>
        <vt:lpwstr>http://www.nevo.co.il/law/90721</vt:lpwstr>
      </vt:variant>
      <vt:variant>
        <vt:lpwstr/>
      </vt:variant>
      <vt:variant>
        <vt:i4>8323169</vt:i4>
      </vt:variant>
      <vt:variant>
        <vt:i4>33</vt:i4>
      </vt:variant>
      <vt:variant>
        <vt:i4>0</vt:i4>
      </vt:variant>
      <vt:variant>
        <vt:i4>5</vt:i4>
      </vt:variant>
      <vt:variant>
        <vt:lpwstr>http://www.nevo.co.il/law/74501/2.a</vt:lpwstr>
      </vt:variant>
      <vt:variant>
        <vt:lpwstr/>
      </vt:variant>
      <vt:variant>
        <vt:i4>8257634</vt:i4>
      </vt:variant>
      <vt:variant>
        <vt:i4>30</vt:i4>
      </vt:variant>
      <vt:variant>
        <vt:i4>0</vt:i4>
      </vt:variant>
      <vt:variant>
        <vt:i4>5</vt:i4>
      </vt:variant>
      <vt:variant>
        <vt:lpwstr>http://www.nevo.co.il/law/74501</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6684735</vt:i4>
      </vt:variant>
      <vt:variant>
        <vt:i4>21</vt:i4>
      </vt:variant>
      <vt:variant>
        <vt:i4>0</vt:i4>
      </vt:variant>
      <vt:variant>
        <vt:i4>5</vt:i4>
      </vt:variant>
      <vt:variant>
        <vt:lpwstr>http://www.nevo.co.il/law/70301/338.a.1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131151</vt:i4>
      </vt:variant>
      <vt:variant>
        <vt:i4>3</vt:i4>
      </vt:variant>
      <vt:variant>
        <vt:i4>0</vt:i4>
      </vt:variant>
      <vt:variant>
        <vt:i4>5</vt:i4>
      </vt:variant>
      <vt:variant>
        <vt:lpwstr>http://www.nevo.co.il/law/70301/45.b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2025-04-25T11:02:00Z</dcterms:created>
  <dcterms:modified xsi:type="dcterms:W3CDTF">2025-04-25T11:02:00Z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67437</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עבד אלסלים מנצור עומר</vt:lpwstr>
  </property>
  <property fmtid="{D5CDD505-2E9C-101B-9397-08002B2CF9AE}" pid="10" name="JUDGE">
    <vt:lpwstr>שלמה בנג'ו</vt:lpwstr>
  </property>
  <property fmtid="{D5CDD505-2E9C-101B-9397-08002B2CF9AE}" pid="11" name="CITY">
    <vt:lpwstr>חי'</vt:lpwstr>
  </property>
  <property fmtid="{D5CDD505-2E9C-101B-9397-08002B2CF9AE}" pid="12" name="DATE">
    <vt:lpwstr>20250311</vt:lpwstr>
  </property>
  <property fmtid="{D5CDD505-2E9C-101B-9397-08002B2CF9AE}" pid="13" name="TYPE_N_DATE">
    <vt:lpwstr>39020250311</vt:lpwstr>
  </property>
  <property fmtid="{D5CDD505-2E9C-101B-9397-08002B2CF9AE}" pid="14" name="CASESLISTTMP1">
    <vt:lpwstr>29042932;29090003;28660017;28152132;6473037;28697227:2;27734980:2;28266138;28200855:2;25824863;27309272;27911655;28243273;27499246;28883087:2;27894608;23750625;17954235;28268880;30625606;30627520;30326155;26986954;27115374;18654248;28092428:2;13112493</vt:lpwstr>
  </property>
  <property fmtid="{D5CDD505-2E9C-101B-9397-08002B2CF9AE}" pid="15" name="CASESLISTTMP2">
    <vt:lpwstr>22578455;28513828</vt:lpwstr>
  </property>
  <property fmtid="{D5CDD505-2E9C-101B-9397-08002B2CF9AE}" pid="16" name="CASENOTES1">
    <vt:lpwstr>ProcID=133;209&amp;PartA=78&amp;PartC=21</vt:lpwstr>
  </property>
  <property fmtid="{D5CDD505-2E9C-101B-9397-08002B2CF9AE}" pid="17" name="CASENOTES2">
    <vt:lpwstr>ProcID=133;209&amp;PartA=5812&amp;PartC=21</vt:lpwstr>
  </property>
  <property fmtid="{D5CDD505-2E9C-101B-9397-08002B2CF9AE}" pid="18" name="CASENOTES3">
    <vt:lpwstr>ProcID=213&amp;PartA=62&amp;PartC=57</vt:lpwstr>
  </property>
  <property fmtid="{D5CDD505-2E9C-101B-9397-08002B2CF9AE}" pid="19" name="WORDNUMPAGES">
    <vt:lpwstr>11</vt:lpwstr>
  </property>
  <property fmtid="{D5CDD505-2E9C-101B-9397-08002B2CF9AE}" pid="20" name="TYPE_ABS_DATE">
    <vt:lpwstr>390020250311</vt:lpwstr>
  </property>
  <property fmtid="{D5CDD505-2E9C-101B-9397-08002B2CF9AE}" pid="21" name="ISABSTRACT">
    <vt:lpwstr>Y</vt:lpwstr>
  </property>
  <property fmtid="{D5CDD505-2E9C-101B-9397-08002B2CF9AE}" pid="22" name="LAWYER">
    <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70301/144.b:7;275:2;144.a;338.a.1;244;045.b:2;144.g</vt:lpwstr>
  </property>
  <property fmtid="{D5CDD505-2E9C-101B-9397-08002B2CF9AE}" pid="41" name="LAWLISTTMP2">
    <vt:lpwstr>5227/010.a</vt:lpwstr>
  </property>
  <property fmtid="{D5CDD505-2E9C-101B-9397-08002B2CF9AE}" pid="42" name="LAWLISTTMP3">
    <vt:lpwstr>74501/002.a</vt:lpwstr>
  </property>
  <property fmtid="{D5CDD505-2E9C-101B-9397-08002B2CF9AE}" pid="43" name="LAWLISTTMP4">
    <vt:lpwstr>90721/012.1</vt:lpwstr>
  </property>
</Properties>
</file>