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B7E58" w:rsidRPr="008F7361" w14:paraId="7EBB9680" w14:textId="77777777" w:rsidTr="0006630E">
        <w:trPr>
          <w:trHeight w:hRule="exact" w:val="418"/>
          <w:jc w:val="center"/>
        </w:trPr>
        <w:tc>
          <w:tcPr>
            <w:tcW w:w="8721" w:type="dxa"/>
            <w:gridSpan w:val="2"/>
          </w:tcPr>
          <w:p w14:paraId="23368C93" w14:textId="77777777" w:rsidR="00AB7E58" w:rsidRPr="008F7361" w:rsidRDefault="00AB7E58" w:rsidP="006B0D93">
            <w:pPr>
              <w:pStyle w:val="a3"/>
              <w:jc w:val="center"/>
              <w:rPr>
                <w:rFonts w:ascii="Tahoma" w:hAnsi="Tahoma" w:cs="Tahoma"/>
                <w:color w:val="000080"/>
                <w:rtl/>
              </w:rPr>
            </w:pPr>
            <w:bookmarkStart w:id="0" w:name="LastJudge"/>
            <w:r w:rsidRPr="008F7361">
              <w:rPr>
                <w:rFonts w:ascii="Tahoma" w:hAnsi="Tahoma" w:cs="Tahoma"/>
                <w:b/>
                <w:bCs/>
                <w:color w:val="000080"/>
                <w:rtl/>
              </w:rPr>
              <w:t>בית המשפט המחוזי בבאר שבע</w:t>
            </w:r>
          </w:p>
        </w:tc>
      </w:tr>
      <w:tr w:rsidR="00AB7E58" w:rsidRPr="008F7361" w14:paraId="42F4184E" w14:textId="77777777" w:rsidTr="0006630E">
        <w:trPr>
          <w:trHeight w:val="337"/>
          <w:jc w:val="center"/>
        </w:trPr>
        <w:tc>
          <w:tcPr>
            <w:tcW w:w="5058" w:type="dxa"/>
          </w:tcPr>
          <w:p w14:paraId="7D89A80E" w14:textId="77777777" w:rsidR="00AB7E58" w:rsidRPr="008F7361" w:rsidRDefault="00AB7E58" w:rsidP="006B0D93">
            <w:pPr>
              <w:rPr>
                <w:rFonts w:cs="FrankRuehl"/>
                <w:sz w:val="28"/>
                <w:szCs w:val="28"/>
                <w:rtl/>
              </w:rPr>
            </w:pPr>
            <w:r w:rsidRPr="008F7361">
              <w:rPr>
                <w:rFonts w:cs="FrankRuehl"/>
                <w:sz w:val="28"/>
                <w:szCs w:val="28"/>
                <w:rtl/>
              </w:rPr>
              <w:t>ת"פ</w:t>
            </w:r>
            <w:r w:rsidRPr="008F7361">
              <w:rPr>
                <w:rFonts w:cs="FrankRuehl" w:hint="cs"/>
                <w:sz w:val="28"/>
                <w:szCs w:val="28"/>
                <w:rtl/>
              </w:rPr>
              <w:t xml:space="preserve"> </w:t>
            </w:r>
            <w:r w:rsidRPr="008F7361">
              <w:rPr>
                <w:rFonts w:cs="FrankRuehl"/>
                <w:sz w:val="28"/>
                <w:szCs w:val="28"/>
                <w:rtl/>
              </w:rPr>
              <w:t>72237-05-24</w:t>
            </w:r>
            <w:r w:rsidRPr="008F7361">
              <w:rPr>
                <w:rFonts w:cs="FrankRuehl" w:hint="cs"/>
                <w:sz w:val="28"/>
                <w:szCs w:val="28"/>
                <w:rtl/>
              </w:rPr>
              <w:t xml:space="preserve"> </w:t>
            </w:r>
            <w:r w:rsidRPr="008F7361">
              <w:rPr>
                <w:rFonts w:cs="FrankRuehl"/>
                <w:sz w:val="28"/>
                <w:szCs w:val="28"/>
                <w:rtl/>
              </w:rPr>
              <w:t>מדינת ישראל נ' אבו רקייק(עציר)</w:t>
            </w:r>
          </w:p>
          <w:p w14:paraId="25010F28" w14:textId="77777777" w:rsidR="00AB7E58" w:rsidRPr="008F7361" w:rsidRDefault="00AB7E58" w:rsidP="006B0D93">
            <w:pPr>
              <w:pStyle w:val="a3"/>
              <w:rPr>
                <w:rFonts w:cs="FrankRuehl"/>
                <w:sz w:val="28"/>
                <w:szCs w:val="28"/>
                <w:rtl/>
              </w:rPr>
            </w:pPr>
          </w:p>
        </w:tc>
        <w:tc>
          <w:tcPr>
            <w:tcW w:w="3663" w:type="dxa"/>
          </w:tcPr>
          <w:p w14:paraId="34AF44ED" w14:textId="77777777" w:rsidR="00AB7E58" w:rsidRPr="008F7361" w:rsidRDefault="00AB7E58" w:rsidP="006B0D93">
            <w:pPr>
              <w:pStyle w:val="a3"/>
              <w:jc w:val="right"/>
              <w:rPr>
                <w:rFonts w:cs="FrankRuehl"/>
                <w:sz w:val="28"/>
                <w:szCs w:val="28"/>
                <w:rtl/>
              </w:rPr>
            </w:pPr>
          </w:p>
        </w:tc>
      </w:tr>
    </w:tbl>
    <w:p w14:paraId="29554ADE" w14:textId="77777777" w:rsidR="00AB7E58" w:rsidRPr="008F7361" w:rsidRDefault="00AB7E58" w:rsidP="00AB7E58">
      <w:pPr>
        <w:pStyle w:val="a3"/>
        <w:rPr>
          <w:rtl/>
        </w:rPr>
      </w:pPr>
      <w:r w:rsidRPr="008F7361">
        <w:rPr>
          <w:rFonts w:hint="cs"/>
          <w:rtl/>
        </w:rPr>
        <w:t xml:space="preserve"> </w:t>
      </w:r>
    </w:p>
    <w:p w14:paraId="4825FB04" w14:textId="77777777" w:rsidR="00AB7E58" w:rsidRPr="008F7361" w:rsidRDefault="00AB7E58" w:rsidP="00AB7E58">
      <w:pPr>
        <w:rPr>
          <w:rtl/>
        </w:rPr>
      </w:pPr>
    </w:p>
    <w:p w14:paraId="741BB685" w14:textId="77777777" w:rsidR="00AB7E58" w:rsidRPr="008F7361" w:rsidRDefault="00AB7E58" w:rsidP="00AB7E5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B7E58" w:rsidRPr="008F7361" w14:paraId="5BF4D940" w14:textId="77777777" w:rsidTr="00AB7E58">
        <w:trPr>
          <w:trHeight w:val="295"/>
          <w:jc w:val="center"/>
        </w:trPr>
        <w:tc>
          <w:tcPr>
            <w:tcW w:w="923" w:type="dxa"/>
            <w:tcBorders>
              <w:top w:val="nil"/>
              <w:left w:val="nil"/>
              <w:bottom w:val="nil"/>
              <w:right w:val="nil"/>
            </w:tcBorders>
            <w:shd w:val="clear" w:color="auto" w:fill="auto"/>
          </w:tcPr>
          <w:p w14:paraId="663605FF" w14:textId="77777777" w:rsidR="00AB7E58" w:rsidRPr="008F7361" w:rsidRDefault="00AB7E58" w:rsidP="00AB7E58">
            <w:pPr>
              <w:jc w:val="both"/>
              <w:rPr>
                <w:rFonts w:ascii="David" w:hAnsi="David"/>
                <w:sz w:val="26"/>
                <w:szCs w:val="26"/>
              </w:rPr>
            </w:pPr>
            <w:r w:rsidRPr="008F7361">
              <w:rPr>
                <w:rFonts w:ascii="David" w:hAnsi="David" w:hint="cs"/>
                <w:sz w:val="26"/>
                <w:szCs w:val="26"/>
                <w:rtl/>
              </w:rPr>
              <w:t>ל</w:t>
            </w:r>
            <w:r w:rsidRPr="008F736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191073D" w14:textId="77777777" w:rsidR="00AB7E58" w:rsidRPr="008F7361" w:rsidRDefault="00AB7E58" w:rsidP="006B0D93">
            <w:pPr>
              <w:rPr>
                <w:rFonts w:ascii="David" w:hAnsi="David"/>
                <w:b/>
                <w:bCs/>
                <w:sz w:val="26"/>
                <w:szCs w:val="26"/>
                <w:rtl/>
              </w:rPr>
            </w:pPr>
            <w:r w:rsidRPr="008F7361">
              <w:rPr>
                <w:rFonts w:ascii="David" w:hAnsi="David"/>
                <w:b/>
                <w:bCs/>
                <w:sz w:val="26"/>
                <w:szCs w:val="26"/>
                <w:rtl/>
              </w:rPr>
              <w:t>כבוד השופט  אלון גביזון</w:t>
            </w:r>
          </w:p>
          <w:p w14:paraId="73CF95CF" w14:textId="77777777" w:rsidR="00AB7E58" w:rsidRPr="008F7361" w:rsidRDefault="00AB7E58" w:rsidP="006B0D93">
            <w:pPr>
              <w:rPr>
                <w:rFonts w:ascii="David" w:hAnsi="David"/>
                <w:sz w:val="26"/>
                <w:szCs w:val="26"/>
                <w:rtl/>
              </w:rPr>
            </w:pPr>
          </w:p>
          <w:p w14:paraId="7DB3208E" w14:textId="77777777" w:rsidR="00AB7E58" w:rsidRPr="008F7361" w:rsidRDefault="00AB7E58" w:rsidP="00AB7E58">
            <w:pPr>
              <w:jc w:val="both"/>
              <w:rPr>
                <w:rFonts w:ascii="David" w:hAnsi="David"/>
                <w:sz w:val="26"/>
                <w:szCs w:val="26"/>
              </w:rPr>
            </w:pPr>
          </w:p>
        </w:tc>
      </w:tr>
      <w:tr w:rsidR="00AB7E58" w:rsidRPr="008F7361" w14:paraId="50C23C0C" w14:textId="77777777" w:rsidTr="00AB7E58">
        <w:trPr>
          <w:trHeight w:val="355"/>
          <w:jc w:val="center"/>
        </w:trPr>
        <w:tc>
          <w:tcPr>
            <w:tcW w:w="923" w:type="dxa"/>
            <w:tcBorders>
              <w:top w:val="nil"/>
              <w:left w:val="nil"/>
              <w:bottom w:val="nil"/>
              <w:right w:val="nil"/>
            </w:tcBorders>
            <w:shd w:val="clear" w:color="auto" w:fill="auto"/>
          </w:tcPr>
          <w:p w14:paraId="5B3F5B38" w14:textId="77777777" w:rsidR="00AB7E58" w:rsidRPr="008F7361" w:rsidRDefault="00AB7E58" w:rsidP="00AB7E58">
            <w:pPr>
              <w:jc w:val="both"/>
              <w:rPr>
                <w:rFonts w:ascii="David" w:hAnsi="David"/>
                <w:sz w:val="26"/>
                <w:szCs w:val="26"/>
              </w:rPr>
            </w:pPr>
            <w:bookmarkStart w:id="1" w:name="FirstAppellant"/>
            <w:bookmarkStart w:id="2" w:name="FirstLawyer"/>
            <w:r w:rsidRPr="008F7361">
              <w:rPr>
                <w:rFonts w:ascii="David" w:hAnsi="David"/>
                <w:sz w:val="26"/>
                <w:szCs w:val="26"/>
                <w:rtl/>
              </w:rPr>
              <w:t>בעניין:</w:t>
            </w:r>
          </w:p>
        </w:tc>
        <w:tc>
          <w:tcPr>
            <w:tcW w:w="3219" w:type="dxa"/>
            <w:tcBorders>
              <w:top w:val="nil"/>
              <w:left w:val="nil"/>
              <w:bottom w:val="nil"/>
              <w:right w:val="nil"/>
            </w:tcBorders>
            <w:shd w:val="clear" w:color="auto" w:fill="auto"/>
          </w:tcPr>
          <w:p w14:paraId="289B4D8F" w14:textId="77777777" w:rsidR="00AB7E58" w:rsidRPr="008F7361" w:rsidRDefault="00AB7E58" w:rsidP="00AB7E58">
            <w:pPr>
              <w:suppressLineNumbers/>
            </w:pPr>
            <w:r w:rsidRPr="008F7361">
              <w:rPr>
                <w:rFonts w:ascii="Arial" w:hAnsi="Arial" w:hint="cs"/>
                <w:b/>
                <w:bCs/>
                <w:sz w:val="26"/>
                <w:szCs w:val="26"/>
                <w:rtl/>
              </w:rPr>
              <w:t>ה</w:t>
            </w:r>
            <w:r w:rsidRPr="008F7361">
              <w:rPr>
                <w:rFonts w:ascii="Arial" w:hAnsi="Arial"/>
                <w:b/>
                <w:bCs/>
                <w:sz w:val="26"/>
                <w:szCs w:val="26"/>
                <w:rtl/>
              </w:rPr>
              <w:t>מאשימה</w:t>
            </w:r>
          </w:p>
          <w:p w14:paraId="68FB3519" w14:textId="77777777" w:rsidR="00AB7E58" w:rsidRPr="008F7361" w:rsidRDefault="00AB7E58" w:rsidP="006B0D93">
            <w:pPr>
              <w:rPr>
                <w:rFonts w:ascii="David" w:hAnsi="David"/>
                <w:sz w:val="26"/>
                <w:szCs w:val="26"/>
              </w:rPr>
            </w:pPr>
          </w:p>
        </w:tc>
        <w:tc>
          <w:tcPr>
            <w:tcW w:w="4678" w:type="dxa"/>
            <w:tcBorders>
              <w:top w:val="nil"/>
              <w:left w:val="nil"/>
              <w:bottom w:val="nil"/>
              <w:right w:val="nil"/>
            </w:tcBorders>
            <w:shd w:val="clear" w:color="auto" w:fill="auto"/>
            <w:vAlign w:val="center"/>
          </w:tcPr>
          <w:p w14:paraId="0830EB3C" w14:textId="77777777" w:rsidR="00AB7E58" w:rsidRPr="008F7361" w:rsidRDefault="00AB7E58" w:rsidP="00AB7E58">
            <w:pPr>
              <w:suppressLineNumbers/>
              <w:rPr>
                <w:rFonts w:ascii="Arial" w:hAnsi="Arial"/>
                <w:b/>
                <w:bCs/>
                <w:sz w:val="26"/>
                <w:szCs w:val="26"/>
                <w:rtl/>
              </w:rPr>
            </w:pPr>
            <w:r w:rsidRPr="008F7361">
              <w:rPr>
                <w:rFonts w:ascii="Arial" w:hAnsi="Arial"/>
                <w:b/>
                <w:bCs/>
                <w:sz w:val="26"/>
                <w:szCs w:val="26"/>
                <w:rtl/>
              </w:rPr>
              <w:t>מדינת ישראל</w:t>
            </w:r>
          </w:p>
          <w:p w14:paraId="57BD0688" w14:textId="77777777" w:rsidR="00AB7E58" w:rsidRPr="008F7361" w:rsidRDefault="00AB7E58" w:rsidP="00AB7E58">
            <w:pPr>
              <w:suppressLineNumbers/>
            </w:pPr>
            <w:r w:rsidRPr="008F7361">
              <w:rPr>
                <w:rFonts w:ascii="Arial" w:hAnsi="Arial"/>
                <w:b/>
                <w:bCs/>
                <w:sz w:val="26"/>
                <w:szCs w:val="26"/>
                <w:rtl/>
              </w:rPr>
              <w:t>ע"י ב"כ עו"ד</w:t>
            </w:r>
            <w:r w:rsidRPr="008F7361">
              <w:rPr>
                <w:rFonts w:ascii="Arial" w:hAnsi="Arial" w:hint="cs"/>
                <w:b/>
                <w:bCs/>
                <w:sz w:val="26"/>
                <w:szCs w:val="26"/>
                <w:rtl/>
              </w:rPr>
              <w:t xml:space="preserve"> היבה טבאג'ה </w:t>
            </w:r>
          </w:p>
          <w:p w14:paraId="09B06FEB" w14:textId="77777777" w:rsidR="00AB7E58" w:rsidRPr="008F7361" w:rsidRDefault="00AB7E58" w:rsidP="006B0D93">
            <w:pPr>
              <w:rPr>
                <w:rFonts w:ascii="David" w:hAnsi="David"/>
                <w:sz w:val="26"/>
                <w:szCs w:val="26"/>
              </w:rPr>
            </w:pPr>
          </w:p>
        </w:tc>
      </w:tr>
      <w:bookmarkEnd w:id="1"/>
      <w:bookmarkEnd w:id="2"/>
      <w:tr w:rsidR="00AB7E58" w:rsidRPr="008F7361" w14:paraId="1F824D26" w14:textId="77777777" w:rsidTr="00AB7E58">
        <w:trPr>
          <w:trHeight w:val="355"/>
          <w:jc w:val="center"/>
        </w:trPr>
        <w:tc>
          <w:tcPr>
            <w:tcW w:w="923" w:type="dxa"/>
            <w:tcBorders>
              <w:top w:val="nil"/>
              <w:left w:val="nil"/>
              <w:bottom w:val="nil"/>
              <w:right w:val="nil"/>
            </w:tcBorders>
            <w:shd w:val="clear" w:color="auto" w:fill="auto"/>
          </w:tcPr>
          <w:p w14:paraId="4686829C" w14:textId="77777777" w:rsidR="00AB7E58" w:rsidRPr="008F7361" w:rsidRDefault="00AB7E58" w:rsidP="00AB7E5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14D63E1" w14:textId="77777777" w:rsidR="00AB7E58" w:rsidRPr="008F7361" w:rsidRDefault="00AB7E58" w:rsidP="00AB7E58">
            <w:pPr>
              <w:jc w:val="center"/>
              <w:rPr>
                <w:rFonts w:ascii="David" w:hAnsi="David"/>
                <w:b/>
                <w:bCs/>
                <w:sz w:val="26"/>
                <w:szCs w:val="26"/>
                <w:rtl/>
              </w:rPr>
            </w:pPr>
          </w:p>
          <w:p w14:paraId="00FD73FA" w14:textId="77777777" w:rsidR="00AB7E58" w:rsidRPr="008F7361" w:rsidRDefault="00AB7E58" w:rsidP="00AB7E58">
            <w:pPr>
              <w:jc w:val="center"/>
              <w:rPr>
                <w:rFonts w:ascii="David" w:hAnsi="David"/>
                <w:b/>
                <w:bCs/>
                <w:sz w:val="26"/>
                <w:szCs w:val="26"/>
                <w:rtl/>
              </w:rPr>
            </w:pPr>
            <w:r w:rsidRPr="008F7361">
              <w:rPr>
                <w:rFonts w:ascii="David" w:hAnsi="David"/>
                <w:b/>
                <w:bCs/>
                <w:sz w:val="26"/>
                <w:szCs w:val="26"/>
                <w:rtl/>
              </w:rPr>
              <w:t>נגד</w:t>
            </w:r>
          </w:p>
          <w:p w14:paraId="1656EB01" w14:textId="77777777" w:rsidR="00AB7E58" w:rsidRPr="008F7361" w:rsidRDefault="00AB7E58" w:rsidP="00AB7E58">
            <w:pPr>
              <w:jc w:val="both"/>
              <w:rPr>
                <w:rFonts w:ascii="David" w:hAnsi="David"/>
                <w:sz w:val="26"/>
                <w:szCs w:val="26"/>
              </w:rPr>
            </w:pPr>
          </w:p>
        </w:tc>
      </w:tr>
      <w:tr w:rsidR="00AB7E58" w:rsidRPr="008F7361" w14:paraId="5C0EA523" w14:textId="77777777" w:rsidTr="00AB7E58">
        <w:trPr>
          <w:trHeight w:val="355"/>
          <w:jc w:val="center"/>
        </w:trPr>
        <w:tc>
          <w:tcPr>
            <w:tcW w:w="923" w:type="dxa"/>
            <w:tcBorders>
              <w:top w:val="nil"/>
              <w:left w:val="nil"/>
              <w:bottom w:val="nil"/>
              <w:right w:val="nil"/>
            </w:tcBorders>
            <w:shd w:val="clear" w:color="auto" w:fill="auto"/>
          </w:tcPr>
          <w:p w14:paraId="64D66A3B" w14:textId="77777777" w:rsidR="00AB7E58" w:rsidRPr="008F7361" w:rsidRDefault="00AB7E58" w:rsidP="006B0D93">
            <w:pPr>
              <w:rPr>
                <w:rFonts w:ascii="David" w:hAnsi="David"/>
                <w:sz w:val="26"/>
                <w:szCs w:val="26"/>
                <w:rtl/>
              </w:rPr>
            </w:pPr>
          </w:p>
        </w:tc>
        <w:tc>
          <w:tcPr>
            <w:tcW w:w="3219" w:type="dxa"/>
            <w:tcBorders>
              <w:top w:val="nil"/>
              <w:left w:val="nil"/>
              <w:bottom w:val="nil"/>
              <w:right w:val="nil"/>
            </w:tcBorders>
            <w:shd w:val="clear" w:color="auto" w:fill="auto"/>
          </w:tcPr>
          <w:p w14:paraId="10B63D34" w14:textId="77777777" w:rsidR="00AB7E58" w:rsidRPr="008F7361" w:rsidRDefault="00AB7E58" w:rsidP="006B0D93">
            <w:pPr>
              <w:rPr>
                <w:rFonts w:ascii="Arial" w:hAnsi="Arial"/>
                <w:b/>
                <w:bCs/>
                <w:sz w:val="26"/>
                <w:szCs w:val="26"/>
                <w:rtl/>
              </w:rPr>
            </w:pPr>
            <w:r w:rsidRPr="008F736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A56B4EE" w14:textId="77777777" w:rsidR="00AB7E58" w:rsidRPr="008F7361" w:rsidRDefault="00AB7E58" w:rsidP="00AB7E58">
            <w:pPr>
              <w:suppressLineNumbers/>
              <w:rPr>
                <w:rFonts w:ascii="Arial" w:hAnsi="Arial"/>
                <w:b/>
                <w:bCs/>
                <w:sz w:val="26"/>
                <w:szCs w:val="26"/>
                <w:rtl/>
              </w:rPr>
            </w:pPr>
            <w:r w:rsidRPr="008F7361">
              <w:rPr>
                <w:rFonts w:ascii="Arial" w:hAnsi="Arial"/>
                <w:b/>
                <w:bCs/>
                <w:sz w:val="26"/>
                <w:szCs w:val="26"/>
                <w:rtl/>
              </w:rPr>
              <w:t xml:space="preserve">עומר אבו רקייק – הובא </w:t>
            </w:r>
            <w:r w:rsidRPr="008F7361">
              <w:rPr>
                <w:rFonts w:ascii="Arial" w:hAnsi="Arial" w:hint="cs"/>
                <w:b/>
                <w:bCs/>
                <w:sz w:val="26"/>
                <w:szCs w:val="26"/>
                <w:rtl/>
              </w:rPr>
              <w:t xml:space="preserve">על ידי נחשון </w:t>
            </w:r>
          </w:p>
          <w:p w14:paraId="2B67DB6A" w14:textId="77777777" w:rsidR="00AB7E58" w:rsidRPr="008F7361" w:rsidRDefault="00AB7E58" w:rsidP="00AB7E58">
            <w:pPr>
              <w:suppressLineNumbers/>
            </w:pPr>
            <w:r w:rsidRPr="008F7361">
              <w:rPr>
                <w:rFonts w:ascii="Arial" w:hAnsi="Arial"/>
                <w:b/>
                <w:bCs/>
                <w:sz w:val="26"/>
                <w:szCs w:val="26"/>
                <w:rtl/>
              </w:rPr>
              <w:t>ע"י ב"כ עו</w:t>
            </w:r>
            <w:r w:rsidRPr="008F7361">
              <w:rPr>
                <w:rFonts w:ascii="Arial" w:hAnsi="Arial" w:hint="cs"/>
                <w:b/>
                <w:bCs/>
                <w:sz w:val="26"/>
                <w:szCs w:val="26"/>
                <w:rtl/>
              </w:rPr>
              <w:t xml:space="preserve">"ד משה מרוז </w:t>
            </w:r>
          </w:p>
          <w:p w14:paraId="4A5939E3" w14:textId="77777777" w:rsidR="00AB7E58" w:rsidRPr="008F7361" w:rsidRDefault="00AB7E58" w:rsidP="006B0D93">
            <w:pPr>
              <w:rPr>
                <w:rFonts w:ascii="David" w:hAnsi="David"/>
                <w:sz w:val="26"/>
                <w:szCs w:val="26"/>
              </w:rPr>
            </w:pPr>
          </w:p>
        </w:tc>
      </w:tr>
    </w:tbl>
    <w:p w14:paraId="38E20A3B" w14:textId="77777777" w:rsidR="0006630E" w:rsidRPr="0006630E" w:rsidRDefault="0006630E" w:rsidP="0006630E">
      <w:pPr>
        <w:spacing w:before="120" w:after="120" w:line="240" w:lineRule="exact"/>
        <w:ind w:left="283" w:hanging="283"/>
        <w:jc w:val="both"/>
        <w:rPr>
          <w:rFonts w:ascii="FrankRuehl" w:hAnsi="FrankRuehl" w:cs="FrankRuehl"/>
          <w:rtl/>
        </w:rPr>
      </w:pPr>
      <w:bookmarkStart w:id="3" w:name="LawTable"/>
      <w:bookmarkEnd w:id="3"/>
      <w:r w:rsidRPr="0006630E">
        <w:rPr>
          <w:rFonts w:ascii="FrankRuehl" w:hAnsi="FrankRuehl" w:cs="FrankRuehl"/>
          <w:rtl/>
        </w:rPr>
        <w:t xml:space="preserve">חקיקה שאוזכרה: </w:t>
      </w:r>
    </w:p>
    <w:p w14:paraId="52AF3D18" w14:textId="77777777" w:rsidR="0006630E" w:rsidRPr="0006630E" w:rsidRDefault="0006630E" w:rsidP="0006630E">
      <w:pPr>
        <w:spacing w:before="120" w:after="120" w:line="240" w:lineRule="exact"/>
        <w:ind w:left="283" w:hanging="283"/>
        <w:jc w:val="both"/>
        <w:rPr>
          <w:rFonts w:ascii="FrankRuehl" w:hAnsi="FrankRuehl" w:cs="FrankRuehl"/>
          <w:color w:val="0000FF"/>
          <w:rtl/>
        </w:rPr>
      </w:pPr>
      <w:hyperlink r:id="rId7" w:history="1">
        <w:r w:rsidRPr="0006630E">
          <w:rPr>
            <w:rStyle w:val="Hyperlink"/>
            <w:rFonts w:ascii="FrankRuehl" w:hAnsi="FrankRuehl" w:cs="FrankRuehl"/>
            <w:u w:val="none"/>
            <w:rtl/>
          </w:rPr>
          <w:t>חוק העונשין, תשל"ז-1977</w:t>
        </w:r>
      </w:hyperlink>
      <w:r w:rsidRPr="0006630E">
        <w:rPr>
          <w:rFonts w:ascii="FrankRuehl" w:hAnsi="FrankRuehl" w:cs="FrankRuehl"/>
          <w:color w:val="0000FF"/>
          <w:rtl/>
        </w:rPr>
        <w:t xml:space="preserve">: סע'  </w:t>
      </w:r>
      <w:hyperlink r:id="rId8" w:history="1">
        <w:r w:rsidRPr="0006630E">
          <w:rPr>
            <w:rStyle w:val="Hyperlink"/>
            <w:rFonts w:ascii="FrankRuehl" w:hAnsi="FrankRuehl" w:cs="FrankRuehl"/>
            <w:u w:val="none"/>
          </w:rPr>
          <w:t xml:space="preserve">40 </w:t>
        </w:r>
        <w:r w:rsidRPr="0006630E">
          <w:rPr>
            <w:rStyle w:val="Hyperlink"/>
            <w:rFonts w:ascii="FrankRuehl" w:hAnsi="FrankRuehl" w:cs="FrankRuehl"/>
            <w:u w:val="none"/>
            <w:rtl/>
          </w:rPr>
          <w:t>ב</w:t>
        </w:r>
      </w:hyperlink>
      <w:r w:rsidRPr="0006630E">
        <w:rPr>
          <w:rFonts w:ascii="FrankRuehl" w:hAnsi="FrankRuehl" w:cs="FrankRuehl"/>
          <w:color w:val="0000FF"/>
          <w:rtl/>
        </w:rPr>
        <w:t xml:space="preserve">, </w:t>
      </w:r>
      <w:hyperlink r:id="rId9" w:history="1">
        <w:r w:rsidRPr="0006630E">
          <w:rPr>
            <w:rStyle w:val="Hyperlink"/>
            <w:rFonts w:ascii="FrankRuehl" w:hAnsi="FrankRuehl" w:cs="FrankRuehl"/>
            <w:u w:val="none"/>
          </w:rPr>
          <w:t xml:space="preserve">40 </w:t>
        </w:r>
        <w:r w:rsidRPr="0006630E">
          <w:rPr>
            <w:rStyle w:val="Hyperlink"/>
            <w:rFonts w:ascii="FrankRuehl" w:hAnsi="FrankRuehl" w:cs="FrankRuehl"/>
            <w:u w:val="none"/>
            <w:rtl/>
          </w:rPr>
          <w:t>ג</w:t>
        </w:r>
      </w:hyperlink>
      <w:r w:rsidRPr="0006630E">
        <w:rPr>
          <w:rFonts w:ascii="FrankRuehl" w:hAnsi="FrankRuehl" w:cs="FrankRuehl"/>
          <w:color w:val="0000FF"/>
          <w:rtl/>
        </w:rPr>
        <w:t xml:space="preserve">, </w:t>
      </w:r>
      <w:hyperlink r:id="rId10" w:history="1">
        <w:r w:rsidRPr="0006630E">
          <w:rPr>
            <w:rStyle w:val="Hyperlink"/>
            <w:rFonts w:ascii="FrankRuehl" w:hAnsi="FrankRuehl" w:cs="FrankRuehl"/>
            <w:u w:val="none"/>
          </w:rPr>
          <w:t>144</w:t>
        </w:r>
      </w:hyperlink>
      <w:r w:rsidRPr="0006630E">
        <w:rPr>
          <w:rFonts w:ascii="FrankRuehl" w:hAnsi="FrankRuehl" w:cs="FrankRuehl"/>
          <w:color w:val="0000FF"/>
          <w:rtl/>
        </w:rPr>
        <w:t xml:space="preserve">, </w:t>
      </w:r>
      <w:hyperlink r:id="rId11" w:history="1">
        <w:r w:rsidRPr="0006630E">
          <w:rPr>
            <w:rStyle w:val="Hyperlink"/>
            <w:rFonts w:ascii="FrankRuehl" w:hAnsi="FrankRuehl" w:cs="FrankRuehl"/>
            <w:u w:val="none"/>
          </w:rPr>
          <w:t>144</w:t>
        </w:r>
      </w:hyperlink>
      <w:r w:rsidRPr="0006630E">
        <w:rPr>
          <w:rFonts w:ascii="FrankRuehl" w:hAnsi="FrankRuehl" w:cs="FrankRuehl"/>
          <w:color w:val="0000FF"/>
          <w:rtl/>
        </w:rPr>
        <w:t xml:space="preserve">(א), </w:t>
      </w:r>
      <w:hyperlink r:id="rId12" w:history="1">
        <w:r w:rsidRPr="0006630E">
          <w:rPr>
            <w:rStyle w:val="Hyperlink"/>
            <w:rFonts w:ascii="FrankRuehl" w:hAnsi="FrankRuehl" w:cs="FrankRuehl"/>
            <w:u w:val="none"/>
          </w:rPr>
          <w:t>340</w:t>
        </w:r>
        <w:r w:rsidRPr="0006630E">
          <w:rPr>
            <w:rStyle w:val="Hyperlink"/>
            <w:rFonts w:ascii="FrankRuehl" w:hAnsi="FrankRuehl" w:cs="FrankRuehl"/>
            <w:u w:val="none"/>
            <w:rtl/>
          </w:rPr>
          <w:t>א</w:t>
        </w:r>
      </w:hyperlink>
    </w:p>
    <w:p w14:paraId="27C79C62" w14:textId="77777777" w:rsidR="0006630E" w:rsidRPr="0006630E" w:rsidRDefault="0006630E" w:rsidP="0006630E">
      <w:pPr>
        <w:spacing w:before="120" w:after="120" w:line="240" w:lineRule="exact"/>
        <w:ind w:left="283" w:hanging="283"/>
        <w:jc w:val="both"/>
        <w:rPr>
          <w:rFonts w:ascii="FrankRuehl" w:hAnsi="FrankRuehl" w:cs="FrankRuehl"/>
          <w:color w:val="0000FF"/>
          <w:rtl/>
        </w:rPr>
      </w:pPr>
      <w:hyperlink r:id="rId13" w:history="1">
        <w:r w:rsidRPr="0006630E">
          <w:rPr>
            <w:rStyle w:val="Hyperlink"/>
            <w:rFonts w:ascii="FrankRuehl" w:hAnsi="FrankRuehl" w:cs="FrankRuehl"/>
            <w:u w:val="none"/>
            <w:rtl/>
          </w:rPr>
          <w:t>פקודת סדר הדין הפלילי (מעצר וחיפוש) [נוסח חדש], תשכ"ט-1969</w:t>
        </w:r>
      </w:hyperlink>
      <w:r w:rsidRPr="0006630E">
        <w:rPr>
          <w:rFonts w:ascii="FrankRuehl" w:hAnsi="FrankRuehl" w:cs="FrankRuehl"/>
          <w:color w:val="0000FF"/>
          <w:rtl/>
        </w:rPr>
        <w:t xml:space="preserve">: סע'  </w:t>
      </w:r>
      <w:hyperlink r:id="rId14" w:history="1">
        <w:r w:rsidRPr="0006630E">
          <w:rPr>
            <w:rStyle w:val="Hyperlink"/>
            <w:rFonts w:ascii="FrankRuehl" w:hAnsi="FrankRuehl" w:cs="FrankRuehl"/>
            <w:u w:val="none"/>
          </w:rPr>
          <w:t>47</w:t>
        </w:r>
      </w:hyperlink>
    </w:p>
    <w:p w14:paraId="2FC72D33" w14:textId="77777777" w:rsidR="008F7361" w:rsidRPr="0006630E" w:rsidRDefault="008F7361" w:rsidP="0006630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7E58" w14:paraId="542A1881" w14:textId="77777777" w:rsidTr="00AB7E58">
        <w:trPr>
          <w:trHeight w:val="355"/>
          <w:jc w:val="center"/>
        </w:trPr>
        <w:tc>
          <w:tcPr>
            <w:tcW w:w="8820" w:type="dxa"/>
            <w:tcBorders>
              <w:top w:val="nil"/>
              <w:left w:val="nil"/>
              <w:bottom w:val="nil"/>
              <w:right w:val="nil"/>
            </w:tcBorders>
            <w:shd w:val="clear" w:color="auto" w:fill="auto"/>
          </w:tcPr>
          <w:p w14:paraId="071DCFF4" w14:textId="77777777" w:rsidR="008F7361" w:rsidRPr="008F7361" w:rsidRDefault="008F7361" w:rsidP="008F7361">
            <w:pPr>
              <w:jc w:val="center"/>
              <w:rPr>
                <w:rFonts w:ascii="David" w:hAnsi="David"/>
                <w:b/>
                <w:bCs/>
                <w:sz w:val="32"/>
                <w:szCs w:val="32"/>
                <w:u w:val="single"/>
                <w:rtl/>
              </w:rPr>
            </w:pPr>
            <w:bookmarkStart w:id="5" w:name="PsakDin" w:colFirst="0" w:colLast="0"/>
            <w:bookmarkEnd w:id="0"/>
            <w:r w:rsidRPr="008F7361">
              <w:rPr>
                <w:rFonts w:ascii="David" w:hAnsi="David"/>
                <w:b/>
                <w:bCs/>
                <w:sz w:val="32"/>
                <w:szCs w:val="32"/>
                <w:u w:val="single"/>
                <w:rtl/>
              </w:rPr>
              <w:t>גזר דין</w:t>
            </w:r>
          </w:p>
          <w:p w14:paraId="1DBF6FA0" w14:textId="77777777" w:rsidR="00AB7E58" w:rsidRPr="008F7361" w:rsidRDefault="00AB7E58" w:rsidP="008F7361">
            <w:pPr>
              <w:jc w:val="center"/>
              <w:rPr>
                <w:rFonts w:ascii="David" w:hAnsi="David"/>
                <w:bCs/>
                <w:sz w:val="32"/>
                <w:szCs w:val="32"/>
                <w:u w:val="single"/>
                <w:rtl/>
              </w:rPr>
            </w:pPr>
          </w:p>
        </w:tc>
      </w:tr>
      <w:bookmarkEnd w:id="5"/>
    </w:tbl>
    <w:p w14:paraId="6DFADC5C" w14:textId="77777777" w:rsidR="00AB7E58" w:rsidRDefault="00AB7E58" w:rsidP="00AB7E58">
      <w:pPr>
        <w:jc w:val="center"/>
        <w:rPr>
          <w:rFonts w:ascii="David" w:hAnsi="David"/>
          <w:b/>
          <w:bCs/>
          <w:u w:val="single"/>
          <w:rtl/>
        </w:rPr>
      </w:pPr>
    </w:p>
    <w:p w14:paraId="4BE4AAE9" w14:textId="77777777" w:rsidR="00AB7E58" w:rsidRDefault="00AB7E58" w:rsidP="00AB7E58">
      <w:pPr>
        <w:spacing w:line="360" w:lineRule="auto"/>
        <w:ind w:left="720" w:hanging="720"/>
        <w:jc w:val="both"/>
        <w:rPr>
          <w:rFonts w:ascii="David" w:hAnsi="David"/>
          <w:b/>
          <w:bCs/>
          <w:u w:val="single"/>
          <w:rtl/>
        </w:rPr>
      </w:pPr>
    </w:p>
    <w:p w14:paraId="1E7D7F4B" w14:textId="77777777" w:rsidR="00AB7E58" w:rsidRDefault="00AB7E58" w:rsidP="00AB7E58">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יסוד הודאתו בעובדות כתב האישום המתוקן, בעבירות בנשק (החזקה) – עבירה לפי </w:t>
      </w:r>
      <w:hyperlink r:id="rId15" w:history="1">
        <w:r w:rsidR="0006630E" w:rsidRPr="0006630E">
          <w:rPr>
            <w:rStyle w:val="Hyperlink"/>
            <w:rFonts w:ascii="David" w:hAnsi="David"/>
            <w:rtl/>
          </w:rPr>
          <w:t>סעיף 144(א)</w:t>
        </w:r>
      </w:hyperlink>
      <w:r>
        <w:rPr>
          <w:rFonts w:ascii="David" w:hAnsi="David"/>
          <w:rtl/>
        </w:rPr>
        <w:t xml:space="preserve"> רישא ל</w:t>
      </w:r>
      <w:hyperlink r:id="rId16" w:history="1">
        <w:r w:rsidR="008F7361" w:rsidRPr="008F7361">
          <w:rPr>
            <w:rFonts w:ascii="David" w:hAnsi="David"/>
            <w:color w:val="0000FF"/>
            <w:u w:val="single"/>
            <w:rtl/>
          </w:rPr>
          <w:t>חוק העונשין</w:t>
        </w:r>
      </w:hyperlink>
      <w:r>
        <w:rPr>
          <w:rFonts w:ascii="David" w:hAnsi="David"/>
          <w:rtl/>
        </w:rPr>
        <w:t xml:space="preserve"> התשל"ז – 1977</w:t>
      </w:r>
      <w:bookmarkStart w:id="7" w:name="ABSTRACT_END"/>
      <w:bookmarkEnd w:id="7"/>
      <w:r>
        <w:rPr>
          <w:rFonts w:ascii="David" w:hAnsi="David"/>
          <w:rtl/>
        </w:rPr>
        <w:t xml:space="preserve"> (להלן: "</w:t>
      </w:r>
      <w:r>
        <w:rPr>
          <w:rFonts w:ascii="David" w:hAnsi="David"/>
          <w:b/>
          <w:bCs/>
          <w:rtl/>
        </w:rPr>
        <w:t>חוק העונשין</w:t>
      </w:r>
      <w:r>
        <w:rPr>
          <w:rFonts w:ascii="David" w:hAnsi="David"/>
          <w:rtl/>
        </w:rPr>
        <w:t>").</w:t>
      </w:r>
    </w:p>
    <w:p w14:paraId="4F892122" w14:textId="77777777" w:rsidR="00AB7E58" w:rsidRDefault="00AB7E58" w:rsidP="00AB7E58">
      <w:pPr>
        <w:jc w:val="both"/>
        <w:rPr>
          <w:rFonts w:ascii="David" w:hAnsi="David"/>
          <w:b/>
          <w:bCs/>
          <w:rtl/>
        </w:rPr>
      </w:pPr>
    </w:p>
    <w:p w14:paraId="5AC8FABA" w14:textId="77777777" w:rsidR="00AB7E58" w:rsidRDefault="00AB7E58" w:rsidP="00AB7E58">
      <w:pPr>
        <w:jc w:val="both"/>
        <w:rPr>
          <w:rFonts w:ascii="David" w:hAnsi="David"/>
          <w:b/>
          <w:bCs/>
          <w:rtl/>
        </w:rPr>
      </w:pPr>
      <w:r>
        <w:rPr>
          <w:rFonts w:ascii="David" w:hAnsi="David"/>
          <w:b/>
          <w:bCs/>
          <w:rtl/>
        </w:rPr>
        <w:t xml:space="preserve">האישום והסדר הטיעון: </w:t>
      </w:r>
    </w:p>
    <w:p w14:paraId="6B47A88E" w14:textId="77777777" w:rsidR="00AB7E58" w:rsidRDefault="00AB7E58" w:rsidP="00AB7E58">
      <w:pPr>
        <w:jc w:val="both"/>
        <w:rPr>
          <w:rFonts w:ascii="David" w:hAnsi="David"/>
          <w:rtl/>
        </w:rPr>
      </w:pPr>
    </w:p>
    <w:p w14:paraId="371A3A82" w14:textId="77777777" w:rsidR="00AB7E58" w:rsidRDefault="00AB7E58" w:rsidP="00AB7E58">
      <w:pPr>
        <w:spacing w:line="360" w:lineRule="auto"/>
        <w:ind w:left="720" w:hanging="720"/>
        <w:jc w:val="both"/>
        <w:rPr>
          <w:rFonts w:ascii="David" w:hAnsi="David"/>
          <w:rtl/>
        </w:rPr>
      </w:pPr>
      <w:r>
        <w:rPr>
          <w:rFonts w:ascii="David" w:hAnsi="David"/>
          <w:rtl/>
        </w:rPr>
        <w:t>2.</w:t>
      </w:r>
      <w:r>
        <w:rPr>
          <w:rFonts w:ascii="David" w:hAnsi="David"/>
          <w:rtl/>
        </w:rPr>
        <w:tab/>
        <w:t xml:space="preserve">על פי עובדות כתב האישום המתוקן בתאריך 15/05/24 בסמוך לשעה 3:45, החזיק הנאשם בביתו בתל שבע, אקדח חצי אוטומטי </w:t>
      </w:r>
      <w:r>
        <w:rPr>
          <w:rFonts w:ascii="David" w:hAnsi="David"/>
        </w:rPr>
        <w:t>Glock</w:t>
      </w:r>
      <w:r>
        <w:rPr>
          <w:rFonts w:ascii="David" w:hAnsi="David"/>
          <w:rtl/>
        </w:rPr>
        <w:t xml:space="preserve">, תוצרת אוסטריה, מודל 19, קליבר 9 מ"מ פאראבלום, מספר סידורי </w:t>
      </w:r>
      <w:r>
        <w:rPr>
          <w:rFonts w:ascii="David" w:hAnsi="David"/>
        </w:rPr>
        <w:t>LTX848</w:t>
      </w:r>
      <w:r>
        <w:rPr>
          <w:rFonts w:ascii="David" w:hAnsi="David"/>
          <w:rtl/>
        </w:rPr>
        <w:t xml:space="preserve">, אשר יורה ובכוחו להמית אדם, בלא רשות על פי דין להחזקתו. </w:t>
      </w:r>
    </w:p>
    <w:p w14:paraId="04436EDD" w14:textId="77777777" w:rsidR="00AB7E58" w:rsidRDefault="00AB7E58" w:rsidP="00AB7E58">
      <w:pPr>
        <w:spacing w:line="360" w:lineRule="auto"/>
        <w:ind w:left="720" w:hanging="720"/>
        <w:jc w:val="both"/>
        <w:rPr>
          <w:rFonts w:ascii="David" w:hAnsi="David"/>
          <w:rtl/>
        </w:rPr>
      </w:pPr>
    </w:p>
    <w:p w14:paraId="2A00BB66" w14:textId="77777777" w:rsidR="00AB7E58" w:rsidRDefault="00AB7E58" w:rsidP="00AB7E58">
      <w:pPr>
        <w:spacing w:line="360" w:lineRule="auto"/>
        <w:ind w:left="720" w:hanging="720"/>
        <w:jc w:val="both"/>
        <w:rPr>
          <w:rFonts w:ascii="David" w:hAnsi="David"/>
          <w:rtl/>
        </w:rPr>
      </w:pPr>
      <w:r>
        <w:rPr>
          <w:rFonts w:ascii="David" w:hAnsi="David"/>
          <w:rtl/>
        </w:rPr>
        <w:t>3.</w:t>
      </w:r>
      <w:r>
        <w:rPr>
          <w:rFonts w:ascii="David" w:hAnsi="David"/>
          <w:rtl/>
        </w:rPr>
        <w:tab/>
        <w:t xml:space="preserve">הנאשם הודה בכתב האישום המתוקן במסגרת הסדר טיעון, במסגרתו הוסכם כי המאשימה תעתור למאסר בפועל לתקופה של 18 חודשים (בניכוי ימי מעצרו) לצד מאסר מותנה וקנס ואילו ההגנה תטען באופן חופשי. </w:t>
      </w:r>
    </w:p>
    <w:p w14:paraId="79220AD9" w14:textId="77777777" w:rsidR="00AB7E58" w:rsidRDefault="00AB7E58" w:rsidP="00AB7E58">
      <w:pPr>
        <w:spacing w:line="360" w:lineRule="auto"/>
        <w:ind w:left="720" w:hanging="720"/>
        <w:jc w:val="both"/>
        <w:rPr>
          <w:rFonts w:ascii="David" w:hAnsi="David"/>
          <w:rtl/>
        </w:rPr>
      </w:pPr>
    </w:p>
    <w:p w14:paraId="2A071C06" w14:textId="77777777" w:rsidR="00AB7E58" w:rsidRDefault="00AB7E58" w:rsidP="00AB7E58">
      <w:pPr>
        <w:spacing w:line="360" w:lineRule="auto"/>
        <w:ind w:left="720" w:hanging="720"/>
        <w:jc w:val="both"/>
        <w:rPr>
          <w:rFonts w:ascii="David" w:hAnsi="David"/>
          <w:rtl/>
        </w:rPr>
      </w:pPr>
      <w:r>
        <w:rPr>
          <w:rFonts w:ascii="David" w:hAnsi="David"/>
          <w:rtl/>
        </w:rPr>
        <w:t>4.</w:t>
      </w:r>
      <w:r>
        <w:rPr>
          <w:rFonts w:ascii="David" w:hAnsi="David"/>
          <w:rtl/>
        </w:rPr>
        <w:tab/>
        <w:t xml:space="preserve">טרם גזירת עונשו של הנאשם התבקש שירות המבחן להגיש תסקיר לעונש בעניינו.  </w:t>
      </w:r>
    </w:p>
    <w:p w14:paraId="6DCAC8F3" w14:textId="77777777" w:rsidR="00AB7E58" w:rsidRDefault="00AB7E58" w:rsidP="00AB7E58">
      <w:pPr>
        <w:spacing w:line="360" w:lineRule="auto"/>
        <w:ind w:left="720" w:hanging="720"/>
        <w:jc w:val="both"/>
        <w:rPr>
          <w:rFonts w:ascii="David" w:hAnsi="David"/>
          <w:b/>
          <w:bCs/>
          <w:rtl/>
        </w:rPr>
      </w:pPr>
    </w:p>
    <w:p w14:paraId="178C0A04" w14:textId="77777777" w:rsidR="00AB7E58" w:rsidRDefault="00AB7E58" w:rsidP="00AB7E58">
      <w:pPr>
        <w:spacing w:line="360" w:lineRule="auto"/>
        <w:ind w:left="720" w:hanging="720"/>
        <w:jc w:val="both"/>
        <w:rPr>
          <w:rFonts w:ascii="David" w:hAnsi="David"/>
          <w:b/>
          <w:bCs/>
          <w:rtl/>
        </w:rPr>
      </w:pPr>
      <w:r>
        <w:rPr>
          <w:rFonts w:ascii="David" w:hAnsi="David"/>
          <w:b/>
          <w:bCs/>
          <w:rtl/>
        </w:rPr>
        <w:t xml:space="preserve">תסקיר שירות המבחן: </w:t>
      </w:r>
    </w:p>
    <w:p w14:paraId="7268F91E" w14:textId="77777777" w:rsidR="00AB7E58" w:rsidRPr="0089691D" w:rsidRDefault="00AB7E58" w:rsidP="00AB7E58">
      <w:pPr>
        <w:spacing w:line="360" w:lineRule="auto"/>
        <w:ind w:left="720" w:hanging="720"/>
        <w:jc w:val="both"/>
        <w:rPr>
          <w:rFonts w:ascii="David" w:hAnsi="David"/>
          <w:b/>
          <w:bCs/>
          <w:sz w:val="10"/>
          <w:szCs w:val="10"/>
          <w:rtl/>
        </w:rPr>
      </w:pPr>
    </w:p>
    <w:p w14:paraId="4029E08B" w14:textId="77777777" w:rsidR="00AB7E58" w:rsidRDefault="00AB7E58" w:rsidP="00AB7E58">
      <w:pPr>
        <w:spacing w:line="360" w:lineRule="auto"/>
        <w:ind w:left="720" w:hanging="720"/>
        <w:jc w:val="both"/>
        <w:rPr>
          <w:rFonts w:ascii="David" w:hAnsi="David"/>
          <w:rtl/>
        </w:rPr>
      </w:pPr>
      <w:r>
        <w:rPr>
          <w:rFonts w:ascii="David" w:hAnsi="David"/>
          <w:rtl/>
        </w:rPr>
        <w:t>5.</w:t>
      </w:r>
      <w:r>
        <w:rPr>
          <w:rFonts w:ascii="David" w:hAnsi="David"/>
          <w:rtl/>
        </w:rPr>
        <w:tab/>
        <w:t xml:space="preserve">בתסקיר מיום 17.11.24 פורטו נסיבות חייו של הנאשם והרקע האישי והמשפחתי שלו. </w:t>
      </w:r>
    </w:p>
    <w:p w14:paraId="21981D06" w14:textId="77777777" w:rsidR="00AB7E58" w:rsidRDefault="00AB7E58" w:rsidP="00AB7E58">
      <w:pPr>
        <w:spacing w:line="360" w:lineRule="auto"/>
        <w:ind w:left="720"/>
        <w:jc w:val="both"/>
        <w:rPr>
          <w:rFonts w:ascii="David" w:hAnsi="David"/>
          <w:rtl/>
        </w:rPr>
      </w:pPr>
      <w:r>
        <w:rPr>
          <w:rFonts w:ascii="David" w:hAnsi="David"/>
          <w:rtl/>
        </w:rPr>
        <w:t xml:space="preserve">הנאשם יליד 2006, כבן 18, רווק, טרם מעצרו התגורר עם משפחתו ביישוב תל שבע ועבד כשבעה חודשים במפעל מגבונים בעיר אשדוד. </w:t>
      </w:r>
    </w:p>
    <w:p w14:paraId="639E3190" w14:textId="77777777" w:rsidR="00AB7E58" w:rsidRDefault="00AB7E58" w:rsidP="00AB7E58">
      <w:pPr>
        <w:spacing w:line="360" w:lineRule="auto"/>
        <w:ind w:left="720"/>
        <w:jc w:val="both"/>
        <w:rPr>
          <w:rFonts w:ascii="David" w:hAnsi="David"/>
          <w:rtl/>
        </w:rPr>
      </w:pPr>
    </w:p>
    <w:p w14:paraId="46E05EF8" w14:textId="77777777" w:rsidR="00AB7E58" w:rsidRDefault="00AB7E58" w:rsidP="00AB7E58">
      <w:pPr>
        <w:spacing w:line="360" w:lineRule="auto"/>
        <w:ind w:left="720"/>
        <w:jc w:val="both"/>
        <w:rPr>
          <w:rFonts w:ascii="David" w:hAnsi="David"/>
          <w:rtl/>
        </w:rPr>
      </w:pPr>
      <w:r>
        <w:rPr>
          <w:rFonts w:ascii="David" w:hAnsi="David"/>
          <w:rtl/>
        </w:rPr>
        <w:t>הנאשם בן לזוג הורים, הבכור מבין שבעה אחים, תאר קשר קרוב עם הוריו ואמר כי שאף להוות עבור אחיו מודל לחיקוי ולסייע בפרנסת המשפחה. על רקע ציפיית אביו כי יסייע בפרנסת המשפחה, סיים לימודיו לאחר 11 שנים והשתלב במסגרת תעסוקתית. תאר כי מתקשה להתמודד עם תחושות הכעס והאכזבה שחשים הוריו בשל מעצרו.</w:t>
      </w:r>
    </w:p>
    <w:p w14:paraId="28A81B06" w14:textId="77777777" w:rsidR="00AB7E58" w:rsidRDefault="00AB7E58" w:rsidP="00AB7E58">
      <w:pPr>
        <w:spacing w:line="360" w:lineRule="auto"/>
        <w:ind w:left="720"/>
        <w:jc w:val="both"/>
        <w:rPr>
          <w:rFonts w:ascii="David" w:hAnsi="David"/>
          <w:rtl/>
        </w:rPr>
      </w:pPr>
      <w:r>
        <w:rPr>
          <w:rFonts w:ascii="David" w:hAnsi="David"/>
          <w:rtl/>
        </w:rPr>
        <w:t xml:space="preserve">עוד צוין בתסקיר כי הנאשם נעדר עבר פלילי, צעיר אשר חי אורח חיים נורמטיבי וערך מאמצים להימנע מהתנהלות שולית. לדבריו ביום ביצוע העבירה נתקל בחברה שולית והתקשה להפעיל שיקול דעת ולהתרחק מנה. </w:t>
      </w:r>
    </w:p>
    <w:p w14:paraId="5421813B" w14:textId="77777777" w:rsidR="00AB7E58" w:rsidRDefault="00AB7E58" w:rsidP="00AB7E58">
      <w:pPr>
        <w:spacing w:line="360" w:lineRule="auto"/>
        <w:ind w:left="720"/>
        <w:jc w:val="both"/>
        <w:rPr>
          <w:rFonts w:ascii="David" w:hAnsi="David"/>
          <w:rtl/>
        </w:rPr>
      </w:pPr>
    </w:p>
    <w:p w14:paraId="24679C49" w14:textId="77777777" w:rsidR="00AB7E58" w:rsidRDefault="00AB7E58" w:rsidP="00AB7E58">
      <w:pPr>
        <w:spacing w:line="360" w:lineRule="auto"/>
        <w:ind w:left="720"/>
        <w:jc w:val="both"/>
        <w:rPr>
          <w:rFonts w:ascii="David" w:hAnsi="David"/>
          <w:rtl/>
        </w:rPr>
      </w:pPr>
      <w:r>
        <w:rPr>
          <w:rFonts w:ascii="David" w:hAnsi="David"/>
          <w:rtl/>
        </w:rPr>
        <w:t xml:space="preserve">שירות המבחן התרשם כי ברקע ביצוע העבירה עומדים דפוסי אישיות ילדותיים, המותאמים לגילו הכרונולוגי. הנאשם התקשה להפעיל שיקול דעת ולחשוב לעומק על השלכות מעשיו, התקשה לקחת אחריות על מעשיו ולערוך בחינה ביקורתית של התנהלותו ומניעיו ונעדר כלים לבחינת אלטרנטיבות מיטיבות. </w:t>
      </w:r>
    </w:p>
    <w:p w14:paraId="35E36CEB" w14:textId="77777777" w:rsidR="00AB7E58" w:rsidRDefault="00AB7E58" w:rsidP="00AB7E58">
      <w:pPr>
        <w:spacing w:line="360" w:lineRule="auto"/>
        <w:ind w:left="720"/>
        <w:jc w:val="both"/>
        <w:rPr>
          <w:rFonts w:ascii="David" w:hAnsi="David"/>
          <w:rtl/>
        </w:rPr>
      </w:pPr>
    </w:p>
    <w:p w14:paraId="70D64963" w14:textId="77777777" w:rsidR="00AB7E58" w:rsidRDefault="00AB7E58" w:rsidP="00AB7E58">
      <w:pPr>
        <w:spacing w:line="360" w:lineRule="auto"/>
        <w:ind w:left="720"/>
        <w:jc w:val="both"/>
        <w:rPr>
          <w:rFonts w:ascii="David" w:hAnsi="David"/>
          <w:rtl/>
        </w:rPr>
      </w:pPr>
      <w:r>
        <w:rPr>
          <w:rFonts w:ascii="David" w:hAnsi="David"/>
          <w:rtl/>
        </w:rPr>
        <w:t xml:space="preserve">בבחינת גורמי הסיכוי: שירות המבחן התרשם כי מדובר בבחור צעיר המעוניין לשקם את חייו ומבין את חשיבות התעסוקה היצרנית. היותו הבן הבכור במשפחתו מעניקה לו משמעות ותפקיד ויכולה לסייע לו בשיקום חייו. חווית המעצר חידדה עבור הנאשם את גבולות החוק ומהווה עבורו גורם הרתעתי חיצוני ומציב גבולות ברורים להתנהגותו ואלו יחד יכולים להיות אלמנטים להימנעות מהתנהגות עוברת חוק. </w:t>
      </w:r>
    </w:p>
    <w:p w14:paraId="67CA48E2" w14:textId="77777777" w:rsidR="00AB7E58" w:rsidRDefault="00AB7E58" w:rsidP="00AB7E58">
      <w:pPr>
        <w:spacing w:line="360" w:lineRule="auto"/>
        <w:ind w:left="720"/>
        <w:jc w:val="both"/>
        <w:rPr>
          <w:rFonts w:ascii="David" w:hAnsi="David"/>
          <w:rtl/>
        </w:rPr>
      </w:pPr>
    </w:p>
    <w:p w14:paraId="565AF1EC" w14:textId="77777777" w:rsidR="00AB7E58" w:rsidRDefault="00AB7E58" w:rsidP="00AB7E58">
      <w:pPr>
        <w:spacing w:line="360" w:lineRule="auto"/>
        <w:ind w:left="720"/>
        <w:jc w:val="both"/>
        <w:rPr>
          <w:rFonts w:ascii="David" w:hAnsi="David"/>
          <w:rtl/>
        </w:rPr>
      </w:pPr>
      <w:r>
        <w:rPr>
          <w:rFonts w:ascii="David" w:hAnsi="David"/>
          <w:rtl/>
        </w:rPr>
        <w:t xml:space="preserve">בבחינת גורמי הסיכון: התרשם שירות המבחן כי הנאשם מתקשה להפעיל שיקול דעתו ונעדר כלים למציאת אלטרנטיבות מיטיבות לפתרון בעיות ומצוקות. הנאשם לוקה בחסר בכל הקשור למיקוד שליטה פנימי ועסוק בהאשמות הגורמים בסביבתו במצבו האישי. בהעדר כלים ומיומנויות להתמודד עם לחץ, לצד חוסר בשלותו, העריך שירות המבחן כי קיימים גורמי סיכון להישנות התנהגות עוברת חוק. </w:t>
      </w:r>
    </w:p>
    <w:p w14:paraId="79FFD32E" w14:textId="77777777" w:rsidR="00AB7E58" w:rsidRDefault="00AB7E58" w:rsidP="00AB7E58">
      <w:pPr>
        <w:spacing w:line="360" w:lineRule="auto"/>
        <w:ind w:left="720"/>
        <w:jc w:val="both"/>
        <w:rPr>
          <w:rFonts w:ascii="David" w:hAnsi="David"/>
          <w:rtl/>
        </w:rPr>
      </w:pPr>
    </w:p>
    <w:p w14:paraId="665593DB" w14:textId="77777777" w:rsidR="00AB7E58" w:rsidRDefault="00AB7E58" w:rsidP="00AB7E58">
      <w:pPr>
        <w:spacing w:line="360" w:lineRule="auto"/>
        <w:ind w:left="720"/>
        <w:jc w:val="both"/>
        <w:rPr>
          <w:rFonts w:ascii="David" w:hAnsi="David"/>
          <w:rtl/>
        </w:rPr>
      </w:pPr>
      <w:r>
        <w:rPr>
          <w:rFonts w:ascii="David" w:hAnsi="David"/>
          <w:rtl/>
        </w:rPr>
        <w:t xml:space="preserve">בשקלול הגורמים הרלוונטיים המליץ שירות המבחן על הטלת עונש מוחשי אשר יחדד לנאשם את חומרת מעשיו ובנוסף המליץ על הטלת מאסר מותנה כאלמנט עונשי צופה פני עתיד. </w:t>
      </w:r>
    </w:p>
    <w:p w14:paraId="7C16140B" w14:textId="77777777" w:rsidR="00AB7E58" w:rsidRDefault="00AB7E58" w:rsidP="00AB7E58">
      <w:pPr>
        <w:spacing w:line="360" w:lineRule="auto"/>
        <w:jc w:val="both"/>
        <w:rPr>
          <w:rFonts w:ascii="David" w:hAnsi="David"/>
          <w:b/>
          <w:bCs/>
          <w:rtl/>
        </w:rPr>
      </w:pPr>
    </w:p>
    <w:p w14:paraId="760BE1E1" w14:textId="77777777" w:rsidR="00AB7E58" w:rsidRDefault="00AB7E58" w:rsidP="00AB7E58">
      <w:pPr>
        <w:spacing w:line="360" w:lineRule="auto"/>
        <w:jc w:val="both"/>
        <w:rPr>
          <w:rFonts w:ascii="David" w:hAnsi="David"/>
          <w:b/>
          <w:bCs/>
          <w:rtl/>
        </w:rPr>
      </w:pPr>
      <w:r>
        <w:rPr>
          <w:rFonts w:ascii="David" w:hAnsi="David"/>
          <w:b/>
          <w:bCs/>
          <w:rtl/>
        </w:rPr>
        <w:lastRenderedPageBreak/>
        <w:t>ראיות וטיעונים לעונש:</w:t>
      </w:r>
    </w:p>
    <w:p w14:paraId="40E5668E" w14:textId="77777777" w:rsidR="00AB7E58" w:rsidRPr="0089691D" w:rsidRDefault="00AB7E58" w:rsidP="00AB7E58">
      <w:pPr>
        <w:spacing w:line="360" w:lineRule="auto"/>
        <w:jc w:val="both"/>
        <w:rPr>
          <w:rFonts w:ascii="David" w:hAnsi="David"/>
          <w:b/>
          <w:bCs/>
          <w:sz w:val="12"/>
          <w:szCs w:val="12"/>
          <w:rtl/>
        </w:rPr>
      </w:pPr>
    </w:p>
    <w:p w14:paraId="3B9C2C21" w14:textId="77777777" w:rsidR="00AB7E58" w:rsidRDefault="00AB7E58" w:rsidP="00AB7E58">
      <w:pPr>
        <w:spacing w:line="360" w:lineRule="auto"/>
        <w:ind w:left="720" w:hanging="720"/>
        <w:jc w:val="both"/>
        <w:rPr>
          <w:rFonts w:ascii="David" w:hAnsi="David"/>
          <w:rtl/>
        </w:rPr>
      </w:pPr>
      <w:r>
        <w:rPr>
          <w:rFonts w:ascii="David" w:hAnsi="David"/>
          <w:rtl/>
        </w:rPr>
        <w:t>6.</w:t>
      </w:r>
      <w:r>
        <w:rPr>
          <w:rFonts w:ascii="David" w:hAnsi="David"/>
          <w:rtl/>
        </w:rPr>
        <w:tab/>
        <w:t xml:space="preserve">המאשימה לא הגישה ראיות לעונש. </w:t>
      </w:r>
    </w:p>
    <w:p w14:paraId="7155BFF5" w14:textId="77777777" w:rsidR="00AB7E58" w:rsidRDefault="00AB7E58" w:rsidP="00AB7E58">
      <w:pPr>
        <w:spacing w:line="360" w:lineRule="auto"/>
        <w:ind w:left="720"/>
        <w:jc w:val="both"/>
        <w:rPr>
          <w:rFonts w:ascii="David" w:hAnsi="David"/>
          <w:rtl/>
        </w:rPr>
      </w:pPr>
      <w:r>
        <w:rPr>
          <w:rFonts w:ascii="David" w:hAnsi="David"/>
          <w:rtl/>
        </w:rPr>
        <w:t xml:space="preserve">במסגרת הראיות לעונש הגיש ב"כ הנאשם תלושי שכר של הנאשם (נ/2). </w:t>
      </w:r>
    </w:p>
    <w:p w14:paraId="01B20F45" w14:textId="77777777" w:rsidR="00AB7E58" w:rsidRPr="00CE724B" w:rsidRDefault="00AB7E58" w:rsidP="00AB7E58">
      <w:pPr>
        <w:spacing w:line="360" w:lineRule="auto"/>
        <w:ind w:left="720" w:hanging="720"/>
        <w:jc w:val="both"/>
        <w:rPr>
          <w:rFonts w:ascii="David" w:hAnsi="David"/>
          <w:sz w:val="20"/>
          <w:szCs w:val="20"/>
          <w:rtl/>
        </w:rPr>
      </w:pPr>
      <w:r>
        <w:rPr>
          <w:rFonts w:ascii="David" w:hAnsi="David"/>
          <w:rtl/>
        </w:rPr>
        <w:tab/>
        <w:t xml:space="preserve"> </w:t>
      </w:r>
    </w:p>
    <w:p w14:paraId="270087E2" w14:textId="77777777" w:rsidR="00AB7E58" w:rsidRDefault="00AB7E58" w:rsidP="00AB7E58">
      <w:pPr>
        <w:spacing w:line="360" w:lineRule="auto"/>
        <w:ind w:left="720" w:hanging="720"/>
        <w:jc w:val="both"/>
        <w:rPr>
          <w:rFonts w:ascii="David" w:hAnsi="David"/>
          <w:rtl/>
        </w:rPr>
      </w:pPr>
      <w:r>
        <w:rPr>
          <w:rFonts w:ascii="David" w:hAnsi="David"/>
          <w:rtl/>
        </w:rPr>
        <w:t>7.</w:t>
      </w:r>
      <w:r>
        <w:rPr>
          <w:rFonts w:ascii="David" w:hAnsi="David"/>
          <w:rtl/>
        </w:rPr>
        <w:tab/>
      </w:r>
      <w:r>
        <w:rPr>
          <w:rFonts w:ascii="David" w:hAnsi="David"/>
          <w:b/>
          <w:bCs/>
          <w:rtl/>
        </w:rPr>
        <w:t xml:space="preserve">ב"כ המאשימה </w:t>
      </w:r>
      <w:r>
        <w:rPr>
          <w:rFonts w:ascii="David" w:hAnsi="David"/>
          <w:rtl/>
        </w:rPr>
        <w:t xml:space="preserve">עתרה לקביעת מתחם עונש הולם הנע בין 18 ל- 36 חודשי מאסר בפועל, וביקשה למקם עונשו של הנאשם בתחתית המתחם בשל גילו הצעיר והעדר עבר פלילי קודם. המאשימה ביקשה להטיל על הנאשם 18 חודשי מאסר בפועל, לצד מאסר על תנאי וקנס. </w:t>
      </w:r>
    </w:p>
    <w:p w14:paraId="5A69BD52" w14:textId="77777777" w:rsidR="00AB7E58" w:rsidRDefault="00AB7E58" w:rsidP="00AB7E58">
      <w:pPr>
        <w:spacing w:line="360" w:lineRule="auto"/>
        <w:ind w:left="720" w:hanging="720"/>
        <w:jc w:val="both"/>
        <w:rPr>
          <w:rFonts w:ascii="David" w:hAnsi="David"/>
          <w:rtl/>
        </w:rPr>
      </w:pPr>
      <w:r>
        <w:rPr>
          <w:rFonts w:ascii="David" w:hAnsi="David"/>
          <w:rtl/>
        </w:rPr>
        <w:tab/>
        <w:t xml:space="preserve">נטען כי במעשיו פגע הנאשם במידה רבה בערכי ההגנה על שלום הציבור וביטחונו. חומרת העבירות בנשק נלמדת מהסיכון הטמון בשימוש בנשק ומפוטנציאל הנזק הקיים במישור הפלילי והביטחוני כאחד. הנאשם החזיק את האקדח בביתו שם מתגוררת משפחתו ובכללם אחיו ואחיותיו הקטינים. </w:t>
      </w:r>
    </w:p>
    <w:p w14:paraId="2590E9ED" w14:textId="77777777" w:rsidR="00AB7E58" w:rsidRPr="00CE724B" w:rsidRDefault="00AB7E58" w:rsidP="00AB7E58">
      <w:pPr>
        <w:spacing w:line="360" w:lineRule="auto"/>
        <w:ind w:left="720" w:hanging="720"/>
        <w:jc w:val="both"/>
        <w:rPr>
          <w:rFonts w:ascii="David" w:hAnsi="David"/>
          <w:sz w:val="16"/>
          <w:szCs w:val="16"/>
          <w:rtl/>
        </w:rPr>
      </w:pPr>
    </w:p>
    <w:p w14:paraId="436AFB98" w14:textId="77777777" w:rsidR="00AB7E58" w:rsidRDefault="00AB7E58" w:rsidP="00AB7E58">
      <w:pPr>
        <w:spacing w:line="360" w:lineRule="auto"/>
        <w:ind w:left="720" w:hanging="720"/>
        <w:jc w:val="both"/>
        <w:rPr>
          <w:rFonts w:ascii="David" w:hAnsi="David"/>
          <w:rtl/>
        </w:rPr>
      </w:pPr>
      <w:r>
        <w:rPr>
          <w:rFonts w:ascii="David" w:hAnsi="David"/>
          <w:rtl/>
        </w:rPr>
        <w:tab/>
        <w:t xml:space="preserve">ב"כ המאשימה הפנתה לפסיקה רלוונטית (ת/1) המצביעה על תפקידו של בית המשפט בהרתעה והצורך בהטלת עונש מוחשי של מאסר בפועל, וטענה כי המתחם לו עתרה תואם את הנחיות פרקליט המדינה ולצורך בהחמרת הענישה בעת הנוכחית. </w:t>
      </w:r>
    </w:p>
    <w:p w14:paraId="7A42CF88" w14:textId="77777777" w:rsidR="00AB7E58" w:rsidRPr="0089691D" w:rsidRDefault="00AB7E58" w:rsidP="00AB7E58">
      <w:pPr>
        <w:spacing w:line="360" w:lineRule="auto"/>
        <w:ind w:left="720" w:hanging="720"/>
        <w:jc w:val="both"/>
        <w:rPr>
          <w:rFonts w:ascii="David" w:hAnsi="David"/>
          <w:sz w:val="14"/>
          <w:szCs w:val="14"/>
          <w:rtl/>
        </w:rPr>
      </w:pPr>
    </w:p>
    <w:p w14:paraId="70208206" w14:textId="77777777" w:rsidR="00AB7E58" w:rsidRDefault="00AB7E58" w:rsidP="00AB7E58">
      <w:pPr>
        <w:spacing w:line="360" w:lineRule="auto"/>
        <w:ind w:left="720" w:hanging="720"/>
        <w:jc w:val="both"/>
        <w:rPr>
          <w:rFonts w:ascii="David" w:hAnsi="David"/>
          <w:rtl/>
        </w:rPr>
      </w:pPr>
      <w:r>
        <w:rPr>
          <w:rFonts w:ascii="David" w:hAnsi="David"/>
          <w:rtl/>
        </w:rPr>
        <w:t>8.</w:t>
      </w:r>
      <w:r>
        <w:rPr>
          <w:rFonts w:ascii="David" w:hAnsi="David"/>
          <w:rtl/>
        </w:rPr>
        <w:tab/>
      </w:r>
      <w:r>
        <w:rPr>
          <w:rFonts w:ascii="David" w:hAnsi="David"/>
          <w:b/>
          <w:bCs/>
          <w:rtl/>
        </w:rPr>
        <w:t>ב"כ הנאשם</w:t>
      </w:r>
      <w:r>
        <w:rPr>
          <w:rFonts w:ascii="David" w:hAnsi="David"/>
          <w:rtl/>
        </w:rPr>
        <w:t xml:space="preserve"> טען כי מדובר בתיק יוצא דופן בשים לב לגילו הצעיר של הנאשם, העדר עבר פלילי קודם ותעסוקתו של הנאשם עובר למעצרו. לטענתו קיימים קשיים ראייתיים בתיק, ובשים לב לפסיקה הנוהגת אותה הגיש (נ/1), ביקש לקבוע מתחם עונש הולם הנע בין עבודות שירות ל- 18 חודשי מאסר בפועל, ולהסתפק בתקופת מעצרו של הנאשם.</w:t>
      </w:r>
    </w:p>
    <w:p w14:paraId="2A29167E" w14:textId="77777777" w:rsidR="00AB7E58" w:rsidRDefault="00AB7E58" w:rsidP="00AB7E58">
      <w:pPr>
        <w:spacing w:line="360" w:lineRule="auto"/>
        <w:ind w:left="720"/>
        <w:jc w:val="both"/>
        <w:rPr>
          <w:rFonts w:ascii="David" w:hAnsi="David"/>
          <w:rtl/>
        </w:rPr>
      </w:pPr>
      <w:r>
        <w:rPr>
          <w:rFonts w:ascii="David" w:hAnsi="David"/>
          <w:rtl/>
        </w:rPr>
        <w:t xml:space="preserve">נטען כי האקדח נתפס בביתו של הנאשם ללא תחמושת, ללא מרדף וברי כי הנאשם לא רצה להשתמש בנשק ולא היה סיכוי שישתמש בו. ב"כ הנאשם סקר את הפסיקה שהגישה המאשימה וטען כי היא עוסקת במקרים חמורים יותר ואינה תואמת את ענייננו. </w:t>
      </w:r>
    </w:p>
    <w:p w14:paraId="0550B26C" w14:textId="77777777" w:rsidR="00AB7E58" w:rsidRDefault="00AB7E58" w:rsidP="00AB7E58">
      <w:pPr>
        <w:spacing w:line="360" w:lineRule="auto"/>
        <w:ind w:left="720"/>
        <w:jc w:val="both"/>
        <w:rPr>
          <w:rFonts w:ascii="David" w:hAnsi="David"/>
          <w:rtl/>
        </w:rPr>
      </w:pPr>
      <w:r>
        <w:rPr>
          <w:rFonts w:ascii="David" w:hAnsi="David"/>
          <w:rtl/>
        </w:rPr>
        <w:t xml:space="preserve">ב"כ הנאשם הוסיף וטען כי מעשיו של הנאשם הנם יוצאי דופן להתנהגותו. מדובר בצעיר כבן 18 שנים, בתחילת דרכו, אשר ספג בביתו ערכים חיוביים, פרש מלימודיו בתיכון כדי לעזור בפרנסת המשפחה וערך מאמצים כדי לסייע לה. </w:t>
      </w:r>
    </w:p>
    <w:p w14:paraId="03D99A20" w14:textId="77777777" w:rsidR="00AB7E58" w:rsidRPr="00CE724B" w:rsidRDefault="00AB7E58" w:rsidP="00AB7E58">
      <w:pPr>
        <w:spacing w:line="360" w:lineRule="auto"/>
        <w:ind w:left="720"/>
        <w:jc w:val="both"/>
        <w:rPr>
          <w:rFonts w:ascii="David" w:hAnsi="David"/>
          <w:sz w:val="4"/>
          <w:szCs w:val="4"/>
          <w:rtl/>
        </w:rPr>
      </w:pPr>
    </w:p>
    <w:p w14:paraId="4DFA7CA4" w14:textId="77777777" w:rsidR="00AB7E58" w:rsidRDefault="00AB7E58" w:rsidP="00AB7E58">
      <w:pPr>
        <w:spacing w:line="360" w:lineRule="auto"/>
        <w:ind w:left="720"/>
        <w:jc w:val="both"/>
        <w:rPr>
          <w:rFonts w:ascii="David" w:hAnsi="David"/>
          <w:rtl/>
        </w:rPr>
      </w:pPr>
      <w:r>
        <w:rPr>
          <w:rFonts w:ascii="David" w:hAnsi="David"/>
          <w:rtl/>
        </w:rPr>
        <w:t xml:space="preserve">הגם ששירות המבחן לא הכיר באחריות שלקח הנאשם על מעשיו, הרי שהנאשם הצטער על מעשיו אשר נעשו על רקע גילו, חוסר בגרות והעדר כלים. הנאשם נתון במעצר מזה כ-7 חודשים ומתסקיר שירות המבחן עולה כי מעצרו חידד עבורו הגבולות. לטענת ב"כ הנאשם הטלת עונש מאסר בפועל על הנאשם, בשים לב לסביבה העבריינית בכלא, עלולה לפגוע בסיכויי שיקומו. </w:t>
      </w:r>
    </w:p>
    <w:p w14:paraId="1D8C7034" w14:textId="77777777" w:rsidR="00AB7E58" w:rsidRDefault="00AB7E58" w:rsidP="00AB7E58">
      <w:pPr>
        <w:spacing w:line="360" w:lineRule="auto"/>
        <w:ind w:left="720"/>
        <w:jc w:val="both"/>
        <w:rPr>
          <w:rFonts w:ascii="David" w:hAnsi="David"/>
          <w:rtl/>
        </w:rPr>
      </w:pPr>
      <w:r>
        <w:rPr>
          <w:rFonts w:ascii="David" w:hAnsi="David"/>
          <w:rtl/>
        </w:rPr>
        <w:t xml:space="preserve">ביחס לקנס - ביקש ב"כ הנאשם להתחשב בגילו הצעיר ובנסיבותיו האישיות ולהסתפק בקנס סמלי. </w:t>
      </w:r>
    </w:p>
    <w:p w14:paraId="2FB93F74" w14:textId="77777777" w:rsidR="00AB7E58" w:rsidRDefault="00AB7E58" w:rsidP="00AB7E58">
      <w:pPr>
        <w:jc w:val="both"/>
        <w:rPr>
          <w:rFonts w:ascii="David" w:hAnsi="David"/>
          <w:rtl/>
        </w:rPr>
      </w:pPr>
    </w:p>
    <w:p w14:paraId="70C40055" w14:textId="77777777" w:rsidR="00AB7E58" w:rsidRDefault="00AB7E58" w:rsidP="00AB7E58">
      <w:pPr>
        <w:jc w:val="both"/>
        <w:rPr>
          <w:rFonts w:ascii="David" w:hAnsi="David"/>
          <w:rtl/>
        </w:rPr>
      </w:pPr>
      <w:r>
        <w:rPr>
          <w:rFonts w:ascii="David" w:hAnsi="David"/>
          <w:rtl/>
        </w:rPr>
        <w:t>9.</w:t>
      </w:r>
      <w:r>
        <w:rPr>
          <w:rFonts w:ascii="David" w:hAnsi="David"/>
          <w:rtl/>
        </w:rPr>
        <w:tab/>
      </w:r>
      <w:r>
        <w:rPr>
          <w:rFonts w:ascii="David" w:hAnsi="David"/>
          <w:b/>
          <w:bCs/>
          <w:rtl/>
        </w:rPr>
        <w:t>הנאשם</w:t>
      </w:r>
      <w:r>
        <w:rPr>
          <w:rFonts w:ascii="David" w:hAnsi="David"/>
          <w:rtl/>
        </w:rPr>
        <w:t xml:space="preserve"> אמר שהוא מצטער, קשה לו במעצר ורוצה לשוב לביתו ולעבודתו. </w:t>
      </w:r>
    </w:p>
    <w:p w14:paraId="2A4DA9C0" w14:textId="77777777" w:rsidR="00AB7E58" w:rsidRDefault="00AB7E58" w:rsidP="00AB7E58">
      <w:pPr>
        <w:jc w:val="both"/>
        <w:rPr>
          <w:rFonts w:ascii="David" w:hAnsi="David"/>
          <w:rtl/>
        </w:rPr>
      </w:pPr>
    </w:p>
    <w:p w14:paraId="007601BF" w14:textId="77777777" w:rsidR="00AB7E58" w:rsidRDefault="00AB7E58" w:rsidP="00AB7E58">
      <w:pPr>
        <w:jc w:val="both"/>
        <w:rPr>
          <w:rFonts w:ascii="David" w:hAnsi="David"/>
          <w:b/>
          <w:bCs/>
          <w:rtl/>
        </w:rPr>
      </w:pPr>
    </w:p>
    <w:p w14:paraId="4A2DAB71" w14:textId="77777777" w:rsidR="00AB7E58" w:rsidRDefault="00AB7E58" w:rsidP="00AB7E58">
      <w:pPr>
        <w:jc w:val="both"/>
        <w:rPr>
          <w:rFonts w:ascii="David" w:hAnsi="David"/>
          <w:b/>
          <w:bCs/>
          <w:rtl/>
        </w:rPr>
      </w:pPr>
    </w:p>
    <w:p w14:paraId="5516EA96" w14:textId="77777777" w:rsidR="00AB7E58" w:rsidRDefault="00AB7E58" w:rsidP="00AB7E58">
      <w:pPr>
        <w:jc w:val="both"/>
        <w:rPr>
          <w:rFonts w:ascii="David" w:hAnsi="David"/>
          <w:b/>
          <w:bCs/>
          <w:rtl/>
        </w:rPr>
      </w:pPr>
    </w:p>
    <w:p w14:paraId="6B326E4E" w14:textId="77777777" w:rsidR="00AB7E58" w:rsidRDefault="00AB7E58" w:rsidP="00AB7E58">
      <w:pPr>
        <w:jc w:val="both"/>
        <w:rPr>
          <w:rFonts w:ascii="David" w:hAnsi="David"/>
          <w:b/>
          <w:bCs/>
          <w:rtl/>
        </w:rPr>
      </w:pPr>
    </w:p>
    <w:p w14:paraId="08BEA32C" w14:textId="77777777" w:rsidR="00AB7E58" w:rsidRDefault="00AB7E58" w:rsidP="00AB7E58">
      <w:pPr>
        <w:jc w:val="both"/>
        <w:rPr>
          <w:rFonts w:ascii="David" w:hAnsi="David"/>
          <w:b/>
          <w:bCs/>
          <w:rtl/>
        </w:rPr>
      </w:pPr>
    </w:p>
    <w:p w14:paraId="148673C7" w14:textId="77777777" w:rsidR="00AB7E58" w:rsidRDefault="00AB7E58" w:rsidP="00AB7E58">
      <w:pPr>
        <w:jc w:val="both"/>
        <w:rPr>
          <w:rFonts w:ascii="David" w:hAnsi="David"/>
          <w:b/>
          <w:bCs/>
          <w:rtl/>
        </w:rPr>
      </w:pPr>
      <w:r>
        <w:rPr>
          <w:rFonts w:ascii="David" w:hAnsi="David"/>
          <w:b/>
          <w:bCs/>
          <w:rtl/>
        </w:rPr>
        <w:t xml:space="preserve">דיון והכרעה: </w:t>
      </w:r>
    </w:p>
    <w:p w14:paraId="051453E4" w14:textId="77777777" w:rsidR="00AB7E58" w:rsidRDefault="00AB7E58" w:rsidP="00AB7E58">
      <w:pPr>
        <w:jc w:val="both"/>
        <w:rPr>
          <w:rFonts w:ascii="David" w:hAnsi="David"/>
          <w:rtl/>
        </w:rPr>
      </w:pPr>
    </w:p>
    <w:p w14:paraId="77E306F3" w14:textId="77777777" w:rsidR="00AB7E58" w:rsidRDefault="00AB7E58" w:rsidP="00AB7E58">
      <w:pPr>
        <w:jc w:val="both"/>
        <w:rPr>
          <w:rFonts w:ascii="David" w:hAnsi="David"/>
          <w:rtl/>
        </w:rPr>
      </w:pPr>
      <w:r>
        <w:rPr>
          <w:rFonts w:ascii="David" w:hAnsi="David"/>
          <w:rtl/>
        </w:rPr>
        <w:t>10.</w:t>
      </w:r>
      <w:r>
        <w:rPr>
          <w:rFonts w:ascii="David" w:hAnsi="David"/>
          <w:rtl/>
        </w:rPr>
        <w:tab/>
        <w:t>הנאשם הורשע בעבירות בנשק (החזקה) לאחר שהחזיק בביתו אקדח חצי אוטומטי.</w:t>
      </w:r>
    </w:p>
    <w:p w14:paraId="5B8E9029" w14:textId="77777777" w:rsidR="00AB7E58" w:rsidRDefault="00AB7E58" w:rsidP="00AB7E58">
      <w:pPr>
        <w:jc w:val="both"/>
        <w:rPr>
          <w:rFonts w:ascii="David" w:hAnsi="David"/>
          <w:rtl/>
        </w:rPr>
      </w:pPr>
    </w:p>
    <w:p w14:paraId="073D66B7" w14:textId="77777777" w:rsidR="00AB7E58" w:rsidRDefault="00AB7E58" w:rsidP="00AB7E58">
      <w:pPr>
        <w:jc w:val="both"/>
        <w:rPr>
          <w:rFonts w:ascii="David" w:hAnsi="David"/>
          <w:rtl/>
        </w:rPr>
      </w:pPr>
    </w:p>
    <w:p w14:paraId="599A2A95" w14:textId="77777777" w:rsidR="00AB7E58" w:rsidRDefault="00AB7E58" w:rsidP="00AB7E58">
      <w:pPr>
        <w:jc w:val="both"/>
        <w:rPr>
          <w:rFonts w:ascii="David" w:hAnsi="David"/>
          <w:b/>
          <w:bCs/>
          <w:rtl/>
        </w:rPr>
      </w:pPr>
      <w:r>
        <w:rPr>
          <w:rFonts w:ascii="David" w:hAnsi="David"/>
          <w:b/>
          <w:bCs/>
          <w:rtl/>
        </w:rPr>
        <w:t>קביעת מתחם העונש ההולם:</w:t>
      </w:r>
    </w:p>
    <w:p w14:paraId="0A608780" w14:textId="77777777" w:rsidR="00AB7E58" w:rsidRDefault="00AB7E58" w:rsidP="00AB7E58">
      <w:pPr>
        <w:jc w:val="both"/>
        <w:rPr>
          <w:rFonts w:ascii="David" w:hAnsi="David"/>
          <w:b/>
          <w:bCs/>
          <w:rtl/>
        </w:rPr>
      </w:pPr>
    </w:p>
    <w:p w14:paraId="343AE629" w14:textId="77777777" w:rsidR="00AB7E58" w:rsidRDefault="00AB7E58" w:rsidP="00AB7E58">
      <w:pPr>
        <w:jc w:val="both"/>
        <w:rPr>
          <w:rFonts w:ascii="David" w:hAnsi="David"/>
          <w:rtl/>
        </w:rPr>
      </w:pPr>
    </w:p>
    <w:p w14:paraId="529C7043" w14:textId="77777777" w:rsidR="00AB7E58" w:rsidRDefault="00AB7E58" w:rsidP="00AB7E58">
      <w:pPr>
        <w:spacing w:line="360" w:lineRule="auto"/>
        <w:ind w:left="720" w:hanging="720"/>
        <w:jc w:val="both"/>
        <w:rPr>
          <w:rFonts w:ascii="David" w:hAnsi="David"/>
          <w:rtl/>
        </w:rPr>
      </w:pPr>
      <w:r>
        <w:rPr>
          <w:rFonts w:ascii="David" w:hAnsi="David"/>
          <w:rtl/>
        </w:rPr>
        <w:t>11.</w:t>
      </w:r>
      <w:r>
        <w:rPr>
          <w:rFonts w:ascii="David" w:hAnsi="David"/>
          <w:rtl/>
        </w:rPr>
        <w:tab/>
        <w:t xml:space="preserve">בהתאם </w:t>
      </w:r>
      <w:hyperlink r:id="rId17" w:history="1">
        <w:r w:rsidR="0006630E" w:rsidRPr="0006630E">
          <w:rPr>
            <w:rStyle w:val="Hyperlink"/>
            <w:rFonts w:ascii="David" w:hAnsi="David"/>
            <w:rtl/>
          </w:rPr>
          <w:t>לסעיף 40 ב</w:t>
        </w:r>
      </w:hyperlink>
      <w:r>
        <w:rPr>
          <w:rFonts w:ascii="David" w:hAnsi="David"/>
          <w:rtl/>
        </w:rPr>
        <w:t xml:space="preserve"> ל</w:t>
      </w:r>
      <w:hyperlink r:id="rId18" w:history="1">
        <w:r w:rsidR="008F7361" w:rsidRPr="008F7361">
          <w:rPr>
            <w:rFonts w:ascii="David" w:hAnsi="David"/>
            <w:color w:val="0000FF"/>
            <w:u w:val="single"/>
            <w:rtl/>
          </w:rPr>
          <w:t>חוק העונשין</w:t>
        </w:r>
      </w:hyperlink>
      <w:r>
        <w:rPr>
          <w:rFonts w:ascii="David" w:hAnsi="David"/>
          <w:rtl/>
        </w:rPr>
        <w:t>, עקרון ההלימה הינו העיקרון המנחה בענישה, ויש לבחון קיומו של יחס הולם בין חומרת מעשה העבירה, בנסיבותיה ובמידת אשמתו של הנאשם ובין העונש המוטל עליו.</w:t>
      </w:r>
    </w:p>
    <w:p w14:paraId="568B8B1D" w14:textId="77777777" w:rsidR="00AB7E58" w:rsidRDefault="00AB7E58" w:rsidP="00AB7E58">
      <w:pPr>
        <w:spacing w:line="360" w:lineRule="auto"/>
        <w:ind w:left="720" w:hanging="720"/>
        <w:jc w:val="both"/>
        <w:rPr>
          <w:rFonts w:ascii="David" w:hAnsi="David"/>
          <w:rtl/>
        </w:rPr>
      </w:pPr>
    </w:p>
    <w:p w14:paraId="4264AA08" w14:textId="77777777" w:rsidR="00AB7E58" w:rsidRDefault="00AB7E58" w:rsidP="00AB7E58">
      <w:pPr>
        <w:spacing w:line="360" w:lineRule="auto"/>
        <w:ind w:left="720" w:hanging="720"/>
        <w:jc w:val="both"/>
        <w:rPr>
          <w:rFonts w:ascii="David" w:hAnsi="David"/>
          <w:rtl/>
        </w:rPr>
      </w:pPr>
      <w:r>
        <w:rPr>
          <w:rFonts w:ascii="David" w:hAnsi="David"/>
          <w:rtl/>
        </w:rPr>
        <w:t>12.</w:t>
      </w:r>
      <w:r>
        <w:rPr>
          <w:rFonts w:ascii="David" w:hAnsi="David"/>
          <w:rtl/>
        </w:rPr>
        <w:tab/>
        <w:t xml:space="preserve">לצורך קביעת מתחם העונש ההולם בהתאם לסעיף </w:t>
      </w:r>
      <w:hyperlink r:id="rId19" w:history="1">
        <w:r w:rsidR="0006630E" w:rsidRPr="0006630E">
          <w:rPr>
            <w:rStyle w:val="Hyperlink"/>
            <w:rFonts w:ascii="David" w:hAnsi="David"/>
            <w:rtl/>
          </w:rPr>
          <w:t>40 ג</w:t>
        </w:r>
      </w:hyperlink>
      <w:r>
        <w:rPr>
          <w:rFonts w:ascii="David" w:hAnsi="David"/>
          <w:rtl/>
        </w:rPr>
        <w:t xml:space="preserve"> לחוק עונשין, יש לבחון את הערכים החברתיים שנפגעו מהעבירה ומידת הפגיעה בהם, מדיניות הענישה הנוהגת, והנסיבות הקשורות בביצוע העבירה.</w:t>
      </w:r>
    </w:p>
    <w:p w14:paraId="2ADBCE39" w14:textId="77777777" w:rsidR="00AB7E58" w:rsidRDefault="00AB7E58" w:rsidP="00AB7E58">
      <w:pPr>
        <w:spacing w:line="360" w:lineRule="auto"/>
        <w:ind w:left="720" w:hanging="720"/>
        <w:jc w:val="both"/>
        <w:rPr>
          <w:rFonts w:ascii="David" w:hAnsi="David"/>
          <w:rtl/>
        </w:rPr>
      </w:pPr>
    </w:p>
    <w:p w14:paraId="4D8327F7" w14:textId="77777777" w:rsidR="00AB7E58" w:rsidRDefault="00AB7E58" w:rsidP="00AB7E58">
      <w:pPr>
        <w:spacing w:line="360" w:lineRule="auto"/>
        <w:ind w:left="720" w:hanging="720"/>
        <w:jc w:val="both"/>
        <w:rPr>
          <w:rFonts w:ascii="David" w:hAnsi="David"/>
          <w:b/>
          <w:bCs/>
          <w:rtl/>
        </w:rPr>
      </w:pPr>
      <w:r>
        <w:rPr>
          <w:rFonts w:ascii="David" w:hAnsi="David"/>
          <w:b/>
          <w:bCs/>
          <w:rtl/>
        </w:rPr>
        <w:t>הערכים החברתיים שנפגעו:</w:t>
      </w:r>
    </w:p>
    <w:p w14:paraId="3BA0FE9B" w14:textId="77777777" w:rsidR="00AB7E58" w:rsidRDefault="00AB7E58" w:rsidP="00AB7E58">
      <w:pPr>
        <w:spacing w:line="360" w:lineRule="auto"/>
        <w:ind w:left="720" w:hanging="720"/>
        <w:jc w:val="both"/>
        <w:rPr>
          <w:rFonts w:ascii="David" w:hAnsi="David"/>
          <w:b/>
          <w:bCs/>
          <w:rtl/>
        </w:rPr>
      </w:pPr>
    </w:p>
    <w:p w14:paraId="2A544BEA" w14:textId="77777777" w:rsidR="00AB7E58" w:rsidRDefault="00AB7E58" w:rsidP="00AB7E58">
      <w:pPr>
        <w:spacing w:line="360" w:lineRule="auto"/>
        <w:ind w:left="720" w:hanging="720"/>
        <w:jc w:val="both"/>
        <w:rPr>
          <w:rFonts w:ascii="David" w:hAnsi="David"/>
          <w:rtl/>
        </w:rPr>
      </w:pPr>
      <w:r>
        <w:rPr>
          <w:rFonts w:ascii="David" w:hAnsi="David"/>
          <w:rtl/>
        </w:rPr>
        <w:t>13.</w:t>
      </w:r>
      <w:r>
        <w:rPr>
          <w:rFonts w:ascii="David" w:hAnsi="David"/>
          <w:rtl/>
        </w:rPr>
        <w:tab/>
        <w:t xml:space="preserve">בביצוע העבירה בנסיבותיה פגע הנאשם, ברף הבינוני, בערכים המוגנים של שמירה על החיים והגוף, ביטחון הציבור ושלוותו. </w:t>
      </w:r>
    </w:p>
    <w:p w14:paraId="7EF10E0C" w14:textId="77777777" w:rsidR="00AB7E58" w:rsidRPr="00D338FA" w:rsidRDefault="00AB7E58" w:rsidP="00AB7E58">
      <w:pPr>
        <w:spacing w:line="360" w:lineRule="auto"/>
        <w:ind w:left="720" w:hanging="720"/>
        <w:jc w:val="both"/>
        <w:rPr>
          <w:rFonts w:ascii="David" w:hAnsi="David"/>
          <w:sz w:val="10"/>
          <w:szCs w:val="10"/>
          <w:rtl/>
        </w:rPr>
      </w:pPr>
    </w:p>
    <w:p w14:paraId="00B4CB7D" w14:textId="77777777" w:rsidR="00AB7E58" w:rsidRDefault="00AB7E58" w:rsidP="00AB7E58">
      <w:pPr>
        <w:spacing w:line="360" w:lineRule="auto"/>
        <w:ind w:left="720" w:hanging="720"/>
        <w:jc w:val="both"/>
        <w:rPr>
          <w:rFonts w:ascii="David" w:hAnsi="David"/>
          <w:rtl/>
        </w:rPr>
      </w:pPr>
      <w:r>
        <w:rPr>
          <w:rFonts w:ascii="David" w:hAnsi="David"/>
          <w:b/>
          <w:bCs/>
          <w:rtl/>
        </w:rPr>
        <w:t>מדיניות הענישה הנוהגת</w:t>
      </w:r>
      <w:r>
        <w:rPr>
          <w:rFonts w:ascii="David" w:hAnsi="David"/>
          <w:rtl/>
        </w:rPr>
        <w:t xml:space="preserve">: </w:t>
      </w:r>
    </w:p>
    <w:p w14:paraId="32EF27E5" w14:textId="77777777" w:rsidR="00AB7E58" w:rsidRPr="00D338FA" w:rsidRDefault="00AB7E58" w:rsidP="00AB7E58">
      <w:pPr>
        <w:spacing w:line="360" w:lineRule="auto"/>
        <w:ind w:left="720" w:hanging="720"/>
        <w:jc w:val="both"/>
        <w:rPr>
          <w:rFonts w:ascii="David" w:hAnsi="David"/>
          <w:sz w:val="4"/>
          <w:szCs w:val="4"/>
          <w:rtl/>
        </w:rPr>
      </w:pPr>
    </w:p>
    <w:p w14:paraId="1BDA397D" w14:textId="77777777" w:rsidR="00AB7E58" w:rsidRDefault="00AB7E58" w:rsidP="00AB7E58">
      <w:pPr>
        <w:spacing w:line="360" w:lineRule="auto"/>
        <w:ind w:left="720" w:hanging="720"/>
        <w:jc w:val="both"/>
        <w:rPr>
          <w:rFonts w:ascii="David" w:hAnsi="David"/>
          <w:rtl/>
        </w:rPr>
      </w:pPr>
      <w:r>
        <w:rPr>
          <w:rFonts w:ascii="David" w:hAnsi="David"/>
          <w:rtl/>
        </w:rPr>
        <w:t xml:space="preserve">14. </w:t>
      </w:r>
      <w:r>
        <w:rPr>
          <w:rFonts w:ascii="David" w:hAnsi="David"/>
          <w:rtl/>
        </w:rPr>
        <w:tab/>
        <w:t xml:space="preserve">נוכח הסיכון הפוטנציאלי לשלום הציבור והפיכת התופעה ל"מכת מדינה" הדגיש בית המשפט העליון את הצורך בהחמרה בענישה בעבירות הנשק השונות ואת החומרה הרבה שבביצוע עבירות אלה. לעניין זה ראה </w:t>
      </w:r>
      <w:hyperlink r:id="rId20" w:history="1">
        <w:r w:rsidR="008F7361" w:rsidRPr="008F7361">
          <w:rPr>
            <w:rFonts w:ascii="David" w:hAnsi="David"/>
            <w:b/>
            <w:bCs/>
            <w:color w:val="0000FF"/>
            <w:u w:val="single"/>
            <w:rtl/>
          </w:rPr>
          <w:t>ע"פ 6383/21</w:t>
        </w:r>
      </w:hyperlink>
      <w:r>
        <w:rPr>
          <w:rFonts w:ascii="David" w:hAnsi="David"/>
          <w:b/>
          <w:bCs/>
          <w:rtl/>
        </w:rPr>
        <w:t xml:space="preserve"> קרייף נ' מדינת ישראל</w:t>
      </w:r>
      <w:r>
        <w:rPr>
          <w:rFonts w:ascii="David" w:hAnsi="David"/>
          <w:rtl/>
        </w:rPr>
        <w:t xml:space="preserve"> (13.02.2022):</w:t>
      </w:r>
    </w:p>
    <w:p w14:paraId="1DDC1F5B" w14:textId="77777777" w:rsidR="00AB7E58" w:rsidRPr="00D338FA" w:rsidRDefault="00AB7E58" w:rsidP="00AB7E58">
      <w:pPr>
        <w:spacing w:line="360" w:lineRule="auto"/>
        <w:ind w:left="720" w:hanging="720"/>
        <w:jc w:val="both"/>
        <w:rPr>
          <w:rFonts w:ascii="David" w:hAnsi="David"/>
          <w:sz w:val="8"/>
          <w:szCs w:val="8"/>
          <w:rtl/>
        </w:rPr>
      </w:pPr>
    </w:p>
    <w:p w14:paraId="20ABA4F7" w14:textId="77777777" w:rsidR="00AB7E58" w:rsidRDefault="00AB7E58" w:rsidP="00AB7E58">
      <w:pPr>
        <w:tabs>
          <w:tab w:val="left" w:pos="6520"/>
        </w:tabs>
        <w:spacing w:line="360" w:lineRule="auto"/>
        <w:ind w:left="1742" w:right="1560"/>
        <w:jc w:val="both"/>
        <w:rPr>
          <w:rFonts w:ascii="David" w:hAnsi="David"/>
          <w:b/>
          <w:bCs/>
          <w:rtl/>
        </w:rPr>
      </w:pPr>
      <w:r>
        <w:rPr>
          <w:rFonts w:ascii="David" w:hAnsi="David"/>
          <w:b/>
          <w:bCs/>
          <w:rtl/>
        </w:rPr>
        <w:t>"בפסיקה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w:t>
      </w:r>
      <w:r>
        <w:rPr>
          <w:rFonts w:ascii="David" w:hAnsi="David" w:hint="cs"/>
          <w:b/>
          <w:bCs/>
          <w:rtl/>
        </w:rPr>
        <w:t>.</w:t>
      </w:r>
      <w:r>
        <w:rPr>
          <w:rFonts w:ascii="David" w:hAnsi="David"/>
          <w:b/>
          <w:bCs/>
          <w:rtl/>
        </w:rPr>
        <w:t xml:space="preserve"> </w:t>
      </w:r>
    </w:p>
    <w:p w14:paraId="73E44AB7" w14:textId="77777777" w:rsidR="00AB7E58" w:rsidRDefault="00AB7E58" w:rsidP="00AB7E58">
      <w:pPr>
        <w:tabs>
          <w:tab w:val="left" w:pos="6520"/>
        </w:tabs>
        <w:spacing w:line="360" w:lineRule="auto"/>
        <w:ind w:left="1742" w:right="1560"/>
        <w:jc w:val="both"/>
        <w:rPr>
          <w:rFonts w:ascii="David" w:hAnsi="David"/>
          <w:b/>
          <w:bCs/>
          <w:rtl/>
        </w:rPr>
      </w:pPr>
    </w:p>
    <w:p w14:paraId="181352C5" w14:textId="77777777" w:rsidR="00AB7E58" w:rsidRDefault="00AB7E58" w:rsidP="00AB7E58">
      <w:pPr>
        <w:spacing w:line="360" w:lineRule="auto"/>
        <w:ind w:left="720" w:hanging="720"/>
        <w:jc w:val="both"/>
        <w:rPr>
          <w:rFonts w:ascii="David" w:hAnsi="David"/>
          <w:rtl/>
        </w:rPr>
      </w:pPr>
      <w:r>
        <w:rPr>
          <w:rFonts w:ascii="David" w:hAnsi="David"/>
          <w:rtl/>
        </w:rPr>
        <w:t>15.</w:t>
      </w:r>
      <w:r>
        <w:rPr>
          <w:rFonts w:ascii="David" w:hAnsi="David"/>
          <w:rtl/>
        </w:rPr>
        <w:tab/>
        <w:t xml:space="preserve">נוכח המציאות הקשה השוררת בישראל, בהיטשטש הגבולות בין הפלילי לבין הלאומני,  כשהאחד מזין את השני, לעבירות בנשק נודעת חומרה מיוחדת. לעניין זה ראה </w:t>
      </w:r>
      <w:hyperlink r:id="rId21" w:history="1">
        <w:r w:rsidR="008F7361" w:rsidRPr="008F7361">
          <w:rPr>
            <w:rFonts w:ascii="David" w:hAnsi="David"/>
            <w:b/>
            <w:bCs/>
            <w:color w:val="0000FF"/>
            <w:u w:val="single"/>
            <w:rtl/>
          </w:rPr>
          <w:t>ע"פ 2564/19</w:t>
        </w:r>
      </w:hyperlink>
      <w:r>
        <w:rPr>
          <w:rFonts w:ascii="David" w:hAnsi="David"/>
          <w:b/>
          <w:bCs/>
          <w:rtl/>
        </w:rPr>
        <w:t xml:space="preserve"> אזברגה נ' מדינת ישראל</w:t>
      </w:r>
      <w:r>
        <w:rPr>
          <w:rFonts w:ascii="David" w:hAnsi="David"/>
          <w:rtl/>
        </w:rPr>
        <w:t xml:space="preserve"> (18.07.2019):</w:t>
      </w:r>
    </w:p>
    <w:p w14:paraId="385B0A3C" w14:textId="77777777" w:rsidR="00AB7E58" w:rsidRPr="00CE724B" w:rsidRDefault="00AB7E58" w:rsidP="00AB7E58">
      <w:pPr>
        <w:spacing w:line="360" w:lineRule="auto"/>
        <w:ind w:left="720" w:hanging="720"/>
        <w:jc w:val="both"/>
        <w:rPr>
          <w:rFonts w:ascii="David" w:hAnsi="David"/>
          <w:sz w:val="16"/>
          <w:szCs w:val="16"/>
          <w:rtl/>
        </w:rPr>
      </w:pPr>
    </w:p>
    <w:p w14:paraId="17A48241" w14:textId="77777777" w:rsidR="00AB7E58" w:rsidRDefault="00AB7E58" w:rsidP="00AB7E58">
      <w:pPr>
        <w:spacing w:line="360" w:lineRule="auto"/>
        <w:ind w:left="1742" w:right="1418"/>
        <w:jc w:val="both"/>
        <w:rPr>
          <w:rFonts w:ascii="David" w:hAnsi="David"/>
          <w:b/>
          <w:bCs/>
          <w:rtl/>
        </w:rPr>
      </w:pPr>
      <w:r>
        <w:rPr>
          <w:rFonts w:ascii="David" w:hAnsi="David"/>
          <w:b/>
          <w:bCs/>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1D25C504" w14:textId="77777777" w:rsidR="00AB7E58" w:rsidRPr="00CE724B" w:rsidRDefault="00AB7E58" w:rsidP="00AB7E58">
      <w:pPr>
        <w:spacing w:line="360" w:lineRule="auto"/>
        <w:ind w:left="720" w:hanging="720"/>
        <w:jc w:val="both"/>
        <w:rPr>
          <w:rFonts w:ascii="David" w:hAnsi="David"/>
          <w:sz w:val="16"/>
          <w:szCs w:val="16"/>
          <w:rtl/>
        </w:rPr>
      </w:pPr>
    </w:p>
    <w:p w14:paraId="4D03F648" w14:textId="77777777" w:rsidR="00AB7E58" w:rsidRDefault="00AB7E58" w:rsidP="00AB7E58">
      <w:pPr>
        <w:spacing w:line="360" w:lineRule="auto"/>
        <w:ind w:left="720" w:hanging="720"/>
        <w:jc w:val="both"/>
        <w:rPr>
          <w:rFonts w:ascii="David" w:hAnsi="David"/>
          <w:rtl/>
        </w:rPr>
      </w:pPr>
      <w:r>
        <w:rPr>
          <w:rFonts w:ascii="David" w:hAnsi="David"/>
          <w:rtl/>
        </w:rPr>
        <w:t xml:space="preserve">16. </w:t>
      </w:r>
      <w:r>
        <w:rPr>
          <w:rFonts w:ascii="David" w:hAnsi="David"/>
          <w:rtl/>
        </w:rPr>
        <w:tab/>
        <w:t xml:space="preserve">עוד יוער, כפי שכבר ציינתי במקרים דומים, עבירות בנשק מבוצעות לא רק על ידי עבריינים חוזרים אלא גם על ידי צעירים נטולי עבר פלילי ולכאורה נורמטיביים. מציאות זו מחייבת טיפול בתופעה המדאיגה והחמרת הענישה גם עם נאשמים נעדרי עבר פלילי. ראה לעניין זה </w:t>
      </w:r>
      <w:hyperlink r:id="rId22" w:history="1">
        <w:r w:rsidR="008F7361" w:rsidRPr="008F7361">
          <w:rPr>
            <w:rFonts w:ascii="David" w:hAnsi="David"/>
            <w:b/>
            <w:bCs/>
            <w:color w:val="0000FF"/>
            <w:u w:val="single"/>
            <w:rtl/>
          </w:rPr>
          <w:t>ת"פ 18484-07-23</w:t>
        </w:r>
      </w:hyperlink>
      <w:r>
        <w:rPr>
          <w:rFonts w:ascii="David" w:hAnsi="David"/>
          <w:b/>
          <w:bCs/>
          <w:rtl/>
        </w:rPr>
        <w:t xml:space="preserve"> (מחוזי ב"ש) מדינת ישראל נ' אלקרינאוי</w:t>
      </w:r>
      <w:r>
        <w:rPr>
          <w:rFonts w:ascii="David" w:hAnsi="David"/>
          <w:rtl/>
        </w:rPr>
        <w:t xml:space="preserve"> (09.09.24) </w:t>
      </w:r>
      <w:r>
        <w:rPr>
          <w:rFonts w:ascii="David" w:hAnsi="David"/>
          <w:b/>
          <w:bCs/>
          <w:rtl/>
        </w:rPr>
        <w:t>ו</w:t>
      </w:r>
      <w:hyperlink r:id="rId23" w:history="1">
        <w:r w:rsidR="008F7361" w:rsidRPr="008F7361">
          <w:rPr>
            <w:rFonts w:ascii="David" w:hAnsi="David"/>
            <w:b/>
            <w:bCs/>
            <w:color w:val="0000FF"/>
            <w:u w:val="single"/>
            <w:rtl/>
          </w:rPr>
          <w:t>ת"פ 43742-07-22</w:t>
        </w:r>
      </w:hyperlink>
      <w:r>
        <w:rPr>
          <w:rFonts w:ascii="David" w:hAnsi="David"/>
          <w:b/>
          <w:bCs/>
          <w:rtl/>
        </w:rPr>
        <w:t xml:space="preserve"> (מחוזי ב"ש) מדינת ישראל נ' אלסייד </w:t>
      </w:r>
      <w:r>
        <w:rPr>
          <w:rFonts w:ascii="David" w:hAnsi="David"/>
          <w:rtl/>
        </w:rPr>
        <w:t>(25.6.2023).</w:t>
      </w:r>
    </w:p>
    <w:p w14:paraId="2C0BFB1A" w14:textId="77777777" w:rsidR="00AB7E58" w:rsidRPr="00CE724B" w:rsidRDefault="00AB7E58" w:rsidP="00AB7E58">
      <w:pPr>
        <w:spacing w:line="360" w:lineRule="auto"/>
        <w:ind w:left="720" w:hanging="720"/>
        <w:jc w:val="both"/>
        <w:rPr>
          <w:rFonts w:ascii="David" w:hAnsi="David"/>
          <w:sz w:val="8"/>
          <w:szCs w:val="8"/>
          <w:rtl/>
        </w:rPr>
      </w:pPr>
    </w:p>
    <w:p w14:paraId="62ACF134" w14:textId="77777777" w:rsidR="00AB7E58" w:rsidRDefault="00AB7E58" w:rsidP="00AB7E58">
      <w:pPr>
        <w:spacing w:line="360" w:lineRule="auto"/>
        <w:ind w:left="720" w:hanging="720"/>
        <w:jc w:val="both"/>
        <w:rPr>
          <w:rFonts w:ascii="David" w:hAnsi="David"/>
          <w:rtl/>
        </w:rPr>
      </w:pPr>
      <w:r>
        <w:rPr>
          <w:rFonts w:ascii="David" w:hAnsi="David"/>
          <w:rtl/>
        </w:rPr>
        <w:t>17.</w:t>
      </w:r>
      <w:r>
        <w:rPr>
          <w:rFonts w:ascii="David" w:hAnsi="David"/>
          <w:rtl/>
        </w:rPr>
        <w:tab/>
        <w:t xml:space="preserve">בזיקה לאמור אדרש למדגם של הפסיקה הנוהגת תוך שאציין כי בהבניית שיקול הדעת אין הכוונה לעריכת ממוצע סטטיסטי של טווחי ענישה. קשת הענישה בפסיקה רחבה ותלויה בנסיבותיו של המקרה הקונקרטי ובפרמטרים שונים, ובכללם סוג הנשק וכמותו, משך ההחזקה ומטרתה, מיקום ההחזקה, פוטנציאל הסיכון וקיומן של עבירות נלוות, ויש לבצע את ההבחנה הנדרשת לקולא ולחומרא: </w:t>
      </w:r>
    </w:p>
    <w:p w14:paraId="1FAE5326" w14:textId="77777777" w:rsidR="00AB7E58" w:rsidRPr="00CE724B" w:rsidRDefault="00AB7E58" w:rsidP="00AB7E58">
      <w:pPr>
        <w:spacing w:line="360" w:lineRule="auto"/>
        <w:ind w:left="720" w:hanging="720"/>
        <w:jc w:val="both"/>
        <w:rPr>
          <w:rFonts w:ascii="David" w:hAnsi="David"/>
          <w:sz w:val="22"/>
          <w:szCs w:val="22"/>
          <w:rtl/>
        </w:rPr>
      </w:pPr>
    </w:p>
    <w:p w14:paraId="7DB8AAEC" w14:textId="77777777" w:rsidR="00AB7E58" w:rsidRDefault="00AB7E58" w:rsidP="00AB7E58">
      <w:pPr>
        <w:spacing w:line="360" w:lineRule="auto"/>
        <w:ind w:left="1440" w:hanging="720"/>
        <w:jc w:val="both"/>
        <w:rPr>
          <w:rFonts w:ascii="David" w:hAnsi="David"/>
          <w:rtl/>
        </w:rPr>
      </w:pPr>
      <w:r>
        <w:rPr>
          <w:rFonts w:ascii="David" w:hAnsi="David"/>
          <w:rtl/>
        </w:rPr>
        <w:t xml:space="preserve">א. </w:t>
      </w:r>
      <w:r>
        <w:rPr>
          <w:rFonts w:ascii="David" w:hAnsi="David"/>
          <w:rtl/>
        </w:rPr>
        <w:tab/>
      </w:r>
      <w:r>
        <w:rPr>
          <w:rFonts w:ascii="David" w:hAnsi="David"/>
          <w:b/>
          <w:bCs/>
          <w:rtl/>
        </w:rPr>
        <w:t>ב</w:t>
      </w:r>
      <w:hyperlink r:id="rId24" w:history="1">
        <w:r w:rsidR="008F7361" w:rsidRPr="008F7361">
          <w:rPr>
            <w:rFonts w:ascii="David" w:hAnsi="David"/>
            <w:b/>
            <w:bCs/>
            <w:color w:val="0000FF"/>
            <w:u w:val="single"/>
            <w:rtl/>
          </w:rPr>
          <w:t>רע"פ 6265/20</w:t>
        </w:r>
      </w:hyperlink>
      <w:r>
        <w:rPr>
          <w:rFonts w:ascii="David" w:hAnsi="David"/>
          <w:b/>
          <w:bCs/>
          <w:rtl/>
        </w:rPr>
        <w:t xml:space="preserve"> אלקיעאן נ' מדינת ישראל </w:t>
      </w:r>
      <w:r>
        <w:rPr>
          <w:rFonts w:ascii="David" w:hAnsi="David"/>
          <w:rtl/>
        </w:rPr>
        <w:t>( 15.9.20) נדחתה בקשת רשות ערעור של נאשם אשר הורשע לאחר ניהול הוכחות בהחזקת אקדח ומחסנית ברכבו. בית המשפט המחוזי התחשב בעברו הנקי, בנסיבותיו החיוביות ובהתרשמות שירות המבחן, קיבל את ערעורו על גזר הדין של בית משפט השלום והעמיד עונשו על</w:t>
      </w:r>
      <w:r>
        <w:rPr>
          <w:rFonts w:ascii="David" w:hAnsi="David"/>
          <w:b/>
          <w:bCs/>
          <w:rtl/>
        </w:rPr>
        <w:t xml:space="preserve"> 12 </w:t>
      </w:r>
      <w:r>
        <w:rPr>
          <w:rFonts w:ascii="David" w:hAnsi="David"/>
          <w:rtl/>
        </w:rPr>
        <w:t>חודשי מאסר (חלף 15 חודשי מאסר) לצד מאסרים מותנים וקנס בסך 10,000 ש"ח.</w:t>
      </w:r>
    </w:p>
    <w:p w14:paraId="308222EF" w14:textId="77777777" w:rsidR="00AB7E58" w:rsidRDefault="00AB7E58" w:rsidP="00AB7E58">
      <w:pPr>
        <w:spacing w:line="360" w:lineRule="auto"/>
        <w:ind w:left="1440" w:hanging="720"/>
        <w:jc w:val="both"/>
        <w:rPr>
          <w:rFonts w:ascii="David" w:hAnsi="David"/>
          <w:rtl/>
        </w:rPr>
      </w:pPr>
    </w:p>
    <w:p w14:paraId="0B8306C4" w14:textId="77777777" w:rsidR="00AB7E58" w:rsidRDefault="00AB7E58" w:rsidP="00AB7E58">
      <w:pPr>
        <w:spacing w:line="360" w:lineRule="auto"/>
        <w:ind w:left="1440" w:hanging="720"/>
        <w:jc w:val="both"/>
        <w:rPr>
          <w:rFonts w:ascii="David" w:hAnsi="David"/>
          <w:rtl/>
        </w:rPr>
      </w:pPr>
      <w:r>
        <w:rPr>
          <w:rFonts w:ascii="David" w:hAnsi="David"/>
          <w:rtl/>
        </w:rPr>
        <w:t xml:space="preserve">ב. </w:t>
      </w:r>
      <w:r>
        <w:rPr>
          <w:rFonts w:ascii="David" w:hAnsi="David"/>
          <w:rtl/>
        </w:rPr>
        <w:tab/>
      </w:r>
      <w:r>
        <w:rPr>
          <w:rFonts w:ascii="David" w:hAnsi="David"/>
          <w:b/>
          <w:bCs/>
          <w:rtl/>
        </w:rPr>
        <w:t>ב</w:t>
      </w:r>
      <w:hyperlink r:id="rId25" w:history="1">
        <w:r w:rsidR="008F7361" w:rsidRPr="008F7361">
          <w:rPr>
            <w:rFonts w:ascii="David" w:hAnsi="David"/>
            <w:b/>
            <w:bCs/>
            <w:color w:val="0000FF"/>
            <w:u w:val="single"/>
            <w:rtl/>
          </w:rPr>
          <w:t>ע"פ 6011/21</w:t>
        </w:r>
      </w:hyperlink>
      <w:r>
        <w:rPr>
          <w:rFonts w:ascii="David" w:hAnsi="David"/>
          <w:b/>
          <w:bCs/>
          <w:rtl/>
        </w:rPr>
        <w:t xml:space="preserve"> חאלד דסוקי נ' מדינת ישראל (25.11.21)</w:t>
      </w:r>
      <w:r>
        <w:rPr>
          <w:rFonts w:ascii="David" w:hAnsi="David"/>
          <w:rtl/>
        </w:rPr>
        <w:t xml:space="preserve"> נדחה ערעורו של נאשם אשר הורשע בהחזקת אקדח טעון במחסנית ובה 13 כדורים תואמים. על הנאשם הוטלו </w:t>
      </w:r>
      <w:r>
        <w:rPr>
          <w:rFonts w:ascii="David" w:hAnsi="David"/>
          <w:b/>
          <w:bCs/>
          <w:rtl/>
        </w:rPr>
        <w:t>13</w:t>
      </w:r>
      <w:r>
        <w:rPr>
          <w:rFonts w:ascii="David" w:hAnsi="David"/>
          <w:rtl/>
        </w:rPr>
        <w:t xml:space="preserve"> חודשי מאסר לצד מאסר מותנה וקנס.</w:t>
      </w:r>
    </w:p>
    <w:p w14:paraId="3CA73BCF" w14:textId="77777777" w:rsidR="00AB7E58" w:rsidRDefault="00AB7E58" w:rsidP="00AB7E58">
      <w:pPr>
        <w:spacing w:line="360" w:lineRule="auto"/>
        <w:ind w:left="1440" w:hanging="720"/>
        <w:jc w:val="both"/>
        <w:rPr>
          <w:rFonts w:ascii="David" w:hAnsi="David"/>
          <w:rtl/>
        </w:rPr>
      </w:pPr>
    </w:p>
    <w:p w14:paraId="76AE4D49" w14:textId="77777777" w:rsidR="00AB7E58" w:rsidRDefault="00AB7E58" w:rsidP="00AB7E58">
      <w:pPr>
        <w:spacing w:line="360" w:lineRule="auto"/>
        <w:ind w:left="1440" w:hanging="720"/>
        <w:jc w:val="both"/>
        <w:rPr>
          <w:rFonts w:ascii="David" w:hAnsi="David"/>
          <w:rtl/>
        </w:rPr>
      </w:pPr>
      <w:r>
        <w:rPr>
          <w:rFonts w:ascii="David" w:hAnsi="David"/>
          <w:rtl/>
        </w:rPr>
        <w:t>ג.</w:t>
      </w:r>
      <w:r>
        <w:rPr>
          <w:rFonts w:ascii="David" w:hAnsi="David"/>
          <w:rtl/>
        </w:rPr>
        <w:tab/>
      </w:r>
      <w:r>
        <w:rPr>
          <w:rFonts w:ascii="David" w:hAnsi="David"/>
          <w:b/>
          <w:bCs/>
          <w:rtl/>
        </w:rPr>
        <w:t>ב</w:t>
      </w:r>
      <w:hyperlink r:id="rId26" w:history="1">
        <w:r w:rsidR="008F7361" w:rsidRPr="008F7361">
          <w:rPr>
            <w:rFonts w:ascii="David" w:hAnsi="David"/>
            <w:b/>
            <w:bCs/>
            <w:color w:val="0000FF"/>
            <w:u w:val="single"/>
            <w:rtl/>
          </w:rPr>
          <w:t>ע"פ 2015/21</w:t>
        </w:r>
      </w:hyperlink>
      <w:r>
        <w:rPr>
          <w:rFonts w:ascii="David" w:hAnsi="David"/>
          <w:b/>
          <w:bCs/>
          <w:rtl/>
        </w:rPr>
        <w:t xml:space="preserve"> אחמד אזברגה נ' מדינת ישראל</w:t>
      </w:r>
      <w:r>
        <w:rPr>
          <w:rFonts w:ascii="David" w:hAnsi="David"/>
          <w:rtl/>
        </w:rPr>
        <w:t xml:space="preserve"> (09.12.21)</w:t>
      </w:r>
      <w:r>
        <w:rPr>
          <w:rFonts w:ascii="David" w:hAnsi="David"/>
          <w:b/>
          <w:bCs/>
          <w:rtl/>
        </w:rPr>
        <w:t xml:space="preserve"> </w:t>
      </w:r>
      <w:r>
        <w:rPr>
          <w:rFonts w:ascii="David" w:hAnsi="David"/>
          <w:rtl/>
        </w:rPr>
        <w:t xml:space="preserve">נדחה ערעורו של נאשם אשר הורשע על יסוד הודאתו בעבירות בנשק (החזקה) לפי </w:t>
      </w:r>
      <w:hyperlink r:id="rId27" w:history="1">
        <w:r w:rsidR="0006630E" w:rsidRPr="0006630E">
          <w:rPr>
            <w:rStyle w:val="Hyperlink"/>
            <w:rFonts w:ascii="David" w:hAnsi="David"/>
            <w:rtl/>
          </w:rPr>
          <w:t>סעיף 144(א)</w:t>
        </w:r>
      </w:hyperlink>
      <w:r>
        <w:rPr>
          <w:rFonts w:ascii="David" w:hAnsi="David"/>
          <w:rtl/>
        </w:rPr>
        <w:t xml:space="preserve"> ל</w:t>
      </w:r>
      <w:hyperlink r:id="rId28" w:history="1">
        <w:r w:rsidR="008F7361" w:rsidRPr="008F7361">
          <w:rPr>
            <w:rFonts w:ascii="David" w:hAnsi="David"/>
            <w:color w:val="0000FF"/>
            <w:u w:val="single"/>
            <w:rtl/>
          </w:rPr>
          <w:t>חוק העונשין</w:t>
        </w:r>
      </w:hyperlink>
      <w:r>
        <w:rPr>
          <w:rFonts w:ascii="David" w:hAnsi="David"/>
          <w:rtl/>
        </w:rPr>
        <w:t xml:space="preserve">. הנאשם נהג ברכב כשהוא מחזיק שני אקדחים. בעקבות חיפוש שנערך במחסום משטרתי נתפסו שני האקדחים. בבית המשפט המחוזי נצרת (17746-08-19) נקבע מתחם ענישה הולם הנע בין 12 ל-30 חודשים. על הנאשם בעל עבר פלילי שאינו מכביד הוטלו </w:t>
      </w:r>
      <w:r>
        <w:rPr>
          <w:rFonts w:ascii="David" w:hAnsi="David"/>
          <w:b/>
          <w:bCs/>
          <w:rtl/>
        </w:rPr>
        <w:t>16</w:t>
      </w:r>
      <w:r>
        <w:rPr>
          <w:rFonts w:ascii="David" w:hAnsi="David"/>
          <w:rtl/>
        </w:rPr>
        <w:t xml:space="preserve"> חודשי מאסר בפועל, מאסר מותנה וקנס. </w:t>
      </w:r>
    </w:p>
    <w:p w14:paraId="17D7E89A" w14:textId="77777777" w:rsidR="00AB7E58" w:rsidRDefault="00AB7E58" w:rsidP="00AB7E58">
      <w:pPr>
        <w:spacing w:line="360" w:lineRule="auto"/>
        <w:ind w:left="1440" w:hanging="720"/>
        <w:jc w:val="both"/>
        <w:rPr>
          <w:rFonts w:ascii="David" w:hAnsi="David"/>
          <w:rtl/>
        </w:rPr>
      </w:pPr>
    </w:p>
    <w:p w14:paraId="510311D1" w14:textId="77777777" w:rsidR="00AB7E58" w:rsidRDefault="00AB7E58" w:rsidP="00AB7E58">
      <w:pPr>
        <w:spacing w:line="360" w:lineRule="auto"/>
        <w:ind w:left="1440" w:hanging="720"/>
        <w:jc w:val="both"/>
        <w:rPr>
          <w:rFonts w:ascii="David" w:hAnsi="David"/>
          <w:rtl/>
        </w:rPr>
      </w:pPr>
      <w:r>
        <w:rPr>
          <w:rFonts w:ascii="David" w:hAnsi="David"/>
          <w:rtl/>
        </w:rPr>
        <w:t>ד.</w:t>
      </w:r>
      <w:r>
        <w:rPr>
          <w:rFonts w:ascii="David" w:hAnsi="David"/>
          <w:rtl/>
        </w:rPr>
        <w:tab/>
      </w:r>
      <w:r>
        <w:rPr>
          <w:rFonts w:ascii="David" w:hAnsi="David"/>
          <w:b/>
          <w:bCs/>
          <w:rtl/>
        </w:rPr>
        <w:t>ב</w:t>
      </w:r>
      <w:hyperlink r:id="rId29" w:history="1">
        <w:r w:rsidR="008F7361" w:rsidRPr="008F7361">
          <w:rPr>
            <w:rFonts w:ascii="David" w:hAnsi="David"/>
            <w:b/>
            <w:bCs/>
            <w:color w:val="0000FF"/>
            <w:u w:val="single"/>
            <w:rtl/>
          </w:rPr>
          <w:t>רע"פ 5613/20</w:t>
        </w:r>
      </w:hyperlink>
      <w:r>
        <w:rPr>
          <w:rFonts w:ascii="David" w:hAnsi="David"/>
          <w:b/>
          <w:bCs/>
          <w:rtl/>
        </w:rPr>
        <w:t xml:space="preserve"> זאקי אלהוזייל נ' מדינת ישראל</w:t>
      </w:r>
      <w:r>
        <w:rPr>
          <w:rFonts w:ascii="David" w:hAnsi="David"/>
          <w:rtl/>
        </w:rPr>
        <w:t xml:space="preserve"> (25.08.20) נדחתה בקשת רשות ערעור של נאשם אשר הורשע על יסוד הודאתו בעבירות של החזקת נשק ותחמושת שלא כדין, לפי </w:t>
      </w:r>
      <w:hyperlink r:id="rId30" w:history="1">
        <w:r w:rsidR="0006630E" w:rsidRPr="0006630E">
          <w:rPr>
            <w:rStyle w:val="Hyperlink"/>
            <w:rFonts w:ascii="David" w:hAnsi="David"/>
            <w:rtl/>
          </w:rPr>
          <w:t>סעיף 144(א)</w:t>
        </w:r>
      </w:hyperlink>
      <w:r>
        <w:rPr>
          <w:rFonts w:ascii="David" w:hAnsi="David"/>
          <w:rtl/>
        </w:rPr>
        <w:t xml:space="preserve"> רישא וסיפא ל</w:t>
      </w:r>
      <w:hyperlink r:id="rId31" w:history="1">
        <w:r w:rsidR="008F7361" w:rsidRPr="008F7361">
          <w:rPr>
            <w:rFonts w:ascii="David" w:hAnsi="David"/>
            <w:color w:val="0000FF"/>
            <w:u w:val="single"/>
            <w:rtl/>
          </w:rPr>
          <w:t>חוק העונשין</w:t>
        </w:r>
      </w:hyperlink>
      <w:r>
        <w:rPr>
          <w:rFonts w:ascii="David" w:hAnsi="David"/>
          <w:rtl/>
        </w:rPr>
        <w:t xml:space="preserve">. הנאשם החזיק במקום מגוריו אקדח מסוג </w:t>
      </w:r>
      <w:r>
        <w:rPr>
          <w:rFonts w:ascii="David" w:hAnsi="David"/>
        </w:rPr>
        <w:t>FN</w:t>
      </w:r>
      <w:r>
        <w:rPr>
          <w:rFonts w:ascii="David" w:hAnsi="David"/>
          <w:rtl/>
        </w:rPr>
        <w:t xml:space="preserve"> בקוטר 9 מ"מ, וכן 20 כדורים בעלי קוטר זהה. בערכאה הדיונית נקבע מתחם עונש הולם הנע בין 11–33 חודשי מאסר בפועל. על הנאשם בעל עבר פלילי ישן וחרף המלצה חיובית של שירות מבחן - הוטלו </w:t>
      </w:r>
      <w:r>
        <w:rPr>
          <w:rFonts w:ascii="David" w:hAnsi="David"/>
          <w:b/>
          <w:bCs/>
          <w:rtl/>
        </w:rPr>
        <w:t>12</w:t>
      </w:r>
      <w:r>
        <w:rPr>
          <w:rFonts w:ascii="David" w:hAnsi="David"/>
          <w:rtl/>
        </w:rPr>
        <w:t xml:space="preserve"> חודשי מאסר בפועל, לצד מאסר מותנה.  </w:t>
      </w:r>
    </w:p>
    <w:p w14:paraId="7DCF6FC4" w14:textId="77777777" w:rsidR="00AB7E58" w:rsidRPr="00CE724B" w:rsidRDefault="00AB7E58" w:rsidP="00AB7E58">
      <w:pPr>
        <w:spacing w:line="360" w:lineRule="auto"/>
        <w:ind w:left="1440" w:hanging="720"/>
        <w:jc w:val="both"/>
        <w:rPr>
          <w:rFonts w:ascii="David" w:hAnsi="David"/>
          <w:sz w:val="14"/>
          <w:szCs w:val="14"/>
          <w:rtl/>
        </w:rPr>
      </w:pPr>
    </w:p>
    <w:p w14:paraId="19FFA12D" w14:textId="77777777" w:rsidR="00AB7E58" w:rsidRDefault="00AB7E58" w:rsidP="00AB7E58">
      <w:pPr>
        <w:spacing w:line="360" w:lineRule="auto"/>
        <w:ind w:left="1440" w:hanging="720"/>
        <w:jc w:val="both"/>
        <w:rPr>
          <w:rFonts w:ascii="David" w:hAnsi="David"/>
          <w:rtl/>
        </w:rPr>
      </w:pPr>
      <w:r>
        <w:rPr>
          <w:rFonts w:ascii="David" w:hAnsi="David"/>
          <w:rtl/>
        </w:rPr>
        <w:t>ה.</w:t>
      </w:r>
      <w:r>
        <w:rPr>
          <w:rFonts w:ascii="David" w:hAnsi="David"/>
          <w:b/>
          <w:bCs/>
          <w:rtl/>
        </w:rPr>
        <w:tab/>
        <w:t>ב</w:t>
      </w:r>
      <w:hyperlink r:id="rId32" w:history="1">
        <w:r w:rsidR="008F7361" w:rsidRPr="008F7361">
          <w:rPr>
            <w:rFonts w:ascii="David" w:hAnsi="David"/>
            <w:b/>
            <w:bCs/>
            <w:color w:val="0000FF"/>
            <w:u w:val="single"/>
            <w:rtl/>
          </w:rPr>
          <w:t>ת"פ (מח' מרכז) 42197-05-22</w:t>
        </w:r>
      </w:hyperlink>
      <w:r>
        <w:rPr>
          <w:rFonts w:ascii="David" w:hAnsi="David"/>
          <w:b/>
          <w:bCs/>
          <w:rtl/>
        </w:rPr>
        <w:t xml:space="preserve"> מדינת ישראל נ' גולן גד אטון</w:t>
      </w:r>
      <w:r>
        <w:rPr>
          <w:rFonts w:ascii="David" w:hAnsi="David"/>
          <w:rtl/>
        </w:rPr>
        <w:t xml:space="preserve"> (15.09.22) הורשע הנאשם על יסוד הודאתו בהחזקת נשק, אביזר נשק ותחמושת שלא כדין, לפי </w:t>
      </w:r>
      <w:hyperlink r:id="rId33" w:history="1">
        <w:r w:rsidR="0006630E" w:rsidRPr="0006630E">
          <w:rPr>
            <w:rStyle w:val="Hyperlink"/>
            <w:rFonts w:ascii="David" w:hAnsi="David"/>
            <w:rtl/>
          </w:rPr>
          <w:t>סעיף 144(א)</w:t>
        </w:r>
      </w:hyperlink>
      <w:r>
        <w:rPr>
          <w:rFonts w:ascii="David" w:hAnsi="David"/>
          <w:rtl/>
        </w:rPr>
        <w:t xml:space="preserve"> רישא וסיפא ל</w:t>
      </w:r>
      <w:hyperlink r:id="rId34" w:history="1">
        <w:r w:rsidR="008F7361" w:rsidRPr="008F7361">
          <w:rPr>
            <w:rFonts w:ascii="David" w:hAnsi="David"/>
            <w:color w:val="0000FF"/>
            <w:u w:val="single"/>
            <w:rtl/>
          </w:rPr>
          <w:t>חוק העונשין</w:t>
        </w:r>
      </w:hyperlink>
      <w:r>
        <w:rPr>
          <w:rFonts w:ascii="David" w:hAnsi="David"/>
          <w:rtl/>
        </w:rPr>
        <w:t xml:space="preserve"> הנאשם החזיק אקדח מסוג "ברטה" טעון במחסנית המכילה תחמושת תואמת כשהוא מוסלק מתחת למכולה בשטח המשק בו מתגורר. נקבע מתחם ענישה הולם הנע בין 14-30 חודשי מאסר. על הנאשם בעל עבר פלילי, הוטלו </w:t>
      </w:r>
      <w:r>
        <w:rPr>
          <w:rFonts w:ascii="David" w:hAnsi="David"/>
          <w:b/>
          <w:bCs/>
          <w:rtl/>
        </w:rPr>
        <w:t>15</w:t>
      </w:r>
      <w:r>
        <w:rPr>
          <w:rFonts w:ascii="David" w:hAnsi="David"/>
          <w:rtl/>
        </w:rPr>
        <w:t xml:space="preserve"> חודשי מאסר בפועל, מאסר מותנה וקנס בסך 5,000 ₪.   </w:t>
      </w:r>
    </w:p>
    <w:p w14:paraId="7ED6EF45" w14:textId="77777777" w:rsidR="00AB7E58" w:rsidRDefault="00AB7E58" w:rsidP="00AB7E58">
      <w:pPr>
        <w:spacing w:line="360" w:lineRule="auto"/>
        <w:ind w:left="1440" w:hanging="720"/>
        <w:jc w:val="both"/>
        <w:rPr>
          <w:rFonts w:ascii="David" w:hAnsi="David"/>
          <w:rtl/>
        </w:rPr>
      </w:pPr>
    </w:p>
    <w:p w14:paraId="16A6258D" w14:textId="77777777" w:rsidR="00AB7E58" w:rsidRDefault="00AB7E58" w:rsidP="00AB7E58">
      <w:pPr>
        <w:spacing w:line="360" w:lineRule="auto"/>
        <w:ind w:left="1440" w:hanging="720"/>
        <w:jc w:val="both"/>
        <w:rPr>
          <w:rFonts w:ascii="David" w:hAnsi="David"/>
          <w:rtl/>
        </w:rPr>
      </w:pPr>
      <w:r>
        <w:rPr>
          <w:rFonts w:ascii="David" w:hAnsi="David"/>
          <w:rtl/>
        </w:rPr>
        <w:t>ו.</w:t>
      </w:r>
      <w:r>
        <w:rPr>
          <w:rFonts w:ascii="David" w:hAnsi="David"/>
          <w:rtl/>
        </w:rPr>
        <w:tab/>
      </w:r>
      <w:r>
        <w:rPr>
          <w:rFonts w:ascii="David" w:hAnsi="David"/>
          <w:b/>
          <w:bCs/>
          <w:rtl/>
        </w:rPr>
        <w:t>ב</w:t>
      </w:r>
      <w:hyperlink r:id="rId35" w:history="1">
        <w:r w:rsidR="008F7361" w:rsidRPr="008F7361">
          <w:rPr>
            <w:rFonts w:ascii="David" w:hAnsi="David"/>
            <w:b/>
            <w:bCs/>
            <w:color w:val="0000FF"/>
            <w:u w:val="single"/>
            <w:rtl/>
          </w:rPr>
          <w:t>עפ"ג (מח' ב"ש) 23083-03-19</w:t>
        </w:r>
      </w:hyperlink>
      <w:r>
        <w:rPr>
          <w:rFonts w:ascii="David" w:hAnsi="David"/>
          <w:b/>
          <w:bCs/>
          <w:rtl/>
        </w:rPr>
        <w:t xml:space="preserve"> סאלם אבו מדע'ם ואח' נ' מדינת ישראל</w:t>
      </w:r>
      <w:r>
        <w:rPr>
          <w:rFonts w:ascii="David" w:hAnsi="David"/>
          <w:rtl/>
        </w:rPr>
        <w:t xml:space="preserve"> (17.07.19) התקבל ערעורו של הנאשם 1 אשר הורשע על יסוד הודאתו בעבירות בנשק - החזקת נשק ותחמושת לפי </w:t>
      </w:r>
      <w:hyperlink r:id="rId36" w:history="1">
        <w:r w:rsidR="0006630E" w:rsidRPr="0006630E">
          <w:rPr>
            <w:rStyle w:val="Hyperlink"/>
            <w:rFonts w:ascii="David" w:hAnsi="David"/>
            <w:rtl/>
          </w:rPr>
          <w:t>סעיף 144(א)</w:t>
        </w:r>
      </w:hyperlink>
      <w:r>
        <w:rPr>
          <w:rFonts w:ascii="David" w:hAnsi="David"/>
          <w:rtl/>
        </w:rPr>
        <w:t xml:space="preserve"> רישא וסיפא ל</w:t>
      </w:r>
      <w:hyperlink r:id="rId37" w:history="1">
        <w:r w:rsidR="008F7361" w:rsidRPr="008F7361">
          <w:rPr>
            <w:rFonts w:ascii="David" w:hAnsi="David"/>
            <w:color w:val="0000FF"/>
            <w:u w:val="single"/>
            <w:rtl/>
          </w:rPr>
          <w:t>חוק העונשין</w:t>
        </w:r>
      </w:hyperlink>
      <w:r>
        <w:rPr>
          <w:rFonts w:ascii="David" w:hAnsi="David"/>
          <w:rtl/>
        </w:rPr>
        <w:t>. הנאשם הורשע בכך שבמהלך חיפוש בביתו תפסה המשטרה אקדח חצי אוטומטי 9 מ"מ, 55 כדורים בקוטר 9 מ"מ ו- 3 מחסניות טעונות. ב</w:t>
      </w:r>
      <w:hyperlink r:id="rId38" w:history="1">
        <w:r w:rsidR="008F7361" w:rsidRPr="008F7361">
          <w:rPr>
            <w:rFonts w:ascii="David" w:hAnsi="David"/>
            <w:color w:val="0000FF"/>
            <w:u w:val="single"/>
            <w:rtl/>
          </w:rPr>
          <w:t>ת"פ (שלום ב"ש) 60805-07-19</w:t>
        </w:r>
      </w:hyperlink>
      <w:r>
        <w:rPr>
          <w:rFonts w:ascii="David" w:hAnsi="David"/>
          <w:rtl/>
        </w:rPr>
        <w:t xml:space="preserve"> נקבע מתחם עונש הולם הנע בין 15 ל- 30 חודשי מאסר בפועל. על הנאשם 1 הוטלו </w:t>
      </w:r>
      <w:r>
        <w:rPr>
          <w:rFonts w:ascii="David" w:hAnsi="David"/>
          <w:b/>
          <w:bCs/>
          <w:rtl/>
        </w:rPr>
        <w:t>14</w:t>
      </w:r>
      <w:r>
        <w:rPr>
          <w:rFonts w:ascii="David" w:hAnsi="David"/>
          <w:rtl/>
        </w:rPr>
        <w:t xml:space="preserve"> חודשי מאסר בפועל לצד מאסר מותנה וקנס בסך 10,000 ש"ח (חלף 18 חודשים שהוטלו בערכה הדיונית) העונש הופחת על רקע נסיבותיו האישיות, גילו והעדר עבר פלילי.</w:t>
      </w:r>
    </w:p>
    <w:p w14:paraId="7EFB52E2" w14:textId="77777777" w:rsidR="00AB7E58" w:rsidRDefault="00AB7E58" w:rsidP="00AB7E58">
      <w:pPr>
        <w:spacing w:line="360" w:lineRule="auto"/>
        <w:ind w:left="1440" w:hanging="720"/>
        <w:jc w:val="both"/>
        <w:rPr>
          <w:rFonts w:ascii="David" w:hAnsi="David"/>
          <w:rtl/>
        </w:rPr>
      </w:pPr>
    </w:p>
    <w:p w14:paraId="0AA79EF1" w14:textId="77777777" w:rsidR="00AB7E58" w:rsidRDefault="00AB7E58" w:rsidP="00AB7E58">
      <w:pPr>
        <w:spacing w:line="360" w:lineRule="auto"/>
        <w:ind w:left="1440" w:hanging="720"/>
        <w:jc w:val="both"/>
        <w:rPr>
          <w:rFonts w:ascii="David" w:hAnsi="David"/>
          <w:rtl/>
        </w:rPr>
      </w:pPr>
      <w:r>
        <w:rPr>
          <w:rFonts w:ascii="David" w:hAnsi="David"/>
          <w:rtl/>
        </w:rPr>
        <w:t>ז.</w:t>
      </w:r>
      <w:r>
        <w:rPr>
          <w:rFonts w:ascii="David" w:hAnsi="David"/>
          <w:rtl/>
        </w:rPr>
        <w:tab/>
      </w:r>
      <w:r>
        <w:rPr>
          <w:rFonts w:ascii="David" w:hAnsi="David"/>
          <w:b/>
          <w:bCs/>
          <w:rtl/>
        </w:rPr>
        <w:t>ב</w:t>
      </w:r>
      <w:hyperlink r:id="rId39" w:history="1">
        <w:r w:rsidR="008F7361" w:rsidRPr="008F7361">
          <w:rPr>
            <w:rFonts w:ascii="David" w:hAnsi="David"/>
            <w:b/>
            <w:bCs/>
            <w:color w:val="0000FF"/>
            <w:u w:val="single"/>
            <w:rtl/>
          </w:rPr>
          <w:t>ת"פ (שלום ב"ש) 35396-04-22</w:t>
        </w:r>
      </w:hyperlink>
      <w:r>
        <w:rPr>
          <w:rFonts w:ascii="David" w:hAnsi="David"/>
          <w:b/>
          <w:bCs/>
          <w:rtl/>
        </w:rPr>
        <w:t xml:space="preserve"> מדינת ישראל נ' מחמד אלהוזייל</w:t>
      </w:r>
      <w:r>
        <w:rPr>
          <w:rFonts w:ascii="David" w:hAnsi="David"/>
          <w:rtl/>
        </w:rPr>
        <w:t xml:space="preserve"> (29.12.22) הורשע הנאשם על יסוד הודאתו  בעבירות בנשק - החזקת תחמושת ונשק - לפי </w:t>
      </w:r>
      <w:hyperlink r:id="rId40" w:history="1">
        <w:r w:rsidR="0006630E" w:rsidRPr="0006630E">
          <w:rPr>
            <w:rStyle w:val="Hyperlink"/>
            <w:rFonts w:ascii="David" w:hAnsi="David"/>
            <w:rtl/>
          </w:rPr>
          <w:t>סעיף 144(א)</w:t>
        </w:r>
      </w:hyperlink>
      <w:r>
        <w:rPr>
          <w:rFonts w:ascii="David" w:hAnsi="David"/>
          <w:rtl/>
        </w:rPr>
        <w:t xml:space="preserve"> רישא וסיפא ל</w:t>
      </w:r>
      <w:hyperlink r:id="rId41" w:history="1">
        <w:r w:rsidR="008F7361" w:rsidRPr="008F7361">
          <w:rPr>
            <w:rFonts w:ascii="David" w:hAnsi="David"/>
            <w:color w:val="0000FF"/>
            <w:u w:val="single"/>
            <w:rtl/>
          </w:rPr>
          <w:t>חוק העונשין</w:t>
        </w:r>
      </w:hyperlink>
      <w:r>
        <w:rPr>
          <w:rFonts w:ascii="David" w:hAnsi="David"/>
          <w:rtl/>
        </w:rPr>
        <w:t xml:space="preserve"> וכן בהתנגדות למעצר, לפי </w:t>
      </w:r>
      <w:hyperlink r:id="rId42" w:history="1">
        <w:r w:rsidR="0006630E" w:rsidRPr="0006630E">
          <w:rPr>
            <w:rStyle w:val="Hyperlink"/>
            <w:rFonts w:ascii="David" w:hAnsi="David"/>
            <w:rtl/>
          </w:rPr>
          <w:t>סעיף 47</w:t>
        </w:r>
      </w:hyperlink>
      <w:r>
        <w:rPr>
          <w:rFonts w:ascii="David" w:hAnsi="David"/>
          <w:rtl/>
        </w:rPr>
        <w:t xml:space="preserve"> ל</w:t>
      </w:r>
      <w:hyperlink r:id="rId43" w:history="1">
        <w:r w:rsidR="008F7361" w:rsidRPr="008F7361">
          <w:rPr>
            <w:rFonts w:ascii="David" w:hAnsi="David"/>
            <w:color w:val="0000FF"/>
            <w:u w:val="single"/>
            <w:rtl/>
          </w:rPr>
          <w:t>פקודת סדר הדין הפלילי (מעצר וחיפוש)</w:t>
        </w:r>
      </w:hyperlink>
      <w:r>
        <w:rPr>
          <w:rFonts w:ascii="David" w:hAnsi="David"/>
          <w:rtl/>
        </w:rPr>
        <w:t xml:space="preserve">. הנאשם החזיק אקדח חצי אוטומטי מסוג וולטר, ומחסנית תואמת וטעונה בשישה כדורי תשעה מ''מ. הנאשם החזיק את המחסנית בכיסו ואת האקדח הטמין בשיחים. כשנקרא לעצור התנגד למעצרו, ותוך כדי כך פגע בעינו של השוטר. נקבע מתחם ענישה הנע בין 20-40 חודשי מאסר בפועל, ועונשים נלווים. על הנאשם, נעדר עבר פלילי הוטלו </w:t>
      </w:r>
      <w:r>
        <w:rPr>
          <w:rFonts w:ascii="David" w:hAnsi="David"/>
          <w:b/>
          <w:bCs/>
          <w:rtl/>
        </w:rPr>
        <w:t>24</w:t>
      </w:r>
      <w:r>
        <w:rPr>
          <w:rFonts w:ascii="David" w:hAnsi="David"/>
          <w:rtl/>
        </w:rPr>
        <w:t xml:space="preserve"> חודשי מאסר בפועל ומאסר מותנה. </w:t>
      </w:r>
    </w:p>
    <w:p w14:paraId="5B893A52" w14:textId="77777777" w:rsidR="00AB7E58" w:rsidRDefault="00AB7E58" w:rsidP="00AB7E58">
      <w:pPr>
        <w:spacing w:line="360" w:lineRule="auto"/>
        <w:ind w:left="720"/>
        <w:contextualSpacing/>
        <w:jc w:val="both"/>
        <w:rPr>
          <w:rFonts w:ascii="David" w:hAnsi="David"/>
          <w:rtl/>
        </w:rPr>
      </w:pPr>
    </w:p>
    <w:p w14:paraId="3A8F5386" w14:textId="77777777" w:rsidR="00AB7E58" w:rsidRDefault="00AB7E58" w:rsidP="00AB7E58">
      <w:pPr>
        <w:spacing w:line="360" w:lineRule="auto"/>
        <w:ind w:left="1440" w:hanging="720"/>
        <w:contextualSpacing/>
        <w:jc w:val="both"/>
        <w:rPr>
          <w:rFonts w:ascii="David" w:hAnsi="David"/>
          <w:rtl/>
        </w:rPr>
      </w:pPr>
      <w:r>
        <w:rPr>
          <w:rFonts w:ascii="David" w:hAnsi="David"/>
          <w:rtl/>
        </w:rPr>
        <w:t>ח.</w:t>
      </w:r>
      <w:r>
        <w:rPr>
          <w:rFonts w:ascii="David" w:hAnsi="David"/>
          <w:rtl/>
        </w:rPr>
        <w:tab/>
      </w:r>
      <w:r>
        <w:rPr>
          <w:rFonts w:ascii="David" w:hAnsi="David"/>
          <w:b/>
          <w:bCs/>
          <w:rtl/>
        </w:rPr>
        <w:t>ב</w:t>
      </w:r>
      <w:hyperlink r:id="rId44" w:history="1">
        <w:r w:rsidR="008F7361" w:rsidRPr="008F7361">
          <w:rPr>
            <w:rFonts w:ascii="David" w:hAnsi="David"/>
            <w:b/>
            <w:bCs/>
            <w:color w:val="0000FF"/>
            <w:u w:val="single"/>
            <w:rtl/>
          </w:rPr>
          <w:t>ת"פ (שלום ב"ש) 60805-07-19</w:t>
        </w:r>
      </w:hyperlink>
      <w:r>
        <w:rPr>
          <w:rFonts w:ascii="David" w:hAnsi="David"/>
          <w:b/>
          <w:bCs/>
          <w:rtl/>
        </w:rPr>
        <w:t xml:space="preserve"> מדינת ישראל  נ' חמזה ג'בר אלקאדי</w:t>
      </w:r>
      <w:r>
        <w:rPr>
          <w:rFonts w:ascii="David" w:hAnsi="David"/>
          <w:rtl/>
        </w:rPr>
        <w:t xml:space="preserve"> (02.02.20), הורשע נאשם על יסוד הודאתו בעבירות של החזקת נשק ותחמושת שלא כדין, בניגוד </w:t>
      </w:r>
      <w:hyperlink r:id="rId45" w:history="1">
        <w:r w:rsidR="0006630E" w:rsidRPr="0006630E">
          <w:rPr>
            <w:rStyle w:val="Hyperlink"/>
            <w:rFonts w:ascii="David" w:hAnsi="David"/>
            <w:rtl/>
          </w:rPr>
          <w:t>לסעיף 144(א)</w:t>
        </w:r>
      </w:hyperlink>
      <w:r>
        <w:rPr>
          <w:rFonts w:ascii="David" w:hAnsi="David"/>
          <w:rtl/>
        </w:rPr>
        <w:t xml:space="preserve"> רישא וסיפא ל</w:t>
      </w:r>
      <w:hyperlink r:id="rId46" w:history="1">
        <w:r w:rsidR="008F7361" w:rsidRPr="008F7361">
          <w:rPr>
            <w:rFonts w:ascii="David" w:hAnsi="David"/>
            <w:color w:val="0000FF"/>
            <w:u w:val="single"/>
            <w:rtl/>
          </w:rPr>
          <w:t>חוק העונשין</w:t>
        </w:r>
      </w:hyperlink>
      <w:r>
        <w:rPr>
          <w:rFonts w:ascii="David" w:hAnsi="David"/>
          <w:rtl/>
        </w:rPr>
        <w:t xml:space="preserve">. הנאשם החזיק בתא המטען ברכבו, אקדח חצי אוטומטי ובתוכו מחסנית טעונה ב-10 כדורים בקוטר 9 מ"מ. נקבע מתחם עונש הולם הנע בין 15 - 30 חודשי מאסר בפועל. על הנאשם בעל עבר פלילי, הוטלו </w:t>
      </w:r>
      <w:r>
        <w:rPr>
          <w:rFonts w:ascii="David" w:hAnsi="David"/>
          <w:b/>
          <w:bCs/>
          <w:rtl/>
        </w:rPr>
        <w:t>18</w:t>
      </w:r>
      <w:r>
        <w:rPr>
          <w:rFonts w:ascii="David" w:hAnsi="David"/>
          <w:rtl/>
        </w:rPr>
        <w:t xml:space="preserve"> חודשי מאסר לצד מאסרים מותנים וקנס בסך 7,500 ₪  ורכבו חולט לטובת אוצר המדינה.</w:t>
      </w:r>
    </w:p>
    <w:p w14:paraId="27841F90" w14:textId="77777777" w:rsidR="00AB7E58" w:rsidRPr="00CE724B" w:rsidRDefault="00AB7E58" w:rsidP="00AB7E58">
      <w:pPr>
        <w:spacing w:line="360" w:lineRule="auto"/>
        <w:ind w:left="1440" w:hanging="720"/>
        <w:contextualSpacing/>
        <w:jc w:val="both"/>
        <w:rPr>
          <w:rFonts w:ascii="David" w:hAnsi="David"/>
          <w:sz w:val="14"/>
          <w:szCs w:val="14"/>
          <w:rtl/>
        </w:rPr>
      </w:pPr>
      <w:r w:rsidRPr="00CE724B">
        <w:rPr>
          <w:rFonts w:ascii="David" w:hAnsi="David"/>
          <w:sz w:val="14"/>
          <w:szCs w:val="14"/>
          <w:rtl/>
        </w:rPr>
        <w:t xml:space="preserve">   </w:t>
      </w:r>
    </w:p>
    <w:p w14:paraId="12BB8FA9" w14:textId="77777777" w:rsidR="00AB7E58" w:rsidRDefault="00AB7E58" w:rsidP="00AB7E58">
      <w:pPr>
        <w:spacing w:line="360" w:lineRule="auto"/>
        <w:ind w:left="720" w:hanging="720"/>
        <w:jc w:val="both"/>
        <w:rPr>
          <w:rFonts w:ascii="David" w:hAnsi="David"/>
          <w:rtl/>
        </w:rPr>
      </w:pPr>
      <w:r>
        <w:rPr>
          <w:rFonts w:ascii="David" w:hAnsi="David"/>
          <w:rtl/>
        </w:rPr>
        <w:t>18.</w:t>
      </w:r>
      <w:r>
        <w:rPr>
          <w:rFonts w:ascii="David" w:hAnsi="David"/>
          <w:rtl/>
        </w:rPr>
        <w:tab/>
        <w:t>יוער כי מעיון בפסיקה אותה הציגו הצדדים עולה כי חלקה עוסקת בנסיבות חמורות מהמקרה שבענייננו בבחינת סוג הנשק (ארוך לעומת קצר), סוג העבירה (נשיאה והובלה לעומת החזקה והמצאות תחמושת) וקיומן של עבירות נלוות.</w:t>
      </w:r>
    </w:p>
    <w:p w14:paraId="408310A6" w14:textId="77777777" w:rsidR="00AB7E58" w:rsidRPr="00CE724B" w:rsidRDefault="00AB7E58" w:rsidP="00AB7E58">
      <w:pPr>
        <w:spacing w:line="360" w:lineRule="auto"/>
        <w:ind w:left="720" w:hanging="720"/>
        <w:jc w:val="both"/>
        <w:rPr>
          <w:rFonts w:ascii="David" w:hAnsi="David"/>
          <w:b/>
          <w:bCs/>
          <w:sz w:val="16"/>
          <w:szCs w:val="16"/>
          <w:rtl/>
        </w:rPr>
      </w:pPr>
    </w:p>
    <w:p w14:paraId="7F228A5D" w14:textId="77777777" w:rsidR="00AB7E58" w:rsidRDefault="00AB7E58" w:rsidP="00AB7E58">
      <w:pPr>
        <w:spacing w:line="360" w:lineRule="auto"/>
        <w:ind w:left="720" w:hanging="720"/>
        <w:jc w:val="both"/>
        <w:rPr>
          <w:rFonts w:ascii="David" w:hAnsi="David"/>
          <w:b/>
          <w:bCs/>
          <w:rtl/>
        </w:rPr>
      </w:pPr>
      <w:r>
        <w:rPr>
          <w:rFonts w:ascii="David" w:hAnsi="David"/>
          <w:b/>
          <w:bCs/>
          <w:rtl/>
        </w:rPr>
        <w:t>נסיבות ביצוע העבירה</w:t>
      </w:r>
      <w:r>
        <w:rPr>
          <w:rFonts w:ascii="David" w:hAnsi="David" w:hint="cs"/>
          <w:b/>
          <w:bCs/>
          <w:rtl/>
        </w:rPr>
        <w:t>:</w:t>
      </w:r>
    </w:p>
    <w:p w14:paraId="6B231EB9" w14:textId="77777777" w:rsidR="00AB7E58" w:rsidRPr="00CE724B" w:rsidRDefault="00AB7E58" w:rsidP="00AB7E58">
      <w:pPr>
        <w:spacing w:line="360" w:lineRule="auto"/>
        <w:ind w:left="720" w:hanging="720"/>
        <w:jc w:val="both"/>
        <w:rPr>
          <w:rFonts w:ascii="David" w:hAnsi="David"/>
          <w:b/>
          <w:bCs/>
          <w:sz w:val="14"/>
          <w:szCs w:val="14"/>
          <w:rtl/>
        </w:rPr>
      </w:pPr>
    </w:p>
    <w:p w14:paraId="3D5E92AC" w14:textId="77777777" w:rsidR="00AB7E58" w:rsidRDefault="00AB7E58" w:rsidP="00AB7E58">
      <w:pPr>
        <w:spacing w:line="360" w:lineRule="auto"/>
        <w:ind w:left="720" w:hanging="720"/>
        <w:jc w:val="both"/>
        <w:rPr>
          <w:rFonts w:ascii="David" w:hAnsi="David"/>
          <w:rtl/>
        </w:rPr>
      </w:pPr>
      <w:r>
        <w:rPr>
          <w:rFonts w:ascii="David" w:hAnsi="David"/>
          <w:rtl/>
        </w:rPr>
        <w:t>19.</w:t>
      </w:r>
      <w:r>
        <w:rPr>
          <w:rFonts w:ascii="David" w:hAnsi="David"/>
          <w:rtl/>
        </w:rPr>
        <w:tab/>
        <w:t xml:space="preserve">חומרת העבירה שביצע הנאשם נלמדת ראשית מהעובדה כי הנאשם החזיק אקדח בביתו ובקרבת בני משפחתו. הגם שהאקדח נתפס ללא תחמושת, עצם החזקתו של אקדח חצי אוטומטי בידי מי שלא הוכשר לכך ומי שלא הורשה לכך מייצר סיכון לחיי אדם. </w:t>
      </w:r>
    </w:p>
    <w:p w14:paraId="702DA6E0" w14:textId="77777777" w:rsidR="00AB7E58" w:rsidRDefault="00AB7E58" w:rsidP="00AB7E58">
      <w:pPr>
        <w:spacing w:line="360" w:lineRule="auto"/>
        <w:ind w:left="720"/>
        <w:jc w:val="both"/>
        <w:rPr>
          <w:rFonts w:ascii="David" w:hAnsi="David"/>
          <w:rtl/>
        </w:rPr>
      </w:pPr>
    </w:p>
    <w:p w14:paraId="2267C9C6" w14:textId="77777777" w:rsidR="00AB7E58" w:rsidRDefault="00AB7E58" w:rsidP="00AB7E58">
      <w:pPr>
        <w:spacing w:line="360" w:lineRule="auto"/>
        <w:ind w:left="720"/>
        <w:jc w:val="both"/>
        <w:rPr>
          <w:rFonts w:ascii="David" w:hAnsi="David"/>
          <w:rtl/>
        </w:rPr>
      </w:pPr>
      <w:r>
        <w:rPr>
          <w:rFonts w:ascii="David" w:hAnsi="David"/>
          <w:rtl/>
        </w:rPr>
        <w:t xml:space="preserve">בנוסף, בהינתן האפשרות שאלמלא נתפס האקדח יכול והיה משמש לפעילות עבריינית או ביטחונית הרי שלא ניתן להתעלם מהסכנה שבמעשיו של הנאשם לשלום הציבור וביטחונו. </w:t>
      </w:r>
    </w:p>
    <w:p w14:paraId="02B48813" w14:textId="77777777" w:rsidR="00AB7E58" w:rsidRDefault="00AB7E58" w:rsidP="00AB7E58">
      <w:pPr>
        <w:spacing w:line="360" w:lineRule="auto"/>
        <w:ind w:left="720"/>
        <w:jc w:val="both"/>
        <w:rPr>
          <w:rFonts w:ascii="David" w:hAnsi="David"/>
          <w:rtl/>
        </w:rPr>
      </w:pPr>
    </w:p>
    <w:p w14:paraId="62D4FDE4" w14:textId="77777777" w:rsidR="00AB7E58" w:rsidRDefault="00AB7E58" w:rsidP="00AB7E58">
      <w:pPr>
        <w:spacing w:line="360" w:lineRule="auto"/>
        <w:ind w:left="720"/>
        <w:jc w:val="both"/>
        <w:rPr>
          <w:rFonts w:ascii="David" w:hAnsi="David"/>
          <w:rtl/>
        </w:rPr>
      </w:pPr>
      <w:r>
        <w:rPr>
          <w:rFonts w:ascii="David" w:hAnsi="David"/>
          <w:rtl/>
        </w:rPr>
        <w:t>הניסיון מלמד כי החזקה בנשק מובילה לביצוע עבירות נוספות. לעניין זה יפים דברי בית המשפט ב</w:t>
      </w:r>
      <w:hyperlink r:id="rId47" w:history="1">
        <w:r w:rsidR="008F7361" w:rsidRPr="008F7361">
          <w:rPr>
            <w:rFonts w:ascii="David" w:hAnsi="David"/>
            <w:b/>
            <w:bCs/>
            <w:color w:val="0000FF"/>
            <w:u w:val="single"/>
            <w:rtl/>
          </w:rPr>
          <w:t>ע"פ 7268/11</w:t>
        </w:r>
      </w:hyperlink>
      <w:r>
        <w:rPr>
          <w:rFonts w:ascii="David" w:hAnsi="David"/>
          <w:b/>
          <w:bCs/>
          <w:rtl/>
        </w:rPr>
        <w:t xml:space="preserve"> עבד גרבאן נ' מדינת ישראל</w:t>
      </w:r>
      <w:r>
        <w:rPr>
          <w:rFonts w:ascii="David" w:hAnsi="David"/>
          <w:rtl/>
        </w:rPr>
        <w:t xml:space="preserve"> (08.08.2012)</w:t>
      </w:r>
    </w:p>
    <w:p w14:paraId="201D0E7E" w14:textId="77777777" w:rsidR="00AB7E58" w:rsidRPr="00CE724B" w:rsidRDefault="00AB7E58" w:rsidP="00AB7E58">
      <w:pPr>
        <w:spacing w:line="360" w:lineRule="auto"/>
        <w:ind w:left="720"/>
        <w:jc w:val="both"/>
        <w:rPr>
          <w:rFonts w:ascii="David" w:hAnsi="David"/>
          <w:sz w:val="14"/>
          <w:szCs w:val="14"/>
          <w:rtl/>
        </w:rPr>
      </w:pPr>
    </w:p>
    <w:p w14:paraId="15C1A927" w14:textId="77777777" w:rsidR="00AB7E58" w:rsidRDefault="00AB7E58" w:rsidP="00AB7E58">
      <w:pPr>
        <w:spacing w:line="360" w:lineRule="auto"/>
        <w:ind w:left="1742" w:right="1418"/>
        <w:jc w:val="both"/>
        <w:rPr>
          <w:rFonts w:ascii="David" w:hAnsi="David"/>
          <w:b/>
          <w:bCs/>
          <w:rtl/>
        </w:rPr>
      </w:pPr>
      <w:r>
        <w:rPr>
          <w:rFonts w:ascii="David" w:hAnsi="David"/>
          <w:b/>
          <w:bCs/>
          <w:rtl/>
        </w:rPr>
        <w:t>"נשק אינו כמו נרות חנוכה שלא נועדו לשימוש אלא "לראותן בלבד". נסיון החיים מלמד, לצערנו, כי בנשק שנרכש בדרכים מפוקפקות נעשה שימוש לפעילות עבריינית, לעיתים, פעילות העלולה לסכן עוברי אורח תמימים, ונשק עשוי למצוא דרכו אף למפגעים למיניהם. כל אחת ואחת מהחוליות בשרשרת הסחר בנשק, מוחזקת כמי שמודעת לתוצאות האפשריות הקשות העלולות לנבוע מהשימוש שייעשה בנשק לאחר שיגיע אל "הצרכן הסופי" בקצה השרשרת."</w:t>
      </w:r>
    </w:p>
    <w:p w14:paraId="41830B8B" w14:textId="77777777" w:rsidR="00AB7E58" w:rsidRDefault="00AB7E58" w:rsidP="00AB7E58">
      <w:pPr>
        <w:spacing w:line="360" w:lineRule="auto"/>
        <w:ind w:left="1742" w:right="1418"/>
        <w:jc w:val="both"/>
        <w:rPr>
          <w:rFonts w:ascii="David" w:hAnsi="David"/>
          <w:b/>
          <w:bCs/>
          <w:rtl/>
        </w:rPr>
      </w:pPr>
    </w:p>
    <w:p w14:paraId="5B5EAD2F" w14:textId="77777777" w:rsidR="00AB7E58" w:rsidRDefault="00AB7E58" w:rsidP="00AB7E58">
      <w:pPr>
        <w:spacing w:line="360" w:lineRule="auto"/>
        <w:ind w:left="720" w:hanging="720"/>
        <w:jc w:val="both"/>
        <w:rPr>
          <w:rFonts w:ascii="David" w:hAnsi="David"/>
          <w:rtl/>
        </w:rPr>
      </w:pPr>
      <w:r>
        <w:rPr>
          <w:rFonts w:ascii="David" w:hAnsi="David"/>
          <w:rtl/>
        </w:rPr>
        <w:t>20.</w:t>
      </w:r>
      <w:r>
        <w:rPr>
          <w:rFonts w:ascii="David" w:hAnsi="David"/>
          <w:rtl/>
        </w:rPr>
        <w:tab/>
        <w:t xml:space="preserve">לצד האמור, בבחינת נסיבות ביצוע העבירה יש לתן את הדעת לכך כי כתב האישום שותק ביחס למשך ההחזקה ומטרתה. </w:t>
      </w:r>
    </w:p>
    <w:p w14:paraId="5A26CE2C" w14:textId="77777777" w:rsidR="00AB7E58" w:rsidRDefault="00AB7E58" w:rsidP="00AB7E58">
      <w:pPr>
        <w:spacing w:line="360" w:lineRule="auto"/>
        <w:ind w:left="720" w:hanging="720"/>
        <w:jc w:val="both"/>
        <w:rPr>
          <w:rFonts w:ascii="David" w:hAnsi="David"/>
          <w:rtl/>
        </w:rPr>
      </w:pPr>
    </w:p>
    <w:p w14:paraId="1DC04F9E" w14:textId="77777777" w:rsidR="00AB7E58" w:rsidRDefault="00AB7E58" w:rsidP="00AB7E58">
      <w:pPr>
        <w:spacing w:line="360" w:lineRule="auto"/>
        <w:ind w:left="720" w:hanging="720"/>
        <w:jc w:val="both"/>
        <w:rPr>
          <w:rFonts w:ascii="David" w:hAnsi="David"/>
          <w:b/>
          <w:bCs/>
          <w:rtl/>
        </w:rPr>
      </w:pPr>
      <w:r>
        <w:rPr>
          <w:rFonts w:ascii="David" w:hAnsi="David"/>
          <w:rtl/>
        </w:rPr>
        <w:t>21.</w:t>
      </w:r>
      <w:r>
        <w:rPr>
          <w:rFonts w:ascii="David" w:hAnsi="David"/>
          <w:rtl/>
        </w:rPr>
        <w:tab/>
      </w:r>
      <w:r>
        <w:rPr>
          <w:rFonts w:ascii="David" w:hAnsi="David"/>
          <w:b/>
          <w:bCs/>
          <w:rtl/>
        </w:rPr>
        <w:t xml:space="preserve">מכל המקובץ לעיל ולאחר שעיינתי בפסיקה אליה הפנו ב"כ הצדדים, הנני קובע כי מתחם עונש הולם לעבירה שביצע הנאשם בנסיבותיה, נע בין 12 ל- 24 חודשי מאסר בפועל לצד מאסר מותנה וקנס. </w:t>
      </w:r>
    </w:p>
    <w:p w14:paraId="75BB2DDF" w14:textId="77777777" w:rsidR="00AB7E58" w:rsidRDefault="00AB7E58" w:rsidP="00AB7E58">
      <w:pPr>
        <w:spacing w:line="360" w:lineRule="auto"/>
        <w:ind w:left="720" w:hanging="720"/>
        <w:jc w:val="both"/>
        <w:rPr>
          <w:rFonts w:ascii="David" w:hAnsi="David"/>
          <w:b/>
          <w:bCs/>
          <w:rtl/>
        </w:rPr>
      </w:pPr>
      <w:r>
        <w:rPr>
          <w:rFonts w:ascii="David" w:hAnsi="David"/>
          <w:rtl/>
        </w:rPr>
        <w:tab/>
      </w:r>
    </w:p>
    <w:p w14:paraId="28DBBD2C" w14:textId="77777777" w:rsidR="00AB7E58" w:rsidRDefault="00AB7E58" w:rsidP="00AB7E58">
      <w:pPr>
        <w:spacing w:line="360" w:lineRule="auto"/>
        <w:ind w:left="720" w:hanging="720"/>
        <w:jc w:val="both"/>
        <w:rPr>
          <w:rFonts w:ascii="David" w:hAnsi="David"/>
          <w:rtl/>
        </w:rPr>
      </w:pPr>
      <w:r>
        <w:rPr>
          <w:rFonts w:ascii="David" w:hAnsi="David"/>
          <w:rtl/>
        </w:rPr>
        <w:t>22.</w:t>
      </w:r>
      <w:r>
        <w:rPr>
          <w:rFonts w:ascii="David" w:hAnsi="David"/>
          <w:rtl/>
        </w:rPr>
        <w:tab/>
        <w:t xml:space="preserve">אשר לרכיב הקנס – מאחר ובבסיס עבירות הנשק עומד גם אינטרס כלכלי הרי שהענישה צריכה לכלול גם קנס כספי שימנע כל טובת הנאה מהעבריין ויהפוך את העבירה ללא כדאית מבחינה כלכלית. </w:t>
      </w:r>
    </w:p>
    <w:p w14:paraId="10F50FE3" w14:textId="77777777" w:rsidR="00AB7E58" w:rsidRDefault="00AB7E58" w:rsidP="00AB7E58">
      <w:pPr>
        <w:spacing w:line="360" w:lineRule="auto"/>
        <w:ind w:left="720"/>
        <w:jc w:val="both"/>
        <w:rPr>
          <w:rFonts w:ascii="David" w:hAnsi="David"/>
          <w:rtl/>
        </w:rPr>
      </w:pPr>
    </w:p>
    <w:p w14:paraId="246F3535" w14:textId="77777777" w:rsidR="00AB7E58" w:rsidRDefault="00AB7E58" w:rsidP="00AB7E58">
      <w:pPr>
        <w:spacing w:line="360" w:lineRule="auto"/>
        <w:ind w:left="720"/>
        <w:jc w:val="both"/>
        <w:rPr>
          <w:rFonts w:ascii="David" w:hAnsi="David"/>
          <w:rtl/>
        </w:rPr>
      </w:pPr>
      <w:r>
        <w:rPr>
          <w:rFonts w:ascii="David" w:hAnsi="David"/>
          <w:rtl/>
        </w:rPr>
        <w:t xml:space="preserve">תלושי השכר שהגישה ההגנה מעידים על כושר השתכרותו של הנאשם עובר לאירוע שבענייננו, אך הם מלמדים גם על חסרון הכיס שחוותה משפחתו של הנאשם בשל מעצרו ואובדן מקור ההכנסה. </w:t>
      </w:r>
    </w:p>
    <w:p w14:paraId="5958FF81" w14:textId="77777777" w:rsidR="00AB7E58" w:rsidRDefault="00AB7E58" w:rsidP="00AB7E58">
      <w:pPr>
        <w:spacing w:line="360" w:lineRule="auto"/>
        <w:ind w:left="720"/>
        <w:jc w:val="both"/>
        <w:rPr>
          <w:rFonts w:ascii="David" w:hAnsi="David"/>
          <w:rtl/>
        </w:rPr>
      </w:pPr>
    </w:p>
    <w:p w14:paraId="464EDC1E" w14:textId="77777777" w:rsidR="00AB7E58" w:rsidRDefault="00AB7E58" w:rsidP="00AB7E58">
      <w:pPr>
        <w:spacing w:line="360" w:lineRule="auto"/>
        <w:ind w:left="720"/>
        <w:jc w:val="both"/>
        <w:rPr>
          <w:rFonts w:ascii="David" w:hAnsi="David"/>
          <w:rtl/>
        </w:rPr>
      </w:pPr>
      <w:r>
        <w:rPr>
          <w:rFonts w:ascii="David" w:hAnsi="David"/>
          <w:rtl/>
        </w:rPr>
        <w:t>ההגנה לא המציאה אסמכתאות אודות מצב</w:t>
      </w:r>
      <w:r>
        <w:rPr>
          <w:rFonts w:ascii="David" w:hAnsi="David" w:hint="cs"/>
          <w:rtl/>
        </w:rPr>
        <w:t>ם</w:t>
      </w:r>
      <w:r>
        <w:rPr>
          <w:rFonts w:ascii="David" w:hAnsi="David"/>
          <w:rtl/>
        </w:rPr>
        <w:t xml:space="preserve"> הכלכלי של הנאשם ומשפחתו, אך יוער כי מצבו הכלכלי של הנאשם הנו אחד השיקולים אך לא היחיד, בקביעת גובה הקנס. שיקולי הרתעת הרבים, כמו גם הרתעת הנאשם, תומכים בענישה כלכלית משמעותית המצטרפת לענישה מאחורי סורג ובריח. </w:t>
      </w:r>
    </w:p>
    <w:p w14:paraId="5A5F4616" w14:textId="77777777" w:rsidR="00AB7E58" w:rsidRDefault="00AB7E58" w:rsidP="00AB7E58">
      <w:pPr>
        <w:spacing w:line="360" w:lineRule="auto"/>
        <w:ind w:left="720"/>
        <w:jc w:val="both"/>
        <w:rPr>
          <w:rFonts w:ascii="David" w:hAnsi="David"/>
          <w:rtl/>
        </w:rPr>
      </w:pPr>
    </w:p>
    <w:p w14:paraId="14109602" w14:textId="77777777" w:rsidR="00AB7E58" w:rsidRDefault="00AB7E58" w:rsidP="00AB7E58">
      <w:pPr>
        <w:spacing w:line="360" w:lineRule="auto"/>
        <w:ind w:left="720"/>
        <w:jc w:val="both"/>
        <w:rPr>
          <w:rFonts w:ascii="David" w:hAnsi="David"/>
          <w:b/>
          <w:bCs/>
          <w:rtl/>
        </w:rPr>
      </w:pPr>
      <w:r>
        <w:rPr>
          <w:rFonts w:ascii="David" w:hAnsi="David"/>
          <w:b/>
          <w:bCs/>
          <w:rtl/>
        </w:rPr>
        <w:t xml:space="preserve">לאור האמור ולאחר שעיינתי בפסיקה, הנני קובע את מתחם הקנס ההולם בענייננו נע בין 4,000 ₪ ל-8,000 ₪. </w:t>
      </w:r>
    </w:p>
    <w:p w14:paraId="5B57804D" w14:textId="77777777" w:rsidR="00AB7E58" w:rsidRDefault="00AB7E58" w:rsidP="00AB7E58">
      <w:pPr>
        <w:spacing w:line="360" w:lineRule="auto"/>
        <w:ind w:left="720"/>
        <w:jc w:val="both"/>
        <w:rPr>
          <w:rFonts w:ascii="David" w:hAnsi="David"/>
          <w:b/>
          <w:bCs/>
          <w:rtl/>
        </w:rPr>
      </w:pPr>
    </w:p>
    <w:p w14:paraId="46E1DEF1" w14:textId="77777777" w:rsidR="00AB7E58" w:rsidRDefault="00AB7E58" w:rsidP="00AB7E58">
      <w:pPr>
        <w:spacing w:line="360" w:lineRule="auto"/>
        <w:jc w:val="both"/>
        <w:rPr>
          <w:rFonts w:ascii="David" w:hAnsi="David"/>
          <w:b/>
          <w:bCs/>
          <w:rtl/>
        </w:rPr>
      </w:pPr>
      <w:r>
        <w:rPr>
          <w:rFonts w:ascii="David" w:hAnsi="David"/>
          <w:b/>
          <w:bCs/>
          <w:rtl/>
        </w:rPr>
        <w:t xml:space="preserve">גזירת העונש בגדרי המתחם: </w:t>
      </w:r>
    </w:p>
    <w:p w14:paraId="62329CA4" w14:textId="77777777" w:rsidR="00AB7E58" w:rsidRDefault="00AB7E58" w:rsidP="00AB7E58">
      <w:pPr>
        <w:spacing w:line="360" w:lineRule="auto"/>
        <w:jc w:val="both"/>
        <w:rPr>
          <w:rFonts w:ascii="David" w:hAnsi="David"/>
          <w:b/>
          <w:bCs/>
          <w:rtl/>
        </w:rPr>
      </w:pPr>
    </w:p>
    <w:p w14:paraId="4AB0184B" w14:textId="77777777" w:rsidR="00AB7E58" w:rsidRDefault="00AB7E58" w:rsidP="00AB7E58">
      <w:pPr>
        <w:spacing w:line="360" w:lineRule="auto"/>
        <w:ind w:left="720" w:hanging="720"/>
        <w:jc w:val="both"/>
        <w:rPr>
          <w:rFonts w:ascii="David" w:hAnsi="David"/>
          <w:rtl/>
        </w:rPr>
      </w:pPr>
      <w:r>
        <w:rPr>
          <w:rFonts w:ascii="David" w:hAnsi="David"/>
          <w:rtl/>
        </w:rPr>
        <w:t>23.</w:t>
      </w:r>
      <w:r>
        <w:rPr>
          <w:rFonts w:ascii="David" w:hAnsi="David"/>
          <w:rtl/>
        </w:rPr>
        <w:tab/>
        <w:t>בגזירת העונש המתאים לנאשם, בגדרי מתחם העונש ההולם, יש להתחשב בנסיבות שאינן קשורות לביצוע העבירה. כידוע הענישה הנה אינדיבידואלית ובמסגרתה יש לתן את הדעת לגילו הצעיר של הנאשם</w:t>
      </w:r>
      <w:r>
        <w:rPr>
          <w:rFonts w:ascii="David" w:hAnsi="David" w:hint="cs"/>
          <w:rtl/>
        </w:rPr>
        <w:t xml:space="preserve">, </w:t>
      </w:r>
      <w:r>
        <w:rPr>
          <w:rFonts w:ascii="David" w:hAnsi="David"/>
          <w:rtl/>
        </w:rPr>
        <w:t xml:space="preserve">יליד 2006. </w:t>
      </w:r>
    </w:p>
    <w:p w14:paraId="60A0D17B" w14:textId="77777777" w:rsidR="00AB7E58" w:rsidRDefault="00AB7E58" w:rsidP="00AB7E58">
      <w:pPr>
        <w:spacing w:line="360" w:lineRule="auto"/>
        <w:ind w:left="720" w:hanging="720"/>
        <w:jc w:val="both"/>
        <w:rPr>
          <w:rFonts w:ascii="David" w:hAnsi="David"/>
          <w:rtl/>
        </w:rPr>
      </w:pPr>
    </w:p>
    <w:p w14:paraId="14914C87" w14:textId="77777777" w:rsidR="00AB7E58" w:rsidRDefault="00AB7E58" w:rsidP="00AB7E58">
      <w:pPr>
        <w:spacing w:line="360" w:lineRule="auto"/>
        <w:ind w:left="720" w:hanging="720"/>
        <w:jc w:val="both"/>
        <w:rPr>
          <w:rFonts w:ascii="David" w:hAnsi="David"/>
          <w:rtl/>
        </w:rPr>
      </w:pPr>
    </w:p>
    <w:p w14:paraId="25319FA7" w14:textId="77777777" w:rsidR="00AB7E58" w:rsidRDefault="00AB7E58" w:rsidP="00AB7E58">
      <w:pPr>
        <w:spacing w:line="360" w:lineRule="auto"/>
        <w:ind w:left="720" w:hanging="720"/>
        <w:jc w:val="both"/>
        <w:rPr>
          <w:rFonts w:ascii="David" w:hAnsi="David"/>
          <w:rtl/>
        </w:rPr>
      </w:pPr>
      <w:r>
        <w:rPr>
          <w:rFonts w:ascii="David" w:hAnsi="David"/>
          <w:rtl/>
        </w:rPr>
        <w:t>24.</w:t>
      </w:r>
      <w:r>
        <w:rPr>
          <w:rFonts w:ascii="David" w:hAnsi="David"/>
          <w:rtl/>
        </w:rPr>
        <w:tab/>
        <w:t xml:space="preserve">כמו כן, לקולת עונשו של הנאשם נתתי דעתי לעובדה שהנאשם נעדר עבר פלילי קודם, וזוהי לו הסתבכותו הראשונה עם החוק.  עוד הבאתי בחשבון את הודאתו של הנאשם והחיסכון בזמנו של בית המשפט. הנאשם הפגין יציבות תעסוקתית בניסיון לסייע למשפחתו למרות גילו הצעיר. כמו כן נתתי דעתי לכך שהנאשם עצור מיום 15.05.24. </w:t>
      </w:r>
    </w:p>
    <w:p w14:paraId="7BC67D84" w14:textId="77777777" w:rsidR="00AB7E58" w:rsidRDefault="00AB7E58" w:rsidP="00AB7E58">
      <w:pPr>
        <w:spacing w:line="360" w:lineRule="auto"/>
        <w:ind w:left="720" w:hanging="720"/>
        <w:jc w:val="both"/>
        <w:rPr>
          <w:rFonts w:ascii="David" w:hAnsi="David"/>
          <w:rtl/>
        </w:rPr>
      </w:pPr>
    </w:p>
    <w:p w14:paraId="08CA2578" w14:textId="77777777" w:rsidR="00AB7E58" w:rsidRDefault="00AB7E58" w:rsidP="00AB7E58">
      <w:pPr>
        <w:spacing w:line="360" w:lineRule="auto"/>
        <w:ind w:left="720" w:hanging="720"/>
        <w:jc w:val="both"/>
        <w:rPr>
          <w:rFonts w:ascii="David" w:hAnsi="David"/>
          <w:rtl/>
        </w:rPr>
      </w:pPr>
      <w:r>
        <w:rPr>
          <w:rFonts w:ascii="David" w:hAnsi="David"/>
          <w:rtl/>
        </w:rPr>
        <w:t>25.</w:t>
      </w:r>
      <w:r>
        <w:rPr>
          <w:rFonts w:ascii="David" w:hAnsi="David"/>
          <w:rtl/>
        </w:rPr>
        <w:tab/>
        <w:t xml:space="preserve">בגדרי שיקולי הענישה בתוך המתחם נתתי דעתי לשיקולי הרתעת היחיד. הנאשם  הביע חרטה על מעשיו ועל פי האמור בתסקיר חווית המעצר היוותה עבורו גורם מרתיע. לצד זאת, מהתסקיר עולה גם כי הנאשם מתקשה לחשוב לעומק על השלכות מעשיו, לקחת אחריות ולערוך בחינה ביקורתית של התנהלותו ומניעיו. שירות המבחן לא המליץ על אופק טיפולי שיקומי, ובהעדר כלים מתאימים מצא כי קיים סיכון להישנות התנהגות עוברת חוק. ברי כי בהעדר הליך טיפולי מתאים נותר הנאשם עם דפוסיו הבעייתיים שהביאו לביצוע העבירה. </w:t>
      </w:r>
    </w:p>
    <w:p w14:paraId="4E0C3174" w14:textId="77777777" w:rsidR="00AB7E58" w:rsidRDefault="00AB7E58" w:rsidP="00AB7E58">
      <w:pPr>
        <w:spacing w:line="360" w:lineRule="auto"/>
        <w:ind w:left="720" w:hanging="720"/>
        <w:jc w:val="both"/>
        <w:rPr>
          <w:rFonts w:ascii="David" w:hAnsi="David"/>
          <w:rtl/>
        </w:rPr>
      </w:pPr>
    </w:p>
    <w:p w14:paraId="44D20635" w14:textId="77777777" w:rsidR="00AB7E58" w:rsidRDefault="00AB7E58" w:rsidP="00AB7E58">
      <w:pPr>
        <w:spacing w:line="360" w:lineRule="auto"/>
        <w:ind w:left="720" w:hanging="720"/>
        <w:jc w:val="both"/>
        <w:rPr>
          <w:rFonts w:ascii="David" w:hAnsi="David"/>
          <w:rtl/>
        </w:rPr>
      </w:pPr>
      <w:r>
        <w:rPr>
          <w:rFonts w:ascii="David" w:hAnsi="David"/>
          <w:rtl/>
        </w:rPr>
        <w:t>26.</w:t>
      </w:r>
      <w:r>
        <w:rPr>
          <w:rFonts w:ascii="David" w:hAnsi="David"/>
          <w:rtl/>
        </w:rPr>
        <w:tab/>
        <w:t>עוד נתתי דעתי לשיקולי הרתעת הרבים, המקבלים משנה תוקף שעה שהעבירה בה הורשע הנאשם הוכרזה כ"מכת מדינה". ולעניין זה יפים דברי בית המשפט ב</w:t>
      </w:r>
      <w:hyperlink r:id="rId48" w:history="1">
        <w:r w:rsidR="008F7361" w:rsidRPr="008F7361">
          <w:rPr>
            <w:rFonts w:ascii="David" w:hAnsi="David"/>
            <w:b/>
            <w:bCs/>
            <w:color w:val="0000FF"/>
            <w:u w:val="single"/>
            <w:rtl/>
          </w:rPr>
          <w:t>ע"פ 5602/22</w:t>
        </w:r>
      </w:hyperlink>
      <w:r>
        <w:rPr>
          <w:rFonts w:ascii="David" w:hAnsi="David"/>
          <w:b/>
          <w:bCs/>
          <w:rtl/>
        </w:rPr>
        <w:t xml:space="preserve"> מדינת ישראל נ' פלוני </w:t>
      </w:r>
      <w:r>
        <w:rPr>
          <w:rFonts w:ascii="David" w:hAnsi="David"/>
          <w:rtl/>
        </w:rPr>
        <w:t>(14.09.2022):</w:t>
      </w:r>
    </w:p>
    <w:p w14:paraId="4844FBA4" w14:textId="77777777" w:rsidR="00AB7E58" w:rsidRDefault="00AB7E58" w:rsidP="00AB7E58">
      <w:pPr>
        <w:spacing w:line="360" w:lineRule="auto"/>
        <w:ind w:left="720" w:hanging="720"/>
        <w:jc w:val="both"/>
        <w:rPr>
          <w:rFonts w:ascii="David" w:hAnsi="David"/>
          <w:rtl/>
        </w:rPr>
      </w:pPr>
    </w:p>
    <w:p w14:paraId="19769AFF" w14:textId="77777777" w:rsidR="00AB7E58" w:rsidRDefault="00AB7E58" w:rsidP="00AB7E58">
      <w:pPr>
        <w:tabs>
          <w:tab w:val="left" w:pos="6804"/>
        </w:tabs>
        <w:spacing w:line="360" w:lineRule="auto"/>
        <w:ind w:left="1742" w:right="1701"/>
        <w:jc w:val="both"/>
        <w:rPr>
          <w:rFonts w:ascii="David" w:hAnsi="David"/>
          <w:b/>
          <w:bCs/>
          <w:rtl/>
        </w:rPr>
      </w:pPr>
      <w:r>
        <w:rPr>
          <w:rFonts w:ascii="David" w:hAnsi="David"/>
          <w:b/>
          <w:bCs/>
          <w:rtl/>
        </w:rPr>
        <w:t>"בית המשפט שמקל בעונשו של עבריין נשק מכביד על החברה שנאלצת להגן על עצמה – על בניה ובנותיה – מעברייני נשק".</w:t>
      </w:r>
    </w:p>
    <w:p w14:paraId="7624E8FF" w14:textId="77777777" w:rsidR="00AB7E58" w:rsidRDefault="00AB7E58" w:rsidP="00AB7E58">
      <w:pPr>
        <w:spacing w:line="360" w:lineRule="auto"/>
        <w:ind w:left="720"/>
        <w:jc w:val="both"/>
        <w:rPr>
          <w:rFonts w:ascii="David" w:hAnsi="David"/>
          <w:rtl/>
        </w:rPr>
      </w:pPr>
    </w:p>
    <w:p w14:paraId="010B7FF8" w14:textId="77777777" w:rsidR="00AB7E58" w:rsidRDefault="00AB7E58" w:rsidP="00AB7E58">
      <w:pPr>
        <w:spacing w:line="360" w:lineRule="auto"/>
        <w:ind w:left="720"/>
        <w:jc w:val="both"/>
        <w:rPr>
          <w:rFonts w:ascii="David" w:hAnsi="David"/>
          <w:rtl/>
        </w:rPr>
      </w:pPr>
      <w:r>
        <w:rPr>
          <w:rFonts w:ascii="David" w:hAnsi="David"/>
          <w:rtl/>
        </w:rPr>
        <w:t xml:space="preserve">כפי שציינתי בעבר, על בתי המשפט לפעול באמצעות הענישה לשינוי יחסי "סיכוי- סיכון" מכוחו פועל עבריין הנשק ובאופן שהמאזן ייטה בבירור לטובת האחרון. בית המשפט  חי בתוך עמו, שומע את זעקת הציבור ועליו להעביר מסר חד וברור כי טוב יעשה העבריין הפוטנציאלי כי ירחיק ידו מנשק בלתי חוקי, שאם לא כן ימצא עצמו מאחורי סורג ובריח ולפרק זמן ממושך. </w:t>
      </w:r>
    </w:p>
    <w:p w14:paraId="3138EDFD" w14:textId="77777777" w:rsidR="00AB7E58" w:rsidRDefault="00AB7E58" w:rsidP="00AB7E58">
      <w:pPr>
        <w:spacing w:line="360" w:lineRule="auto"/>
        <w:ind w:left="720"/>
        <w:jc w:val="both"/>
        <w:rPr>
          <w:rFonts w:ascii="David" w:hAnsi="David"/>
          <w:rtl/>
        </w:rPr>
      </w:pPr>
    </w:p>
    <w:p w14:paraId="700ED2C8" w14:textId="77777777" w:rsidR="00AB7E58" w:rsidRDefault="00AB7E58" w:rsidP="00AB7E58">
      <w:pPr>
        <w:spacing w:line="360" w:lineRule="auto"/>
        <w:ind w:left="720" w:hanging="720"/>
        <w:jc w:val="both"/>
        <w:rPr>
          <w:rFonts w:ascii="David" w:hAnsi="David"/>
          <w:rtl/>
        </w:rPr>
      </w:pPr>
      <w:r>
        <w:rPr>
          <w:rFonts w:ascii="David" w:hAnsi="David"/>
          <w:rtl/>
        </w:rPr>
        <w:t>27.</w:t>
      </w:r>
      <w:r>
        <w:rPr>
          <w:rFonts w:ascii="David" w:hAnsi="David"/>
          <w:rtl/>
        </w:rPr>
        <w:tab/>
        <w:t xml:space="preserve">בהעדר הליך טיפולי שיקומי והגם גילו הצעיר של הנאשם, לא מצאתי לחרוג לקולא ממתחם העונש ההולם. </w:t>
      </w:r>
    </w:p>
    <w:p w14:paraId="03B94021" w14:textId="77777777" w:rsidR="00AB7E58" w:rsidRDefault="00AB7E58" w:rsidP="00AB7E58">
      <w:pPr>
        <w:spacing w:line="360" w:lineRule="auto"/>
        <w:ind w:left="720" w:hanging="720"/>
        <w:jc w:val="both"/>
        <w:rPr>
          <w:rFonts w:ascii="David" w:hAnsi="David"/>
          <w:rtl/>
        </w:rPr>
      </w:pPr>
    </w:p>
    <w:p w14:paraId="74DDD86C" w14:textId="77777777" w:rsidR="00AB7E58" w:rsidRDefault="00AB7E58" w:rsidP="00AB7E58">
      <w:pPr>
        <w:spacing w:line="360" w:lineRule="auto"/>
        <w:ind w:left="720" w:hanging="720"/>
        <w:jc w:val="both"/>
        <w:rPr>
          <w:rFonts w:ascii="David" w:hAnsi="David"/>
          <w:rtl/>
        </w:rPr>
      </w:pPr>
    </w:p>
    <w:p w14:paraId="7DC4AE67" w14:textId="77777777" w:rsidR="00AB7E58" w:rsidRDefault="00AB7E58" w:rsidP="00AB7E58">
      <w:pPr>
        <w:spacing w:line="360" w:lineRule="auto"/>
        <w:ind w:left="720" w:hanging="720"/>
        <w:jc w:val="both"/>
        <w:rPr>
          <w:rFonts w:ascii="David" w:hAnsi="David"/>
          <w:rtl/>
        </w:rPr>
      </w:pPr>
    </w:p>
    <w:p w14:paraId="7D639954" w14:textId="77777777" w:rsidR="00AB7E58" w:rsidRDefault="00AB7E58" w:rsidP="00AB7E58">
      <w:pPr>
        <w:spacing w:line="360" w:lineRule="auto"/>
        <w:ind w:left="720" w:hanging="720"/>
        <w:jc w:val="both"/>
        <w:rPr>
          <w:rFonts w:ascii="David" w:hAnsi="David"/>
          <w:rtl/>
        </w:rPr>
      </w:pPr>
    </w:p>
    <w:p w14:paraId="70FE2BB7" w14:textId="77777777" w:rsidR="00AB7E58" w:rsidRDefault="00AB7E58" w:rsidP="00AB7E58">
      <w:pPr>
        <w:spacing w:line="360" w:lineRule="auto"/>
        <w:ind w:left="720" w:hanging="720"/>
        <w:jc w:val="both"/>
        <w:rPr>
          <w:rFonts w:ascii="David" w:hAnsi="David"/>
          <w:rtl/>
        </w:rPr>
      </w:pPr>
    </w:p>
    <w:p w14:paraId="61E00397" w14:textId="77777777" w:rsidR="00AB7E58" w:rsidRDefault="00AB7E58" w:rsidP="00AB7E58">
      <w:pPr>
        <w:spacing w:line="360" w:lineRule="auto"/>
        <w:ind w:left="720" w:hanging="720"/>
        <w:jc w:val="both"/>
        <w:rPr>
          <w:rFonts w:ascii="David" w:hAnsi="David"/>
          <w:rtl/>
        </w:rPr>
      </w:pPr>
      <w:r>
        <w:rPr>
          <w:rFonts w:ascii="David" w:hAnsi="David"/>
          <w:rtl/>
        </w:rPr>
        <w:t>28.</w:t>
      </w:r>
      <w:r>
        <w:rPr>
          <w:rFonts w:ascii="David" w:hAnsi="David"/>
          <w:rtl/>
        </w:rPr>
        <w:tab/>
        <w:t xml:space="preserve">מכל המקובץ לעיל, ובאיזון השיקולים השונים, אני גוזר על הנאשם את העונשים הבאים: </w:t>
      </w:r>
    </w:p>
    <w:p w14:paraId="69F69849" w14:textId="77777777" w:rsidR="00AB7E58" w:rsidRDefault="00AB7E58" w:rsidP="00AB7E58">
      <w:pPr>
        <w:spacing w:line="360" w:lineRule="auto"/>
        <w:ind w:left="720" w:hanging="720"/>
        <w:jc w:val="both"/>
        <w:rPr>
          <w:rFonts w:ascii="David" w:hAnsi="David"/>
          <w:rtl/>
        </w:rPr>
      </w:pPr>
    </w:p>
    <w:p w14:paraId="343D1FF5" w14:textId="77777777" w:rsidR="00AB7E58" w:rsidRDefault="00AB7E58" w:rsidP="00AB7E58">
      <w:pPr>
        <w:spacing w:line="360" w:lineRule="auto"/>
        <w:ind w:left="720" w:hanging="720"/>
        <w:jc w:val="both"/>
        <w:rPr>
          <w:rFonts w:ascii="David" w:hAnsi="David"/>
          <w:rtl/>
        </w:rPr>
      </w:pPr>
      <w:r>
        <w:rPr>
          <w:rFonts w:ascii="David" w:hAnsi="David"/>
          <w:rtl/>
        </w:rPr>
        <w:tab/>
        <w:t xml:space="preserve">א. </w:t>
      </w:r>
      <w:r>
        <w:rPr>
          <w:rFonts w:ascii="David" w:hAnsi="David"/>
          <w:rtl/>
        </w:rPr>
        <w:tab/>
        <w:t xml:space="preserve">14 חודשי מאסר בפועל, בניכוי ימי מעצרו. </w:t>
      </w:r>
    </w:p>
    <w:p w14:paraId="27FFC203" w14:textId="77777777" w:rsidR="00AB7E58" w:rsidRDefault="00AB7E58" w:rsidP="00AB7E58">
      <w:pPr>
        <w:spacing w:line="360" w:lineRule="auto"/>
        <w:ind w:left="720" w:hanging="720"/>
        <w:jc w:val="both"/>
        <w:rPr>
          <w:rFonts w:ascii="David" w:hAnsi="David"/>
          <w:rtl/>
        </w:rPr>
      </w:pPr>
    </w:p>
    <w:p w14:paraId="19C2B5EC" w14:textId="77777777" w:rsidR="00AB7E58" w:rsidRDefault="00AB7E58" w:rsidP="00AB7E58">
      <w:pPr>
        <w:spacing w:line="360" w:lineRule="auto"/>
        <w:ind w:left="1440" w:hanging="720"/>
        <w:jc w:val="both"/>
        <w:rPr>
          <w:rFonts w:ascii="David" w:hAnsi="David"/>
          <w:rtl/>
        </w:rPr>
      </w:pPr>
      <w:r>
        <w:rPr>
          <w:rFonts w:ascii="David" w:hAnsi="David"/>
          <w:rtl/>
        </w:rPr>
        <w:t xml:space="preserve">ב. </w:t>
      </w:r>
      <w:r>
        <w:rPr>
          <w:rFonts w:ascii="David" w:hAnsi="David"/>
          <w:rtl/>
        </w:rPr>
        <w:tab/>
        <w:t xml:space="preserve">12 חודשי מאסר על תנאי לתקופה של 3 שנים מיום שחרורו, שהנאשם לא יעבור עבירות בנשק לפי </w:t>
      </w:r>
      <w:hyperlink r:id="rId49" w:history="1">
        <w:r w:rsidR="0006630E" w:rsidRPr="0006630E">
          <w:rPr>
            <w:rStyle w:val="Hyperlink"/>
            <w:rFonts w:ascii="David" w:hAnsi="David"/>
            <w:rtl/>
          </w:rPr>
          <w:t>סעיף 144</w:t>
        </w:r>
      </w:hyperlink>
      <w:r>
        <w:rPr>
          <w:rFonts w:ascii="David" w:hAnsi="David"/>
          <w:rtl/>
        </w:rPr>
        <w:t xml:space="preserve"> ל</w:t>
      </w:r>
      <w:hyperlink r:id="rId50" w:history="1">
        <w:r w:rsidR="008F7361" w:rsidRPr="008F7361">
          <w:rPr>
            <w:rFonts w:ascii="David" w:hAnsi="David"/>
            <w:color w:val="0000FF"/>
            <w:u w:val="single"/>
            <w:rtl/>
          </w:rPr>
          <w:t>חוק העונשין</w:t>
        </w:r>
      </w:hyperlink>
      <w:r>
        <w:rPr>
          <w:rFonts w:ascii="David" w:hAnsi="David"/>
          <w:rtl/>
        </w:rPr>
        <w:t xml:space="preserve"> על חלופותיו השונות או עבירה לפי </w:t>
      </w:r>
      <w:hyperlink r:id="rId51" w:history="1">
        <w:r w:rsidR="0006630E" w:rsidRPr="0006630E">
          <w:rPr>
            <w:rStyle w:val="Hyperlink"/>
            <w:rFonts w:ascii="David" w:hAnsi="David"/>
            <w:rtl/>
          </w:rPr>
          <w:t>סעיף 340א</w:t>
        </w:r>
      </w:hyperlink>
      <w:r>
        <w:rPr>
          <w:rFonts w:ascii="David" w:hAnsi="David"/>
          <w:rtl/>
        </w:rPr>
        <w:t xml:space="preserve"> לחוק העונשין על חלופותיו השונות. </w:t>
      </w:r>
    </w:p>
    <w:p w14:paraId="5DC9E77D" w14:textId="77777777" w:rsidR="00AB7E58" w:rsidRDefault="00AB7E58" w:rsidP="00AB7E58">
      <w:pPr>
        <w:spacing w:line="360" w:lineRule="auto"/>
        <w:ind w:left="1440" w:hanging="720"/>
        <w:jc w:val="both"/>
        <w:rPr>
          <w:rFonts w:ascii="David" w:hAnsi="David"/>
          <w:rtl/>
        </w:rPr>
      </w:pPr>
    </w:p>
    <w:p w14:paraId="25C28E90" w14:textId="77777777" w:rsidR="00AB7E58" w:rsidRDefault="00AB7E58" w:rsidP="00AB7E58">
      <w:pPr>
        <w:spacing w:line="360" w:lineRule="auto"/>
        <w:ind w:left="1440" w:hanging="720"/>
        <w:jc w:val="both"/>
        <w:rPr>
          <w:rFonts w:ascii="David" w:hAnsi="David"/>
          <w:rtl/>
        </w:rPr>
      </w:pPr>
      <w:r>
        <w:rPr>
          <w:rFonts w:ascii="David" w:hAnsi="David"/>
          <w:rtl/>
        </w:rPr>
        <w:t xml:space="preserve">ג. </w:t>
      </w:r>
      <w:r>
        <w:rPr>
          <w:rFonts w:ascii="David" w:hAnsi="David"/>
          <w:rtl/>
        </w:rPr>
        <w:tab/>
        <w:t>קנס בסך 5,000 ₪ או 30 ימי מאסר תמורתו. הקנס ישולם לא יאוחר מיום 15.03.25.</w:t>
      </w:r>
    </w:p>
    <w:p w14:paraId="33E3F039" w14:textId="77777777" w:rsidR="00AB7E58" w:rsidRDefault="00AB7E58" w:rsidP="00AB7E58">
      <w:pPr>
        <w:spacing w:line="360" w:lineRule="auto"/>
        <w:ind w:left="1080" w:firstLine="360"/>
        <w:rPr>
          <w:rtl/>
        </w:rPr>
      </w:pPr>
    </w:p>
    <w:p w14:paraId="4A83803D" w14:textId="77777777" w:rsidR="00AB7E58" w:rsidRDefault="00AB7E58" w:rsidP="00AB7E58">
      <w:pPr>
        <w:spacing w:line="360" w:lineRule="auto"/>
        <w:ind w:left="1440"/>
      </w:pPr>
      <w:r>
        <w:rPr>
          <w:rtl/>
        </w:rPr>
        <w:t>לידיעת הנאשם, ניתן יהיה לשלם את</w:t>
      </w:r>
      <w:r>
        <w:rPr>
          <w:rFonts w:hint="cs"/>
          <w:rtl/>
        </w:rPr>
        <w:t xml:space="preserve"> הקנס</w:t>
      </w:r>
      <w:r>
        <w:rPr>
          <w:rtl/>
        </w:rPr>
        <w:t xml:space="preserve"> לחשבון המרכז לגביית קנסות, אגרות והוצאות ברשות האכיפה והגבייה באחת מהדרכים הבאות:</w:t>
      </w:r>
    </w:p>
    <w:p w14:paraId="31DB9394" w14:textId="77777777" w:rsidR="00AB7E58" w:rsidRPr="00B06259" w:rsidRDefault="00AB7E58" w:rsidP="00AB7E58">
      <w:pPr>
        <w:rPr>
          <w:rFonts w:ascii="David" w:hAnsi="David"/>
        </w:rPr>
      </w:pPr>
    </w:p>
    <w:p w14:paraId="4FB9726D" w14:textId="77777777" w:rsidR="00AB7E58" w:rsidRPr="00B06259" w:rsidRDefault="00AB7E58" w:rsidP="00AB7E58">
      <w:pPr>
        <w:pStyle w:val="aa"/>
        <w:numPr>
          <w:ilvl w:val="0"/>
          <w:numId w:val="1"/>
        </w:numPr>
        <w:rPr>
          <w:rFonts w:ascii="David" w:hAnsi="David" w:cs="David"/>
          <w:b/>
          <w:bCs/>
          <w:rtl/>
        </w:rPr>
      </w:pPr>
      <w:r w:rsidRPr="00B06259">
        <w:rPr>
          <w:rFonts w:ascii="David" w:hAnsi="David" w:cs="David"/>
          <w:b/>
          <w:bCs/>
          <w:rtl/>
        </w:rPr>
        <w:t>בכרטיס אשראי</w:t>
      </w:r>
      <w:r w:rsidRPr="00B06259">
        <w:rPr>
          <w:rFonts w:ascii="David" w:hAnsi="David" w:cs="David"/>
          <w:rtl/>
        </w:rPr>
        <w:t xml:space="preserve"> – באתר המקוון של רשות האכיפה והגבייה, </w:t>
      </w:r>
      <w:hyperlink r:id="rId52" w:history="1">
        <w:r w:rsidRPr="00B06259">
          <w:rPr>
            <w:rStyle w:val="Hyperlink"/>
            <w:rFonts w:ascii="David" w:hAnsi="David" w:cs="David"/>
          </w:rPr>
          <w:t>www.eca.gov.il</w:t>
        </w:r>
      </w:hyperlink>
      <w:r w:rsidRPr="00B06259">
        <w:rPr>
          <w:rFonts w:ascii="David" w:hAnsi="David" w:cs="David"/>
        </w:rPr>
        <w:t xml:space="preserve"> </w:t>
      </w:r>
      <w:r w:rsidR="008F7361">
        <w:rPr>
          <w:rFonts w:ascii="David" w:hAnsi="David" w:cs="David"/>
          <w:rtl/>
        </w:rPr>
        <w:t xml:space="preserve"> </w:t>
      </w:r>
    </w:p>
    <w:p w14:paraId="18679B63" w14:textId="77777777" w:rsidR="00AB7E58" w:rsidRPr="00B06259" w:rsidRDefault="00AB7E58" w:rsidP="00AB7E58">
      <w:pPr>
        <w:pStyle w:val="aa"/>
        <w:numPr>
          <w:ilvl w:val="0"/>
          <w:numId w:val="1"/>
        </w:numPr>
        <w:rPr>
          <w:rFonts w:ascii="David" w:hAnsi="David" w:cs="David"/>
          <w:b/>
          <w:bCs/>
        </w:rPr>
      </w:pPr>
      <w:r w:rsidRPr="00B06259">
        <w:rPr>
          <w:rFonts w:ascii="David" w:hAnsi="David" w:cs="David"/>
          <w:b/>
          <w:bCs/>
          <w:rtl/>
        </w:rPr>
        <w:t>מוקד שירות טלפוני בשרות עצמי (מרכז גבייה)</w:t>
      </w:r>
      <w:r w:rsidR="008F7361">
        <w:rPr>
          <w:rFonts w:ascii="David" w:hAnsi="David" w:cs="David"/>
          <w:b/>
          <w:bCs/>
          <w:rtl/>
        </w:rPr>
        <w:t xml:space="preserve"> </w:t>
      </w:r>
      <w:r w:rsidRPr="00B06259">
        <w:rPr>
          <w:rFonts w:ascii="David" w:hAnsi="David" w:cs="David"/>
          <w:b/>
          <w:bCs/>
          <w:rtl/>
        </w:rPr>
        <w:t xml:space="preserve"> – בטלפון 35592* או בטלפון 073-2055000</w:t>
      </w:r>
    </w:p>
    <w:p w14:paraId="59C0EBFF" w14:textId="77777777" w:rsidR="00AB7E58" w:rsidRPr="00B06259" w:rsidRDefault="00AB7E58" w:rsidP="00AB7E58">
      <w:pPr>
        <w:pStyle w:val="aa"/>
        <w:numPr>
          <w:ilvl w:val="0"/>
          <w:numId w:val="1"/>
        </w:numPr>
        <w:rPr>
          <w:rFonts w:ascii="David" w:hAnsi="David" w:cs="David"/>
          <w:b/>
          <w:bCs/>
          <w:rtl/>
        </w:rPr>
      </w:pPr>
      <w:r w:rsidRPr="00B06259">
        <w:rPr>
          <w:rFonts w:ascii="David" w:hAnsi="David" w:cs="David"/>
          <w:b/>
          <w:bCs/>
          <w:rtl/>
        </w:rPr>
        <w:t>במזומן בכל סניף של בנק הדואר</w:t>
      </w:r>
      <w:r w:rsidRPr="00B06259">
        <w:rPr>
          <w:rFonts w:ascii="David" w:hAnsi="David" w:cs="David"/>
          <w:rtl/>
        </w:rPr>
        <w:t xml:space="preserve"> – בהצגת תעודת זהות בלבד (אין צורך בשוברי תשלום).</w:t>
      </w:r>
    </w:p>
    <w:p w14:paraId="592A76F8" w14:textId="77777777" w:rsidR="00AB7E58" w:rsidRPr="00B06259" w:rsidRDefault="00AB7E58" w:rsidP="00AB7E58">
      <w:pPr>
        <w:rPr>
          <w:rFonts w:ascii="David" w:hAnsi="David"/>
        </w:rPr>
      </w:pPr>
    </w:p>
    <w:p w14:paraId="4D22E00F" w14:textId="77777777" w:rsidR="00AB7E58" w:rsidRPr="008F7361" w:rsidRDefault="008F7361" w:rsidP="00AB7E58">
      <w:pPr>
        <w:spacing w:line="360" w:lineRule="auto"/>
        <w:ind w:left="720" w:hanging="720"/>
        <w:jc w:val="both"/>
        <w:rPr>
          <w:rFonts w:ascii="David" w:hAnsi="David"/>
          <w:b/>
          <w:bCs/>
          <w:color w:val="FFFFFF"/>
          <w:sz w:val="2"/>
          <w:szCs w:val="2"/>
          <w:rtl/>
        </w:rPr>
      </w:pPr>
      <w:r w:rsidRPr="008F7361">
        <w:rPr>
          <w:rFonts w:ascii="David" w:hAnsi="David"/>
          <w:b/>
          <w:bCs/>
          <w:color w:val="FFFFFF"/>
          <w:sz w:val="2"/>
          <w:szCs w:val="2"/>
          <w:rtl/>
        </w:rPr>
        <w:t>5129371</w:t>
      </w:r>
    </w:p>
    <w:p w14:paraId="4DFA82BB" w14:textId="77777777" w:rsidR="00AB7E58" w:rsidRDefault="008F7361" w:rsidP="00AB7E58">
      <w:pPr>
        <w:spacing w:line="360" w:lineRule="auto"/>
        <w:ind w:left="720" w:hanging="720"/>
        <w:jc w:val="both"/>
        <w:rPr>
          <w:rFonts w:ascii="David" w:hAnsi="David"/>
          <w:rtl/>
        </w:rPr>
      </w:pPr>
      <w:r w:rsidRPr="008F7361">
        <w:rPr>
          <w:rFonts w:ascii="David" w:hAnsi="David"/>
          <w:b/>
          <w:bCs/>
          <w:color w:val="FFFFFF"/>
          <w:sz w:val="2"/>
          <w:szCs w:val="2"/>
          <w:rtl/>
        </w:rPr>
        <w:t>54678313</w:t>
      </w:r>
      <w:r w:rsidR="00AB7E58">
        <w:rPr>
          <w:rFonts w:ascii="David" w:hAnsi="David"/>
          <w:b/>
          <w:bCs/>
          <w:rtl/>
        </w:rPr>
        <w:t>זכות ערעור תוך 45 ימים לבית המשפט העליון.</w:t>
      </w:r>
      <w:r w:rsidR="00AB7E58">
        <w:rPr>
          <w:rFonts w:ascii="David" w:hAnsi="David"/>
          <w:rtl/>
        </w:rPr>
        <w:tab/>
      </w:r>
    </w:p>
    <w:p w14:paraId="1E760D43" w14:textId="77777777" w:rsidR="00AB7E58" w:rsidRPr="00AB7E58" w:rsidRDefault="00AB7E58" w:rsidP="00AB7E58">
      <w:pPr>
        <w:rPr>
          <w:rFonts w:ascii="Calibri" w:hAnsi="Calibri" w:cs="Arial"/>
          <w:sz w:val="22"/>
          <w:szCs w:val="22"/>
          <w:rtl/>
        </w:rPr>
      </w:pPr>
    </w:p>
    <w:p w14:paraId="31E78833" w14:textId="77777777" w:rsidR="00AB7E58" w:rsidRPr="000F2247" w:rsidRDefault="008F7361" w:rsidP="00AB7E5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כסלו תשפ"ה, 11 דצמבר 2024, במעמד הצדדים. </w:t>
      </w:r>
      <w:bookmarkEnd w:id="8"/>
      <w:r w:rsidR="00AB7E58">
        <w:rPr>
          <w:rFonts w:ascii="Arial" w:hAnsi="Arial"/>
          <w:b/>
          <w:bCs/>
          <w:sz w:val="26"/>
          <w:szCs w:val="26"/>
          <w:rtl/>
        </w:rPr>
        <w:tab/>
      </w:r>
      <w:r w:rsidR="00AB7E58">
        <w:rPr>
          <w:rFonts w:ascii="Arial" w:hAnsi="Arial"/>
          <w:b/>
          <w:bCs/>
          <w:sz w:val="26"/>
          <w:szCs w:val="26"/>
          <w:rtl/>
        </w:rPr>
        <w:tab/>
      </w:r>
      <w:r w:rsidR="00AB7E58">
        <w:rPr>
          <w:rFonts w:ascii="Arial" w:hAnsi="Arial"/>
          <w:b/>
          <w:bCs/>
          <w:sz w:val="26"/>
          <w:szCs w:val="26"/>
          <w:rtl/>
        </w:rPr>
        <w:tab/>
      </w:r>
      <w:r w:rsidR="00AB7E58">
        <w:rPr>
          <w:rFonts w:ascii="Arial" w:hAnsi="Arial"/>
          <w:b/>
          <w:bCs/>
          <w:sz w:val="26"/>
          <w:szCs w:val="26"/>
          <w:rtl/>
        </w:rPr>
        <w:tab/>
      </w:r>
      <w:r w:rsidR="00AB7E58">
        <w:rPr>
          <w:rFonts w:ascii="Arial" w:hAnsi="Arial"/>
          <w:b/>
          <w:bCs/>
          <w:sz w:val="26"/>
          <w:szCs w:val="26"/>
          <w:rtl/>
        </w:rPr>
        <w:tab/>
      </w:r>
      <w:r w:rsidR="00AB7E58">
        <w:rPr>
          <w:rFonts w:ascii="Arial" w:hAnsi="Arial"/>
          <w:b/>
          <w:bCs/>
          <w:sz w:val="26"/>
          <w:szCs w:val="26"/>
          <w:rtl/>
        </w:rPr>
        <w:tab/>
      </w:r>
      <w:r w:rsidR="00AB7E58">
        <w:rPr>
          <w:rFonts w:ascii="Arial" w:hAnsi="Arial"/>
          <w:b/>
          <w:bCs/>
          <w:sz w:val="26"/>
          <w:szCs w:val="26"/>
          <w:rtl/>
        </w:rPr>
        <w:tab/>
      </w:r>
      <w:r w:rsidR="00AB7E58">
        <w:rPr>
          <w:rFonts w:ascii="Arial" w:hAnsi="Arial" w:hint="cs"/>
          <w:b/>
          <w:bCs/>
          <w:sz w:val="26"/>
          <w:szCs w:val="26"/>
          <w:rtl/>
        </w:rPr>
        <w:t xml:space="preserve">         </w:t>
      </w:r>
    </w:p>
    <w:p w14:paraId="1A60E399" w14:textId="77777777" w:rsidR="00AB7E58" w:rsidRPr="000F2247" w:rsidRDefault="00AB7E58" w:rsidP="008F736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2081A9C" w14:textId="77777777" w:rsidR="00AB7E58" w:rsidRPr="0006630E" w:rsidRDefault="0006630E" w:rsidP="00AB7E58">
      <w:pPr>
        <w:jc w:val="center"/>
        <w:rPr>
          <w:rFonts w:ascii="Arial" w:hAnsi="Arial"/>
          <w:b/>
          <w:bCs/>
          <w:color w:val="FFFFFF"/>
          <w:sz w:val="2"/>
          <w:szCs w:val="2"/>
          <w:rtl/>
        </w:rPr>
      </w:pPr>
      <w:r w:rsidRPr="0006630E">
        <w:rPr>
          <w:rFonts w:ascii="Arial" w:hAnsi="Arial"/>
          <w:b/>
          <w:bCs/>
          <w:color w:val="FFFFFF"/>
          <w:sz w:val="2"/>
          <w:szCs w:val="2"/>
          <w:rtl/>
        </w:rPr>
        <w:t>5129371</w:t>
      </w:r>
    </w:p>
    <w:p w14:paraId="5BF184B9" w14:textId="77777777" w:rsidR="005A751F" w:rsidRPr="0006630E" w:rsidRDefault="0006630E" w:rsidP="008F7361">
      <w:pPr>
        <w:keepNext/>
        <w:rPr>
          <w:rFonts w:ascii="David" w:hAnsi="David"/>
          <w:color w:val="FFFFFF"/>
          <w:sz w:val="2"/>
          <w:szCs w:val="2"/>
          <w:rtl/>
        </w:rPr>
      </w:pPr>
      <w:r w:rsidRPr="0006630E">
        <w:rPr>
          <w:rFonts w:ascii="David" w:hAnsi="David"/>
          <w:color w:val="FFFFFF"/>
          <w:sz w:val="2"/>
          <w:szCs w:val="2"/>
          <w:rtl/>
        </w:rPr>
        <w:t>54678313</w:t>
      </w:r>
    </w:p>
    <w:p w14:paraId="5B7D93EF" w14:textId="77777777" w:rsidR="008F7361" w:rsidRPr="008F7361" w:rsidRDefault="008F7361" w:rsidP="008F7361">
      <w:pPr>
        <w:keepNext/>
        <w:rPr>
          <w:rFonts w:ascii="David" w:hAnsi="David"/>
          <w:color w:val="000000"/>
          <w:sz w:val="22"/>
          <w:szCs w:val="22"/>
          <w:rtl/>
        </w:rPr>
      </w:pPr>
      <w:r w:rsidRPr="008F7361">
        <w:rPr>
          <w:rFonts w:ascii="David" w:hAnsi="David"/>
          <w:color w:val="000000"/>
          <w:sz w:val="22"/>
          <w:szCs w:val="22"/>
          <w:rtl/>
        </w:rPr>
        <w:t>אלון גביזון 54678313</w:t>
      </w:r>
    </w:p>
    <w:p w14:paraId="7BA112C9" w14:textId="77777777" w:rsidR="008F7361" w:rsidRDefault="008F7361" w:rsidP="008F7361">
      <w:r w:rsidRPr="008F7361">
        <w:rPr>
          <w:color w:val="000000"/>
          <w:rtl/>
        </w:rPr>
        <w:t>נוסח מסמך זה כפוף לשינויי ניסוח ועריכה</w:t>
      </w:r>
    </w:p>
    <w:p w14:paraId="6D5A967D" w14:textId="77777777" w:rsidR="008F7361" w:rsidRDefault="008F7361" w:rsidP="008F7361">
      <w:pPr>
        <w:rPr>
          <w:rtl/>
        </w:rPr>
      </w:pPr>
    </w:p>
    <w:p w14:paraId="474C21C9" w14:textId="77777777" w:rsidR="008F7361" w:rsidRDefault="008F7361" w:rsidP="008F7361">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4EB8F6E8" w14:textId="77777777" w:rsidR="0006630E" w:rsidRPr="0006630E" w:rsidRDefault="0006630E" w:rsidP="0006630E">
      <w:pPr>
        <w:keepNext/>
        <w:rPr>
          <w:rFonts w:ascii="David" w:hAnsi="David"/>
          <w:color w:val="000000"/>
          <w:sz w:val="22"/>
          <w:szCs w:val="22"/>
          <w:rtl/>
        </w:rPr>
      </w:pPr>
    </w:p>
    <w:sectPr w:rsidR="0006630E" w:rsidRPr="0006630E" w:rsidSect="0006630E">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137C0" w14:textId="77777777" w:rsidR="00657A5E" w:rsidRDefault="00657A5E" w:rsidP="00E96617">
      <w:r>
        <w:separator/>
      </w:r>
    </w:p>
  </w:endnote>
  <w:endnote w:type="continuationSeparator" w:id="0">
    <w:p w14:paraId="2C58B867" w14:textId="77777777" w:rsidR="00657A5E" w:rsidRDefault="00657A5E" w:rsidP="00E9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30BAF" w14:textId="77777777" w:rsidR="0006630E" w:rsidRDefault="0006630E" w:rsidP="000663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E41B2F" w14:textId="77777777" w:rsidR="006B0D93" w:rsidRPr="0006630E" w:rsidRDefault="0006630E" w:rsidP="0006630E">
    <w:pPr>
      <w:pStyle w:val="a5"/>
      <w:pBdr>
        <w:top w:val="single" w:sz="4" w:space="1" w:color="auto"/>
        <w:between w:val="single" w:sz="4" w:space="0" w:color="auto"/>
      </w:pBdr>
      <w:spacing w:after="60"/>
      <w:jc w:val="center"/>
      <w:rPr>
        <w:rFonts w:ascii="FrankRuehl" w:hAnsi="FrankRuehl" w:cs="FrankRuehl"/>
        <w:color w:val="000000"/>
      </w:rPr>
    </w:pPr>
    <w:r w:rsidRPr="000663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3A94F" w14:textId="77777777" w:rsidR="0006630E" w:rsidRDefault="0006630E" w:rsidP="000663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4514">
      <w:rPr>
        <w:rFonts w:ascii="FrankRuehl" w:hAnsi="FrankRuehl" w:cs="FrankRuehl"/>
        <w:noProof/>
        <w:rtl/>
      </w:rPr>
      <w:t>1</w:t>
    </w:r>
    <w:r>
      <w:rPr>
        <w:rFonts w:ascii="FrankRuehl" w:hAnsi="FrankRuehl" w:cs="FrankRuehl"/>
        <w:rtl/>
      </w:rPr>
      <w:fldChar w:fldCharType="end"/>
    </w:r>
  </w:p>
  <w:p w14:paraId="4E430F8B" w14:textId="77777777" w:rsidR="006B0D93" w:rsidRPr="0006630E" w:rsidRDefault="0006630E" w:rsidP="0006630E">
    <w:pPr>
      <w:pStyle w:val="a5"/>
      <w:pBdr>
        <w:top w:val="single" w:sz="4" w:space="1" w:color="auto"/>
        <w:between w:val="single" w:sz="4" w:space="0" w:color="auto"/>
      </w:pBdr>
      <w:spacing w:after="60"/>
      <w:jc w:val="center"/>
      <w:rPr>
        <w:rFonts w:ascii="FrankRuehl" w:hAnsi="FrankRuehl" w:cs="FrankRuehl"/>
        <w:color w:val="000000"/>
      </w:rPr>
    </w:pPr>
    <w:r w:rsidRPr="0006630E">
      <w:rPr>
        <w:rFonts w:ascii="FrankRuehl" w:hAnsi="FrankRuehl" w:cs="FrankRuehl"/>
        <w:color w:val="000000"/>
      </w:rPr>
      <w:pict w14:anchorId="77356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ECD13" w14:textId="77777777" w:rsidR="00657A5E" w:rsidRDefault="00657A5E" w:rsidP="00E96617">
      <w:r>
        <w:separator/>
      </w:r>
    </w:p>
  </w:footnote>
  <w:footnote w:type="continuationSeparator" w:id="0">
    <w:p w14:paraId="768C529F" w14:textId="77777777" w:rsidR="00657A5E" w:rsidRDefault="00657A5E" w:rsidP="00E96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ADD20" w14:textId="77777777" w:rsidR="008F7361" w:rsidRPr="0006630E" w:rsidRDefault="0006630E" w:rsidP="000663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72237-05-24</w:t>
    </w:r>
    <w:r>
      <w:rPr>
        <w:rFonts w:ascii="David" w:hAnsi="David"/>
        <w:color w:val="000000"/>
        <w:sz w:val="22"/>
        <w:szCs w:val="22"/>
        <w:rtl/>
      </w:rPr>
      <w:tab/>
      <w:t xml:space="preserve"> מדינת ישראל נ' עומר אבו רקייק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D1177" w14:textId="77777777" w:rsidR="008F7361" w:rsidRPr="0006630E" w:rsidRDefault="0006630E" w:rsidP="000663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72237-05-24</w:t>
    </w:r>
    <w:r>
      <w:rPr>
        <w:rFonts w:ascii="David" w:hAnsi="David"/>
        <w:color w:val="000000"/>
        <w:sz w:val="22"/>
        <w:szCs w:val="22"/>
        <w:rtl/>
      </w:rPr>
      <w:tab/>
      <w:t xml:space="preserve"> מדינת ישראל נ' עומר אבו רקייק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800" w:hanging="360"/>
      </w:pPr>
      <w:rPr>
        <w:rFonts w:ascii="Symbol" w:hAnsi="Symbol" w:hint="default"/>
      </w:rPr>
    </w:lvl>
    <w:lvl w:ilvl="1" w:tplc="D0AE272C">
      <w:start w:val="1"/>
      <w:numFmt w:val="bullet"/>
      <w:lvlText w:val="o"/>
      <w:lvlJc w:val="left"/>
      <w:pPr>
        <w:ind w:left="2520" w:hanging="360"/>
      </w:pPr>
      <w:rPr>
        <w:rFonts w:ascii="Courier New" w:hAnsi="Courier New" w:cs="Courier New" w:hint="default"/>
      </w:rPr>
    </w:lvl>
    <w:lvl w:ilvl="2" w:tplc="4CE8AFEC">
      <w:start w:val="1"/>
      <w:numFmt w:val="bullet"/>
      <w:lvlText w:val=""/>
      <w:lvlJc w:val="left"/>
      <w:pPr>
        <w:ind w:left="3240" w:hanging="360"/>
      </w:pPr>
      <w:rPr>
        <w:rFonts w:ascii="Wingdings" w:hAnsi="Wingdings" w:hint="default"/>
      </w:rPr>
    </w:lvl>
    <w:lvl w:ilvl="3" w:tplc="66DC63D4">
      <w:start w:val="1"/>
      <w:numFmt w:val="bullet"/>
      <w:lvlText w:val=""/>
      <w:lvlJc w:val="left"/>
      <w:pPr>
        <w:ind w:left="3960" w:hanging="360"/>
      </w:pPr>
      <w:rPr>
        <w:rFonts w:ascii="Symbol" w:hAnsi="Symbol" w:hint="default"/>
      </w:rPr>
    </w:lvl>
    <w:lvl w:ilvl="4" w:tplc="39E8D01E">
      <w:start w:val="1"/>
      <w:numFmt w:val="bullet"/>
      <w:lvlText w:val="o"/>
      <w:lvlJc w:val="left"/>
      <w:pPr>
        <w:ind w:left="4680" w:hanging="360"/>
      </w:pPr>
      <w:rPr>
        <w:rFonts w:ascii="Courier New" w:hAnsi="Courier New" w:cs="Courier New" w:hint="default"/>
      </w:rPr>
    </w:lvl>
    <w:lvl w:ilvl="5" w:tplc="A17A33F8">
      <w:start w:val="1"/>
      <w:numFmt w:val="bullet"/>
      <w:lvlText w:val=""/>
      <w:lvlJc w:val="left"/>
      <w:pPr>
        <w:ind w:left="5400" w:hanging="360"/>
      </w:pPr>
      <w:rPr>
        <w:rFonts w:ascii="Wingdings" w:hAnsi="Wingdings" w:hint="default"/>
      </w:rPr>
    </w:lvl>
    <w:lvl w:ilvl="6" w:tplc="32B25C30">
      <w:start w:val="1"/>
      <w:numFmt w:val="bullet"/>
      <w:lvlText w:val=""/>
      <w:lvlJc w:val="left"/>
      <w:pPr>
        <w:ind w:left="6120" w:hanging="360"/>
      </w:pPr>
      <w:rPr>
        <w:rFonts w:ascii="Symbol" w:hAnsi="Symbol" w:hint="default"/>
      </w:rPr>
    </w:lvl>
    <w:lvl w:ilvl="7" w:tplc="117C14FE">
      <w:start w:val="1"/>
      <w:numFmt w:val="bullet"/>
      <w:lvlText w:val="o"/>
      <w:lvlJc w:val="left"/>
      <w:pPr>
        <w:ind w:left="6840" w:hanging="360"/>
      </w:pPr>
      <w:rPr>
        <w:rFonts w:ascii="Courier New" w:hAnsi="Courier New" w:cs="Courier New" w:hint="default"/>
      </w:rPr>
    </w:lvl>
    <w:lvl w:ilvl="8" w:tplc="A12A52C8">
      <w:start w:val="1"/>
      <w:numFmt w:val="bullet"/>
      <w:lvlText w:val=""/>
      <w:lvlJc w:val="left"/>
      <w:pPr>
        <w:ind w:left="7560" w:hanging="360"/>
      </w:pPr>
      <w:rPr>
        <w:rFonts w:ascii="Wingdings" w:hAnsi="Wingdings" w:hint="default"/>
      </w:rPr>
    </w:lvl>
  </w:abstractNum>
  <w:num w:numId="1" w16cid:durableId="64166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7E58"/>
    <w:rsid w:val="0006630E"/>
    <w:rsid w:val="00111F7D"/>
    <w:rsid w:val="00464514"/>
    <w:rsid w:val="005A751F"/>
    <w:rsid w:val="00657A5E"/>
    <w:rsid w:val="006B0D93"/>
    <w:rsid w:val="008F7361"/>
    <w:rsid w:val="009A4E4C"/>
    <w:rsid w:val="00A50B72"/>
    <w:rsid w:val="00AB7E58"/>
    <w:rsid w:val="00E96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65BF24"/>
  <w15:chartTrackingRefBased/>
  <w15:docId w15:val="{DD4F68CD-7E84-40D7-A59A-71217072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7E5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7E58"/>
    <w:pPr>
      <w:tabs>
        <w:tab w:val="center" w:pos="4153"/>
        <w:tab w:val="right" w:pos="8306"/>
      </w:tabs>
    </w:pPr>
  </w:style>
  <w:style w:type="character" w:customStyle="1" w:styleId="a4">
    <w:name w:val="כותרת עליונה תו"/>
    <w:link w:val="a3"/>
    <w:rsid w:val="00AB7E58"/>
    <w:rPr>
      <w:rFonts w:ascii="Times New Roman" w:eastAsia="Times New Roman" w:hAnsi="Times New Roman" w:cs="David"/>
      <w:sz w:val="24"/>
      <w:szCs w:val="24"/>
    </w:rPr>
  </w:style>
  <w:style w:type="paragraph" w:styleId="a5">
    <w:name w:val="footer"/>
    <w:basedOn w:val="a"/>
    <w:link w:val="a6"/>
    <w:rsid w:val="00AB7E58"/>
    <w:pPr>
      <w:tabs>
        <w:tab w:val="center" w:pos="4153"/>
        <w:tab w:val="right" w:pos="8306"/>
      </w:tabs>
    </w:pPr>
  </w:style>
  <w:style w:type="character" w:customStyle="1" w:styleId="a6">
    <w:name w:val="כותרת תחתונה תו"/>
    <w:link w:val="a5"/>
    <w:rsid w:val="00AB7E58"/>
    <w:rPr>
      <w:rFonts w:ascii="Times New Roman" w:eastAsia="Times New Roman" w:hAnsi="Times New Roman" w:cs="David"/>
      <w:sz w:val="24"/>
      <w:szCs w:val="24"/>
    </w:rPr>
  </w:style>
  <w:style w:type="table" w:styleId="a7">
    <w:name w:val="Table Grid"/>
    <w:basedOn w:val="a1"/>
    <w:rsid w:val="00AB7E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7E58"/>
  </w:style>
  <w:style w:type="character" w:styleId="Hyperlink">
    <w:name w:val="Hyperlink"/>
    <w:rsid w:val="00AB7E58"/>
    <w:rPr>
      <w:color w:val="0000FF"/>
      <w:u w:val="single"/>
    </w:rPr>
  </w:style>
  <w:style w:type="character" w:customStyle="1" w:styleId="a9">
    <w:name w:val="פיסקת רשימה תו"/>
    <w:link w:val="aa"/>
    <w:locked/>
    <w:rsid w:val="00AB7E58"/>
    <w:rPr>
      <w:rFonts w:ascii="Calibri" w:hAnsi="Calibri" w:cs="Calibri"/>
    </w:rPr>
  </w:style>
  <w:style w:type="paragraph" w:styleId="aa">
    <w:name w:val="List Paragraph"/>
    <w:basedOn w:val="a"/>
    <w:link w:val="a9"/>
    <w:qFormat/>
    <w:rsid w:val="00AB7E58"/>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491153" TargetMode="External"/><Relationship Id="rId39" Type="http://schemas.openxmlformats.org/officeDocument/2006/relationships/hyperlink" Target="http://www.nevo.co.il/case/28543730" TargetMode="External"/><Relationship Id="rId21" Type="http://schemas.openxmlformats.org/officeDocument/2006/relationships/hyperlink" Target="http://www.nevo.co.il/case/25612982"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4918/47" TargetMode="External"/><Relationship Id="rId47" Type="http://schemas.openxmlformats.org/officeDocument/2006/relationships/hyperlink" Target="http://www.nevo.co.il/case/5598421" TargetMode="External"/><Relationship Id="rId50" Type="http://schemas.openxmlformats.org/officeDocument/2006/relationships/hyperlink" Target="http://www.nevo.co.il/law/70301"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6913995"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6986974" TargetMode="External"/><Relationship Id="rId32" Type="http://schemas.openxmlformats.org/officeDocument/2006/relationships/hyperlink" Target="http://www.nevo.co.il/case/28621153"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144.a"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40c"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4918/47" TargetMode="External"/><Relationship Id="rId22" Type="http://schemas.openxmlformats.org/officeDocument/2006/relationships/hyperlink" Target="http://www.nevo.co.il/case/29819083"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25526059" TargetMode="External"/><Relationship Id="rId43" Type="http://schemas.openxmlformats.org/officeDocument/2006/relationships/hyperlink" Target="http://www.nevo.co.il/law/74918" TargetMode="External"/><Relationship Id="rId48" Type="http://schemas.openxmlformats.org/officeDocument/2006/relationships/hyperlink" Target="http://www.nevo.co.il/case/28883087" TargetMode="External"/><Relationship Id="rId56"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hyperlink" Target="http://www.nevo.co.il/law/70301/340a" TargetMode="Externa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40b" TargetMode="External"/><Relationship Id="rId25" Type="http://schemas.openxmlformats.org/officeDocument/2006/relationships/hyperlink" Target="http://www.nevo.co.il/case/27911638"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25898057"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case/27925239" TargetMode="External"/><Relationship Id="rId41" Type="http://schemas.openxmlformats.org/officeDocument/2006/relationships/hyperlink" Target="http://www.nevo.co.il/law/70301"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8791025"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law/70301/144" TargetMode="External"/><Relationship Id="rId57" Type="http://schemas.openxmlformats.org/officeDocument/2006/relationships/footer" Target="footer2.xml"/><Relationship Id="rId10" Type="http://schemas.openxmlformats.org/officeDocument/2006/relationships/hyperlink" Target="http://www.nevo.co.il/law/70301/144"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5898057" TargetMode="External"/><Relationship Id="rId52"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3070</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18389</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7864368</vt:i4>
      </vt:variant>
      <vt:variant>
        <vt:i4>135</vt:i4>
      </vt:variant>
      <vt:variant>
        <vt:i4>0</vt:i4>
      </vt:variant>
      <vt:variant>
        <vt:i4>5</vt:i4>
      </vt:variant>
      <vt:variant>
        <vt:lpwstr>http://www.eca.gov.il/</vt:lpwstr>
      </vt:variant>
      <vt:variant>
        <vt:lpwstr/>
      </vt:variant>
      <vt:variant>
        <vt:i4>86</vt:i4>
      </vt:variant>
      <vt:variant>
        <vt:i4>132</vt:i4>
      </vt:variant>
      <vt:variant>
        <vt:i4>0</vt:i4>
      </vt:variant>
      <vt:variant>
        <vt:i4>5</vt:i4>
      </vt:variant>
      <vt:variant>
        <vt:lpwstr>http://www.nevo.co.il/law/70301/340a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3211380</vt:i4>
      </vt:variant>
      <vt:variant>
        <vt:i4>123</vt:i4>
      </vt:variant>
      <vt:variant>
        <vt:i4>0</vt:i4>
      </vt:variant>
      <vt:variant>
        <vt:i4>5</vt:i4>
      </vt:variant>
      <vt:variant>
        <vt:lpwstr>http://www.nevo.co.il/case/28883087</vt:lpwstr>
      </vt:variant>
      <vt:variant>
        <vt:lpwstr/>
      </vt:variant>
      <vt:variant>
        <vt:i4>3735675</vt:i4>
      </vt:variant>
      <vt:variant>
        <vt:i4>120</vt:i4>
      </vt:variant>
      <vt:variant>
        <vt:i4>0</vt:i4>
      </vt:variant>
      <vt:variant>
        <vt:i4>5</vt:i4>
      </vt:variant>
      <vt:variant>
        <vt:lpwstr>http://www.nevo.co.il/case/5598421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3604600</vt:i4>
      </vt:variant>
      <vt:variant>
        <vt:i4>111</vt:i4>
      </vt:variant>
      <vt:variant>
        <vt:i4>0</vt:i4>
      </vt:variant>
      <vt:variant>
        <vt:i4>5</vt:i4>
      </vt:variant>
      <vt:variant>
        <vt:lpwstr>http://www.nevo.co.il/case/25898057</vt:lpwstr>
      </vt:variant>
      <vt:variant>
        <vt:lpwstr/>
      </vt:variant>
      <vt:variant>
        <vt:i4>8323182</vt:i4>
      </vt:variant>
      <vt:variant>
        <vt:i4>108</vt:i4>
      </vt:variant>
      <vt:variant>
        <vt:i4>0</vt:i4>
      </vt:variant>
      <vt:variant>
        <vt:i4>5</vt:i4>
      </vt:variant>
      <vt:variant>
        <vt:lpwstr>http://www.nevo.co.il/law/74918</vt:lpwstr>
      </vt:variant>
      <vt:variant>
        <vt:lpwstr/>
      </vt:variant>
      <vt:variant>
        <vt:i4>6750306</vt:i4>
      </vt:variant>
      <vt:variant>
        <vt:i4>105</vt:i4>
      </vt:variant>
      <vt:variant>
        <vt:i4>0</vt:i4>
      </vt:variant>
      <vt:variant>
        <vt:i4>5</vt:i4>
      </vt:variant>
      <vt:variant>
        <vt:lpwstr>http://www.nevo.co.il/law/74918/47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3604607</vt:i4>
      </vt:variant>
      <vt:variant>
        <vt:i4>96</vt:i4>
      </vt:variant>
      <vt:variant>
        <vt:i4>0</vt:i4>
      </vt:variant>
      <vt:variant>
        <vt:i4>5</vt:i4>
      </vt:variant>
      <vt:variant>
        <vt:lpwstr>http://www.nevo.co.il/case/28543730</vt:lpwstr>
      </vt:variant>
      <vt:variant>
        <vt:lpwstr/>
      </vt:variant>
      <vt:variant>
        <vt:i4>3604600</vt:i4>
      </vt:variant>
      <vt:variant>
        <vt:i4>93</vt:i4>
      </vt:variant>
      <vt:variant>
        <vt:i4>0</vt:i4>
      </vt:variant>
      <vt:variant>
        <vt:i4>5</vt:i4>
      </vt:variant>
      <vt:variant>
        <vt:lpwstr>http://www.nevo.co.il/case/25898057</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3407987</vt:i4>
      </vt:variant>
      <vt:variant>
        <vt:i4>84</vt:i4>
      </vt:variant>
      <vt:variant>
        <vt:i4>0</vt:i4>
      </vt:variant>
      <vt:variant>
        <vt:i4>5</vt:i4>
      </vt:variant>
      <vt:variant>
        <vt:lpwstr>http://www.nevo.co.il/case/25526059</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3145855</vt:i4>
      </vt:variant>
      <vt:variant>
        <vt:i4>75</vt:i4>
      </vt:variant>
      <vt:variant>
        <vt:i4>0</vt:i4>
      </vt:variant>
      <vt:variant>
        <vt:i4>5</vt:i4>
      </vt:variant>
      <vt:variant>
        <vt:lpwstr>http://www.nevo.co.il/case/28621153</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3211386</vt:i4>
      </vt:variant>
      <vt:variant>
        <vt:i4>66</vt:i4>
      </vt:variant>
      <vt:variant>
        <vt:i4>0</vt:i4>
      </vt:variant>
      <vt:variant>
        <vt:i4>5</vt:i4>
      </vt:variant>
      <vt:variant>
        <vt:lpwstr>http://www.nevo.co.il/case/26913995</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3276923</vt:i4>
      </vt:variant>
      <vt:variant>
        <vt:i4>57</vt:i4>
      </vt:variant>
      <vt:variant>
        <vt:i4>0</vt:i4>
      </vt:variant>
      <vt:variant>
        <vt:i4>5</vt:i4>
      </vt:variant>
      <vt:variant>
        <vt:lpwstr>http://www.nevo.co.il/case/27491153</vt:lpwstr>
      </vt:variant>
      <vt:variant>
        <vt:lpwstr/>
      </vt:variant>
      <vt:variant>
        <vt:i4>3735668</vt:i4>
      </vt:variant>
      <vt:variant>
        <vt:i4>54</vt:i4>
      </vt:variant>
      <vt:variant>
        <vt:i4>0</vt:i4>
      </vt:variant>
      <vt:variant>
        <vt:i4>5</vt:i4>
      </vt:variant>
      <vt:variant>
        <vt:lpwstr>http://www.nevo.co.il/case/27911638</vt:lpwstr>
      </vt:variant>
      <vt:variant>
        <vt:lpwstr/>
      </vt:variant>
      <vt:variant>
        <vt:i4>3801203</vt:i4>
      </vt:variant>
      <vt:variant>
        <vt:i4>51</vt:i4>
      </vt:variant>
      <vt:variant>
        <vt:i4>0</vt:i4>
      </vt:variant>
      <vt:variant>
        <vt:i4>5</vt:i4>
      </vt:variant>
      <vt:variant>
        <vt:lpwstr>http://www.nevo.co.il/case/26986974</vt:lpwstr>
      </vt:variant>
      <vt:variant>
        <vt:lpwstr/>
      </vt:variant>
      <vt:variant>
        <vt:i4>3539061</vt:i4>
      </vt:variant>
      <vt:variant>
        <vt:i4>48</vt:i4>
      </vt:variant>
      <vt:variant>
        <vt:i4>0</vt:i4>
      </vt:variant>
      <vt:variant>
        <vt:i4>5</vt:i4>
      </vt:variant>
      <vt:variant>
        <vt:lpwstr>http://www.nevo.co.il/case/28791025</vt:lpwstr>
      </vt:variant>
      <vt:variant>
        <vt:lpwstr/>
      </vt:variant>
      <vt:variant>
        <vt:i4>3866748</vt:i4>
      </vt:variant>
      <vt:variant>
        <vt:i4>45</vt:i4>
      </vt:variant>
      <vt:variant>
        <vt:i4>0</vt:i4>
      </vt:variant>
      <vt:variant>
        <vt:i4>5</vt:i4>
      </vt:variant>
      <vt:variant>
        <vt:lpwstr>http://www.nevo.co.il/case/29819083</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3997811</vt:i4>
      </vt:variant>
      <vt:variant>
        <vt:i4>39</vt:i4>
      </vt:variant>
      <vt:variant>
        <vt:i4>0</vt:i4>
      </vt:variant>
      <vt:variant>
        <vt:i4>5</vt:i4>
      </vt:variant>
      <vt:variant>
        <vt:lpwstr>http://www.nevo.co.il/case/27925239</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6750306</vt:i4>
      </vt:variant>
      <vt:variant>
        <vt:i4>21</vt:i4>
      </vt:variant>
      <vt:variant>
        <vt:i4>0</vt:i4>
      </vt:variant>
      <vt:variant>
        <vt:i4>5</vt:i4>
      </vt:variant>
      <vt:variant>
        <vt:lpwstr>http://www.nevo.co.il/law/74918/47</vt:lpwstr>
      </vt:variant>
      <vt:variant>
        <vt:lpwstr/>
      </vt:variant>
      <vt:variant>
        <vt:i4>8323182</vt:i4>
      </vt:variant>
      <vt:variant>
        <vt:i4>18</vt:i4>
      </vt:variant>
      <vt:variant>
        <vt:i4>0</vt:i4>
      </vt:variant>
      <vt:variant>
        <vt:i4>5</vt:i4>
      </vt:variant>
      <vt:variant>
        <vt:lpwstr>http://www.nevo.co.il/law/74918</vt:lpwstr>
      </vt:variant>
      <vt:variant>
        <vt:lpwstr/>
      </vt:variant>
      <vt:variant>
        <vt:i4>86</vt:i4>
      </vt:variant>
      <vt:variant>
        <vt:i4>15</vt:i4>
      </vt:variant>
      <vt:variant>
        <vt:i4>0</vt:i4>
      </vt:variant>
      <vt:variant>
        <vt:i4>5</vt:i4>
      </vt:variant>
      <vt:variant>
        <vt:lpwstr>http://www.nevo.co.il/law/70301/340a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72237</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עומר אבו רקייק </vt:lpwstr>
  </property>
  <property fmtid="{D5CDD505-2E9C-101B-9397-08002B2CF9AE}" pid="10" name="LAWYER">
    <vt:lpwstr>היבה טבאג'ה;משה מרוז</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20241211</vt:lpwstr>
  </property>
  <property fmtid="{D5CDD505-2E9C-101B-9397-08002B2CF9AE}" pid="14" name="TYPE_N_DATE">
    <vt:lpwstr>39020241211</vt:lpwstr>
  </property>
  <property fmtid="{D5CDD505-2E9C-101B-9397-08002B2CF9AE}" pid="15" name="CASESLISTTMP1">
    <vt:lpwstr>27925239;25612982;29819083;28791025;26986974;27911638;27491153;26913995;28621153;25526059;25898057:2;28543730;5598421;28883087</vt:lpwstr>
  </property>
  <property fmtid="{D5CDD505-2E9C-101B-9397-08002B2CF9AE}" pid="16" name="WORDNUMPAGES">
    <vt:lpwstr>10</vt:lpwstr>
  </property>
  <property fmtid="{D5CDD505-2E9C-101B-9397-08002B2CF9AE}" pid="17" name="TYPE_ABS_DATE">
    <vt:lpwstr>390020241211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70301/144.a:7;040b;040c;144;340a</vt:lpwstr>
  </property>
  <property fmtid="{D5CDD505-2E9C-101B-9397-08002B2CF9AE}" pid="37" name="LAWLISTTMP2">
    <vt:lpwstr>74918/047</vt:lpwstr>
  </property>
</Properties>
</file>