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6B6F73" w:rsidRPr="009F004E" w14:paraId="292B7299" w14:textId="77777777" w:rsidTr="00F841DF">
        <w:trPr>
          <w:trHeight w:hRule="exact" w:val="418"/>
          <w:jc w:val="center"/>
        </w:trPr>
        <w:tc>
          <w:tcPr>
            <w:tcW w:w="8721" w:type="dxa"/>
            <w:gridSpan w:val="2"/>
          </w:tcPr>
          <w:p w14:paraId="213C80F1" w14:textId="77777777" w:rsidR="006B6F73" w:rsidRPr="009F004E" w:rsidRDefault="006B6F73" w:rsidP="00D521C6">
            <w:pPr>
              <w:pStyle w:val="a3"/>
              <w:jc w:val="center"/>
              <w:rPr>
                <w:rFonts w:ascii="Tahoma" w:hAnsi="Tahoma" w:cs="Tahoma"/>
                <w:color w:val="000080"/>
                <w:rtl/>
              </w:rPr>
            </w:pPr>
            <w:r w:rsidRPr="009F004E">
              <w:rPr>
                <w:rFonts w:ascii="Tahoma" w:hAnsi="Tahoma" w:cs="Tahoma"/>
                <w:b/>
                <w:bCs/>
                <w:color w:val="000080"/>
                <w:rtl/>
              </w:rPr>
              <w:t>בית המשפט המחוזי בחיפה</w:t>
            </w:r>
          </w:p>
        </w:tc>
      </w:tr>
      <w:tr w:rsidR="006B6F73" w:rsidRPr="009F004E" w14:paraId="5DA4A394" w14:textId="77777777" w:rsidTr="00F841DF">
        <w:trPr>
          <w:trHeight w:val="337"/>
          <w:jc w:val="center"/>
        </w:trPr>
        <w:tc>
          <w:tcPr>
            <w:tcW w:w="5058" w:type="dxa"/>
          </w:tcPr>
          <w:p w14:paraId="02D81148" w14:textId="77777777" w:rsidR="006B6F73" w:rsidRPr="009F004E" w:rsidRDefault="006B6F73" w:rsidP="00D521C6">
            <w:pPr>
              <w:rPr>
                <w:rFonts w:cs="FrankRuehl"/>
                <w:sz w:val="28"/>
                <w:szCs w:val="28"/>
                <w:rtl/>
              </w:rPr>
            </w:pPr>
            <w:r w:rsidRPr="009F004E">
              <w:rPr>
                <w:b/>
                <w:bCs/>
                <w:sz w:val="26"/>
                <w:szCs w:val="26"/>
                <w:rtl/>
              </w:rPr>
              <w:t>ת"פ</w:t>
            </w:r>
            <w:r w:rsidRPr="009F004E">
              <w:rPr>
                <w:rFonts w:cs="FrankRuehl" w:hint="cs"/>
                <w:sz w:val="28"/>
                <w:szCs w:val="28"/>
                <w:rtl/>
              </w:rPr>
              <w:t xml:space="preserve"> </w:t>
            </w:r>
            <w:r w:rsidRPr="009F004E">
              <w:rPr>
                <w:b/>
                <w:bCs/>
                <w:sz w:val="26"/>
                <w:szCs w:val="26"/>
                <w:rtl/>
              </w:rPr>
              <w:t>14070-06-24</w:t>
            </w:r>
            <w:r w:rsidRPr="009F004E">
              <w:rPr>
                <w:rFonts w:cs="FrankRuehl" w:hint="cs"/>
                <w:sz w:val="28"/>
                <w:szCs w:val="28"/>
                <w:rtl/>
              </w:rPr>
              <w:t xml:space="preserve"> </w:t>
            </w:r>
            <w:r w:rsidRPr="009F004E">
              <w:rPr>
                <w:b/>
                <w:bCs/>
                <w:sz w:val="26"/>
                <w:szCs w:val="26"/>
                <w:rtl/>
              </w:rPr>
              <w:t>מדינת ישראל נ' חטיב(עציר) ואח'</w:t>
            </w:r>
          </w:p>
        </w:tc>
        <w:tc>
          <w:tcPr>
            <w:tcW w:w="3663" w:type="dxa"/>
          </w:tcPr>
          <w:p w14:paraId="361BA563" w14:textId="77777777" w:rsidR="006B6F73" w:rsidRPr="009F004E" w:rsidRDefault="006B6F73" w:rsidP="00D521C6">
            <w:pPr>
              <w:pStyle w:val="a3"/>
              <w:jc w:val="right"/>
              <w:rPr>
                <w:rFonts w:cs="FrankRuehl"/>
                <w:sz w:val="28"/>
                <w:szCs w:val="28"/>
                <w:rtl/>
              </w:rPr>
            </w:pPr>
          </w:p>
        </w:tc>
      </w:tr>
    </w:tbl>
    <w:p w14:paraId="102442BB" w14:textId="77777777" w:rsidR="006B6F73" w:rsidRPr="009F004E" w:rsidRDefault="006B6F73" w:rsidP="00F841DF">
      <w:pPr>
        <w:pStyle w:val="a3"/>
        <w:rPr>
          <w:rtl/>
        </w:rPr>
      </w:pPr>
      <w:r w:rsidRPr="009F004E">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B6F73" w:rsidRPr="009F004E" w14:paraId="0AF1C7C8" w14:textId="77777777" w:rsidTr="006B6F73">
        <w:trPr>
          <w:trHeight w:val="295"/>
          <w:jc w:val="center"/>
        </w:trPr>
        <w:tc>
          <w:tcPr>
            <w:tcW w:w="923" w:type="dxa"/>
            <w:tcBorders>
              <w:top w:val="nil"/>
              <w:left w:val="nil"/>
              <w:bottom w:val="nil"/>
              <w:right w:val="nil"/>
            </w:tcBorders>
            <w:shd w:val="clear" w:color="auto" w:fill="auto"/>
          </w:tcPr>
          <w:p w14:paraId="5A20AADE" w14:textId="77777777" w:rsidR="006B6F73" w:rsidRPr="009F004E" w:rsidRDefault="006B6F73" w:rsidP="00D521C6">
            <w:pPr>
              <w:rPr>
                <w:rFonts w:ascii="David" w:hAnsi="David"/>
                <w:b/>
                <w:bCs/>
                <w:sz w:val="26"/>
                <w:szCs w:val="26"/>
              </w:rPr>
            </w:pPr>
            <w:r w:rsidRPr="009F004E">
              <w:rPr>
                <w:rFonts w:ascii="David" w:hAnsi="David"/>
                <w:b/>
                <w:bCs/>
                <w:sz w:val="26"/>
                <w:szCs w:val="26"/>
                <w:rtl/>
              </w:rPr>
              <w:t>לפני</w:t>
            </w:r>
          </w:p>
        </w:tc>
        <w:tc>
          <w:tcPr>
            <w:tcW w:w="7897" w:type="dxa"/>
            <w:gridSpan w:val="2"/>
            <w:tcBorders>
              <w:top w:val="nil"/>
              <w:left w:val="nil"/>
              <w:bottom w:val="nil"/>
              <w:right w:val="nil"/>
            </w:tcBorders>
            <w:shd w:val="clear" w:color="auto" w:fill="auto"/>
          </w:tcPr>
          <w:p w14:paraId="3247E390" w14:textId="77777777" w:rsidR="006B6F73" w:rsidRPr="009F004E" w:rsidRDefault="006B6F73" w:rsidP="00D521C6">
            <w:pPr>
              <w:rPr>
                <w:rFonts w:ascii="David" w:hAnsi="David"/>
                <w:b/>
                <w:bCs/>
                <w:sz w:val="26"/>
                <w:szCs w:val="26"/>
              </w:rPr>
            </w:pPr>
            <w:r w:rsidRPr="009F004E">
              <w:rPr>
                <w:rFonts w:ascii="David" w:hAnsi="David"/>
                <w:b/>
                <w:bCs/>
                <w:sz w:val="26"/>
                <w:szCs w:val="26"/>
                <w:rtl/>
              </w:rPr>
              <w:t>כב' הנשיא, השופט אבי לוי</w:t>
            </w:r>
          </w:p>
        </w:tc>
      </w:tr>
      <w:tr w:rsidR="006B6F73" w:rsidRPr="009F004E" w14:paraId="1D1C2BC4" w14:textId="77777777" w:rsidTr="006B6F73">
        <w:trPr>
          <w:trHeight w:val="355"/>
          <w:jc w:val="center"/>
        </w:trPr>
        <w:tc>
          <w:tcPr>
            <w:tcW w:w="923" w:type="dxa"/>
            <w:tcBorders>
              <w:top w:val="nil"/>
              <w:left w:val="nil"/>
              <w:bottom w:val="nil"/>
              <w:right w:val="nil"/>
            </w:tcBorders>
            <w:shd w:val="clear" w:color="auto" w:fill="auto"/>
          </w:tcPr>
          <w:p w14:paraId="788A0D88" w14:textId="77777777" w:rsidR="006B6F73" w:rsidRPr="009F004E" w:rsidRDefault="006B6F73" w:rsidP="00D521C6">
            <w:pPr>
              <w:rPr>
                <w:rFonts w:ascii="David" w:hAnsi="David"/>
                <w:b/>
                <w:bCs/>
                <w:sz w:val="26"/>
                <w:szCs w:val="26"/>
              </w:rPr>
            </w:pPr>
            <w:bookmarkStart w:id="0" w:name="FirstAppellant"/>
            <w:bookmarkStart w:id="1" w:name="LastJudge"/>
            <w:bookmarkEnd w:id="1"/>
            <w:r w:rsidRPr="009F004E">
              <w:rPr>
                <w:rFonts w:ascii="David" w:hAnsi="David" w:hint="cs"/>
                <w:b/>
                <w:bCs/>
                <w:sz w:val="26"/>
                <w:szCs w:val="26"/>
                <w:rtl/>
              </w:rPr>
              <w:t>בעניין:</w:t>
            </w:r>
          </w:p>
        </w:tc>
        <w:tc>
          <w:tcPr>
            <w:tcW w:w="4126" w:type="dxa"/>
            <w:tcBorders>
              <w:top w:val="nil"/>
              <w:left w:val="nil"/>
              <w:bottom w:val="nil"/>
              <w:right w:val="nil"/>
            </w:tcBorders>
            <w:shd w:val="clear" w:color="auto" w:fill="auto"/>
          </w:tcPr>
          <w:p w14:paraId="63361E5A" w14:textId="77777777" w:rsidR="006B6F73" w:rsidRPr="009F004E" w:rsidRDefault="006B6F73" w:rsidP="00D521C6">
            <w:pPr>
              <w:rPr>
                <w:rFonts w:ascii="David" w:hAnsi="David"/>
                <w:b/>
                <w:bCs/>
                <w:sz w:val="26"/>
                <w:szCs w:val="26"/>
              </w:rPr>
            </w:pPr>
            <w:r w:rsidRPr="009F004E">
              <w:rPr>
                <w:rFonts w:ascii="David" w:hAnsi="David" w:hint="cs"/>
                <w:b/>
                <w:bCs/>
                <w:sz w:val="26"/>
                <w:szCs w:val="26"/>
                <w:rtl/>
              </w:rPr>
              <w:t xml:space="preserve">המאשימה </w:t>
            </w:r>
          </w:p>
        </w:tc>
        <w:tc>
          <w:tcPr>
            <w:tcW w:w="3771" w:type="dxa"/>
            <w:tcBorders>
              <w:top w:val="nil"/>
              <w:left w:val="nil"/>
              <w:bottom w:val="nil"/>
              <w:right w:val="nil"/>
            </w:tcBorders>
            <w:shd w:val="clear" w:color="auto" w:fill="auto"/>
          </w:tcPr>
          <w:p w14:paraId="2E375DF4" w14:textId="77777777" w:rsidR="006B6F73" w:rsidRPr="009F004E" w:rsidRDefault="006B6F73" w:rsidP="00D521C6">
            <w:pPr>
              <w:rPr>
                <w:rFonts w:ascii="David" w:hAnsi="David"/>
                <w:b/>
                <w:bCs/>
                <w:sz w:val="26"/>
                <w:szCs w:val="26"/>
              </w:rPr>
            </w:pPr>
            <w:r w:rsidRPr="009F004E">
              <w:rPr>
                <w:rFonts w:ascii="David" w:hAnsi="David" w:hint="cs"/>
                <w:b/>
                <w:bCs/>
                <w:sz w:val="26"/>
                <w:szCs w:val="26"/>
                <w:rtl/>
              </w:rPr>
              <w:t xml:space="preserve">מדינת ישראל </w:t>
            </w:r>
          </w:p>
        </w:tc>
      </w:tr>
      <w:bookmarkEnd w:id="0"/>
      <w:tr w:rsidR="006B6F73" w:rsidRPr="009F004E" w14:paraId="1DBDE663" w14:textId="77777777" w:rsidTr="006B6F73">
        <w:trPr>
          <w:trHeight w:val="355"/>
          <w:jc w:val="center"/>
        </w:trPr>
        <w:tc>
          <w:tcPr>
            <w:tcW w:w="923" w:type="dxa"/>
            <w:tcBorders>
              <w:top w:val="nil"/>
              <w:left w:val="nil"/>
              <w:bottom w:val="nil"/>
              <w:right w:val="nil"/>
            </w:tcBorders>
            <w:shd w:val="clear" w:color="auto" w:fill="auto"/>
          </w:tcPr>
          <w:p w14:paraId="5CC7B4AD" w14:textId="77777777" w:rsidR="006B6F73" w:rsidRPr="009F004E" w:rsidRDefault="006B6F73" w:rsidP="00D521C6">
            <w:pPr>
              <w:rPr>
                <w:rFonts w:ascii="David" w:hAnsi="David"/>
                <w:b/>
                <w:bCs/>
                <w:sz w:val="26"/>
                <w:szCs w:val="26"/>
                <w:rtl/>
              </w:rPr>
            </w:pPr>
          </w:p>
        </w:tc>
        <w:tc>
          <w:tcPr>
            <w:tcW w:w="7897" w:type="dxa"/>
            <w:gridSpan w:val="2"/>
            <w:tcBorders>
              <w:top w:val="nil"/>
              <w:left w:val="nil"/>
              <w:bottom w:val="nil"/>
              <w:right w:val="nil"/>
            </w:tcBorders>
            <w:shd w:val="clear" w:color="auto" w:fill="auto"/>
          </w:tcPr>
          <w:p w14:paraId="746B2CB5" w14:textId="77777777" w:rsidR="006B6F73" w:rsidRPr="009F004E" w:rsidRDefault="006B6F73" w:rsidP="00D521C6">
            <w:pPr>
              <w:rPr>
                <w:rFonts w:ascii="David" w:hAnsi="David"/>
                <w:b/>
                <w:bCs/>
                <w:sz w:val="26"/>
                <w:szCs w:val="26"/>
                <w:rtl/>
              </w:rPr>
            </w:pPr>
          </w:p>
          <w:p w14:paraId="4E9F101E" w14:textId="77777777" w:rsidR="006B6F73" w:rsidRPr="009F004E" w:rsidRDefault="006B6F73" w:rsidP="006B6F73">
            <w:pPr>
              <w:jc w:val="center"/>
              <w:rPr>
                <w:rFonts w:ascii="David" w:hAnsi="David"/>
                <w:b/>
                <w:bCs/>
                <w:sz w:val="26"/>
                <w:szCs w:val="26"/>
                <w:rtl/>
              </w:rPr>
            </w:pPr>
            <w:r w:rsidRPr="009F004E">
              <w:rPr>
                <w:rFonts w:ascii="David" w:hAnsi="David"/>
                <w:b/>
                <w:bCs/>
                <w:sz w:val="26"/>
                <w:szCs w:val="26"/>
                <w:rtl/>
              </w:rPr>
              <w:t>נגד</w:t>
            </w:r>
          </w:p>
          <w:p w14:paraId="473A2C2F" w14:textId="77777777" w:rsidR="006B6F73" w:rsidRPr="009F004E" w:rsidRDefault="006B6F73" w:rsidP="00D521C6">
            <w:pPr>
              <w:rPr>
                <w:rFonts w:ascii="David" w:hAnsi="David"/>
                <w:b/>
                <w:bCs/>
                <w:sz w:val="26"/>
                <w:szCs w:val="26"/>
              </w:rPr>
            </w:pPr>
          </w:p>
        </w:tc>
      </w:tr>
      <w:tr w:rsidR="006B6F73" w:rsidRPr="009F004E" w14:paraId="458619CF" w14:textId="77777777" w:rsidTr="006B6F73">
        <w:trPr>
          <w:trHeight w:val="355"/>
          <w:jc w:val="center"/>
        </w:trPr>
        <w:tc>
          <w:tcPr>
            <w:tcW w:w="923" w:type="dxa"/>
            <w:tcBorders>
              <w:top w:val="nil"/>
              <w:left w:val="nil"/>
              <w:bottom w:val="nil"/>
              <w:right w:val="nil"/>
            </w:tcBorders>
            <w:shd w:val="clear" w:color="auto" w:fill="auto"/>
          </w:tcPr>
          <w:p w14:paraId="193C193E" w14:textId="77777777" w:rsidR="006B6F73" w:rsidRPr="009F004E" w:rsidRDefault="006B6F73" w:rsidP="00D521C6">
            <w:pPr>
              <w:rPr>
                <w:rFonts w:ascii="David" w:hAnsi="David"/>
                <w:b/>
                <w:bCs/>
                <w:sz w:val="26"/>
                <w:szCs w:val="26"/>
                <w:rtl/>
              </w:rPr>
            </w:pPr>
          </w:p>
        </w:tc>
        <w:tc>
          <w:tcPr>
            <w:tcW w:w="4126" w:type="dxa"/>
            <w:tcBorders>
              <w:top w:val="nil"/>
              <w:left w:val="nil"/>
              <w:bottom w:val="nil"/>
              <w:right w:val="nil"/>
            </w:tcBorders>
            <w:shd w:val="clear" w:color="auto" w:fill="auto"/>
          </w:tcPr>
          <w:p w14:paraId="31A1189F" w14:textId="77777777" w:rsidR="006B6F73" w:rsidRPr="009F004E" w:rsidRDefault="006B6F73" w:rsidP="00D521C6">
            <w:pPr>
              <w:rPr>
                <w:rFonts w:ascii="David" w:hAnsi="David"/>
                <w:b/>
                <w:bCs/>
                <w:sz w:val="26"/>
                <w:szCs w:val="26"/>
                <w:rtl/>
              </w:rPr>
            </w:pPr>
            <w:r w:rsidRPr="009F004E">
              <w:rPr>
                <w:rFonts w:ascii="David" w:hAnsi="David" w:hint="cs"/>
                <w:b/>
                <w:bCs/>
                <w:sz w:val="26"/>
                <w:szCs w:val="26"/>
                <w:rtl/>
              </w:rPr>
              <w:t xml:space="preserve">הנאשמים </w:t>
            </w:r>
          </w:p>
        </w:tc>
        <w:tc>
          <w:tcPr>
            <w:tcW w:w="3771" w:type="dxa"/>
            <w:tcBorders>
              <w:top w:val="nil"/>
              <w:left w:val="nil"/>
              <w:bottom w:val="nil"/>
              <w:right w:val="nil"/>
            </w:tcBorders>
            <w:shd w:val="clear" w:color="auto" w:fill="auto"/>
          </w:tcPr>
          <w:p w14:paraId="0C3A4EFA" w14:textId="77777777" w:rsidR="006B6F73" w:rsidRPr="009F004E" w:rsidRDefault="006B6F73" w:rsidP="00D521C6">
            <w:pPr>
              <w:rPr>
                <w:rFonts w:ascii="David" w:hAnsi="David"/>
                <w:b/>
                <w:bCs/>
                <w:sz w:val="26"/>
                <w:szCs w:val="26"/>
                <w:rtl/>
              </w:rPr>
            </w:pPr>
            <w:r w:rsidRPr="009F004E">
              <w:rPr>
                <w:rFonts w:ascii="David" w:hAnsi="David"/>
                <w:b/>
                <w:bCs/>
                <w:sz w:val="26"/>
                <w:szCs w:val="26"/>
                <w:rtl/>
              </w:rPr>
              <w:t>1</w:t>
            </w:r>
            <w:r w:rsidRPr="009F004E">
              <w:rPr>
                <w:rFonts w:ascii="David" w:hAnsi="David" w:hint="cs"/>
                <w:b/>
                <w:bCs/>
                <w:sz w:val="26"/>
                <w:szCs w:val="26"/>
                <w:rtl/>
              </w:rPr>
              <w:t>.</w:t>
            </w:r>
            <w:r w:rsidRPr="009F004E">
              <w:rPr>
                <w:rFonts w:ascii="David" w:hAnsi="David"/>
                <w:b/>
                <w:bCs/>
                <w:sz w:val="26"/>
                <w:szCs w:val="26"/>
                <w:rtl/>
              </w:rPr>
              <w:t>מחמוד חטיב (עציר)</w:t>
            </w:r>
          </w:p>
          <w:p w14:paraId="33F47DAD" w14:textId="77777777" w:rsidR="006B6F73" w:rsidRPr="009F004E" w:rsidRDefault="006B6F73" w:rsidP="00D521C6">
            <w:pPr>
              <w:rPr>
                <w:rFonts w:ascii="David" w:hAnsi="David"/>
                <w:b/>
                <w:bCs/>
                <w:sz w:val="26"/>
                <w:szCs w:val="26"/>
              </w:rPr>
            </w:pPr>
            <w:r w:rsidRPr="009F004E">
              <w:rPr>
                <w:rFonts w:ascii="David" w:hAnsi="David"/>
                <w:b/>
                <w:bCs/>
                <w:sz w:val="26"/>
                <w:szCs w:val="26"/>
                <w:rtl/>
              </w:rPr>
              <w:t>2</w:t>
            </w:r>
            <w:r w:rsidRPr="009F004E">
              <w:rPr>
                <w:rFonts w:ascii="David" w:hAnsi="David" w:hint="cs"/>
                <w:b/>
                <w:bCs/>
                <w:sz w:val="26"/>
                <w:szCs w:val="26"/>
                <w:rtl/>
              </w:rPr>
              <w:t>.</w:t>
            </w:r>
            <w:r w:rsidRPr="009F004E">
              <w:rPr>
                <w:rFonts w:ascii="David" w:hAnsi="David"/>
                <w:b/>
                <w:bCs/>
                <w:sz w:val="26"/>
                <w:szCs w:val="26"/>
                <w:rtl/>
              </w:rPr>
              <w:t>סאמח נמירי (עצור/אסיר בפיקוח)</w:t>
            </w:r>
          </w:p>
        </w:tc>
      </w:tr>
    </w:tbl>
    <w:p w14:paraId="4498EA5F" w14:textId="77777777" w:rsidR="006B6F73" w:rsidRPr="009F004E" w:rsidRDefault="006B6F73" w:rsidP="006B6F73"/>
    <w:p w14:paraId="396425FD" w14:textId="77777777" w:rsidR="00F841DF" w:rsidRPr="00F841DF" w:rsidRDefault="00F841DF" w:rsidP="00F841DF">
      <w:pPr>
        <w:spacing w:before="120" w:after="120" w:line="240" w:lineRule="exact"/>
        <w:ind w:left="283" w:hanging="283"/>
        <w:jc w:val="both"/>
        <w:rPr>
          <w:rFonts w:ascii="FrankRuehl" w:eastAsia="Calibri" w:hAnsi="FrankRuehl" w:cs="FrankRuehl"/>
          <w:rtl/>
        </w:rPr>
      </w:pPr>
      <w:bookmarkStart w:id="2" w:name="LawTable"/>
      <w:bookmarkEnd w:id="2"/>
    </w:p>
    <w:p w14:paraId="52122ED4" w14:textId="77777777" w:rsidR="00F841DF" w:rsidRPr="00F841DF" w:rsidRDefault="00F841DF" w:rsidP="00F841DF">
      <w:pPr>
        <w:spacing w:before="120" w:after="120" w:line="240" w:lineRule="exact"/>
        <w:ind w:left="283" w:hanging="283"/>
        <w:jc w:val="both"/>
        <w:rPr>
          <w:rFonts w:ascii="FrankRuehl" w:eastAsia="Calibri" w:hAnsi="FrankRuehl" w:cs="FrankRuehl"/>
          <w:rtl/>
        </w:rPr>
      </w:pPr>
      <w:r w:rsidRPr="00F841DF">
        <w:rPr>
          <w:rFonts w:ascii="FrankRuehl" w:eastAsia="Calibri" w:hAnsi="FrankRuehl" w:cs="FrankRuehl"/>
          <w:rtl/>
        </w:rPr>
        <w:t xml:space="preserve">חקיקה שאוזכרה: </w:t>
      </w:r>
    </w:p>
    <w:p w14:paraId="1E9B65A4" w14:textId="77777777" w:rsidR="00F841DF" w:rsidRPr="00F841DF" w:rsidRDefault="00F841DF" w:rsidP="00F841DF">
      <w:pPr>
        <w:spacing w:before="120" w:after="120" w:line="240" w:lineRule="exact"/>
        <w:ind w:left="283" w:hanging="283"/>
        <w:jc w:val="both"/>
        <w:rPr>
          <w:rFonts w:ascii="FrankRuehl" w:eastAsia="Calibri" w:hAnsi="FrankRuehl" w:cs="FrankRuehl"/>
          <w:color w:val="0000FF"/>
          <w:rtl/>
        </w:rPr>
      </w:pPr>
      <w:hyperlink r:id="rId7" w:history="1">
        <w:r w:rsidRPr="00F841DF">
          <w:rPr>
            <w:rStyle w:val="Hyperlink"/>
            <w:rFonts w:ascii="FrankRuehl" w:hAnsi="FrankRuehl" w:cs="FrankRuehl"/>
            <w:u w:val="none"/>
            <w:rtl/>
          </w:rPr>
          <w:t>חוק העונשין, תשל"ז-1977</w:t>
        </w:r>
      </w:hyperlink>
      <w:r w:rsidRPr="00F841DF">
        <w:rPr>
          <w:rFonts w:ascii="FrankRuehl" w:eastAsia="Calibri" w:hAnsi="FrankRuehl" w:cs="FrankRuehl"/>
          <w:color w:val="0000FF"/>
          <w:rtl/>
        </w:rPr>
        <w:t xml:space="preserve">: סע'  </w:t>
      </w:r>
      <w:hyperlink r:id="rId8" w:history="1">
        <w:r w:rsidRPr="00F841DF">
          <w:rPr>
            <w:rStyle w:val="Hyperlink"/>
            <w:rFonts w:ascii="FrankRuehl" w:hAnsi="FrankRuehl" w:cs="FrankRuehl"/>
            <w:u w:val="none"/>
          </w:rPr>
          <w:t>40</w:t>
        </w:r>
        <w:r w:rsidRPr="00F841DF">
          <w:rPr>
            <w:rStyle w:val="Hyperlink"/>
            <w:rFonts w:ascii="FrankRuehl" w:hAnsi="FrankRuehl" w:cs="FrankRuehl"/>
            <w:u w:val="none"/>
            <w:rtl/>
          </w:rPr>
          <w:t>ט</w:t>
        </w:r>
      </w:hyperlink>
      <w:r w:rsidRPr="00F841DF">
        <w:rPr>
          <w:rFonts w:ascii="FrankRuehl" w:eastAsia="Calibri" w:hAnsi="FrankRuehl" w:cs="FrankRuehl"/>
          <w:color w:val="0000FF"/>
          <w:rtl/>
        </w:rPr>
        <w:t xml:space="preserve">, </w:t>
      </w:r>
      <w:hyperlink r:id="rId9" w:history="1">
        <w:r w:rsidRPr="00F841DF">
          <w:rPr>
            <w:rStyle w:val="Hyperlink"/>
            <w:rFonts w:ascii="FrankRuehl" w:hAnsi="FrankRuehl" w:cs="FrankRuehl"/>
            <w:u w:val="none"/>
          </w:rPr>
          <w:t>144</w:t>
        </w:r>
      </w:hyperlink>
      <w:r w:rsidRPr="00F841DF">
        <w:rPr>
          <w:rFonts w:ascii="FrankRuehl" w:eastAsia="Calibri" w:hAnsi="FrankRuehl" w:cs="FrankRuehl"/>
          <w:color w:val="0000FF"/>
          <w:rtl/>
        </w:rPr>
        <w:t xml:space="preserve">, </w:t>
      </w:r>
      <w:hyperlink r:id="rId10" w:history="1">
        <w:r w:rsidRPr="00F841DF">
          <w:rPr>
            <w:rStyle w:val="Hyperlink"/>
            <w:rFonts w:ascii="FrankRuehl" w:hAnsi="FrankRuehl" w:cs="FrankRuehl"/>
            <w:u w:val="none"/>
          </w:rPr>
          <w:t>144</w:t>
        </w:r>
      </w:hyperlink>
      <w:r w:rsidRPr="00F841DF">
        <w:rPr>
          <w:rFonts w:ascii="FrankRuehl" w:eastAsia="Calibri" w:hAnsi="FrankRuehl" w:cs="FrankRuehl"/>
          <w:color w:val="0000FF"/>
          <w:rtl/>
        </w:rPr>
        <w:t xml:space="preserve">(א), </w:t>
      </w:r>
      <w:hyperlink r:id="rId11" w:history="1">
        <w:r w:rsidRPr="00F841DF">
          <w:rPr>
            <w:rStyle w:val="Hyperlink"/>
            <w:rFonts w:ascii="FrankRuehl" w:hAnsi="FrankRuehl" w:cs="FrankRuehl"/>
            <w:u w:val="none"/>
          </w:rPr>
          <w:t>40</w:t>
        </w:r>
        <w:r w:rsidRPr="00F841DF">
          <w:rPr>
            <w:rStyle w:val="Hyperlink"/>
            <w:rFonts w:ascii="FrankRuehl" w:hAnsi="FrankRuehl" w:cs="FrankRuehl"/>
            <w:u w:val="none"/>
            <w:rtl/>
          </w:rPr>
          <w:t>יג</w:t>
        </w:r>
      </w:hyperlink>
      <w:r w:rsidRPr="00F841DF">
        <w:rPr>
          <w:rFonts w:ascii="FrankRuehl" w:eastAsia="Calibri" w:hAnsi="FrankRuehl" w:cs="FrankRuehl"/>
          <w:color w:val="0000FF"/>
          <w:rtl/>
        </w:rPr>
        <w:t xml:space="preserve">(א), </w:t>
      </w:r>
      <w:hyperlink r:id="rId12" w:history="1">
        <w:r w:rsidRPr="00F841DF">
          <w:rPr>
            <w:rStyle w:val="Hyperlink"/>
            <w:rFonts w:ascii="FrankRuehl" w:hAnsi="FrankRuehl" w:cs="FrankRuehl"/>
            <w:u w:val="none"/>
          </w:rPr>
          <w:t>40</w:t>
        </w:r>
        <w:r w:rsidRPr="00F841DF">
          <w:rPr>
            <w:rStyle w:val="Hyperlink"/>
            <w:rFonts w:ascii="FrankRuehl" w:hAnsi="FrankRuehl" w:cs="FrankRuehl"/>
            <w:u w:val="none"/>
            <w:rtl/>
          </w:rPr>
          <w:t>יג</w:t>
        </w:r>
      </w:hyperlink>
      <w:r w:rsidRPr="00F841DF">
        <w:rPr>
          <w:rFonts w:ascii="FrankRuehl" w:eastAsia="Calibri" w:hAnsi="FrankRuehl" w:cs="FrankRuehl"/>
          <w:color w:val="0000FF"/>
          <w:rtl/>
        </w:rPr>
        <w:t>(ג)</w:t>
      </w:r>
    </w:p>
    <w:p w14:paraId="4A970A43" w14:textId="77777777" w:rsidR="006B6F73" w:rsidRDefault="006B6F73" w:rsidP="00F841DF">
      <w:pPr>
        <w:spacing w:line="360" w:lineRule="auto"/>
        <w:jc w:val="both"/>
        <w:rPr>
          <w:rFonts w:ascii="David" w:eastAsia="Calibri" w:hAnsi="David" w:hint="cs"/>
          <w:rtl/>
        </w:rPr>
      </w:pPr>
      <w:bookmarkStart w:id="3" w:name="LawTable_End"/>
      <w:bookmarkEnd w:id="3"/>
    </w:p>
    <w:p w14:paraId="1F718355" w14:textId="77777777" w:rsidR="00F841DF" w:rsidRPr="00F841DF" w:rsidRDefault="00F841DF" w:rsidP="00F841DF">
      <w:pPr>
        <w:spacing w:line="360" w:lineRule="auto"/>
        <w:jc w:val="both"/>
        <w:rPr>
          <w:rFonts w:ascii="David" w:eastAsia="Calibri" w:hAnsi="David"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B6F73" w14:paraId="66CEE2CB" w14:textId="77777777" w:rsidTr="006B6F73">
        <w:trPr>
          <w:trHeight w:val="355"/>
          <w:jc w:val="center"/>
        </w:trPr>
        <w:tc>
          <w:tcPr>
            <w:tcW w:w="8820" w:type="dxa"/>
            <w:tcBorders>
              <w:top w:val="nil"/>
              <w:left w:val="nil"/>
              <w:bottom w:val="nil"/>
              <w:right w:val="nil"/>
            </w:tcBorders>
            <w:shd w:val="clear" w:color="auto" w:fill="auto"/>
          </w:tcPr>
          <w:p w14:paraId="60C8294C" w14:textId="77777777" w:rsidR="009F004E" w:rsidRPr="009F004E" w:rsidRDefault="009F004E" w:rsidP="009F004E">
            <w:pPr>
              <w:jc w:val="center"/>
              <w:rPr>
                <w:rFonts w:ascii="Arial" w:hAnsi="Arial"/>
                <w:b/>
                <w:bCs/>
                <w:sz w:val="28"/>
                <w:szCs w:val="28"/>
                <w:u w:val="single"/>
                <w:rtl/>
              </w:rPr>
            </w:pPr>
            <w:bookmarkStart w:id="4" w:name="PsakDin" w:colFirst="0" w:colLast="0"/>
            <w:r w:rsidRPr="009F004E">
              <w:rPr>
                <w:rFonts w:ascii="Arial" w:hAnsi="Arial"/>
                <w:b/>
                <w:bCs/>
                <w:sz w:val="28"/>
                <w:szCs w:val="28"/>
                <w:u w:val="single"/>
                <w:rtl/>
              </w:rPr>
              <w:t>גזר דין</w:t>
            </w:r>
          </w:p>
          <w:p w14:paraId="79E52525" w14:textId="77777777" w:rsidR="006B6F73" w:rsidRPr="009F004E" w:rsidRDefault="006B6F73" w:rsidP="009F004E">
            <w:pPr>
              <w:jc w:val="center"/>
              <w:rPr>
                <w:rFonts w:ascii="Arial" w:hAnsi="Arial"/>
                <w:bCs/>
                <w:sz w:val="28"/>
                <w:szCs w:val="28"/>
                <w:u w:val="single"/>
                <w:rtl/>
              </w:rPr>
            </w:pPr>
          </w:p>
        </w:tc>
      </w:tr>
      <w:bookmarkEnd w:id="4"/>
    </w:tbl>
    <w:p w14:paraId="29DF6462" w14:textId="77777777" w:rsidR="006B6F73" w:rsidRPr="00795316" w:rsidRDefault="006B6F73" w:rsidP="006B6F73">
      <w:pPr>
        <w:spacing w:line="360" w:lineRule="auto"/>
        <w:jc w:val="both"/>
        <w:rPr>
          <w:rFonts w:ascii="David" w:eastAsia="Calibri" w:hAnsi="David"/>
          <w:u w:val="single"/>
        </w:rPr>
      </w:pPr>
    </w:p>
    <w:p w14:paraId="7A1AC6E2" w14:textId="77777777" w:rsidR="006B6F73" w:rsidRPr="00795316" w:rsidRDefault="006B6F73" w:rsidP="006B6F73">
      <w:pPr>
        <w:spacing w:line="360" w:lineRule="auto"/>
        <w:jc w:val="both"/>
        <w:rPr>
          <w:rFonts w:ascii="David" w:eastAsia="Calibri" w:hAnsi="David"/>
          <w:rtl/>
        </w:rPr>
      </w:pPr>
      <w:bookmarkStart w:id="5" w:name="ABSTRACT_START"/>
      <w:bookmarkEnd w:id="5"/>
      <w:r w:rsidRPr="00795316">
        <w:rPr>
          <w:rFonts w:ascii="David" w:eastAsia="Calibri" w:hAnsi="David"/>
          <w:rtl/>
        </w:rPr>
        <w:t xml:space="preserve">הנאשמים, </w:t>
      </w:r>
      <w:r w:rsidRPr="00795316">
        <w:rPr>
          <w:rFonts w:ascii="David" w:eastAsia="Calibri" w:hAnsi="David"/>
          <w:b/>
          <w:bCs/>
          <w:rtl/>
        </w:rPr>
        <w:t>מחמוד חטיב</w:t>
      </w:r>
      <w:r w:rsidRPr="00795316">
        <w:rPr>
          <w:rFonts w:ascii="David" w:eastAsia="Calibri" w:hAnsi="David"/>
          <w:rtl/>
        </w:rPr>
        <w:t xml:space="preserve"> (להלן: "</w:t>
      </w:r>
      <w:r w:rsidRPr="00795316">
        <w:rPr>
          <w:rFonts w:ascii="David" w:eastAsia="Calibri" w:hAnsi="David"/>
          <w:b/>
          <w:bCs/>
          <w:rtl/>
        </w:rPr>
        <w:t>הנאשם 1</w:t>
      </w:r>
      <w:r w:rsidRPr="00795316">
        <w:rPr>
          <w:rFonts w:ascii="David" w:eastAsia="Calibri" w:hAnsi="David"/>
          <w:rtl/>
        </w:rPr>
        <w:t>") ו</w:t>
      </w:r>
      <w:r w:rsidRPr="00795316">
        <w:rPr>
          <w:rFonts w:ascii="David" w:eastAsia="Calibri" w:hAnsi="David"/>
          <w:b/>
          <w:bCs/>
          <w:rtl/>
        </w:rPr>
        <w:t>סאמח נמירי</w:t>
      </w:r>
      <w:r w:rsidRPr="00795316">
        <w:rPr>
          <w:rFonts w:ascii="David" w:eastAsia="Calibri" w:hAnsi="David"/>
          <w:rtl/>
        </w:rPr>
        <w:t xml:space="preserve"> (להלן: "</w:t>
      </w:r>
      <w:r w:rsidRPr="00795316">
        <w:rPr>
          <w:rFonts w:ascii="David" w:eastAsia="Calibri" w:hAnsi="David"/>
          <w:b/>
          <w:bCs/>
          <w:rtl/>
        </w:rPr>
        <w:t>הנאשם 2</w:t>
      </w:r>
      <w:r w:rsidRPr="00795316">
        <w:rPr>
          <w:rFonts w:ascii="David" w:eastAsia="Calibri" w:hAnsi="David"/>
          <w:rtl/>
        </w:rPr>
        <w:t xml:space="preserve">") הורשעו ביום 1.12.24 - בהתאם להודאתם במסגרת הסדר טיעון - בעבירות שנכללו בכתב אישום מתוקן אשר הוגש נגדם, ואשר עניינן </w:t>
      </w:r>
      <w:r w:rsidRPr="00795316">
        <w:rPr>
          <w:rFonts w:ascii="David" w:eastAsia="Calibri" w:hAnsi="David"/>
          <w:b/>
          <w:bCs/>
          <w:rtl/>
        </w:rPr>
        <w:t xml:space="preserve">בהחזקת נשק </w:t>
      </w:r>
      <w:r w:rsidRPr="00795316">
        <w:rPr>
          <w:rFonts w:ascii="David" w:eastAsia="Calibri" w:hAnsi="David"/>
          <w:rtl/>
        </w:rPr>
        <w:t xml:space="preserve">לפי </w:t>
      </w:r>
      <w:hyperlink r:id="rId13" w:history="1">
        <w:r w:rsidR="00F841DF" w:rsidRPr="00F841DF">
          <w:rPr>
            <w:rStyle w:val="Hyperlink"/>
            <w:rFonts w:ascii="David" w:eastAsia="Calibri" w:hAnsi="David"/>
            <w:color w:val="0000FF"/>
            <w:rtl/>
          </w:rPr>
          <w:t>סעיף 144(א)</w:t>
        </w:r>
      </w:hyperlink>
      <w:r w:rsidRPr="00795316">
        <w:rPr>
          <w:rFonts w:ascii="David" w:eastAsia="Calibri" w:hAnsi="David"/>
          <w:rtl/>
        </w:rPr>
        <w:t xml:space="preserve"> רישה וסיפה ל</w:t>
      </w:r>
      <w:hyperlink r:id="rId14" w:history="1">
        <w:r w:rsidR="009F004E" w:rsidRPr="009F004E">
          <w:rPr>
            <w:rFonts w:ascii="David" w:eastAsia="Calibri" w:hAnsi="David"/>
            <w:color w:val="0000FF"/>
            <w:u w:val="single"/>
            <w:rtl/>
          </w:rPr>
          <w:t>חוק העונשין</w:t>
        </w:r>
      </w:hyperlink>
      <w:r w:rsidRPr="00795316">
        <w:rPr>
          <w:rFonts w:ascii="David" w:eastAsia="Calibri" w:hAnsi="David"/>
          <w:rtl/>
        </w:rPr>
        <w:t>, התשל"ז - 1977 (להלן: "</w:t>
      </w:r>
      <w:r w:rsidRPr="00795316">
        <w:rPr>
          <w:rFonts w:ascii="David" w:eastAsia="Calibri" w:hAnsi="David"/>
          <w:b/>
          <w:bCs/>
          <w:rtl/>
        </w:rPr>
        <w:t>חוק העונשין</w:t>
      </w:r>
      <w:r w:rsidRPr="00795316">
        <w:rPr>
          <w:rFonts w:ascii="David" w:eastAsia="Calibri" w:hAnsi="David"/>
          <w:rtl/>
        </w:rPr>
        <w:t>" או "</w:t>
      </w:r>
      <w:r w:rsidRPr="00795316">
        <w:rPr>
          <w:rFonts w:ascii="David" w:eastAsia="Calibri" w:hAnsi="David"/>
          <w:b/>
          <w:bCs/>
          <w:rtl/>
        </w:rPr>
        <w:t>החוק"</w:t>
      </w:r>
      <w:r w:rsidRPr="00795316">
        <w:rPr>
          <w:rFonts w:ascii="David" w:eastAsia="Calibri" w:hAnsi="David"/>
          <w:rtl/>
        </w:rPr>
        <w:t>) (</w:t>
      </w:r>
      <w:r w:rsidRPr="00795316">
        <w:rPr>
          <w:rFonts w:ascii="David" w:eastAsia="Calibri" w:hAnsi="David"/>
          <w:u w:val="single"/>
          <w:rtl/>
        </w:rPr>
        <w:t>שתי עבירות</w:t>
      </w:r>
      <w:r w:rsidRPr="00795316">
        <w:rPr>
          <w:rFonts w:ascii="David" w:eastAsia="Calibri" w:hAnsi="David"/>
          <w:rtl/>
        </w:rPr>
        <w:t xml:space="preserve"> בהתייחס לנאשם 1 </w:t>
      </w:r>
      <w:r w:rsidRPr="00795316">
        <w:rPr>
          <w:rFonts w:ascii="David" w:eastAsia="Calibri" w:hAnsi="David"/>
          <w:u w:val="single"/>
          <w:rtl/>
        </w:rPr>
        <w:t>ועבירה אחת</w:t>
      </w:r>
      <w:r w:rsidRPr="00795316">
        <w:rPr>
          <w:rFonts w:ascii="David" w:eastAsia="Calibri" w:hAnsi="David"/>
          <w:rtl/>
        </w:rPr>
        <w:t xml:space="preserve"> בהתייחס לנאשם 2). </w:t>
      </w:r>
    </w:p>
    <w:p w14:paraId="704CD0A6" w14:textId="77777777" w:rsidR="006B6F73" w:rsidRPr="00795316" w:rsidRDefault="006B6F73" w:rsidP="006B6F73">
      <w:pPr>
        <w:spacing w:line="360" w:lineRule="auto"/>
        <w:jc w:val="both"/>
        <w:rPr>
          <w:rFonts w:ascii="David" w:eastAsia="Calibri" w:hAnsi="David"/>
          <w:rtl/>
        </w:rPr>
      </w:pPr>
      <w:bookmarkStart w:id="6" w:name="ABSTRACT_END"/>
      <w:bookmarkEnd w:id="6"/>
    </w:p>
    <w:p w14:paraId="4DED5695" w14:textId="77777777" w:rsidR="006B6F73" w:rsidRPr="00795316" w:rsidRDefault="006B6F73" w:rsidP="006B6F73">
      <w:pPr>
        <w:spacing w:line="360" w:lineRule="auto"/>
        <w:jc w:val="both"/>
        <w:rPr>
          <w:rFonts w:ascii="David" w:eastAsia="Calibri" w:hAnsi="David"/>
          <w:rtl/>
        </w:rPr>
      </w:pPr>
      <w:r w:rsidRPr="00795316">
        <w:rPr>
          <w:rFonts w:ascii="David" w:eastAsia="Calibri" w:hAnsi="David"/>
          <w:rtl/>
        </w:rPr>
        <w:t xml:space="preserve">במסגרת ההסדר הנ"ל הוסכם, כי בהתייחס לנאשם 1 הצדדים יטענו לעניין העונש באופן חופשי. בכל הנוגע לנאשם 2, הוסכם כי המאשימה תעתור להשית על הנאשם 18 חודשי מאסר לריצוי בפועל, בעוד ההגנה תעתור להשית על נאשם זה 10 חודשי מאסר, לכל היותר. עוד הוסכם, כי חלף חילוט הרכב שבו בוצעה העבירה, יפקיד הנאשם 1 סך של 5,000 ₪ לקופת המדינה.    </w:t>
      </w:r>
    </w:p>
    <w:p w14:paraId="251F69B9" w14:textId="77777777" w:rsidR="006B6F73" w:rsidRPr="00795316" w:rsidRDefault="006B6F73" w:rsidP="006B6F73">
      <w:pPr>
        <w:spacing w:line="360" w:lineRule="auto"/>
        <w:jc w:val="both"/>
        <w:rPr>
          <w:rFonts w:ascii="David" w:eastAsia="Calibri" w:hAnsi="David"/>
          <w:rtl/>
        </w:rPr>
      </w:pPr>
      <w:r w:rsidRPr="00795316">
        <w:rPr>
          <w:rFonts w:ascii="David" w:eastAsia="Calibri" w:hAnsi="David"/>
          <w:rtl/>
        </w:rPr>
        <w:t xml:space="preserve"> </w:t>
      </w:r>
    </w:p>
    <w:p w14:paraId="41279EA5" w14:textId="77777777" w:rsidR="006B6F73" w:rsidRPr="00795316" w:rsidRDefault="006B6F73" w:rsidP="006B6F73">
      <w:pPr>
        <w:spacing w:line="360" w:lineRule="auto"/>
        <w:jc w:val="both"/>
        <w:rPr>
          <w:rFonts w:ascii="David" w:eastAsia="Calibri" w:hAnsi="David"/>
          <w:u w:val="single"/>
          <w:rtl/>
        </w:rPr>
      </w:pPr>
      <w:r w:rsidRPr="00795316">
        <w:rPr>
          <w:rFonts w:ascii="David" w:eastAsia="Calibri" w:hAnsi="David"/>
          <w:u w:val="single"/>
          <w:rtl/>
        </w:rPr>
        <w:t>עובדות כתב האישום המתוקן</w:t>
      </w:r>
    </w:p>
    <w:p w14:paraId="27FE01E0" w14:textId="77777777" w:rsidR="006B6F73" w:rsidRPr="00795316" w:rsidRDefault="006B6F73" w:rsidP="006B6F73">
      <w:pPr>
        <w:spacing w:line="360" w:lineRule="auto"/>
        <w:jc w:val="both"/>
        <w:rPr>
          <w:rFonts w:ascii="David" w:eastAsia="Calibri" w:hAnsi="David"/>
          <w:u w:val="single"/>
          <w:rtl/>
        </w:rPr>
      </w:pPr>
    </w:p>
    <w:p w14:paraId="569AB15C" w14:textId="77777777" w:rsidR="006B6F73" w:rsidRPr="00795316" w:rsidRDefault="006B6F73" w:rsidP="006B6F73">
      <w:pPr>
        <w:spacing w:line="360" w:lineRule="auto"/>
        <w:jc w:val="both"/>
        <w:rPr>
          <w:rFonts w:ascii="David" w:eastAsia="Calibri" w:hAnsi="David"/>
          <w:rtl/>
        </w:rPr>
      </w:pPr>
      <w:r w:rsidRPr="00795316">
        <w:rPr>
          <w:rFonts w:ascii="David" w:eastAsia="Calibri" w:hAnsi="David"/>
          <w:rtl/>
        </w:rPr>
        <w:t xml:space="preserve">נאשם 1 מתגורר בכפר שעב ונוהג מנהג בעלים ברכב מסוג פולקסוואגן ואשר רשום במרשם הרישוי על שם אחיו, עזמי חטיב. בתאריך 12.5.24, בשעות אחר הצהריים או בסמוך לכך, שהה הנאשם 2 בתוך עסק של נרגילות בכפר שעב. הנאשם 1 שהה בקרבת העסק. באותה העת, נאשם 1 החזיק בידו שקית ובתוכה אקדח מסוג "גלוק" כשהוא טעון במחסנית בלא רשות על פי דין להחזקתו. </w:t>
      </w:r>
    </w:p>
    <w:p w14:paraId="0792FF1A" w14:textId="77777777" w:rsidR="006B6F73" w:rsidRPr="00795316" w:rsidRDefault="006B6F73" w:rsidP="006B6F73">
      <w:pPr>
        <w:spacing w:line="360" w:lineRule="auto"/>
        <w:jc w:val="both"/>
        <w:rPr>
          <w:rFonts w:ascii="David" w:eastAsia="Calibri" w:hAnsi="David"/>
          <w:rtl/>
        </w:rPr>
      </w:pPr>
      <w:r w:rsidRPr="00795316">
        <w:rPr>
          <w:rFonts w:ascii="David" w:eastAsia="Calibri" w:hAnsi="David"/>
          <w:rtl/>
        </w:rPr>
        <w:t xml:space="preserve">בהמשך לכך, נכנס הנאשם 1 אל העסק וכעבור זמן קצר יצאו הנאשמים ממנו, ניגשו אל הרכב ושוחחו. בשלב זה לקח הנאשם 2 את האקדח מידיו של הנאשם 1. </w:t>
      </w:r>
    </w:p>
    <w:p w14:paraId="2D513268" w14:textId="77777777" w:rsidR="006B6F73" w:rsidRPr="00795316" w:rsidRDefault="006B6F73" w:rsidP="006B6F73">
      <w:pPr>
        <w:spacing w:line="360" w:lineRule="auto"/>
        <w:jc w:val="both"/>
        <w:rPr>
          <w:rFonts w:ascii="David" w:eastAsia="Calibri" w:hAnsi="David"/>
          <w:rtl/>
        </w:rPr>
      </w:pPr>
      <w:r w:rsidRPr="00795316">
        <w:rPr>
          <w:rFonts w:ascii="David" w:eastAsia="Calibri" w:hAnsi="David"/>
          <w:rtl/>
        </w:rPr>
        <w:t xml:space="preserve">בתאריך 13.5.24 בסמוך לשעה 10:50, החזיק הנאשם 1 בתא המטען של הרכב הנ"ל את האקדח, כשהוא טעון במחסנית ובתוכה 6 כדורים בלא רשות על פי דין להחזקתם. </w:t>
      </w:r>
    </w:p>
    <w:p w14:paraId="1F078ED5" w14:textId="77777777" w:rsidR="006B6F73" w:rsidRDefault="006B6F73" w:rsidP="006B6F73">
      <w:pPr>
        <w:spacing w:line="360" w:lineRule="auto"/>
        <w:jc w:val="both"/>
        <w:rPr>
          <w:rFonts w:ascii="David" w:eastAsia="Calibri" w:hAnsi="David"/>
          <w:rtl/>
        </w:rPr>
      </w:pPr>
    </w:p>
    <w:p w14:paraId="7FFF4D0E" w14:textId="77777777" w:rsidR="006B6F73" w:rsidRDefault="006B6F73" w:rsidP="006B6F73">
      <w:pPr>
        <w:spacing w:line="360" w:lineRule="auto"/>
        <w:jc w:val="both"/>
        <w:rPr>
          <w:rFonts w:ascii="David" w:eastAsia="Calibri" w:hAnsi="David"/>
          <w:rtl/>
        </w:rPr>
      </w:pPr>
    </w:p>
    <w:p w14:paraId="003BFD76" w14:textId="77777777" w:rsidR="006B6F73" w:rsidRDefault="006B6F73" w:rsidP="006B6F73">
      <w:pPr>
        <w:spacing w:line="360" w:lineRule="auto"/>
        <w:jc w:val="both"/>
        <w:rPr>
          <w:rFonts w:ascii="David" w:eastAsia="Calibri" w:hAnsi="David"/>
          <w:rtl/>
        </w:rPr>
      </w:pPr>
    </w:p>
    <w:p w14:paraId="18775696" w14:textId="77777777" w:rsidR="006B6F73" w:rsidRDefault="006B6F73" w:rsidP="006B6F73">
      <w:pPr>
        <w:spacing w:line="360" w:lineRule="auto"/>
        <w:jc w:val="both"/>
        <w:rPr>
          <w:rFonts w:ascii="David" w:eastAsia="Calibri" w:hAnsi="David"/>
          <w:rtl/>
        </w:rPr>
      </w:pPr>
    </w:p>
    <w:p w14:paraId="35416D3F" w14:textId="77777777" w:rsidR="006B6F73" w:rsidRDefault="006B6F73" w:rsidP="006B6F73">
      <w:pPr>
        <w:spacing w:line="360" w:lineRule="auto"/>
        <w:jc w:val="both"/>
        <w:rPr>
          <w:rFonts w:ascii="David" w:eastAsia="Calibri" w:hAnsi="David"/>
          <w:rtl/>
        </w:rPr>
      </w:pPr>
    </w:p>
    <w:p w14:paraId="2A08C6F0" w14:textId="77777777" w:rsidR="006B6F73" w:rsidRDefault="006B6F73" w:rsidP="006B6F73">
      <w:pPr>
        <w:spacing w:line="360" w:lineRule="auto"/>
        <w:jc w:val="both"/>
        <w:rPr>
          <w:rFonts w:ascii="David" w:eastAsia="Calibri" w:hAnsi="David"/>
          <w:rtl/>
        </w:rPr>
      </w:pPr>
    </w:p>
    <w:p w14:paraId="2DC4A1F5" w14:textId="77777777" w:rsidR="006B6F73" w:rsidRPr="00795316" w:rsidRDefault="006B6F73" w:rsidP="006B6F73">
      <w:pPr>
        <w:spacing w:line="360" w:lineRule="auto"/>
        <w:jc w:val="both"/>
        <w:rPr>
          <w:rFonts w:ascii="David" w:eastAsia="Calibri" w:hAnsi="David"/>
          <w:rtl/>
        </w:rPr>
      </w:pPr>
    </w:p>
    <w:p w14:paraId="6B85F364" w14:textId="77777777" w:rsidR="006B6F73" w:rsidRPr="00795316" w:rsidRDefault="006B6F73" w:rsidP="006B6F73">
      <w:pPr>
        <w:spacing w:line="360" w:lineRule="auto"/>
        <w:jc w:val="both"/>
        <w:rPr>
          <w:rFonts w:ascii="David" w:eastAsia="Calibri" w:hAnsi="David"/>
          <w:u w:val="single"/>
          <w:rtl/>
        </w:rPr>
      </w:pPr>
      <w:r w:rsidRPr="00795316">
        <w:rPr>
          <w:rFonts w:ascii="David" w:eastAsia="Calibri" w:hAnsi="David"/>
          <w:u w:val="single"/>
          <w:rtl/>
        </w:rPr>
        <w:t>ראיות לעניין העונש</w:t>
      </w:r>
    </w:p>
    <w:p w14:paraId="0CD736CC" w14:textId="77777777" w:rsidR="006B6F73" w:rsidRPr="00795316" w:rsidRDefault="006B6F73" w:rsidP="006B6F73">
      <w:pPr>
        <w:spacing w:line="360" w:lineRule="auto"/>
        <w:jc w:val="both"/>
        <w:rPr>
          <w:rFonts w:ascii="David" w:eastAsia="Calibri" w:hAnsi="David"/>
          <w:u w:val="single"/>
          <w:rtl/>
        </w:rPr>
      </w:pPr>
    </w:p>
    <w:p w14:paraId="375DE024" w14:textId="77777777" w:rsidR="006B6F73" w:rsidRPr="00795316" w:rsidRDefault="006B6F73" w:rsidP="006B6F73">
      <w:pPr>
        <w:spacing w:line="360" w:lineRule="auto"/>
        <w:jc w:val="both"/>
        <w:rPr>
          <w:rFonts w:ascii="David" w:eastAsia="Calibri" w:hAnsi="David"/>
          <w:rtl/>
        </w:rPr>
      </w:pPr>
      <w:r w:rsidRPr="00795316">
        <w:rPr>
          <w:rFonts w:ascii="David" w:eastAsia="Calibri" w:hAnsi="David"/>
          <w:i/>
          <w:iCs/>
          <w:rtl/>
        </w:rPr>
        <w:t xml:space="preserve">המאשימה </w:t>
      </w:r>
    </w:p>
    <w:p w14:paraId="276C891D" w14:textId="77777777" w:rsidR="006B6F73" w:rsidRPr="00795316" w:rsidRDefault="006B6F73" w:rsidP="006B6F73">
      <w:pPr>
        <w:spacing w:line="360" w:lineRule="auto"/>
        <w:jc w:val="both"/>
        <w:rPr>
          <w:rFonts w:ascii="David" w:eastAsia="Calibri" w:hAnsi="David"/>
          <w:rtl/>
        </w:rPr>
      </w:pPr>
    </w:p>
    <w:p w14:paraId="09D4F4AE" w14:textId="77777777" w:rsidR="006B6F73" w:rsidRPr="00795316" w:rsidRDefault="006B6F73" w:rsidP="006B6F73">
      <w:pPr>
        <w:spacing w:line="360" w:lineRule="auto"/>
        <w:jc w:val="both"/>
        <w:rPr>
          <w:rFonts w:ascii="David" w:eastAsia="Calibri" w:hAnsi="David"/>
          <w:rtl/>
        </w:rPr>
      </w:pPr>
      <w:r w:rsidRPr="00795316">
        <w:rPr>
          <w:rFonts w:ascii="David" w:eastAsia="Calibri" w:hAnsi="David"/>
          <w:rtl/>
        </w:rPr>
        <w:t xml:space="preserve">ב"כ המאשימה המלומד, עו"ד מור בן אבו, פירט כי </w:t>
      </w:r>
      <w:r w:rsidRPr="00795316">
        <w:rPr>
          <w:rFonts w:ascii="David" w:eastAsia="Calibri" w:hAnsi="David"/>
          <w:b/>
          <w:bCs/>
          <w:rtl/>
        </w:rPr>
        <w:t>הנאשמים נעדרי עבר פלילי</w:t>
      </w:r>
      <w:r w:rsidRPr="00795316">
        <w:rPr>
          <w:rFonts w:ascii="David" w:eastAsia="Calibri" w:hAnsi="David"/>
          <w:rtl/>
        </w:rPr>
        <w:t xml:space="preserve">. </w:t>
      </w:r>
    </w:p>
    <w:p w14:paraId="49BB7434" w14:textId="77777777" w:rsidR="006B6F73" w:rsidRPr="00795316" w:rsidRDefault="006B6F73" w:rsidP="006B6F73">
      <w:pPr>
        <w:spacing w:line="360" w:lineRule="auto"/>
        <w:jc w:val="both"/>
        <w:rPr>
          <w:rFonts w:ascii="David" w:eastAsia="Calibri" w:hAnsi="David"/>
          <w:rtl/>
        </w:rPr>
      </w:pPr>
    </w:p>
    <w:p w14:paraId="3765C330" w14:textId="77777777" w:rsidR="006B6F73" w:rsidRPr="00795316" w:rsidRDefault="006B6F73" w:rsidP="006B6F73">
      <w:pPr>
        <w:spacing w:line="360" w:lineRule="auto"/>
        <w:jc w:val="both"/>
        <w:rPr>
          <w:rFonts w:ascii="David" w:eastAsia="Calibri" w:hAnsi="David"/>
          <w:i/>
          <w:iCs/>
          <w:rtl/>
        </w:rPr>
      </w:pPr>
      <w:r w:rsidRPr="00795316">
        <w:rPr>
          <w:rFonts w:ascii="David" w:eastAsia="Calibri" w:hAnsi="David"/>
          <w:i/>
          <w:iCs/>
          <w:rtl/>
        </w:rPr>
        <w:t>ההגנה</w:t>
      </w:r>
    </w:p>
    <w:p w14:paraId="55FDC92D" w14:textId="77777777" w:rsidR="006B6F73" w:rsidRPr="00795316" w:rsidRDefault="006B6F73" w:rsidP="006B6F73">
      <w:pPr>
        <w:spacing w:line="360" w:lineRule="auto"/>
        <w:jc w:val="both"/>
        <w:rPr>
          <w:rFonts w:ascii="David" w:eastAsia="Calibri" w:hAnsi="David"/>
          <w:i/>
          <w:iCs/>
          <w:rtl/>
        </w:rPr>
      </w:pPr>
    </w:p>
    <w:p w14:paraId="041B9ACB" w14:textId="77777777" w:rsidR="006B6F73" w:rsidRPr="00795316" w:rsidRDefault="006B6F73" w:rsidP="006B6F73">
      <w:pPr>
        <w:spacing w:line="360" w:lineRule="auto"/>
        <w:jc w:val="both"/>
        <w:rPr>
          <w:rFonts w:ascii="David" w:eastAsia="Calibri" w:hAnsi="David"/>
          <w:rtl/>
        </w:rPr>
      </w:pPr>
      <w:r w:rsidRPr="00795316">
        <w:rPr>
          <w:rFonts w:ascii="David" w:eastAsia="Calibri" w:hAnsi="David"/>
          <w:rtl/>
        </w:rPr>
        <w:t xml:space="preserve">על אודות אופיו של הנאשם 2, העיד אביו, מר סאלח נמירי. עד זה ציין, כי בנו הוא הקטן במשפחה, בעוד הוא בעצמו שירת במשמר הגבול ומתפקד כקצין ביטחון במועצה המקומית. הודגש, כי מעשיו של בנו גרמו לעד אכזבה וכעס רב, גם נוכח תופעת האלימות הגואה בכפרם. העד פנה אל בית המשפט שייתן לבנו "הזדמנות אחרונה", נוכח גילו הצעיר והבנתו שעשה טעות. עוד הוסף, כי  הנאשם 2 עתיד להתחתן בקרוב. </w:t>
      </w:r>
    </w:p>
    <w:p w14:paraId="320E1040" w14:textId="77777777" w:rsidR="006B6F73" w:rsidRPr="00795316" w:rsidRDefault="006B6F73" w:rsidP="006B6F73">
      <w:pPr>
        <w:spacing w:line="360" w:lineRule="auto"/>
        <w:jc w:val="both"/>
        <w:rPr>
          <w:rFonts w:ascii="David" w:eastAsia="Calibri" w:hAnsi="David"/>
          <w:u w:val="single"/>
          <w:rtl/>
        </w:rPr>
      </w:pPr>
    </w:p>
    <w:p w14:paraId="60922B0F" w14:textId="77777777" w:rsidR="006B6F73" w:rsidRPr="00795316" w:rsidRDefault="006B6F73" w:rsidP="006B6F73">
      <w:pPr>
        <w:spacing w:line="360" w:lineRule="auto"/>
        <w:jc w:val="both"/>
        <w:rPr>
          <w:rFonts w:ascii="David" w:eastAsia="Calibri" w:hAnsi="David"/>
          <w:rtl/>
        </w:rPr>
      </w:pPr>
      <w:r w:rsidRPr="00795316">
        <w:rPr>
          <w:rFonts w:ascii="David" w:eastAsia="Calibri" w:hAnsi="David"/>
          <w:u w:val="single"/>
          <w:rtl/>
        </w:rPr>
        <w:t xml:space="preserve">טיעוני הצדדים לעניין העונש </w:t>
      </w:r>
    </w:p>
    <w:p w14:paraId="628AC70C" w14:textId="77777777" w:rsidR="006B6F73" w:rsidRPr="00795316" w:rsidRDefault="006B6F73" w:rsidP="006B6F73">
      <w:pPr>
        <w:spacing w:line="360" w:lineRule="auto"/>
        <w:jc w:val="both"/>
        <w:rPr>
          <w:rFonts w:ascii="David" w:eastAsia="Calibri" w:hAnsi="David"/>
          <w:i/>
          <w:iCs/>
          <w:rtl/>
        </w:rPr>
      </w:pPr>
    </w:p>
    <w:p w14:paraId="01030715" w14:textId="77777777" w:rsidR="006B6F73" w:rsidRPr="00795316" w:rsidRDefault="006B6F73" w:rsidP="006B6F73">
      <w:pPr>
        <w:spacing w:line="360" w:lineRule="auto"/>
        <w:jc w:val="both"/>
        <w:rPr>
          <w:rFonts w:ascii="David" w:eastAsia="Calibri" w:hAnsi="David"/>
          <w:i/>
          <w:iCs/>
          <w:rtl/>
        </w:rPr>
      </w:pPr>
      <w:r w:rsidRPr="00795316">
        <w:rPr>
          <w:rFonts w:ascii="David" w:eastAsia="Calibri" w:hAnsi="David"/>
          <w:i/>
          <w:iCs/>
          <w:rtl/>
        </w:rPr>
        <w:t>המאשימה</w:t>
      </w:r>
    </w:p>
    <w:p w14:paraId="6C335D6F" w14:textId="77777777" w:rsidR="006B6F73" w:rsidRPr="00795316" w:rsidRDefault="006B6F73" w:rsidP="006B6F73">
      <w:pPr>
        <w:spacing w:line="360" w:lineRule="auto"/>
        <w:jc w:val="both"/>
        <w:rPr>
          <w:rFonts w:ascii="David" w:eastAsia="Calibri" w:hAnsi="David"/>
          <w:i/>
          <w:iCs/>
          <w:rtl/>
        </w:rPr>
      </w:pPr>
    </w:p>
    <w:p w14:paraId="09945CFF" w14:textId="77777777" w:rsidR="006B6F73" w:rsidRPr="00795316" w:rsidRDefault="006B6F73" w:rsidP="006B6F73">
      <w:pPr>
        <w:spacing w:line="360" w:lineRule="auto"/>
        <w:jc w:val="both"/>
        <w:rPr>
          <w:rFonts w:ascii="David" w:eastAsia="Calibri" w:hAnsi="David"/>
          <w:rtl/>
        </w:rPr>
      </w:pPr>
      <w:r w:rsidRPr="00795316">
        <w:rPr>
          <w:rFonts w:ascii="David" w:eastAsia="Calibri" w:hAnsi="David"/>
          <w:rtl/>
        </w:rPr>
        <w:t>ב"כ המאשימה הגיש מסמך טיעונים בכתב (טעה/ 1) לעניין העונש והוסיף על דברים אלו בעל פה. בקצירת האומר אציין, כי המאשימה עמדה על מנגנון הבניית שיקול הדעת בענישה. הודגש, כי עבירות בכלי נשק הפכו למכת מדינה, הפוגעת פגיעה של ממש בערך המוגן שעניינו בשמירה על ביטחון הציבור. משכך, נטען, כי על בית המשפט לגמול למבצעים בעונשים משמעותיים. עוד עמדה המאשימה על נסיבות ביצוען של העבירות והצביעה על פסיקה המתאימה לשיטתה לנסיבות העניין.  בהקשר זה המאשימה הפנתה להנחיות פרקליט המדינה (9.16)</w:t>
      </w:r>
      <w:r w:rsidRPr="00795316">
        <w:rPr>
          <w:rFonts w:ascii="David" w:eastAsia="Calibri" w:hAnsi="David"/>
        </w:rPr>
        <w:t xml:space="preserve"> </w:t>
      </w:r>
      <w:r w:rsidRPr="00795316">
        <w:rPr>
          <w:rFonts w:ascii="David" w:eastAsia="Calibri" w:hAnsi="David"/>
          <w:rtl/>
        </w:rPr>
        <w:t xml:space="preserve">שעניינה "מדיניות ענישה בעבירות נשק ומטעני חבלה".  </w:t>
      </w:r>
    </w:p>
    <w:p w14:paraId="1BC0506C" w14:textId="77777777" w:rsidR="006B6F73" w:rsidRPr="00795316" w:rsidRDefault="006B6F73" w:rsidP="006B6F73">
      <w:pPr>
        <w:spacing w:line="360" w:lineRule="auto"/>
        <w:jc w:val="both"/>
        <w:rPr>
          <w:rFonts w:ascii="David" w:eastAsia="Calibri" w:hAnsi="David"/>
          <w:rtl/>
        </w:rPr>
      </w:pPr>
    </w:p>
    <w:p w14:paraId="3BD9F209" w14:textId="77777777" w:rsidR="006B6F73" w:rsidRPr="00795316" w:rsidRDefault="006B6F73" w:rsidP="006B6F73">
      <w:pPr>
        <w:spacing w:line="360" w:lineRule="auto"/>
        <w:jc w:val="both"/>
        <w:rPr>
          <w:rFonts w:ascii="David" w:eastAsia="Calibri" w:hAnsi="David"/>
          <w:rtl/>
        </w:rPr>
      </w:pPr>
      <w:r w:rsidRPr="00795316">
        <w:rPr>
          <w:rFonts w:ascii="David" w:eastAsia="Calibri" w:hAnsi="David"/>
          <w:rtl/>
        </w:rPr>
        <w:t xml:space="preserve">לאור המקובץ, לדידה של המאשימה, בגין אירוע זה (הכולל שתי עבירות החזקת נשק), יש לשרטט בעניינו של הנאשם 1 מתחם עונש הנע בין 24 לבין 42 חודשי מאסר לריצוי בפועל, לצד עונשים נלווים.  </w:t>
      </w:r>
    </w:p>
    <w:p w14:paraId="332722F4" w14:textId="77777777" w:rsidR="006B6F73" w:rsidRPr="00795316" w:rsidRDefault="006B6F73" w:rsidP="006B6F73">
      <w:pPr>
        <w:spacing w:line="360" w:lineRule="auto"/>
        <w:jc w:val="both"/>
        <w:rPr>
          <w:rFonts w:ascii="David" w:eastAsia="Calibri" w:hAnsi="David"/>
          <w:rtl/>
        </w:rPr>
      </w:pPr>
    </w:p>
    <w:p w14:paraId="7F74C2C1" w14:textId="77777777" w:rsidR="006B6F73" w:rsidRPr="00795316" w:rsidRDefault="006B6F73" w:rsidP="006B6F73">
      <w:pPr>
        <w:spacing w:line="360" w:lineRule="auto"/>
        <w:jc w:val="both"/>
        <w:rPr>
          <w:rFonts w:ascii="David" w:eastAsia="Calibri" w:hAnsi="David"/>
          <w:rtl/>
        </w:rPr>
      </w:pPr>
      <w:r w:rsidRPr="00795316">
        <w:rPr>
          <w:rFonts w:ascii="David" w:eastAsia="Calibri" w:hAnsi="David"/>
          <w:rtl/>
        </w:rPr>
        <w:t xml:space="preserve">באשר לנאשם 2 לשיטתה של המאשימה יש לשרטט מתחם עונש הולם הנע בין 18 לבין 36 חודשי מאסר לריצוי בפועל, לצד עונשים נלווים. </w:t>
      </w:r>
    </w:p>
    <w:p w14:paraId="3D605755" w14:textId="77777777" w:rsidR="006B6F73" w:rsidRPr="00795316" w:rsidRDefault="006B6F73" w:rsidP="006B6F73">
      <w:pPr>
        <w:spacing w:line="360" w:lineRule="auto"/>
        <w:jc w:val="both"/>
        <w:rPr>
          <w:rFonts w:ascii="David" w:eastAsia="Calibri" w:hAnsi="David"/>
          <w:rtl/>
        </w:rPr>
      </w:pPr>
    </w:p>
    <w:p w14:paraId="34031D0A" w14:textId="77777777" w:rsidR="006B6F73" w:rsidRPr="00795316" w:rsidRDefault="006B6F73" w:rsidP="006B6F73">
      <w:pPr>
        <w:spacing w:line="360" w:lineRule="auto"/>
        <w:jc w:val="both"/>
        <w:rPr>
          <w:rFonts w:ascii="David" w:eastAsia="Calibri" w:hAnsi="David"/>
          <w:rtl/>
        </w:rPr>
      </w:pPr>
      <w:r w:rsidRPr="00795316">
        <w:rPr>
          <w:rFonts w:ascii="David" w:eastAsia="Calibri" w:hAnsi="David"/>
          <w:rtl/>
        </w:rPr>
        <w:t xml:space="preserve">נוכח הנסיבות שאינן קשורות בביצוע העבירות, הכוללות העדר עבר פלילי, והודאה מהירה. סבורה המאשימה שיש למקם את עונשו של הנאשם 1 ברף התחתון של מתחם העונש המוצע. באשר לנאשם 2, ובהתאם להסכמות הצדדים, נתבקשתי למקם את עונשו בתחתית מתחם הענישה שהוצע (18 חודשים).  </w:t>
      </w:r>
    </w:p>
    <w:p w14:paraId="767DD535" w14:textId="77777777" w:rsidR="006B6F73" w:rsidRPr="00795316" w:rsidRDefault="006B6F73" w:rsidP="006B6F73">
      <w:pPr>
        <w:spacing w:line="360" w:lineRule="auto"/>
        <w:jc w:val="both"/>
        <w:rPr>
          <w:rFonts w:ascii="David" w:eastAsia="Calibri" w:hAnsi="David"/>
          <w:rtl/>
        </w:rPr>
      </w:pPr>
    </w:p>
    <w:p w14:paraId="54694485" w14:textId="77777777" w:rsidR="006B6F73" w:rsidRPr="00795316" w:rsidRDefault="006B6F73" w:rsidP="006B6F73">
      <w:pPr>
        <w:spacing w:line="360" w:lineRule="auto"/>
        <w:jc w:val="both"/>
        <w:rPr>
          <w:rFonts w:ascii="David" w:eastAsia="Calibri" w:hAnsi="David"/>
          <w:i/>
          <w:iCs/>
          <w:rtl/>
        </w:rPr>
      </w:pPr>
      <w:r w:rsidRPr="00795316">
        <w:rPr>
          <w:rFonts w:ascii="David" w:eastAsia="Calibri" w:hAnsi="David"/>
          <w:i/>
          <w:iCs/>
          <w:rtl/>
        </w:rPr>
        <w:t>ההגנה</w:t>
      </w:r>
    </w:p>
    <w:p w14:paraId="65767C4E" w14:textId="77777777" w:rsidR="006B6F73" w:rsidRPr="00795316" w:rsidRDefault="006B6F73" w:rsidP="006B6F73">
      <w:pPr>
        <w:spacing w:line="360" w:lineRule="auto"/>
        <w:jc w:val="both"/>
        <w:rPr>
          <w:rFonts w:ascii="David" w:eastAsia="Calibri" w:hAnsi="David"/>
          <w:i/>
          <w:iCs/>
          <w:rtl/>
        </w:rPr>
      </w:pPr>
    </w:p>
    <w:p w14:paraId="0D8B9BF3" w14:textId="77777777" w:rsidR="006B6F73" w:rsidRPr="00795316" w:rsidRDefault="006B6F73" w:rsidP="006B6F73">
      <w:pPr>
        <w:spacing w:line="360" w:lineRule="auto"/>
        <w:jc w:val="both"/>
        <w:rPr>
          <w:rFonts w:ascii="David" w:eastAsia="Calibri" w:hAnsi="David"/>
          <w:rtl/>
        </w:rPr>
      </w:pPr>
      <w:r w:rsidRPr="00795316">
        <w:rPr>
          <w:rFonts w:ascii="David" w:eastAsia="Calibri" w:hAnsi="David"/>
          <w:rtl/>
        </w:rPr>
        <w:t xml:space="preserve">ב"כ המלומד של הנאשם 1, עו"ד איברהים כנעאנה, פירט, כי לדידו על אף שהנאשם 1 הורשע על פי הודאתו בשתי עבירות של החזקת נשק, יש לראות באלו כמעשה אחד מתמשך, שכן עסקינן בכלי נשק אחד. לשיטתו של הסנגור אין מקום לפער משמעותי בענישה בין הנאשם 1 לבין הנאשם 2, נוכח הנסיבות המתוארות בכתב האישום המתוקן. הסנגור הפנה לפסיקה המתאימה לתפיסתו לנסיבות העניין. הודגש, כי הנאשם 1 נעדר עבר פלילי וגילו צעיר. נטען כי במצב דברים זה, נוכח הודאתו המהירה (והחיסכון בזמן השיפוטי הנגזר מכך), יש לצמצם, עד כמה שניתן, את תקופת שהייתו מאחורי סורג ובריח, ולהותיר באופן זה לנאשם נתיב של אופק שיקומי ותקווה. </w:t>
      </w:r>
    </w:p>
    <w:p w14:paraId="3FEA6410" w14:textId="77777777" w:rsidR="006B6F73" w:rsidRPr="00795316" w:rsidRDefault="006B6F73" w:rsidP="006B6F73">
      <w:pPr>
        <w:spacing w:line="360" w:lineRule="auto"/>
        <w:jc w:val="both"/>
        <w:rPr>
          <w:rFonts w:ascii="David" w:eastAsia="Calibri" w:hAnsi="David"/>
          <w:rtl/>
        </w:rPr>
      </w:pPr>
    </w:p>
    <w:p w14:paraId="1E0D88CA" w14:textId="77777777" w:rsidR="006B6F73" w:rsidRPr="00795316" w:rsidRDefault="006B6F73" w:rsidP="006B6F73">
      <w:pPr>
        <w:spacing w:line="360" w:lineRule="auto"/>
        <w:jc w:val="both"/>
        <w:rPr>
          <w:rFonts w:ascii="David" w:eastAsia="Calibri" w:hAnsi="David"/>
          <w:rtl/>
        </w:rPr>
      </w:pPr>
      <w:r w:rsidRPr="00795316">
        <w:rPr>
          <w:rFonts w:ascii="David" w:eastAsia="Calibri" w:hAnsi="David"/>
          <w:rtl/>
        </w:rPr>
        <w:t xml:space="preserve">ב"כ המלומד של הנאשם 2, עו"ד איהאב זבידאת, פירט, כי בעניינו של הנאשם 2 עסקינן בהחזקה רגעית בלבד, ללא תכנון מוקדם. הסנגור הדגיש, כי עסקינן בנאשם צעיר (בן 30) ללא עבר פלילי, שנעצר בגין תיק זה מאחורי סורג ובריח ולאחר מכן  בפיקוח אלקטרוני, ובמובן זה, הוא למד את לקחו. הסנגור הפנה לפסיקה וחזר על תיאוריו של עד האופי (אביו של הנאשם 2) כפי שהובעו בעדותו דלעיל. נוכח הסכמות הצדדים, הודאתו המהירה של הנאשם 2 והעדר עבר פלילי, נתבקשתי לגזור על הנאשם 10 חודשי מאסר לריצוי בפועל.   </w:t>
      </w:r>
    </w:p>
    <w:p w14:paraId="08457219" w14:textId="77777777" w:rsidR="006B6F73" w:rsidRPr="00795316" w:rsidRDefault="006B6F73" w:rsidP="006B6F73">
      <w:pPr>
        <w:spacing w:line="360" w:lineRule="auto"/>
        <w:jc w:val="both"/>
        <w:rPr>
          <w:rFonts w:ascii="David" w:eastAsia="Calibri" w:hAnsi="David"/>
          <w:rtl/>
        </w:rPr>
      </w:pPr>
      <w:r w:rsidRPr="00795316">
        <w:rPr>
          <w:rFonts w:ascii="David" w:eastAsia="Calibri" w:hAnsi="David"/>
          <w:rtl/>
        </w:rPr>
        <w:t xml:space="preserve">    </w:t>
      </w:r>
    </w:p>
    <w:p w14:paraId="6B36CBD9" w14:textId="77777777" w:rsidR="006B6F73" w:rsidRPr="00795316" w:rsidRDefault="006B6F73" w:rsidP="006B6F73">
      <w:pPr>
        <w:spacing w:line="360" w:lineRule="auto"/>
        <w:jc w:val="both"/>
        <w:rPr>
          <w:rFonts w:ascii="David" w:eastAsia="Calibri" w:hAnsi="David"/>
          <w:i/>
          <w:iCs/>
          <w:rtl/>
        </w:rPr>
      </w:pPr>
      <w:r w:rsidRPr="00795316">
        <w:rPr>
          <w:rFonts w:ascii="David" w:eastAsia="Calibri" w:hAnsi="David"/>
          <w:i/>
          <w:iCs/>
          <w:rtl/>
        </w:rPr>
        <w:t>דבריהם של הנאשמים</w:t>
      </w:r>
    </w:p>
    <w:p w14:paraId="30372876" w14:textId="77777777" w:rsidR="006B6F73" w:rsidRPr="00795316" w:rsidRDefault="006B6F73" w:rsidP="006B6F73">
      <w:pPr>
        <w:spacing w:line="360" w:lineRule="auto"/>
        <w:jc w:val="both"/>
        <w:rPr>
          <w:rFonts w:ascii="David" w:eastAsia="Calibri" w:hAnsi="David"/>
          <w:i/>
          <w:iCs/>
          <w:rtl/>
        </w:rPr>
      </w:pPr>
    </w:p>
    <w:p w14:paraId="4F180E9C" w14:textId="77777777" w:rsidR="006B6F73" w:rsidRPr="00795316" w:rsidRDefault="006B6F73" w:rsidP="006B6F73">
      <w:pPr>
        <w:spacing w:line="360" w:lineRule="auto"/>
        <w:jc w:val="both"/>
        <w:rPr>
          <w:rFonts w:ascii="David" w:eastAsia="Calibri" w:hAnsi="David"/>
          <w:rtl/>
        </w:rPr>
      </w:pPr>
      <w:r w:rsidRPr="00795316">
        <w:rPr>
          <w:rFonts w:ascii="David" w:eastAsia="Calibri" w:hAnsi="David"/>
          <w:rtl/>
        </w:rPr>
        <w:t xml:space="preserve">הנאשם 1 פנה אל בית המשפט וציין כי עשה טעות שעליה לא יחזור. הוא הוסיף שהוא מעוניין להקים משפחה. הנאשם 2 מצדו, הודה כי טעה וביקש להעניק לו הזדמנות נוספת. </w:t>
      </w:r>
    </w:p>
    <w:p w14:paraId="68F5450B" w14:textId="77777777" w:rsidR="006B6F73" w:rsidRPr="00795316" w:rsidRDefault="006B6F73" w:rsidP="006B6F73">
      <w:pPr>
        <w:spacing w:line="360" w:lineRule="auto"/>
        <w:jc w:val="both"/>
        <w:rPr>
          <w:rFonts w:ascii="David" w:eastAsia="Calibri" w:hAnsi="David"/>
          <w:b/>
          <w:bCs/>
          <w:u w:val="single"/>
          <w:rtl/>
        </w:rPr>
      </w:pPr>
    </w:p>
    <w:p w14:paraId="2466B70D" w14:textId="77777777" w:rsidR="006B6F73" w:rsidRPr="00795316" w:rsidRDefault="006B6F73" w:rsidP="006B6F73">
      <w:pPr>
        <w:spacing w:line="360" w:lineRule="auto"/>
        <w:jc w:val="both"/>
        <w:rPr>
          <w:rFonts w:ascii="David" w:eastAsia="Calibri" w:hAnsi="David"/>
          <w:b/>
          <w:bCs/>
          <w:u w:val="single"/>
          <w:rtl/>
        </w:rPr>
      </w:pPr>
      <w:r w:rsidRPr="00795316">
        <w:rPr>
          <w:rFonts w:ascii="David" w:eastAsia="Calibri" w:hAnsi="David"/>
          <w:b/>
          <w:bCs/>
          <w:u w:val="single"/>
          <w:rtl/>
        </w:rPr>
        <w:t>דיון והכרעה</w:t>
      </w:r>
    </w:p>
    <w:p w14:paraId="13893176" w14:textId="77777777" w:rsidR="006B6F73" w:rsidRPr="00795316" w:rsidRDefault="006B6F73" w:rsidP="006B6F73">
      <w:pPr>
        <w:spacing w:line="360" w:lineRule="auto"/>
        <w:jc w:val="both"/>
        <w:rPr>
          <w:rFonts w:ascii="David" w:eastAsia="Calibri" w:hAnsi="David"/>
          <w:b/>
          <w:bCs/>
          <w:u w:val="single"/>
          <w:rtl/>
        </w:rPr>
      </w:pPr>
    </w:p>
    <w:p w14:paraId="113B3723" w14:textId="77777777" w:rsidR="006B6F73" w:rsidRPr="00795316" w:rsidRDefault="006B6F73" w:rsidP="006B6F73">
      <w:pPr>
        <w:spacing w:after="160" w:line="360" w:lineRule="auto"/>
        <w:jc w:val="both"/>
        <w:rPr>
          <w:rFonts w:ascii="David" w:eastAsia="Calibri" w:hAnsi="David"/>
          <w:rtl/>
        </w:rPr>
      </w:pPr>
      <w:r w:rsidRPr="00795316">
        <w:rPr>
          <w:rFonts w:ascii="David" w:eastAsia="Calibri" w:hAnsi="David"/>
          <w:b/>
          <w:bCs/>
          <w:rtl/>
        </w:rPr>
        <w:t>החזקת נשק</w:t>
      </w:r>
      <w:r w:rsidRPr="00795316">
        <w:rPr>
          <w:rFonts w:ascii="David" w:eastAsia="Calibri" w:hAnsi="David"/>
          <w:rtl/>
        </w:rPr>
        <w:t xml:space="preserve">, רכישתו, נשיאתו, הובלתו והשימוש בו הפכו למרבה הצער למכת מדינה (ראו לעניין זה למשל: </w:t>
      </w:r>
      <w:hyperlink r:id="rId15" w:history="1">
        <w:r w:rsidR="009F004E" w:rsidRPr="009F004E">
          <w:rPr>
            <w:rFonts w:ascii="David" w:eastAsia="Calibri" w:hAnsi="David"/>
            <w:color w:val="0000FF"/>
            <w:u w:val="single"/>
            <w:rtl/>
          </w:rPr>
          <w:t>ע"פ 1695/22</w:t>
        </w:r>
      </w:hyperlink>
      <w:r w:rsidRPr="00795316">
        <w:rPr>
          <w:rFonts w:ascii="David" w:eastAsia="Calibri" w:hAnsi="David"/>
          <w:rtl/>
        </w:rPr>
        <w:t xml:space="preserve"> </w:t>
      </w:r>
      <w:r w:rsidRPr="00795316">
        <w:rPr>
          <w:rFonts w:ascii="David" w:eastAsia="Calibri" w:hAnsi="David"/>
          <w:b/>
          <w:bCs/>
          <w:rtl/>
        </w:rPr>
        <w:t>מדינת ישראל נ' גנאים</w:t>
      </w:r>
      <w:r w:rsidRPr="00795316">
        <w:rPr>
          <w:rFonts w:ascii="David" w:eastAsia="Calibri" w:hAnsi="David"/>
          <w:rtl/>
        </w:rPr>
        <w:t xml:space="preserve">, פסקה 11, ביום 29.3.22). ברי, כי מדינה ריבונית ומתוקנת איננה יכולה לקבל כ"מכת-גורל" תופעה שבמסגרתה מוחזק נשק בלתי-חוקי בקרב אזרחיה ותושביה. תופעה שכזו חותרת תחת שלומם של אזרחיה וביטחונם, ועלולה חלילה, לכרסם ביסודות לחם חוקה. </w:t>
      </w:r>
    </w:p>
    <w:p w14:paraId="27BF0731" w14:textId="77777777" w:rsidR="006B6F73" w:rsidRPr="00795316" w:rsidRDefault="006B6F73" w:rsidP="006B6F73">
      <w:pPr>
        <w:spacing w:after="160" w:line="360" w:lineRule="auto"/>
        <w:jc w:val="both"/>
        <w:rPr>
          <w:rFonts w:ascii="David" w:eastAsia="Calibri" w:hAnsi="David"/>
          <w:rtl/>
        </w:rPr>
      </w:pPr>
      <w:r w:rsidRPr="00795316">
        <w:rPr>
          <w:rFonts w:ascii="David" w:eastAsia="Calibri" w:hAnsi="David"/>
          <w:rtl/>
        </w:rPr>
        <w:t xml:space="preserve">פעם אחר פעם בשנים האחרונות, חזר ועמד בית-המשפט העליון על כך, כי נשק בלתי-חוקי, המוחזק בידיים בלתי-מוסמכות, עלול בסופו להגיע לכלל שימוש מסוכן. מתאימים לעניין זה הדברים שנכתבו במסגרתו של  </w:t>
      </w:r>
      <w:hyperlink r:id="rId16" w:history="1">
        <w:r w:rsidR="009F004E" w:rsidRPr="009F004E">
          <w:rPr>
            <w:rFonts w:ascii="David" w:eastAsia="Calibri" w:hAnsi="David"/>
            <w:color w:val="0000FF"/>
            <w:u w:val="single"/>
            <w:rtl/>
          </w:rPr>
          <w:t>ע"פ 4406/19</w:t>
        </w:r>
      </w:hyperlink>
      <w:r w:rsidRPr="00795316">
        <w:rPr>
          <w:rFonts w:ascii="David" w:eastAsia="Calibri" w:hAnsi="David"/>
          <w:rtl/>
        </w:rPr>
        <w:t xml:space="preserve"> </w:t>
      </w:r>
      <w:r w:rsidRPr="00795316">
        <w:rPr>
          <w:rFonts w:ascii="David" w:eastAsia="Calibri" w:hAnsi="David"/>
          <w:b/>
          <w:bCs/>
          <w:rtl/>
        </w:rPr>
        <w:t>מדינת ישראל נ' סובח</w:t>
      </w:r>
      <w:r w:rsidRPr="00795316">
        <w:rPr>
          <w:rFonts w:ascii="David" w:eastAsia="Calibri" w:hAnsi="David"/>
          <w:rtl/>
        </w:rPr>
        <w:t xml:space="preserve">, פסקאות 17-16 (ניתן ביום 5.11.2019) ולפיהם - </w:t>
      </w:r>
    </w:p>
    <w:p w14:paraId="6683B598" w14:textId="77777777" w:rsidR="006B6F73" w:rsidRPr="00795316" w:rsidRDefault="006B6F73" w:rsidP="006B6F73">
      <w:pPr>
        <w:spacing w:after="160" w:line="256" w:lineRule="auto"/>
        <w:ind w:left="793" w:right="851"/>
        <w:jc w:val="both"/>
        <w:rPr>
          <w:rFonts w:ascii="Miriam" w:eastAsia="Calibri" w:hAnsi="Miriam" w:cs="Miriam"/>
          <w:rtl/>
        </w:rPr>
      </w:pPr>
      <w:r w:rsidRPr="00795316">
        <w:rPr>
          <w:rFonts w:ascii="Miriam" w:eastAsia="Calibri" w:hAnsi="Miriam" w:cs="Miriam"/>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מעורבים 28 (2018)).על רקע המציאות אותה אנו חווים למרבה הצער מדי יום, אנו עדים לקריאה ציבורית נרגשת להגברת האכיפה כלפי עבירות נשק – ולהחמרה במדיניות הענישה הנוהגת.</w:t>
      </w:r>
    </w:p>
    <w:p w14:paraId="65DA7D68" w14:textId="77777777" w:rsidR="006B6F73" w:rsidRPr="00795316" w:rsidRDefault="006B6F73" w:rsidP="006B6F73">
      <w:pPr>
        <w:spacing w:after="160" w:line="256" w:lineRule="auto"/>
        <w:ind w:left="793" w:right="851"/>
        <w:jc w:val="both"/>
        <w:rPr>
          <w:rFonts w:ascii="Miriam" w:eastAsia="Calibri" w:hAnsi="Miriam" w:cs="Miriam"/>
          <w:rtl/>
        </w:rPr>
      </w:pPr>
      <w:r w:rsidRPr="00795316">
        <w:rPr>
          <w:rFonts w:ascii="Miriam" w:eastAsia="Calibri" w:hAnsi="Miriam" w:cs="Miriam"/>
          <w:rtl/>
        </w:rPr>
        <w:t>[...]</w:t>
      </w:r>
    </w:p>
    <w:p w14:paraId="0A09DBEC" w14:textId="77777777" w:rsidR="006B6F73" w:rsidRPr="00795316" w:rsidRDefault="006B6F73" w:rsidP="006B6F73">
      <w:pPr>
        <w:spacing w:after="160" w:line="256" w:lineRule="auto"/>
        <w:ind w:left="793" w:right="851"/>
        <w:jc w:val="both"/>
        <w:rPr>
          <w:rFonts w:ascii="David" w:eastAsia="Calibri" w:hAnsi="David"/>
          <w:rtl/>
        </w:rPr>
      </w:pPr>
      <w:r w:rsidRPr="00795316">
        <w:rPr>
          <w:rFonts w:ascii="Miriam" w:eastAsia="Calibri" w:hAnsi="Miriam" w:cs="Miriam"/>
          <w:rtl/>
        </w:rPr>
        <w:t xml:space="preserve">בהתאם לכך ולנוכח ריבוי מקרי הירי, </w:t>
      </w:r>
      <w:r w:rsidRPr="00795316">
        <w:rPr>
          <w:rFonts w:ascii="Miriam" w:eastAsia="Calibri" w:hAnsi="Miriam" w:cs="Miriam"/>
          <w:b/>
          <w:bCs/>
          <w:u w:val="single"/>
          <w:rtl/>
        </w:rPr>
        <w:t>יש לנקוט במדיניות ענישה מחמירה כלפי ביצוע עבירות החזקת נשק שלא כדין,</w:t>
      </w:r>
      <w:r w:rsidRPr="00795316">
        <w:rPr>
          <w:rFonts w:ascii="Miriam" w:eastAsia="Calibri" w:hAnsi="Miriam" w:cs="Miriam"/>
          <w:rtl/>
        </w:rPr>
        <w:t xml:space="preserve"> ועל אחת כמה וכמה שימוש בנשק חם ופציעתם של קורבנות שונים עקב כך. 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עויינים ובכללם גורמי טרור. 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r w:rsidRPr="00795316">
        <w:rPr>
          <w:rFonts w:ascii="David" w:eastAsia="Calibri" w:hAnsi="David"/>
          <w:rtl/>
        </w:rPr>
        <w:t xml:space="preserve"> (ההדגשה אינה במקור).  </w:t>
      </w:r>
    </w:p>
    <w:p w14:paraId="374697BE" w14:textId="77777777" w:rsidR="006B6F73" w:rsidRPr="00795316" w:rsidRDefault="006B6F73" w:rsidP="006B6F73">
      <w:pPr>
        <w:spacing w:line="360" w:lineRule="auto"/>
        <w:jc w:val="both"/>
        <w:rPr>
          <w:rFonts w:ascii="David" w:eastAsia="Calibri" w:hAnsi="David"/>
          <w:b/>
          <w:bCs/>
          <w:u w:val="single"/>
          <w:rtl/>
        </w:rPr>
      </w:pPr>
      <w:r w:rsidRPr="00795316">
        <w:rPr>
          <w:rFonts w:ascii="David" w:eastAsia="Calibri" w:hAnsi="David"/>
          <w:rtl/>
        </w:rPr>
        <w:t xml:space="preserve">כידוע, עת נפנים לבצע את מלאכת הענישה, העיקרון המנחה שנקבע במסגרת תורת הבניית שיקול-הדעת השיפוטי, הוא עקרון ההלימה: משמע, </w:t>
      </w:r>
      <w:r w:rsidRPr="00795316">
        <w:rPr>
          <w:rFonts w:ascii="David" w:eastAsia="Calibri" w:hAnsi="David"/>
          <w:u w:val="single"/>
          <w:rtl/>
        </w:rPr>
        <w:t>שימור יחס הולם בין חומרת מעשה העבירה בנסיבותיו ומידת אשמו של הנאשם ובין סוג העונש המוטל עליו ומידתו</w:t>
      </w:r>
      <w:r w:rsidRPr="00795316">
        <w:rPr>
          <w:rFonts w:ascii="David" w:eastAsia="Calibri" w:hAnsi="David"/>
          <w:rtl/>
        </w:rPr>
        <w:t xml:space="preserve">. על מנת לשמר יחס זה, עובר לקביעת העונש יש לשרטט מתחם עונש הולם, מתוך התחשבות בערך החברתי בו פגע המעשה, במידת הפגיעה בו, במדיניות הענישה הנוהגת ובנסיבות הקשורות בביצוע העבירה. מכאן, לאחר קביעת המתחם, וככל שבית-המשפט לא מצא לנכון לסטות הימנו מטעמים של שיקום או של הגנה על הציבור, ייקבע העונש המתאים לנאשמים בשים לב לנסיבותיהם האישיות ולנתונים נוספים, הללו שאינם קשורות בביצוע העבירה. </w:t>
      </w:r>
    </w:p>
    <w:p w14:paraId="2A3837E8" w14:textId="77777777" w:rsidR="006B6F73" w:rsidRPr="00795316" w:rsidRDefault="006B6F73" w:rsidP="006B6F73">
      <w:pPr>
        <w:spacing w:line="360" w:lineRule="auto"/>
        <w:jc w:val="both"/>
        <w:rPr>
          <w:rFonts w:ascii="David" w:eastAsia="Calibri" w:hAnsi="David"/>
          <w:b/>
          <w:bCs/>
          <w:u w:val="single"/>
          <w:rtl/>
        </w:rPr>
      </w:pPr>
    </w:p>
    <w:p w14:paraId="49C577A1" w14:textId="77777777" w:rsidR="006B6F73" w:rsidRPr="00795316" w:rsidRDefault="006B6F73" w:rsidP="006B6F73">
      <w:pPr>
        <w:spacing w:line="360" w:lineRule="auto"/>
        <w:jc w:val="both"/>
        <w:rPr>
          <w:rFonts w:ascii="David" w:eastAsia="Calibri" w:hAnsi="David"/>
          <w:b/>
          <w:bCs/>
          <w:rtl/>
        </w:rPr>
      </w:pPr>
      <w:r w:rsidRPr="00795316">
        <w:rPr>
          <w:rFonts w:ascii="David" w:eastAsia="Calibri" w:hAnsi="David"/>
          <w:rtl/>
        </w:rPr>
        <w:t xml:space="preserve">ראשית, אפנה לדון </w:t>
      </w:r>
      <w:r w:rsidRPr="00795316">
        <w:rPr>
          <w:rFonts w:ascii="David" w:eastAsia="Calibri" w:hAnsi="David"/>
          <w:b/>
          <w:bCs/>
          <w:rtl/>
        </w:rPr>
        <w:t>בעניינו של הנאשם</w:t>
      </w:r>
      <w:r w:rsidRPr="00795316">
        <w:rPr>
          <w:rFonts w:ascii="David" w:eastAsia="Calibri" w:hAnsi="David"/>
          <w:rtl/>
        </w:rPr>
        <w:t xml:space="preserve"> </w:t>
      </w:r>
      <w:r w:rsidRPr="00795316">
        <w:rPr>
          <w:rFonts w:ascii="David" w:eastAsia="Calibri" w:hAnsi="David"/>
          <w:b/>
          <w:bCs/>
          <w:rtl/>
        </w:rPr>
        <w:t xml:space="preserve">1. </w:t>
      </w:r>
    </w:p>
    <w:p w14:paraId="378B25BE" w14:textId="77777777" w:rsidR="006B6F73" w:rsidRPr="00795316" w:rsidRDefault="006B6F73" w:rsidP="006B6F73">
      <w:pPr>
        <w:spacing w:line="360" w:lineRule="auto"/>
        <w:jc w:val="both"/>
        <w:rPr>
          <w:rFonts w:ascii="David" w:eastAsia="Calibri" w:hAnsi="David"/>
          <w:rtl/>
        </w:rPr>
      </w:pPr>
    </w:p>
    <w:p w14:paraId="7033C416" w14:textId="77777777" w:rsidR="006B6F73" w:rsidRPr="00795316" w:rsidRDefault="006B6F73" w:rsidP="006B6F73">
      <w:pPr>
        <w:spacing w:after="160" w:line="360" w:lineRule="auto"/>
        <w:jc w:val="both"/>
        <w:rPr>
          <w:rFonts w:ascii="David" w:eastAsia="Calibri" w:hAnsi="David"/>
          <w:rtl/>
        </w:rPr>
      </w:pPr>
      <w:r w:rsidRPr="00795316">
        <w:rPr>
          <w:rFonts w:ascii="David" w:eastAsia="Calibri" w:hAnsi="David"/>
          <w:rtl/>
        </w:rPr>
        <w:t>העבירות שאותן ביצע הנאשם 1 מהוות "</w:t>
      </w:r>
      <w:r w:rsidRPr="00795316">
        <w:rPr>
          <w:rFonts w:ascii="David" w:eastAsia="Calibri" w:hAnsi="David"/>
          <w:b/>
          <w:bCs/>
          <w:rtl/>
        </w:rPr>
        <w:t>אירוע אחד"</w:t>
      </w:r>
      <w:r w:rsidRPr="00795316">
        <w:rPr>
          <w:rFonts w:ascii="David" w:eastAsia="Calibri" w:hAnsi="David"/>
          <w:rtl/>
        </w:rPr>
        <w:t>,</w:t>
      </w:r>
      <w:r w:rsidRPr="00795316">
        <w:rPr>
          <w:rFonts w:ascii="David" w:eastAsia="Calibri" w:hAnsi="David"/>
          <w:b/>
          <w:bCs/>
          <w:rtl/>
        </w:rPr>
        <w:t xml:space="preserve"> </w:t>
      </w:r>
      <w:r w:rsidRPr="00795316">
        <w:rPr>
          <w:rFonts w:ascii="David" w:eastAsia="Calibri" w:hAnsi="David"/>
          <w:rtl/>
        </w:rPr>
        <w:t xml:space="preserve">שכן בהחלט קיים בין אלה קשר הדוק - עסקינן בכלי נשק זהה שהוחזק יום אחר יום בשני מיקומים שונים (ראו לעניין זה: </w:t>
      </w:r>
      <w:hyperlink r:id="rId17" w:history="1">
        <w:r w:rsidR="009F004E" w:rsidRPr="009F004E">
          <w:rPr>
            <w:rFonts w:ascii="David" w:eastAsia="Calibri" w:hAnsi="David"/>
            <w:color w:val="0000FF"/>
            <w:u w:val="single"/>
            <w:rtl/>
          </w:rPr>
          <w:t>ע"פ 4910/13</w:t>
        </w:r>
      </w:hyperlink>
      <w:r w:rsidRPr="00795316">
        <w:rPr>
          <w:rFonts w:ascii="David" w:eastAsia="Calibri" w:hAnsi="David"/>
          <w:rtl/>
        </w:rPr>
        <w:t xml:space="preserve"> </w:t>
      </w:r>
      <w:r w:rsidRPr="00795316">
        <w:rPr>
          <w:rFonts w:ascii="David" w:eastAsia="Calibri" w:hAnsi="David"/>
          <w:b/>
          <w:bCs/>
          <w:rtl/>
        </w:rPr>
        <w:t>ג'אבר נ' מדינת ישראל</w:t>
      </w:r>
      <w:r w:rsidRPr="00795316">
        <w:rPr>
          <w:rFonts w:ascii="David" w:eastAsia="Calibri" w:hAnsi="David"/>
          <w:rtl/>
        </w:rPr>
        <w:t>,</w:t>
      </w:r>
      <w:r w:rsidRPr="00795316">
        <w:rPr>
          <w:rFonts w:ascii="David" w:eastAsia="Calibri" w:hAnsi="David"/>
          <w:b/>
          <w:bCs/>
          <w:rtl/>
        </w:rPr>
        <w:t xml:space="preserve"> </w:t>
      </w:r>
      <w:r w:rsidRPr="00795316">
        <w:rPr>
          <w:rFonts w:ascii="David" w:eastAsia="Calibri" w:hAnsi="David"/>
          <w:rtl/>
        </w:rPr>
        <w:t xml:space="preserve">מפי כב' השופטת ברק-ארז, ניתן ביום 29.10.14; </w:t>
      </w:r>
      <w:hyperlink r:id="rId18" w:history="1">
        <w:r w:rsidR="009F004E" w:rsidRPr="009F004E">
          <w:rPr>
            <w:rFonts w:ascii="David" w:eastAsia="Calibri" w:hAnsi="David"/>
            <w:color w:val="0000FF"/>
            <w:u w:val="single"/>
            <w:rtl/>
          </w:rPr>
          <w:t>ע"פ 9308/12</w:t>
        </w:r>
      </w:hyperlink>
      <w:r w:rsidRPr="00795316">
        <w:rPr>
          <w:rFonts w:ascii="David" w:eastAsia="Calibri" w:hAnsi="David"/>
          <w:rtl/>
        </w:rPr>
        <w:t xml:space="preserve"> </w:t>
      </w:r>
      <w:r w:rsidRPr="00795316">
        <w:rPr>
          <w:rFonts w:ascii="David" w:eastAsia="Calibri" w:hAnsi="David"/>
          <w:b/>
          <w:bCs/>
          <w:rtl/>
        </w:rPr>
        <w:t>עיסא נ' מדינת ישראל,</w:t>
      </w:r>
      <w:r w:rsidRPr="00795316">
        <w:rPr>
          <w:rFonts w:ascii="David" w:eastAsia="Calibri" w:hAnsi="David"/>
          <w:rtl/>
        </w:rPr>
        <w:t xml:space="preserve"> ניתן ביום 30.7.15). משכך, ייקבע מתחם עונש אחד הולם לכלל המעשים</w:t>
      </w:r>
      <w:r w:rsidRPr="00795316">
        <w:rPr>
          <w:rFonts w:ascii="Calibri" w:eastAsia="Calibri" w:hAnsi="Calibri"/>
          <w:rtl/>
        </w:rPr>
        <w:t xml:space="preserve"> (</w:t>
      </w:r>
      <w:hyperlink r:id="rId19" w:history="1">
        <w:r w:rsidR="00F841DF" w:rsidRPr="00F841DF">
          <w:rPr>
            <w:rStyle w:val="Hyperlink"/>
            <w:rFonts w:ascii="Calibri" w:eastAsia="Calibri" w:hAnsi="Calibri"/>
            <w:color w:val="0000FF"/>
            <w:rtl/>
          </w:rPr>
          <w:t>סעיף 40יג(א)</w:t>
        </w:r>
      </w:hyperlink>
      <w:r w:rsidRPr="00795316">
        <w:rPr>
          <w:rFonts w:ascii="Calibri" w:eastAsia="Calibri" w:hAnsi="Calibri"/>
          <w:rtl/>
        </w:rPr>
        <w:t xml:space="preserve"> לחוק).</w:t>
      </w:r>
      <w:r w:rsidRPr="00795316">
        <w:rPr>
          <w:rFonts w:ascii="David" w:eastAsia="Calibri" w:hAnsi="David"/>
          <w:rtl/>
        </w:rPr>
        <w:t xml:space="preserve"> ויודגש, על אף קביעה זאת, </w:t>
      </w:r>
      <w:r w:rsidRPr="00795316">
        <w:rPr>
          <w:rFonts w:ascii="Calibri" w:eastAsia="Calibri" w:hAnsi="Calibri"/>
          <w:rtl/>
        </w:rPr>
        <w:t xml:space="preserve">יישמר בגזירת העונש יחס הולם בין חומרת </w:t>
      </w:r>
      <w:r w:rsidRPr="00795316">
        <w:rPr>
          <w:rFonts w:ascii="Calibri" w:eastAsia="Calibri" w:hAnsi="Calibri"/>
          <w:u w:val="single"/>
          <w:rtl/>
        </w:rPr>
        <w:t>מכלול המעשים</w:t>
      </w:r>
      <w:r w:rsidRPr="00795316">
        <w:rPr>
          <w:rFonts w:ascii="Calibri" w:eastAsia="Calibri" w:hAnsi="Calibri"/>
          <w:rtl/>
        </w:rPr>
        <w:t xml:space="preserve"> ומידת אשמו של  הנאשם 1  לבין תקופת המאסר שיהא עליו לרצות (</w:t>
      </w:r>
      <w:hyperlink r:id="rId20" w:history="1">
        <w:r w:rsidR="00F841DF" w:rsidRPr="00F841DF">
          <w:rPr>
            <w:rStyle w:val="Hyperlink"/>
            <w:rFonts w:ascii="Calibri" w:eastAsia="Calibri" w:hAnsi="Calibri"/>
            <w:color w:val="0000FF"/>
            <w:rtl/>
          </w:rPr>
          <w:t>סעיף 40יג(ג)</w:t>
        </w:r>
      </w:hyperlink>
      <w:r w:rsidRPr="00795316">
        <w:rPr>
          <w:rFonts w:ascii="Calibri" w:eastAsia="Calibri" w:hAnsi="Calibri"/>
          <w:rtl/>
        </w:rPr>
        <w:t xml:space="preserve"> לחוק). </w:t>
      </w:r>
    </w:p>
    <w:p w14:paraId="0CF66693" w14:textId="77777777" w:rsidR="006B6F73" w:rsidRPr="00795316" w:rsidRDefault="006B6F73" w:rsidP="006B6F73">
      <w:pPr>
        <w:spacing w:after="160" w:line="360" w:lineRule="auto"/>
        <w:ind w:right="-284"/>
        <w:jc w:val="both"/>
        <w:rPr>
          <w:rFonts w:ascii="David" w:eastAsia="Calibri" w:hAnsi="David"/>
          <w:rtl/>
        </w:rPr>
      </w:pPr>
      <w:r w:rsidRPr="00795316">
        <w:rPr>
          <w:rFonts w:ascii="David" w:eastAsia="Calibri" w:hAnsi="David"/>
          <w:rtl/>
        </w:rPr>
        <w:t xml:space="preserve">בכל הנוגע לערכים החברתיים המוגנים שנפגעו כפועל יוצא ממעשיו של נאשם זה, הרי שהדברים מובנים מאליהם: המחזיק, פעם אחר פעם, נשק בלא רשות על פי דין פוגע בראש ובראשונה </w:t>
      </w:r>
      <w:r w:rsidRPr="00795316">
        <w:rPr>
          <w:rFonts w:ascii="David" w:eastAsia="Calibri" w:hAnsi="David"/>
          <w:b/>
          <w:bCs/>
          <w:rtl/>
        </w:rPr>
        <w:t>בביטחון המדינה ובמנגנוני שלטונה</w:t>
      </w:r>
      <w:r w:rsidRPr="00795316">
        <w:rPr>
          <w:rFonts w:ascii="David" w:eastAsia="Calibri" w:hAnsi="David"/>
          <w:rtl/>
        </w:rPr>
        <w:t>;</w:t>
      </w:r>
      <w:r w:rsidRPr="00795316">
        <w:rPr>
          <w:rFonts w:ascii="David" w:eastAsia="Calibri" w:hAnsi="David"/>
        </w:rPr>
        <w:t xml:space="preserve"> </w:t>
      </w:r>
      <w:r w:rsidRPr="00795316">
        <w:rPr>
          <w:rFonts w:ascii="David" w:eastAsia="Calibri" w:hAnsi="David"/>
          <w:b/>
          <w:bCs/>
          <w:rtl/>
        </w:rPr>
        <w:t>בשלום הציבור ובסדר הציבורי</w:t>
      </w:r>
      <w:r w:rsidRPr="00795316">
        <w:rPr>
          <w:rFonts w:ascii="David" w:eastAsia="Calibri" w:hAnsi="David"/>
          <w:rtl/>
        </w:rPr>
        <w:t xml:space="preserve">. הוא פוגע בביטחון הציבור </w:t>
      </w:r>
      <w:r w:rsidRPr="00795316">
        <w:rPr>
          <w:rFonts w:ascii="David" w:eastAsia="Calibri" w:hAnsi="David"/>
          <w:b/>
          <w:bCs/>
          <w:rtl/>
        </w:rPr>
        <w:t>וחושף אותו לאירועי טרור עוין כמו גם פלילי המבוצעים באמצעות נשק</w:t>
      </w:r>
      <w:r w:rsidRPr="00795316">
        <w:rPr>
          <w:rFonts w:ascii="David" w:eastAsia="Calibri" w:hAnsi="David"/>
          <w:rtl/>
        </w:rPr>
        <w:t xml:space="preserve"> </w:t>
      </w:r>
      <w:r w:rsidRPr="00795316">
        <w:rPr>
          <w:rFonts w:ascii="David" w:eastAsia="Calibri" w:hAnsi="David"/>
          <w:b/>
          <w:bCs/>
          <w:rtl/>
        </w:rPr>
        <w:t>המוחזק והמושג שלא כחוק.</w:t>
      </w:r>
      <w:r w:rsidRPr="00795316">
        <w:rPr>
          <w:rFonts w:ascii="David" w:eastAsia="Calibri" w:hAnsi="David"/>
          <w:rtl/>
        </w:rPr>
        <w:t xml:space="preserve"> הפגיעה בערכים אלו ממשית. </w:t>
      </w:r>
    </w:p>
    <w:p w14:paraId="63C9BC23" w14:textId="77777777" w:rsidR="006B6F73" w:rsidRPr="00795316" w:rsidRDefault="006B6F73" w:rsidP="006B6F73">
      <w:pPr>
        <w:spacing w:after="160" w:line="360" w:lineRule="auto"/>
        <w:ind w:right="-284"/>
        <w:jc w:val="both"/>
        <w:rPr>
          <w:rFonts w:ascii="David" w:eastAsia="Calibri" w:hAnsi="David"/>
          <w:rtl/>
        </w:rPr>
      </w:pPr>
      <w:r w:rsidRPr="00795316">
        <w:rPr>
          <w:rFonts w:ascii="David" w:eastAsia="Calibri" w:hAnsi="David"/>
          <w:rtl/>
        </w:rPr>
        <w:t xml:space="preserve">תופעה זו יש לבער. הדברים בוטאו כך מפי כב' השופט מזוז במסגרתו של </w:t>
      </w:r>
      <w:hyperlink r:id="rId21" w:history="1">
        <w:r w:rsidR="009F004E" w:rsidRPr="009F004E">
          <w:rPr>
            <w:rFonts w:ascii="David" w:eastAsia="Calibri" w:hAnsi="David"/>
            <w:color w:val="0000FF"/>
            <w:u w:val="single"/>
            <w:rtl/>
          </w:rPr>
          <w:t>ע"פ 4406/19</w:t>
        </w:r>
      </w:hyperlink>
      <w:r w:rsidRPr="00795316">
        <w:rPr>
          <w:rFonts w:ascii="David" w:eastAsia="Calibri" w:hAnsi="David"/>
          <w:rtl/>
        </w:rPr>
        <w:t xml:space="preserve"> </w:t>
      </w:r>
      <w:r w:rsidRPr="00795316">
        <w:rPr>
          <w:rFonts w:ascii="David" w:eastAsia="Calibri" w:hAnsi="David"/>
          <w:b/>
          <w:bCs/>
          <w:rtl/>
        </w:rPr>
        <w:t>מדינת ישראל נ' סובח</w:t>
      </w:r>
      <w:r w:rsidRPr="00795316">
        <w:rPr>
          <w:rFonts w:ascii="David" w:eastAsia="Calibri" w:hAnsi="David"/>
          <w:rtl/>
        </w:rPr>
        <w:t xml:space="preserve"> (ניתן ביום 15.11.19) בציינו כדלהלן: </w:t>
      </w:r>
    </w:p>
    <w:p w14:paraId="4D438765" w14:textId="77777777" w:rsidR="006B6F73" w:rsidRPr="00795316" w:rsidRDefault="006B6F73" w:rsidP="006B6F73">
      <w:pPr>
        <w:spacing w:after="160" w:line="256" w:lineRule="auto"/>
        <w:ind w:left="1371" w:right="851"/>
        <w:jc w:val="both"/>
        <w:rPr>
          <w:rFonts w:ascii="Miriam" w:eastAsia="Calibri" w:hAnsi="Miriam" w:cs="Miriam"/>
          <w:rtl/>
        </w:rPr>
      </w:pPr>
      <w:r w:rsidRPr="00795316">
        <w:rPr>
          <w:rFonts w:ascii="Miriam" w:eastAsia="Calibri" w:hAnsi="Miriam" w:cs="Miriam"/>
          <w:b/>
          <w:rtl/>
        </w:rPr>
        <w:t xml:space="preserve">"ביעור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ערש לגידולן של תופעות אלה. </w:t>
      </w:r>
      <w:r w:rsidRPr="00795316">
        <w:rPr>
          <w:rFonts w:ascii="Miriam" w:eastAsia="Calibri" w:hAnsi="Miriam" w:cs="Miriam"/>
          <w:bCs/>
          <w:rtl/>
        </w:rPr>
        <w:t>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r w:rsidRPr="00795316">
        <w:rPr>
          <w:rFonts w:ascii="Miriam" w:eastAsia="Calibri" w:hAnsi="Miriam" w:cs="Miriam"/>
          <w:rtl/>
        </w:rPr>
        <w:t xml:space="preserve"> (</w:t>
      </w:r>
      <w:r w:rsidRPr="00795316">
        <w:rPr>
          <w:rFonts w:ascii="David" w:eastAsia="Calibri" w:hAnsi="David"/>
          <w:rtl/>
        </w:rPr>
        <w:t>ההדגשה אינה במקור</w:t>
      </w:r>
      <w:r w:rsidRPr="00795316">
        <w:rPr>
          <w:rFonts w:ascii="Miriam" w:eastAsia="Calibri" w:hAnsi="Miriam" w:cs="Miriam"/>
          <w:rtl/>
        </w:rPr>
        <w:t xml:space="preserve">).  </w:t>
      </w:r>
    </w:p>
    <w:p w14:paraId="32AE111F" w14:textId="77777777" w:rsidR="006B6F73" w:rsidRPr="00795316" w:rsidRDefault="006B6F73" w:rsidP="006B6F73">
      <w:pPr>
        <w:spacing w:after="160" w:line="360" w:lineRule="auto"/>
        <w:ind w:right="-426"/>
        <w:jc w:val="both"/>
        <w:rPr>
          <w:rFonts w:ascii="Calibri" w:eastAsia="Calibri" w:hAnsi="Calibri"/>
          <w:rtl/>
        </w:rPr>
      </w:pPr>
      <w:r w:rsidRPr="00795316">
        <w:rPr>
          <w:rFonts w:ascii="Calibri" w:eastAsia="Calibri" w:hAnsi="Calibri"/>
          <w:rtl/>
        </w:rPr>
        <w:t xml:space="preserve">על מנת לשרטט כדבעי את מתחם העונש ההולם בעניינו של הנאשם 1, עיינתי בפסיקה רחבה העוסקת בעבירת החזקת נשק. </w:t>
      </w:r>
      <w:r w:rsidRPr="00795316">
        <w:rPr>
          <w:rFonts w:ascii="David" w:eastAsia="Calibri" w:hAnsi="David"/>
          <w:rtl/>
        </w:rPr>
        <w:t xml:space="preserve">נמצאתי למד, כי בשנים האחרונות חלה אט אט מגמת החמרה בענישה, הבאה לידי ביטוי בפסיקת הערכאות השונות הנוגעת לעבירה זו. עם זאת, ברי, כי </w:t>
      </w:r>
      <w:r w:rsidRPr="00795316">
        <w:rPr>
          <w:rFonts w:ascii="Calibri" w:eastAsia="Calibri" w:hAnsi="Calibri"/>
          <w:rtl/>
        </w:rPr>
        <w:t xml:space="preserve">משקל ניכר בקביעת העונש בעבירות של החזקת נשק יש לתלות </w:t>
      </w:r>
      <w:r w:rsidRPr="00795316">
        <w:rPr>
          <w:rFonts w:ascii="Calibri" w:eastAsia="Calibri" w:hAnsi="Calibri"/>
          <w:b/>
          <w:bCs/>
          <w:rtl/>
        </w:rPr>
        <w:t>באופי הנשק</w:t>
      </w:r>
      <w:r w:rsidRPr="00795316">
        <w:rPr>
          <w:rFonts w:ascii="Calibri" w:eastAsia="Calibri" w:hAnsi="Calibri"/>
          <w:rtl/>
        </w:rPr>
        <w:t>, במידת קטלניותו, בכמות הנשקים המוחזקים, בתחמושת שנתפסה לצדו וכיוצ"ב. למעשה, "</w:t>
      </w:r>
      <w:r w:rsidRPr="00795316">
        <w:rPr>
          <w:rFonts w:ascii="Calibri Light" w:eastAsia="Calibri" w:hAnsi="Calibri Light" w:cs="Times New Roman"/>
          <w:rtl/>
        </w:rPr>
        <w:t>כבכל עבירה</w:t>
      </w:r>
      <w:r w:rsidRPr="00795316">
        <w:rPr>
          <w:rFonts w:ascii="Calibri Light" w:eastAsia="Calibri" w:hAnsi="Calibri Light" w:cs="Calibri Light"/>
          <w:rtl/>
        </w:rPr>
        <w:t xml:space="preserve">, </w:t>
      </w:r>
      <w:r w:rsidRPr="00795316">
        <w:rPr>
          <w:rFonts w:ascii="Calibri Light" w:eastAsia="Calibri" w:hAnsi="Calibri Light" w:cs="Times New Roman"/>
          <w:rtl/>
        </w:rPr>
        <w:t>גם בעבירות נשק קיים מדרג של חומרה</w:t>
      </w:r>
      <w:r w:rsidRPr="00795316">
        <w:rPr>
          <w:rFonts w:ascii="Calibri Light" w:eastAsia="Calibri" w:hAnsi="Calibri Light" w:cs="Calibri Light"/>
          <w:rtl/>
        </w:rPr>
        <w:t xml:space="preserve">, </w:t>
      </w:r>
      <w:r w:rsidRPr="00795316">
        <w:rPr>
          <w:rFonts w:ascii="Calibri Light" w:eastAsia="Calibri" w:hAnsi="Calibri Light" w:cs="Times New Roman"/>
          <w:rtl/>
        </w:rPr>
        <w:t>ושומה על בית המשפט להביאו בחשבון בבואו לקבוע את מתחם העונש ההולם</w:t>
      </w:r>
      <w:r w:rsidRPr="00795316">
        <w:rPr>
          <w:rFonts w:ascii="Calibri" w:eastAsia="Calibri" w:hAnsi="Calibri" w:cs="Miriam"/>
          <w:rtl/>
        </w:rPr>
        <w:t>"</w:t>
      </w:r>
      <w:r w:rsidRPr="00795316">
        <w:rPr>
          <w:rFonts w:ascii="David" w:eastAsia="Calibri" w:hAnsi="David"/>
          <w:rtl/>
        </w:rPr>
        <w:t>(</w:t>
      </w:r>
      <w:hyperlink r:id="rId22" w:history="1">
        <w:r w:rsidR="009F004E" w:rsidRPr="009F004E">
          <w:rPr>
            <w:rFonts w:ascii="Calibri" w:eastAsia="Calibri" w:hAnsi="Calibri" w:hint="cs"/>
            <w:color w:val="0000FF"/>
            <w:u w:val="single"/>
            <w:rtl/>
          </w:rPr>
          <w:t>ע</w:t>
        </w:r>
        <w:r w:rsidR="009F004E" w:rsidRPr="009F004E">
          <w:rPr>
            <w:rFonts w:ascii="Calibri" w:eastAsia="Calibri" w:hAnsi="Calibri"/>
            <w:color w:val="0000FF"/>
            <w:u w:val="single"/>
            <w:rtl/>
          </w:rPr>
          <w:t>"</w:t>
        </w:r>
        <w:r w:rsidR="009F004E" w:rsidRPr="009F004E">
          <w:rPr>
            <w:rFonts w:ascii="Calibri" w:eastAsia="Calibri" w:hAnsi="Calibri" w:hint="cs"/>
            <w:color w:val="0000FF"/>
            <w:u w:val="single"/>
            <w:rtl/>
          </w:rPr>
          <w:t>פ</w:t>
        </w:r>
        <w:r w:rsidR="009F004E" w:rsidRPr="009F004E">
          <w:rPr>
            <w:rFonts w:ascii="Calibri" w:eastAsia="Calibri" w:hAnsi="Calibri"/>
            <w:color w:val="0000FF"/>
            <w:u w:val="single"/>
            <w:rtl/>
          </w:rPr>
          <w:t xml:space="preserve"> 9702/16</w:t>
        </w:r>
      </w:hyperlink>
      <w:r w:rsidRPr="00795316">
        <w:rPr>
          <w:rFonts w:ascii="Calibri" w:eastAsia="Calibri" w:hAnsi="Calibri"/>
          <w:rtl/>
        </w:rPr>
        <w:t xml:space="preserve"> </w:t>
      </w:r>
      <w:r w:rsidRPr="00795316">
        <w:rPr>
          <w:rFonts w:ascii="Calibri" w:eastAsia="Calibri" w:hAnsi="Calibri"/>
          <w:b/>
          <w:bCs/>
          <w:rtl/>
        </w:rPr>
        <w:t>אלוליאיה נ' מדינת ישראל</w:t>
      </w:r>
      <w:r w:rsidRPr="00795316">
        <w:rPr>
          <w:rFonts w:ascii="Calibri" w:eastAsia="Calibri" w:hAnsi="Calibri"/>
          <w:rtl/>
        </w:rPr>
        <w:t xml:space="preserve">, פסקה 8, ניתן ביום 13.9.17) (ראו בנוסף לעניין זה: </w:t>
      </w:r>
      <w:hyperlink r:id="rId23" w:history="1">
        <w:r w:rsidR="009F004E" w:rsidRPr="009F004E">
          <w:rPr>
            <w:rFonts w:ascii="Calibri" w:eastAsia="Calibri" w:hAnsi="Calibri" w:hint="cs"/>
            <w:color w:val="0000FF"/>
            <w:u w:val="single"/>
            <w:rtl/>
          </w:rPr>
          <w:t>ע</w:t>
        </w:r>
        <w:r w:rsidR="009F004E" w:rsidRPr="009F004E">
          <w:rPr>
            <w:rFonts w:ascii="Calibri" w:eastAsia="Calibri" w:hAnsi="Calibri"/>
            <w:color w:val="0000FF"/>
            <w:u w:val="single"/>
            <w:rtl/>
          </w:rPr>
          <w:t>"</w:t>
        </w:r>
        <w:r w:rsidR="009F004E" w:rsidRPr="009F004E">
          <w:rPr>
            <w:rFonts w:ascii="Calibri" w:eastAsia="Calibri" w:hAnsi="Calibri" w:hint="cs"/>
            <w:color w:val="0000FF"/>
            <w:u w:val="single"/>
            <w:rtl/>
          </w:rPr>
          <w:t>פ</w:t>
        </w:r>
        <w:r w:rsidR="009F004E" w:rsidRPr="009F004E">
          <w:rPr>
            <w:rFonts w:ascii="Calibri" w:eastAsia="Calibri" w:hAnsi="Calibri"/>
            <w:color w:val="0000FF"/>
            <w:u w:val="single"/>
            <w:rtl/>
          </w:rPr>
          <w:t xml:space="preserve">  4059/17</w:t>
        </w:r>
      </w:hyperlink>
      <w:r w:rsidRPr="00795316">
        <w:rPr>
          <w:rFonts w:ascii="Calibri" w:eastAsia="Calibri" w:hAnsi="Calibri"/>
          <w:rtl/>
        </w:rPr>
        <w:t xml:space="preserve"> </w:t>
      </w:r>
      <w:r w:rsidRPr="00795316">
        <w:rPr>
          <w:rFonts w:ascii="Calibri" w:eastAsia="Calibri" w:hAnsi="Calibri"/>
          <w:b/>
          <w:bCs/>
          <w:rtl/>
        </w:rPr>
        <w:t>סלמה נ' מדינת ישראל</w:t>
      </w:r>
      <w:r w:rsidRPr="00795316">
        <w:rPr>
          <w:rFonts w:ascii="Calibri" w:eastAsia="Calibri" w:hAnsi="Calibri"/>
          <w:rtl/>
        </w:rPr>
        <w:t>, פסקה 5,  ניתן ביום 24.4.18)</w:t>
      </w:r>
      <w:r w:rsidRPr="00795316">
        <w:rPr>
          <w:rFonts w:ascii="Calibri" w:eastAsia="Calibri" w:hAnsi="Calibri" w:cs="Miriam"/>
          <w:rtl/>
        </w:rPr>
        <w:t xml:space="preserve">.  </w:t>
      </w:r>
      <w:r w:rsidRPr="00795316">
        <w:rPr>
          <w:rFonts w:ascii="Calibri" w:eastAsia="Calibri" w:hAnsi="Calibri"/>
          <w:rtl/>
        </w:rPr>
        <w:t xml:space="preserve">  </w:t>
      </w:r>
    </w:p>
    <w:p w14:paraId="5AD3AD86" w14:textId="77777777" w:rsidR="006B6F73" w:rsidRPr="00795316" w:rsidRDefault="006B6F73" w:rsidP="006B6F73">
      <w:pPr>
        <w:spacing w:after="160" w:line="360" w:lineRule="auto"/>
        <w:ind w:right="-426"/>
        <w:jc w:val="both"/>
        <w:rPr>
          <w:rFonts w:ascii="David" w:eastAsia="Calibri" w:hAnsi="David"/>
          <w:rtl/>
        </w:rPr>
      </w:pPr>
      <w:r w:rsidRPr="00795316">
        <w:rPr>
          <w:rFonts w:ascii="David" w:eastAsia="Calibri" w:hAnsi="David"/>
          <w:rtl/>
        </w:rPr>
        <w:t xml:space="preserve">כך למשל: במסגרתו של </w:t>
      </w:r>
      <w:hyperlink r:id="rId24" w:history="1">
        <w:r w:rsidR="009F004E" w:rsidRPr="009F004E">
          <w:rPr>
            <w:rFonts w:ascii="David" w:eastAsia="Calibri" w:hAnsi="David"/>
            <w:color w:val="0000FF"/>
            <w:u w:val="single"/>
            <w:rtl/>
          </w:rPr>
          <w:t>ע"פ 1806/22</w:t>
        </w:r>
      </w:hyperlink>
      <w:r w:rsidRPr="00795316">
        <w:rPr>
          <w:rFonts w:ascii="David" w:eastAsia="Calibri" w:hAnsi="David"/>
          <w:rtl/>
        </w:rPr>
        <w:t xml:space="preserve"> </w:t>
      </w:r>
      <w:r w:rsidRPr="00795316">
        <w:rPr>
          <w:rFonts w:ascii="David" w:eastAsia="Calibri" w:hAnsi="David"/>
          <w:b/>
          <w:bCs/>
          <w:rtl/>
        </w:rPr>
        <w:t>נבארי נ' מדינת ישראל</w:t>
      </w:r>
      <w:r w:rsidRPr="00795316">
        <w:rPr>
          <w:rFonts w:ascii="David" w:eastAsia="Calibri" w:hAnsi="David"/>
          <w:rtl/>
        </w:rPr>
        <w:t xml:space="preserve"> (ניתן ביום 15.6.22</w:t>
      </w:r>
      <w:r w:rsidRPr="00795316">
        <w:rPr>
          <w:rFonts w:ascii="David" w:eastAsia="Calibri" w:hAnsi="David"/>
        </w:rPr>
        <w:t xml:space="preserve"> (</w:t>
      </w:r>
      <w:r w:rsidRPr="00795316">
        <w:rPr>
          <w:rFonts w:ascii="David" w:eastAsia="Calibri" w:hAnsi="David"/>
          <w:rtl/>
        </w:rPr>
        <w:t xml:space="preserve">הושתו </w:t>
      </w:r>
      <w:r w:rsidRPr="00795316">
        <w:rPr>
          <w:rFonts w:ascii="David" w:eastAsia="Calibri" w:hAnsi="David"/>
          <w:b/>
          <w:bCs/>
          <w:rtl/>
        </w:rPr>
        <w:t>16 חודשי מאסר לריצוי בפועל</w:t>
      </w:r>
      <w:r w:rsidRPr="00795316">
        <w:rPr>
          <w:rFonts w:ascii="David" w:eastAsia="Calibri" w:hAnsi="David"/>
          <w:rtl/>
        </w:rPr>
        <w:t xml:space="preserve"> בגין החזקת אקדח חצי אוטומט טעון במחסנית וכדורים; במסגרתו של </w:t>
      </w:r>
      <w:hyperlink r:id="rId25" w:history="1">
        <w:r w:rsidR="009F004E" w:rsidRPr="009F004E">
          <w:rPr>
            <w:rFonts w:ascii="David" w:eastAsia="Calibri" w:hAnsi="David"/>
            <w:color w:val="0000FF"/>
            <w:u w:val="single"/>
            <w:rtl/>
          </w:rPr>
          <w:t>ת"פ (מחוזי ב"ש) 54607-07-19</w:t>
        </w:r>
      </w:hyperlink>
      <w:r w:rsidRPr="00795316">
        <w:rPr>
          <w:rFonts w:ascii="David" w:eastAsia="Calibri" w:hAnsi="David"/>
          <w:rtl/>
        </w:rPr>
        <w:t xml:space="preserve"> </w:t>
      </w:r>
      <w:r w:rsidRPr="00795316">
        <w:rPr>
          <w:rFonts w:ascii="David" w:eastAsia="Calibri" w:hAnsi="David"/>
          <w:b/>
          <w:bCs/>
          <w:rtl/>
        </w:rPr>
        <w:t xml:space="preserve">מדינת ישראל נ' גבור </w:t>
      </w:r>
      <w:r w:rsidRPr="00795316">
        <w:rPr>
          <w:rFonts w:ascii="David" w:eastAsia="Calibri" w:hAnsi="David"/>
          <w:rtl/>
        </w:rPr>
        <w:t xml:space="preserve">(ניתן ביום 12.01.2020) - </w:t>
      </w:r>
      <w:r w:rsidRPr="00795316">
        <w:rPr>
          <w:rFonts w:ascii="David" w:eastAsia="Calibri" w:hAnsi="David"/>
          <w:b/>
          <w:bCs/>
          <w:rtl/>
        </w:rPr>
        <w:t>הושתו 22 חודשי מאסר לריצוי בפועל</w:t>
      </w:r>
      <w:r w:rsidRPr="00795316">
        <w:rPr>
          <w:rFonts w:ascii="David" w:eastAsia="Calibri" w:hAnsi="David"/>
          <w:rtl/>
        </w:rPr>
        <w:t xml:space="preserve">, בגין החזקת רוס"ר </w:t>
      </w:r>
      <w:r w:rsidRPr="00795316">
        <w:rPr>
          <w:rFonts w:ascii="David" w:eastAsia="Calibri" w:hAnsi="David"/>
        </w:rPr>
        <w:t>M-16</w:t>
      </w:r>
      <w:r w:rsidRPr="00795316">
        <w:rPr>
          <w:rFonts w:ascii="David" w:eastAsia="Calibri" w:hAnsi="David"/>
          <w:rtl/>
        </w:rPr>
        <w:t xml:space="preserve"> ומחסנית ריקה;</w:t>
      </w:r>
      <w:r w:rsidRPr="00795316">
        <w:rPr>
          <w:rFonts w:ascii="David" w:eastAsia="Calibri" w:hAnsi="David"/>
        </w:rPr>
        <w:t xml:space="preserve"> </w:t>
      </w:r>
      <w:hyperlink r:id="rId26" w:history="1">
        <w:r w:rsidR="009F004E" w:rsidRPr="009F004E">
          <w:rPr>
            <w:rFonts w:ascii="David" w:eastAsia="Calibri" w:hAnsi="David"/>
            <w:color w:val="0000FF"/>
            <w:u w:val="single"/>
            <w:rtl/>
          </w:rPr>
          <w:t>ע"פ 5646/15</w:t>
        </w:r>
      </w:hyperlink>
      <w:r w:rsidRPr="00795316">
        <w:rPr>
          <w:rFonts w:ascii="David" w:eastAsia="Calibri" w:hAnsi="David"/>
          <w:rtl/>
        </w:rPr>
        <w:t xml:space="preserve"> </w:t>
      </w:r>
      <w:r w:rsidRPr="00795316">
        <w:rPr>
          <w:rFonts w:ascii="David" w:eastAsia="Calibri" w:hAnsi="David"/>
          <w:b/>
          <w:bCs/>
          <w:rtl/>
        </w:rPr>
        <w:t>תיהאווי נ' מדינת ישראל</w:t>
      </w:r>
      <w:r w:rsidRPr="00795316">
        <w:rPr>
          <w:rFonts w:ascii="David" w:eastAsia="Calibri" w:hAnsi="David"/>
          <w:rtl/>
        </w:rPr>
        <w:t xml:space="preserve">, ניתן ביום 14.2.16- במסגרתו הושתו </w:t>
      </w:r>
      <w:r w:rsidRPr="00795316">
        <w:rPr>
          <w:rFonts w:ascii="David" w:eastAsia="Calibri" w:hAnsi="David"/>
          <w:b/>
          <w:bCs/>
          <w:rtl/>
        </w:rPr>
        <w:t xml:space="preserve">15 חודשי מאסר לריצוי בפועל </w:t>
      </w:r>
      <w:r w:rsidRPr="00795316">
        <w:rPr>
          <w:rFonts w:ascii="David" w:eastAsia="Calibri" w:hAnsi="David"/>
          <w:rtl/>
        </w:rPr>
        <w:t>בגין החזקת אקדח טעון במחסנית ובה כדורים;</w:t>
      </w:r>
      <w:r w:rsidRPr="00795316">
        <w:rPr>
          <w:rFonts w:ascii="David" w:eastAsia="Calibri" w:hAnsi="David"/>
        </w:rPr>
        <w:t xml:space="preserve"> </w:t>
      </w:r>
      <w:r w:rsidRPr="00795316">
        <w:rPr>
          <w:rFonts w:ascii="David" w:eastAsia="Calibri" w:hAnsi="David"/>
          <w:rtl/>
        </w:rPr>
        <w:t xml:space="preserve">במסגרתו של </w:t>
      </w:r>
      <w:hyperlink r:id="rId27" w:history="1">
        <w:r w:rsidR="009F004E" w:rsidRPr="009F004E">
          <w:rPr>
            <w:rFonts w:ascii="David" w:eastAsia="Calibri" w:hAnsi="David"/>
            <w:color w:val="0000FF"/>
            <w:u w:val="single"/>
            <w:rtl/>
          </w:rPr>
          <w:t>ע"פ 2141/21</w:t>
        </w:r>
      </w:hyperlink>
      <w:r w:rsidRPr="00795316">
        <w:rPr>
          <w:rFonts w:ascii="David" w:eastAsia="Calibri" w:hAnsi="David"/>
          <w:rtl/>
        </w:rPr>
        <w:t xml:space="preserve"> </w:t>
      </w:r>
      <w:r w:rsidRPr="00795316">
        <w:rPr>
          <w:rFonts w:ascii="David" w:eastAsia="Calibri" w:hAnsi="David"/>
          <w:b/>
          <w:bCs/>
          <w:rtl/>
        </w:rPr>
        <w:t>חניני נ' מדינת ישראל</w:t>
      </w:r>
      <w:r w:rsidRPr="00795316">
        <w:rPr>
          <w:rFonts w:ascii="David" w:eastAsia="Calibri" w:hAnsi="David"/>
          <w:rtl/>
        </w:rPr>
        <w:t xml:space="preserve"> (ניתן ביום 27.5.21) - </w:t>
      </w:r>
      <w:r w:rsidRPr="00795316">
        <w:rPr>
          <w:rFonts w:ascii="David" w:eastAsia="Calibri" w:hAnsi="David"/>
          <w:b/>
          <w:bCs/>
          <w:rtl/>
        </w:rPr>
        <w:t>הושתו 20 חודשי מאסר לריצוי בפועל</w:t>
      </w:r>
      <w:r w:rsidRPr="00795316">
        <w:rPr>
          <w:rFonts w:ascii="David" w:eastAsia="Calibri" w:hAnsi="David"/>
          <w:rtl/>
        </w:rPr>
        <w:t xml:space="preserve"> בגין החזקת אקדח אוויר שבוצעו בו שינויים וכדורים תואמים;</w:t>
      </w:r>
      <w:r w:rsidRPr="00795316">
        <w:rPr>
          <w:rFonts w:ascii="David" w:eastAsia="Calibri" w:hAnsi="David"/>
        </w:rPr>
        <w:t xml:space="preserve"> </w:t>
      </w:r>
      <w:r w:rsidRPr="00795316">
        <w:rPr>
          <w:rFonts w:ascii="David" w:eastAsia="Calibri" w:hAnsi="David"/>
          <w:rtl/>
        </w:rPr>
        <w:t xml:space="preserve">במסגרתו של </w:t>
      </w:r>
      <w:hyperlink r:id="rId28" w:history="1">
        <w:r w:rsidR="009F004E" w:rsidRPr="009F004E">
          <w:rPr>
            <w:rFonts w:ascii="David" w:eastAsia="Calibri" w:hAnsi="David"/>
            <w:color w:val="0000FF"/>
            <w:u w:val="single"/>
            <w:rtl/>
          </w:rPr>
          <w:t>ע"פ 2482/22</w:t>
        </w:r>
      </w:hyperlink>
      <w:r w:rsidRPr="00795316">
        <w:rPr>
          <w:rFonts w:ascii="David" w:eastAsia="Calibri" w:hAnsi="David"/>
          <w:rtl/>
        </w:rPr>
        <w:t xml:space="preserve"> </w:t>
      </w:r>
      <w:r w:rsidRPr="00795316">
        <w:rPr>
          <w:rFonts w:ascii="David" w:eastAsia="Calibri" w:hAnsi="David"/>
          <w:b/>
          <w:bCs/>
          <w:rtl/>
        </w:rPr>
        <w:t>מדינת ישראל נ' קדורה</w:t>
      </w:r>
      <w:r w:rsidRPr="00795316">
        <w:rPr>
          <w:rFonts w:ascii="David" w:eastAsia="Calibri" w:hAnsi="David"/>
          <w:rtl/>
        </w:rPr>
        <w:t xml:space="preserve">, ניתן ביום 14.4.22- </w:t>
      </w:r>
      <w:r w:rsidRPr="00795316">
        <w:rPr>
          <w:rFonts w:ascii="David" w:eastAsia="Calibri" w:hAnsi="David"/>
          <w:b/>
          <w:bCs/>
          <w:rtl/>
        </w:rPr>
        <w:t>הושתו 18 חודשי מאסר לריצוי בפועל</w:t>
      </w:r>
      <w:r w:rsidRPr="00795316">
        <w:rPr>
          <w:rFonts w:ascii="David" w:eastAsia="Calibri" w:hAnsi="David"/>
          <w:rtl/>
        </w:rPr>
        <w:t xml:space="preserve">, בגין החזקת אקדח גלוק ורימון הלם. </w:t>
      </w:r>
    </w:p>
    <w:p w14:paraId="05B4D0AA" w14:textId="77777777" w:rsidR="006B6F73" w:rsidRPr="00795316" w:rsidRDefault="006B6F73" w:rsidP="006B6F73">
      <w:pPr>
        <w:overflowPunct w:val="0"/>
        <w:autoSpaceDE w:val="0"/>
        <w:autoSpaceDN w:val="0"/>
        <w:spacing w:line="360" w:lineRule="auto"/>
        <w:ind w:right="-426"/>
        <w:jc w:val="both"/>
        <w:rPr>
          <w:rFonts w:ascii="David" w:hAnsi="David"/>
          <w:rtl/>
        </w:rPr>
      </w:pPr>
      <w:r w:rsidRPr="00795316">
        <w:rPr>
          <w:rtl/>
        </w:rPr>
        <w:t xml:space="preserve">בנוסף יש להזכיר את  </w:t>
      </w:r>
      <w:r w:rsidRPr="00795316">
        <w:rPr>
          <w:rFonts w:ascii="David" w:hAnsi="David"/>
          <w:u w:val="single"/>
          <w:rtl/>
        </w:rPr>
        <w:t>מדיניות הענישה הנוהגת לעבירות שעניינן נשיאה והובלה של נשק שלא כדין</w:t>
      </w:r>
      <w:r w:rsidRPr="00795316">
        <w:rPr>
          <w:rFonts w:ascii="David" w:hAnsi="David"/>
          <w:rtl/>
        </w:rPr>
        <w:t xml:space="preserve"> - </w:t>
      </w:r>
      <w:hyperlink r:id="rId29" w:history="1">
        <w:r w:rsidR="009F004E" w:rsidRPr="009F004E">
          <w:rPr>
            <w:rFonts w:ascii="David" w:hAnsi="David"/>
            <w:color w:val="0000FF"/>
            <w:u w:val="single"/>
            <w:rtl/>
          </w:rPr>
          <w:t>ע"פ 5602/22</w:t>
        </w:r>
      </w:hyperlink>
      <w:r w:rsidRPr="00795316">
        <w:rPr>
          <w:rFonts w:ascii="David" w:hAnsi="David"/>
          <w:rtl/>
        </w:rPr>
        <w:t xml:space="preserve"> </w:t>
      </w:r>
      <w:r w:rsidRPr="00795316">
        <w:rPr>
          <w:rFonts w:ascii="David" w:hAnsi="David"/>
          <w:b/>
          <w:bCs/>
          <w:rtl/>
        </w:rPr>
        <w:t>מדינת ישראל נ' פלוני</w:t>
      </w:r>
      <w:r w:rsidRPr="00795316">
        <w:rPr>
          <w:rFonts w:ascii="David" w:hAnsi="David"/>
          <w:rtl/>
        </w:rPr>
        <w:t xml:space="preserve">, ניתן ביום  </w:t>
      </w:r>
      <w:r w:rsidRPr="00795316">
        <w:rPr>
          <w:rtl/>
        </w:rPr>
        <w:t xml:space="preserve">14.9.22, שם נקבע, כי </w:t>
      </w:r>
      <w:r w:rsidRPr="00795316">
        <w:rPr>
          <w:rFonts w:ascii="David" w:hAnsi="David"/>
          <w:rtl/>
        </w:rPr>
        <w:t xml:space="preserve">מתחם הענישה הרגיל שראוי לקבוע לנאשם בגיר בגין נשיאה בלתי חוקית של נשק חם במרחב הציבורי </w:t>
      </w:r>
      <w:r w:rsidRPr="00795316">
        <w:rPr>
          <w:rFonts w:ascii="David" w:hAnsi="David"/>
          <w:b/>
          <w:bCs/>
          <w:rtl/>
        </w:rPr>
        <w:t>נע בין 30 ל-42 חודשי מאסר בין סורג ובריח</w:t>
      </w:r>
      <w:r w:rsidRPr="00795316">
        <w:rPr>
          <w:rFonts w:ascii="David" w:hAnsi="David"/>
          <w:rtl/>
        </w:rPr>
        <w:t xml:space="preserve">. אמנם עבירות אלו חמורות יותר מאלו הנדונות כאן, אך יש בהתוויה עונשית זו אמת מידה יחסית בכל הנוגע </w:t>
      </w:r>
      <w:r w:rsidRPr="00795316">
        <w:rPr>
          <w:rFonts w:ascii="David" w:hAnsi="David"/>
          <w:u w:val="single"/>
          <w:rtl/>
        </w:rPr>
        <w:t>לעבירות החזקת נשק</w:t>
      </w:r>
      <w:r w:rsidRPr="00795316">
        <w:rPr>
          <w:rFonts w:ascii="David" w:hAnsi="David"/>
          <w:rtl/>
        </w:rPr>
        <w:t xml:space="preserve">.  </w:t>
      </w:r>
    </w:p>
    <w:p w14:paraId="04B5BB37" w14:textId="77777777" w:rsidR="006B6F73" w:rsidRPr="00795316" w:rsidRDefault="006B6F73" w:rsidP="006B6F73">
      <w:pPr>
        <w:overflowPunct w:val="0"/>
        <w:autoSpaceDE w:val="0"/>
        <w:autoSpaceDN w:val="0"/>
        <w:spacing w:line="360" w:lineRule="auto"/>
        <w:ind w:right="-426"/>
        <w:jc w:val="both"/>
        <w:rPr>
          <w:rFonts w:ascii="David" w:hAnsi="David"/>
          <w:rtl/>
        </w:rPr>
      </w:pPr>
    </w:p>
    <w:p w14:paraId="4ADBDBF6" w14:textId="77777777" w:rsidR="006B6F73" w:rsidRPr="00795316" w:rsidRDefault="006B6F73" w:rsidP="006B6F73">
      <w:pPr>
        <w:spacing w:after="160" w:line="360" w:lineRule="auto"/>
        <w:ind w:right="-426"/>
        <w:jc w:val="both"/>
        <w:rPr>
          <w:rFonts w:ascii="David" w:eastAsia="Calibri" w:hAnsi="David"/>
          <w:rtl/>
        </w:rPr>
      </w:pPr>
      <w:r w:rsidRPr="00795316">
        <w:rPr>
          <w:rFonts w:ascii="David" w:eastAsia="Calibri" w:hAnsi="David"/>
          <w:rtl/>
        </w:rPr>
        <w:t xml:space="preserve">בשלב זה, יש להתייחס אל </w:t>
      </w:r>
      <w:r w:rsidRPr="00795316">
        <w:rPr>
          <w:rFonts w:ascii="David" w:eastAsia="Calibri" w:hAnsi="David"/>
          <w:b/>
          <w:bCs/>
          <w:rtl/>
        </w:rPr>
        <w:t xml:space="preserve">הנסיבות הקשורות לביצוע העבירה </w:t>
      </w:r>
      <w:r w:rsidRPr="00795316">
        <w:rPr>
          <w:rFonts w:ascii="David" w:eastAsia="Calibri" w:hAnsi="David"/>
          <w:rtl/>
        </w:rPr>
        <w:t xml:space="preserve">(אלו המצוינות </w:t>
      </w:r>
      <w:hyperlink r:id="rId30" w:history="1">
        <w:r w:rsidR="00F841DF" w:rsidRPr="00F841DF">
          <w:rPr>
            <w:rStyle w:val="Hyperlink"/>
            <w:rFonts w:ascii="David" w:eastAsia="Calibri" w:hAnsi="David"/>
            <w:color w:val="0000FF"/>
            <w:rtl/>
          </w:rPr>
          <w:t>בסעיף 40ט</w:t>
        </w:r>
      </w:hyperlink>
      <w:r w:rsidRPr="00795316">
        <w:rPr>
          <w:rFonts w:ascii="David" w:eastAsia="Calibri" w:hAnsi="David"/>
          <w:rtl/>
        </w:rPr>
        <w:t xml:space="preserve"> לחוק). </w:t>
      </w:r>
    </w:p>
    <w:p w14:paraId="6F9241EF" w14:textId="77777777" w:rsidR="006B6F73" w:rsidRPr="00795316" w:rsidRDefault="006B6F73" w:rsidP="006B6F73">
      <w:pPr>
        <w:spacing w:after="160" w:line="360" w:lineRule="auto"/>
        <w:ind w:right="-426"/>
        <w:jc w:val="both"/>
        <w:rPr>
          <w:rFonts w:ascii="David" w:eastAsia="Calibri" w:hAnsi="David"/>
          <w:color w:val="FF0000"/>
          <w:rtl/>
        </w:rPr>
      </w:pPr>
      <w:r w:rsidRPr="00795316">
        <w:rPr>
          <w:rFonts w:ascii="David" w:eastAsia="Calibri" w:hAnsi="David"/>
          <w:rtl/>
        </w:rPr>
        <w:t>עובדות כתב האישום המתוקן מלמדות</w:t>
      </w:r>
      <w:r w:rsidRPr="00795316">
        <w:rPr>
          <w:rFonts w:ascii="David" w:eastAsia="Calibri" w:hAnsi="David"/>
          <w:b/>
          <w:bCs/>
          <w:rtl/>
        </w:rPr>
        <w:t>,</w:t>
      </w:r>
      <w:r w:rsidRPr="00795316">
        <w:rPr>
          <w:rFonts w:ascii="David" w:eastAsia="Calibri" w:hAnsi="David"/>
          <w:rtl/>
        </w:rPr>
        <w:t xml:space="preserve"> כי עסקינן</w:t>
      </w:r>
      <w:r w:rsidRPr="00795316">
        <w:rPr>
          <w:rFonts w:ascii="Calibri" w:eastAsia="Calibri" w:hAnsi="Calibri"/>
          <w:rtl/>
        </w:rPr>
        <w:t xml:space="preserve"> בשתי החזקות של אקדח אחד מסוג "גלוק", יום אחר יום. כלי זה היה טעון בשני המקרים במחסנית טעונה. ברי, כי כלי נשק טעון מלמד על סכנת האלימות  הנשקפת הימנו (ראו למשל לעניין זה: </w:t>
      </w:r>
      <w:hyperlink r:id="rId31" w:history="1">
        <w:r w:rsidR="009F004E" w:rsidRPr="009F004E">
          <w:rPr>
            <w:rFonts w:ascii="Calibri" w:eastAsia="Calibri" w:hAnsi="Calibri" w:hint="cs"/>
            <w:color w:val="0000FF"/>
            <w:u w:val="single"/>
            <w:rtl/>
          </w:rPr>
          <w:t>רע</w:t>
        </w:r>
        <w:r w:rsidR="009F004E" w:rsidRPr="009F004E">
          <w:rPr>
            <w:rFonts w:ascii="Calibri" w:eastAsia="Calibri" w:hAnsi="Calibri"/>
            <w:color w:val="0000FF"/>
            <w:u w:val="single"/>
            <w:rtl/>
          </w:rPr>
          <w:t>"</w:t>
        </w:r>
        <w:r w:rsidR="009F004E" w:rsidRPr="009F004E">
          <w:rPr>
            <w:rFonts w:ascii="Calibri" w:eastAsia="Calibri" w:hAnsi="Calibri" w:hint="cs"/>
            <w:color w:val="0000FF"/>
            <w:u w:val="single"/>
            <w:rtl/>
          </w:rPr>
          <w:t>פ</w:t>
        </w:r>
        <w:r w:rsidR="009F004E" w:rsidRPr="009F004E">
          <w:rPr>
            <w:rFonts w:ascii="Calibri" w:eastAsia="Calibri" w:hAnsi="Calibri"/>
            <w:color w:val="0000FF"/>
            <w:u w:val="single"/>
            <w:rtl/>
          </w:rPr>
          <w:t xml:space="preserve"> 4065/18</w:t>
        </w:r>
      </w:hyperlink>
      <w:r w:rsidRPr="00795316">
        <w:rPr>
          <w:rFonts w:ascii="Calibri" w:eastAsia="Calibri" w:hAnsi="Calibri"/>
          <w:rtl/>
        </w:rPr>
        <w:t xml:space="preserve"> </w:t>
      </w:r>
      <w:r w:rsidRPr="00795316">
        <w:rPr>
          <w:rFonts w:ascii="Calibri" w:eastAsia="Calibri" w:hAnsi="Calibri"/>
          <w:b/>
          <w:bCs/>
          <w:rtl/>
        </w:rPr>
        <w:t>איאסו נ' מדינת ישראל</w:t>
      </w:r>
      <w:r w:rsidRPr="00795316">
        <w:rPr>
          <w:rFonts w:ascii="Calibri" w:eastAsia="Calibri" w:hAnsi="Calibri"/>
          <w:rtl/>
        </w:rPr>
        <w:t xml:space="preserve">, ניתן ביום 30.8.18). חלקו של הנאשם 1 בביצוען של החזקות הנשק הוא משמעותי ועיקרי, על אף שזה העביר את הנשק בשלב מסוים (במקרה הראשון) לידיו של הנאשם 2, כמפורט. </w:t>
      </w:r>
      <w:r w:rsidRPr="00795316">
        <w:rPr>
          <w:rFonts w:ascii="David" w:eastAsia="Calibri" w:hAnsi="David"/>
          <w:b/>
          <w:bCs/>
          <w:rtl/>
        </w:rPr>
        <w:t>הנאשם היה מודע להחזקות הנשק והוא יכול והיה צריך לשלוט על מעשיו</w:t>
      </w:r>
      <w:r w:rsidRPr="00795316">
        <w:rPr>
          <w:rFonts w:ascii="David" w:eastAsia="Calibri" w:hAnsi="David"/>
          <w:rtl/>
        </w:rPr>
        <w:t xml:space="preserve">. </w:t>
      </w:r>
      <w:r w:rsidRPr="00795316">
        <w:rPr>
          <w:rFonts w:ascii="David" w:eastAsia="Calibri" w:hAnsi="David"/>
          <w:b/>
          <w:bCs/>
          <w:rtl/>
        </w:rPr>
        <w:t>אין בנמצא כל סייג לאחריות פלילית בהקשר זה הנזקף להגנתו</w:t>
      </w:r>
      <w:r w:rsidRPr="00795316">
        <w:rPr>
          <w:rFonts w:ascii="David" w:eastAsia="Calibri" w:hAnsi="David"/>
          <w:rtl/>
        </w:rPr>
        <w:t>. ברי, כי עלול היה להיגרם נזק נוסף כפועל יוצא משימוש שלא כדין בנשק לצרכים פליליים או אחרים.</w:t>
      </w:r>
      <w:r w:rsidRPr="00795316">
        <w:rPr>
          <w:rFonts w:ascii="David" w:eastAsia="Calibri" w:hAnsi="David"/>
          <w:color w:val="FF0000"/>
          <w:rtl/>
        </w:rPr>
        <w:t xml:space="preserve"> </w:t>
      </w:r>
    </w:p>
    <w:p w14:paraId="58F8584C" w14:textId="77777777" w:rsidR="006B6F73" w:rsidRPr="00795316" w:rsidRDefault="006B6F73" w:rsidP="006B6F73">
      <w:pPr>
        <w:spacing w:after="160" w:line="360" w:lineRule="auto"/>
        <w:ind w:right="-426"/>
        <w:jc w:val="both"/>
        <w:rPr>
          <w:rFonts w:ascii="David" w:eastAsia="Calibri" w:hAnsi="David"/>
          <w:rtl/>
        </w:rPr>
      </w:pPr>
      <w:r w:rsidRPr="00795316">
        <w:rPr>
          <w:rFonts w:ascii="David" w:eastAsia="Calibri" w:hAnsi="David"/>
          <w:rtl/>
        </w:rPr>
        <w:t>לאור כל המקובץ, מצאתי לנכון - בשים לב לנסיבות שלפיהן אין עסקינן בשתי החזקות נפרדות ומובחנות, באופן כה מובהק, אלא בשני מעשי החזקה שבוצעו בנשק יחיד, יום אחר יום - לקבוע</w:t>
      </w:r>
      <w:r w:rsidRPr="00795316">
        <w:rPr>
          <w:rFonts w:ascii="David" w:eastAsia="Calibri" w:hAnsi="David"/>
          <w:b/>
          <w:bCs/>
          <w:rtl/>
        </w:rPr>
        <w:t xml:space="preserve"> מתחם ענישה בעניינו של הנאשם 1 אשר נע בין 20 לבין 40 חודשי מאסר לריצוי בפועל, </w:t>
      </w:r>
      <w:r w:rsidRPr="00795316">
        <w:rPr>
          <w:rFonts w:ascii="David" w:eastAsia="Calibri" w:hAnsi="David"/>
          <w:rtl/>
        </w:rPr>
        <w:t xml:space="preserve">לצד עונשים נלווים.  </w:t>
      </w:r>
    </w:p>
    <w:p w14:paraId="4A6039CB" w14:textId="77777777" w:rsidR="006B6F73" w:rsidRPr="00795316" w:rsidRDefault="006B6F73" w:rsidP="006B6F73">
      <w:pPr>
        <w:overflowPunct w:val="0"/>
        <w:autoSpaceDE w:val="0"/>
        <w:autoSpaceDN w:val="0"/>
        <w:spacing w:line="360" w:lineRule="auto"/>
        <w:ind w:right="-426"/>
        <w:jc w:val="both"/>
        <w:rPr>
          <w:rFonts w:ascii="David" w:hAnsi="David"/>
          <w:rtl/>
        </w:rPr>
      </w:pPr>
      <w:r w:rsidRPr="00795316">
        <w:rPr>
          <w:rFonts w:ascii="David" w:hAnsi="David"/>
          <w:rtl/>
        </w:rPr>
        <w:t xml:space="preserve">מכאן, ראוי לבחון מהו העונש המתאים לנאשם זה בשים לב </w:t>
      </w:r>
      <w:r w:rsidRPr="00795316">
        <w:rPr>
          <w:rFonts w:ascii="David" w:hAnsi="David"/>
          <w:b/>
          <w:bCs/>
          <w:rtl/>
        </w:rPr>
        <w:t xml:space="preserve">לנסיבות שאינן קשורות בביצוע העבירה. </w:t>
      </w:r>
    </w:p>
    <w:p w14:paraId="689606F2" w14:textId="77777777" w:rsidR="006B6F73" w:rsidRPr="00795316" w:rsidRDefault="006B6F73" w:rsidP="006B6F73">
      <w:pPr>
        <w:overflowPunct w:val="0"/>
        <w:autoSpaceDE w:val="0"/>
        <w:autoSpaceDN w:val="0"/>
        <w:spacing w:line="360" w:lineRule="auto"/>
        <w:ind w:right="-426"/>
        <w:jc w:val="both"/>
        <w:rPr>
          <w:rFonts w:ascii="David" w:hAnsi="David"/>
          <w:highlight w:val="yellow"/>
          <w:rtl/>
        </w:rPr>
      </w:pPr>
    </w:p>
    <w:p w14:paraId="5E9568D3" w14:textId="77777777" w:rsidR="006B6F73" w:rsidRPr="00795316" w:rsidRDefault="006B6F73" w:rsidP="006B6F73">
      <w:pPr>
        <w:spacing w:line="360" w:lineRule="auto"/>
        <w:ind w:right="-284"/>
        <w:jc w:val="both"/>
        <w:rPr>
          <w:rFonts w:ascii="David" w:eastAsia="Calibri" w:hAnsi="David"/>
          <w:b/>
          <w:bCs/>
          <w:rtl/>
        </w:rPr>
      </w:pPr>
      <w:r w:rsidRPr="00795316">
        <w:rPr>
          <w:rFonts w:ascii="David" w:eastAsia="Calibri" w:hAnsi="David"/>
          <w:rtl/>
        </w:rPr>
        <w:t xml:space="preserve">יש לזקוף לזכותו של הנאשם 1 את </w:t>
      </w:r>
      <w:r w:rsidRPr="00795316">
        <w:rPr>
          <w:rFonts w:ascii="David" w:eastAsia="Calibri" w:hAnsi="David"/>
          <w:b/>
          <w:bCs/>
          <w:rtl/>
        </w:rPr>
        <w:t>החיסכון המשמעותי בזמן שיפוטי יקר, הנגזר מהודאתו המהירה ומנטילת האחריות שביצע</w:t>
      </w:r>
      <w:r w:rsidRPr="00795316">
        <w:rPr>
          <w:rFonts w:ascii="David" w:eastAsia="Calibri" w:hAnsi="David"/>
          <w:rtl/>
        </w:rPr>
        <w:t>. ברי , כי ריצוי עונש מאסר ממושך יפגע בנאשם, אשר גילו יחסית צעיר והוא נעדר עבר פלילי. אזכיר, כי לא הופק תסקיר לעניין העונש.</w:t>
      </w:r>
      <w:r w:rsidRPr="00795316">
        <w:rPr>
          <w:rFonts w:ascii="David" w:eastAsia="Calibri" w:hAnsi="David"/>
          <w:b/>
          <w:bCs/>
          <w:rtl/>
        </w:rPr>
        <w:t xml:space="preserve"> אין, אפוא, המלצה שיקומית בעניינו.</w:t>
      </w:r>
    </w:p>
    <w:p w14:paraId="24E34A9C" w14:textId="77777777" w:rsidR="006B6F73" w:rsidRPr="00795316" w:rsidRDefault="006B6F73" w:rsidP="006B6F73">
      <w:pPr>
        <w:spacing w:line="360" w:lineRule="auto"/>
        <w:jc w:val="both"/>
        <w:rPr>
          <w:rFonts w:ascii="David" w:eastAsia="Calibri" w:hAnsi="David"/>
          <w:b/>
          <w:bCs/>
          <w:rtl/>
        </w:rPr>
      </w:pPr>
    </w:p>
    <w:p w14:paraId="3EB201FD" w14:textId="77777777" w:rsidR="006B6F73" w:rsidRPr="00795316" w:rsidRDefault="006B6F73" w:rsidP="006B6F73">
      <w:pPr>
        <w:spacing w:line="360" w:lineRule="auto"/>
        <w:jc w:val="both"/>
        <w:rPr>
          <w:rFonts w:ascii="David" w:eastAsia="Calibri" w:hAnsi="David"/>
          <w:rtl/>
        </w:rPr>
      </w:pPr>
      <w:r w:rsidRPr="00795316">
        <w:rPr>
          <w:rFonts w:ascii="David" w:eastAsia="Calibri" w:hAnsi="David"/>
          <w:rtl/>
        </w:rPr>
        <w:t>לאחר ששקלתי את כל השיקולים הדרושים לכך, מצאתי לנכון להטיל על הנאשם 1 את העונשים הבאים:</w:t>
      </w:r>
    </w:p>
    <w:p w14:paraId="4E030D0B" w14:textId="77777777" w:rsidR="006B6F73" w:rsidRPr="00795316" w:rsidRDefault="006B6F73" w:rsidP="006B6F73">
      <w:pPr>
        <w:spacing w:line="360" w:lineRule="auto"/>
        <w:jc w:val="both"/>
        <w:rPr>
          <w:rFonts w:ascii="David" w:eastAsia="Calibri" w:hAnsi="David"/>
          <w:rtl/>
        </w:rPr>
      </w:pPr>
    </w:p>
    <w:p w14:paraId="6618396F" w14:textId="77777777" w:rsidR="006B6F73" w:rsidRPr="00795316" w:rsidRDefault="006B6F73" w:rsidP="006B6F73">
      <w:pPr>
        <w:numPr>
          <w:ilvl w:val="0"/>
          <w:numId w:val="1"/>
        </w:numPr>
        <w:overflowPunct w:val="0"/>
        <w:autoSpaceDE w:val="0"/>
        <w:autoSpaceDN w:val="0"/>
        <w:spacing w:after="160" w:line="360" w:lineRule="auto"/>
        <w:jc w:val="both"/>
        <w:rPr>
          <w:rFonts w:ascii="David" w:hAnsi="David"/>
          <w:b/>
          <w:bCs/>
          <w:rtl/>
        </w:rPr>
      </w:pPr>
      <w:r w:rsidRPr="00795316">
        <w:rPr>
          <w:rFonts w:ascii="David" w:hAnsi="David"/>
          <w:b/>
          <w:bCs/>
          <w:rtl/>
        </w:rPr>
        <w:t>20 חודשי מאסר לריצוי בפועל מיום מעצרו.</w:t>
      </w:r>
    </w:p>
    <w:p w14:paraId="4A603A61" w14:textId="77777777" w:rsidR="006B6F73" w:rsidRPr="00795316" w:rsidRDefault="006B6F73" w:rsidP="006B6F73">
      <w:pPr>
        <w:numPr>
          <w:ilvl w:val="0"/>
          <w:numId w:val="1"/>
        </w:numPr>
        <w:overflowPunct w:val="0"/>
        <w:autoSpaceDE w:val="0"/>
        <w:autoSpaceDN w:val="0"/>
        <w:spacing w:after="160" w:line="360" w:lineRule="auto"/>
        <w:jc w:val="both"/>
        <w:rPr>
          <w:rFonts w:ascii="David" w:hAnsi="David"/>
        </w:rPr>
      </w:pPr>
      <w:r w:rsidRPr="00795316">
        <w:rPr>
          <w:rFonts w:ascii="David" w:hAnsi="David"/>
          <w:rtl/>
        </w:rPr>
        <w:t>10 חודשי מאסר על תנאי שלא יעבור במשך 3 שנים עבירות בנשק</w:t>
      </w:r>
      <w:r w:rsidRPr="00795316">
        <w:rPr>
          <w:rtl/>
        </w:rPr>
        <w:t xml:space="preserve"> מסוג פשע לפי </w:t>
      </w:r>
      <w:hyperlink r:id="rId32" w:history="1">
        <w:r w:rsidR="00F841DF" w:rsidRPr="00F841DF">
          <w:rPr>
            <w:rStyle w:val="Hyperlink"/>
            <w:color w:val="0000FF"/>
            <w:rtl/>
          </w:rPr>
          <w:t>סעיף 144</w:t>
        </w:r>
      </w:hyperlink>
      <w:r w:rsidRPr="00795316">
        <w:rPr>
          <w:rtl/>
        </w:rPr>
        <w:t xml:space="preserve"> ל</w:t>
      </w:r>
      <w:hyperlink r:id="rId33" w:history="1">
        <w:r w:rsidR="009F004E" w:rsidRPr="009F004E">
          <w:rPr>
            <w:color w:val="0000FF"/>
            <w:u w:val="single"/>
            <w:rtl/>
          </w:rPr>
          <w:t>חוק העונשין</w:t>
        </w:r>
      </w:hyperlink>
      <w:r w:rsidRPr="00795316">
        <w:rPr>
          <w:rtl/>
        </w:rPr>
        <w:t>.</w:t>
      </w:r>
    </w:p>
    <w:p w14:paraId="68AC7A05" w14:textId="77777777" w:rsidR="006B6F73" w:rsidRPr="00795316" w:rsidRDefault="006B6F73" w:rsidP="006B6F73">
      <w:pPr>
        <w:numPr>
          <w:ilvl w:val="0"/>
          <w:numId w:val="1"/>
        </w:numPr>
        <w:overflowPunct w:val="0"/>
        <w:autoSpaceDE w:val="0"/>
        <w:autoSpaceDN w:val="0"/>
        <w:spacing w:after="160" w:line="360" w:lineRule="auto"/>
        <w:jc w:val="both"/>
        <w:rPr>
          <w:rFonts w:ascii="David" w:hAnsi="David"/>
        </w:rPr>
      </w:pPr>
      <w:r w:rsidRPr="00795316">
        <w:rPr>
          <w:rFonts w:ascii="David" w:hAnsi="David"/>
          <w:rtl/>
        </w:rPr>
        <w:t>6 חודשי מאסר על תנאי שלא יעבור במשך 3 שנים עבירות בנשק</w:t>
      </w:r>
      <w:r w:rsidRPr="00795316">
        <w:rPr>
          <w:rtl/>
        </w:rPr>
        <w:t xml:space="preserve"> מסוג עוון לפי </w:t>
      </w:r>
      <w:hyperlink r:id="rId34" w:history="1">
        <w:r w:rsidR="00F841DF" w:rsidRPr="00F841DF">
          <w:rPr>
            <w:rStyle w:val="Hyperlink"/>
            <w:color w:val="0000FF"/>
            <w:rtl/>
          </w:rPr>
          <w:t>סעיף 144.</w:t>
        </w:r>
      </w:hyperlink>
      <w:r w:rsidRPr="00795316">
        <w:rPr>
          <w:rtl/>
        </w:rPr>
        <w:t xml:space="preserve">  </w:t>
      </w:r>
    </w:p>
    <w:p w14:paraId="3BD20967" w14:textId="77777777" w:rsidR="006B6F73" w:rsidRPr="00795316" w:rsidRDefault="006B6F73" w:rsidP="006B6F73">
      <w:pPr>
        <w:numPr>
          <w:ilvl w:val="0"/>
          <w:numId w:val="1"/>
        </w:numPr>
        <w:overflowPunct w:val="0"/>
        <w:autoSpaceDE w:val="0"/>
        <w:autoSpaceDN w:val="0"/>
        <w:spacing w:after="160" w:line="360" w:lineRule="auto"/>
        <w:jc w:val="both"/>
        <w:rPr>
          <w:rFonts w:ascii="David" w:hAnsi="David"/>
        </w:rPr>
      </w:pPr>
      <w:r w:rsidRPr="00795316">
        <w:rPr>
          <w:rFonts w:ascii="David" w:hAnsi="David"/>
          <w:rtl/>
        </w:rPr>
        <w:t xml:space="preserve">כפי שהוסכם, לצורך שחרור </w:t>
      </w:r>
      <w:r>
        <w:rPr>
          <w:rFonts w:ascii="David" w:hAnsi="David" w:hint="cs"/>
          <w:rtl/>
        </w:rPr>
        <w:t>ה</w:t>
      </w:r>
      <w:r w:rsidRPr="00795316">
        <w:rPr>
          <w:rFonts w:ascii="David" w:hAnsi="David"/>
          <w:rtl/>
        </w:rPr>
        <w:t xml:space="preserve">רכב (רכב מסוג פולקסוואגן הנושא ל"ז 7401276), יפקיד נאשם 1 סכום של 5,000  ₪ לשם חילוטם, בהתאם להנחיות המאשימה, כתנאי לשחרור הרכב. </w:t>
      </w:r>
      <w:r w:rsidRPr="00795316">
        <w:rPr>
          <w:rFonts w:ascii="David" w:hAnsi="David"/>
          <w:highlight w:val="yellow"/>
          <w:rtl/>
        </w:rPr>
        <w:t xml:space="preserve"> </w:t>
      </w:r>
    </w:p>
    <w:p w14:paraId="03BF8A5D" w14:textId="77777777" w:rsidR="006B6F73" w:rsidRPr="00795316" w:rsidRDefault="006B6F73" w:rsidP="006B6F73">
      <w:pPr>
        <w:overflowPunct w:val="0"/>
        <w:autoSpaceDE w:val="0"/>
        <w:autoSpaceDN w:val="0"/>
        <w:spacing w:line="360" w:lineRule="auto"/>
        <w:jc w:val="both"/>
        <w:rPr>
          <w:rFonts w:ascii="David" w:hAnsi="David"/>
        </w:rPr>
      </w:pPr>
    </w:p>
    <w:p w14:paraId="662BD25F" w14:textId="77777777" w:rsidR="006B6F73" w:rsidRPr="00795316" w:rsidRDefault="006B6F73" w:rsidP="006B6F73">
      <w:pPr>
        <w:overflowPunct w:val="0"/>
        <w:autoSpaceDE w:val="0"/>
        <w:autoSpaceDN w:val="0"/>
        <w:spacing w:line="360" w:lineRule="auto"/>
        <w:jc w:val="both"/>
        <w:rPr>
          <w:rFonts w:ascii="David" w:hAnsi="David"/>
          <w:rtl/>
        </w:rPr>
      </w:pPr>
      <w:r w:rsidRPr="00795316">
        <w:rPr>
          <w:rFonts w:ascii="David" w:hAnsi="David"/>
          <w:rtl/>
        </w:rPr>
        <w:t xml:space="preserve">אפנה כעת לדון </w:t>
      </w:r>
      <w:r w:rsidRPr="00795316">
        <w:rPr>
          <w:rFonts w:ascii="David" w:hAnsi="David"/>
          <w:b/>
          <w:bCs/>
          <w:rtl/>
        </w:rPr>
        <w:t>בעניינו של הנאשם</w:t>
      </w:r>
      <w:r w:rsidRPr="00795316">
        <w:rPr>
          <w:rFonts w:ascii="David" w:hAnsi="David"/>
          <w:rtl/>
        </w:rPr>
        <w:t xml:space="preserve"> </w:t>
      </w:r>
      <w:r w:rsidRPr="00795316">
        <w:rPr>
          <w:rFonts w:ascii="David" w:hAnsi="David"/>
          <w:b/>
          <w:bCs/>
          <w:rtl/>
        </w:rPr>
        <w:t>2</w:t>
      </w:r>
      <w:r w:rsidRPr="00795316">
        <w:rPr>
          <w:rFonts w:ascii="David" w:hAnsi="David"/>
          <w:rtl/>
        </w:rPr>
        <w:t xml:space="preserve">. </w:t>
      </w:r>
    </w:p>
    <w:p w14:paraId="3A327661" w14:textId="77777777" w:rsidR="006B6F73" w:rsidRPr="00795316" w:rsidRDefault="006B6F73" w:rsidP="006B6F73">
      <w:pPr>
        <w:overflowPunct w:val="0"/>
        <w:autoSpaceDE w:val="0"/>
        <w:autoSpaceDN w:val="0"/>
        <w:spacing w:line="360" w:lineRule="auto"/>
        <w:jc w:val="both"/>
        <w:rPr>
          <w:rFonts w:ascii="David" w:hAnsi="David"/>
          <w:rtl/>
        </w:rPr>
      </w:pPr>
    </w:p>
    <w:p w14:paraId="3CF44859" w14:textId="77777777" w:rsidR="006B6F73" w:rsidRPr="00795316" w:rsidRDefault="006B6F73" w:rsidP="006B6F73">
      <w:pPr>
        <w:spacing w:after="160" w:line="360" w:lineRule="auto"/>
        <w:ind w:right="-284"/>
        <w:rPr>
          <w:rFonts w:ascii="David" w:eastAsia="Calibri" w:hAnsi="David"/>
          <w:rtl/>
        </w:rPr>
      </w:pPr>
      <w:r w:rsidRPr="00795316">
        <w:rPr>
          <w:rFonts w:ascii="David" w:eastAsia="Calibri" w:hAnsi="David"/>
          <w:rtl/>
        </w:rPr>
        <w:t xml:space="preserve">אזכיר, כי נאשם זה (בניגוד לנאשם 1) הורשע </w:t>
      </w:r>
      <w:r w:rsidRPr="00795316">
        <w:rPr>
          <w:rFonts w:ascii="Calibri" w:eastAsia="Calibri" w:hAnsi="Calibri"/>
          <w:rtl/>
        </w:rPr>
        <w:t xml:space="preserve">בעבירה אחת שעניינה </w:t>
      </w:r>
      <w:r w:rsidRPr="00795316">
        <w:rPr>
          <w:rFonts w:ascii="Calibri" w:eastAsia="Calibri" w:hAnsi="Calibri"/>
          <w:b/>
          <w:bCs/>
          <w:rtl/>
        </w:rPr>
        <w:t xml:space="preserve">החזקת נשק. </w:t>
      </w:r>
    </w:p>
    <w:p w14:paraId="02884166" w14:textId="77777777" w:rsidR="006B6F73" w:rsidRPr="00795316" w:rsidRDefault="006B6F73" w:rsidP="006B6F73">
      <w:pPr>
        <w:spacing w:after="160" w:line="360" w:lineRule="auto"/>
        <w:ind w:right="-284"/>
        <w:jc w:val="both"/>
        <w:rPr>
          <w:rFonts w:ascii="David" w:eastAsia="Calibri" w:hAnsi="David"/>
          <w:rtl/>
        </w:rPr>
      </w:pPr>
      <w:r w:rsidRPr="00795316">
        <w:rPr>
          <w:rFonts w:ascii="David" w:eastAsia="Calibri" w:hAnsi="David"/>
          <w:rtl/>
        </w:rPr>
        <w:t xml:space="preserve">בכל הנוגע לערכים החברתיים המוגנים שנפגעו כפועל יוצא ממעשיו של נאשם 2, הרי שגם בעניינו הדברים מובנים מאליהם. המחזיק נשק בלא רשות על פי דין בראש ובראשונה </w:t>
      </w:r>
      <w:r w:rsidRPr="00795316">
        <w:rPr>
          <w:rFonts w:ascii="David" w:eastAsia="Calibri" w:hAnsi="David"/>
          <w:b/>
          <w:bCs/>
          <w:rtl/>
        </w:rPr>
        <w:t>בביטחון המדינה ובמנגנוני שלטונה</w:t>
      </w:r>
      <w:r w:rsidRPr="00795316">
        <w:rPr>
          <w:rFonts w:ascii="David" w:eastAsia="Calibri" w:hAnsi="David"/>
          <w:rtl/>
        </w:rPr>
        <w:t>;</w:t>
      </w:r>
      <w:r w:rsidRPr="00795316">
        <w:rPr>
          <w:rFonts w:ascii="David" w:eastAsia="Calibri" w:hAnsi="David"/>
        </w:rPr>
        <w:t xml:space="preserve"> </w:t>
      </w:r>
      <w:r w:rsidRPr="00795316">
        <w:rPr>
          <w:rFonts w:ascii="David" w:eastAsia="Calibri" w:hAnsi="David"/>
          <w:b/>
          <w:bCs/>
          <w:rtl/>
        </w:rPr>
        <w:t>בשלום הציבור ובסדר הציבורי</w:t>
      </w:r>
      <w:r w:rsidRPr="00795316">
        <w:rPr>
          <w:rFonts w:ascii="David" w:eastAsia="Calibri" w:hAnsi="David"/>
          <w:rtl/>
        </w:rPr>
        <w:t xml:space="preserve">. הוא פוגע בביטחון הציבור </w:t>
      </w:r>
      <w:r w:rsidRPr="00795316">
        <w:rPr>
          <w:rFonts w:ascii="David" w:eastAsia="Calibri" w:hAnsi="David"/>
          <w:b/>
          <w:bCs/>
          <w:rtl/>
        </w:rPr>
        <w:t>וחושף אותו לאירועי טרור עוין כמו גם פלילי המבוצעים באמצעות נשק</w:t>
      </w:r>
      <w:r w:rsidRPr="00795316">
        <w:rPr>
          <w:rFonts w:ascii="David" w:eastAsia="Calibri" w:hAnsi="David"/>
          <w:rtl/>
        </w:rPr>
        <w:t xml:space="preserve"> </w:t>
      </w:r>
      <w:r w:rsidRPr="00795316">
        <w:rPr>
          <w:rFonts w:ascii="David" w:eastAsia="Calibri" w:hAnsi="David"/>
          <w:b/>
          <w:bCs/>
          <w:rtl/>
        </w:rPr>
        <w:t>המוחזק והמושג שלא כחוק.</w:t>
      </w:r>
      <w:r w:rsidRPr="00795316">
        <w:rPr>
          <w:rFonts w:ascii="David" w:eastAsia="Calibri" w:hAnsi="David"/>
          <w:rtl/>
        </w:rPr>
        <w:t xml:space="preserve"> הפגיעה בערכים אלו במקרה זה היא ממשית, אך ברי כי זו פחותה מעניינו של הנאשם 1.</w:t>
      </w:r>
    </w:p>
    <w:p w14:paraId="404188F9" w14:textId="77777777" w:rsidR="006B6F73" w:rsidRPr="00795316" w:rsidRDefault="006B6F73" w:rsidP="006B6F73">
      <w:pPr>
        <w:spacing w:after="160" w:line="360" w:lineRule="auto"/>
        <w:ind w:right="-284"/>
        <w:jc w:val="both"/>
        <w:rPr>
          <w:rFonts w:ascii="David" w:eastAsia="Calibri" w:hAnsi="David"/>
          <w:rtl/>
        </w:rPr>
      </w:pPr>
      <w:r w:rsidRPr="00795316">
        <w:rPr>
          <w:rFonts w:ascii="David" w:eastAsia="Calibri" w:hAnsi="David"/>
          <w:rtl/>
        </w:rPr>
        <w:t xml:space="preserve">את מדיניות הענישה הנוגעת לביצועה של עבירת החזקת הנשק סקרתי לעיל בעניינו של הנאשם 1. </w:t>
      </w:r>
    </w:p>
    <w:p w14:paraId="2D3084AA" w14:textId="77777777" w:rsidR="006B6F73" w:rsidRPr="00795316" w:rsidRDefault="006B6F73" w:rsidP="006B6F73">
      <w:pPr>
        <w:spacing w:after="160" w:line="360" w:lineRule="auto"/>
        <w:ind w:right="-426"/>
        <w:jc w:val="both"/>
        <w:rPr>
          <w:rFonts w:ascii="David" w:eastAsia="Calibri" w:hAnsi="David"/>
          <w:rtl/>
        </w:rPr>
      </w:pPr>
      <w:r w:rsidRPr="00795316">
        <w:rPr>
          <w:rFonts w:ascii="David" w:eastAsia="Calibri" w:hAnsi="David"/>
          <w:rtl/>
        </w:rPr>
        <w:t xml:space="preserve">משכך, יש להתייחס בהקשר זה אל </w:t>
      </w:r>
      <w:r w:rsidRPr="00795316">
        <w:rPr>
          <w:rFonts w:ascii="David" w:eastAsia="Calibri" w:hAnsi="David"/>
          <w:b/>
          <w:bCs/>
          <w:rtl/>
        </w:rPr>
        <w:t xml:space="preserve">הנסיבות הקשורות לביצוע העבירה </w:t>
      </w:r>
      <w:r w:rsidRPr="00795316">
        <w:rPr>
          <w:rFonts w:ascii="David" w:eastAsia="Calibri" w:hAnsi="David"/>
          <w:rtl/>
        </w:rPr>
        <w:t xml:space="preserve">(אלו המצוינות </w:t>
      </w:r>
      <w:hyperlink r:id="rId35" w:history="1">
        <w:r w:rsidR="00F841DF" w:rsidRPr="00F841DF">
          <w:rPr>
            <w:rStyle w:val="Hyperlink"/>
            <w:rFonts w:ascii="David" w:eastAsia="Calibri" w:hAnsi="David"/>
            <w:color w:val="0000FF"/>
            <w:rtl/>
          </w:rPr>
          <w:t>בסעיף 40ט</w:t>
        </w:r>
      </w:hyperlink>
      <w:r w:rsidRPr="00795316">
        <w:rPr>
          <w:rFonts w:ascii="David" w:eastAsia="Calibri" w:hAnsi="David"/>
          <w:rtl/>
        </w:rPr>
        <w:t xml:space="preserve"> לחוק).</w:t>
      </w:r>
    </w:p>
    <w:p w14:paraId="395E2DD2" w14:textId="77777777" w:rsidR="006B6F73" w:rsidRPr="00795316" w:rsidRDefault="006B6F73" w:rsidP="006B6F73">
      <w:pPr>
        <w:spacing w:after="160" w:line="360" w:lineRule="auto"/>
        <w:ind w:right="-426"/>
        <w:jc w:val="both"/>
        <w:rPr>
          <w:rFonts w:ascii="Calibri" w:eastAsia="Calibri" w:hAnsi="Calibri"/>
          <w:rtl/>
        </w:rPr>
      </w:pPr>
      <w:r w:rsidRPr="00795316">
        <w:rPr>
          <w:rFonts w:ascii="David" w:eastAsia="Calibri" w:hAnsi="David"/>
          <w:rtl/>
        </w:rPr>
        <w:t xml:space="preserve">כאמור, עסקינן </w:t>
      </w:r>
      <w:r w:rsidRPr="00795316">
        <w:rPr>
          <w:rFonts w:ascii="Calibri" w:eastAsia="Calibri" w:hAnsi="Calibri"/>
          <w:rtl/>
        </w:rPr>
        <w:t>בהחזקת אקדח מסוג גלוק ובתוכו מחסנית טעונה בכדור.</w:t>
      </w:r>
      <w:r w:rsidRPr="00795316">
        <w:rPr>
          <w:rFonts w:ascii="David" w:eastAsia="Calibri" w:hAnsi="David"/>
          <w:b/>
          <w:bCs/>
          <w:rtl/>
        </w:rPr>
        <w:t xml:space="preserve"> </w:t>
      </w:r>
      <w:r w:rsidRPr="00795316">
        <w:rPr>
          <w:rFonts w:ascii="David" w:eastAsia="Calibri" w:hAnsi="David"/>
          <w:rtl/>
        </w:rPr>
        <w:t>בהתאם לעובדות כתב האישום המתוקן, חלקו של הנאשם 2 בביצוע עבירת ההחזקה הוא רגעי, ודומה שבוצע ללא תכנון מוקדם, שכן ביום המחרת הנשק הוחזק על ידי הנאשם 1 באופן בלעדי.</w:t>
      </w:r>
      <w:r w:rsidRPr="00795316">
        <w:rPr>
          <w:rFonts w:ascii="David" w:eastAsia="Calibri" w:hAnsi="David"/>
          <w:b/>
          <w:bCs/>
          <w:rtl/>
        </w:rPr>
        <w:t xml:space="preserve">  </w:t>
      </w:r>
      <w:r w:rsidRPr="00795316">
        <w:rPr>
          <w:rFonts w:ascii="David" w:eastAsia="Calibri" w:hAnsi="David"/>
          <w:rtl/>
        </w:rPr>
        <w:t>מכל מקום,</w:t>
      </w:r>
      <w:r w:rsidRPr="00795316">
        <w:rPr>
          <w:rFonts w:ascii="David" w:eastAsia="Calibri" w:hAnsi="David"/>
          <w:b/>
          <w:bCs/>
          <w:rtl/>
        </w:rPr>
        <w:t xml:space="preserve"> הנאשם 2 היה צריך לשלוט על מעשיו</w:t>
      </w:r>
      <w:r w:rsidRPr="00795316">
        <w:rPr>
          <w:rFonts w:ascii="David" w:eastAsia="Calibri" w:hAnsi="David"/>
          <w:rtl/>
        </w:rPr>
        <w:t>.</w:t>
      </w:r>
      <w:r w:rsidRPr="00795316">
        <w:rPr>
          <w:rFonts w:ascii="David" w:eastAsia="Calibri" w:hAnsi="David"/>
          <w:b/>
          <w:bCs/>
          <w:rtl/>
        </w:rPr>
        <w:t xml:space="preserve"> אין בנמצא כל סייג לאחריות פלילית בהקשר זה הנזקף לזכותו</w:t>
      </w:r>
      <w:r w:rsidRPr="00795316">
        <w:rPr>
          <w:rFonts w:ascii="David" w:eastAsia="Calibri" w:hAnsi="David"/>
          <w:rtl/>
        </w:rPr>
        <w:t>. ברי, כי עלול היה להיגרם נזק נוסף משימוש באקדח טעון, אילו זה היה משמש לצרכים פליליים או אחרים.</w:t>
      </w:r>
      <w:r w:rsidRPr="00795316">
        <w:rPr>
          <w:rFonts w:ascii="David" w:eastAsia="Calibri" w:hAnsi="David"/>
          <w:color w:val="FF0000"/>
          <w:rtl/>
        </w:rPr>
        <w:t xml:space="preserve"> </w:t>
      </w:r>
    </w:p>
    <w:p w14:paraId="6D10B6BD" w14:textId="77777777" w:rsidR="006B6F73" w:rsidRPr="00795316" w:rsidRDefault="006B6F73" w:rsidP="006B6F73">
      <w:pPr>
        <w:spacing w:after="160" w:line="360" w:lineRule="auto"/>
        <w:ind w:right="-426"/>
        <w:jc w:val="both"/>
        <w:rPr>
          <w:rFonts w:ascii="David" w:eastAsia="Calibri" w:hAnsi="David"/>
          <w:rtl/>
        </w:rPr>
      </w:pPr>
      <w:r w:rsidRPr="00795316">
        <w:rPr>
          <w:rFonts w:ascii="David" w:eastAsia="Calibri" w:hAnsi="David"/>
          <w:rtl/>
        </w:rPr>
        <w:t>לאור המקובץ, ובפרט על רקע אופייה הרגעי של ההחזקה, מצאתי לנכון לקבוע</w:t>
      </w:r>
      <w:r w:rsidRPr="00795316">
        <w:rPr>
          <w:rFonts w:ascii="David" w:eastAsia="Calibri" w:hAnsi="David"/>
          <w:b/>
          <w:bCs/>
          <w:rtl/>
        </w:rPr>
        <w:t xml:space="preserve"> מתחם ענישה בעניינו של הנאשם 2 אשר נע בין 14 לבין 24 חודשי מאסר לריצוי בפועל, </w:t>
      </w:r>
      <w:r w:rsidRPr="00795316">
        <w:rPr>
          <w:rFonts w:ascii="David" w:eastAsia="Calibri" w:hAnsi="David"/>
          <w:rtl/>
        </w:rPr>
        <w:t xml:space="preserve">לצד עונשים נלווים.  </w:t>
      </w:r>
    </w:p>
    <w:p w14:paraId="353F6E9E" w14:textId="77777777" w:rsidR="006B6F73" w:rsidRPr="00795316" w:rsidRDefault="006B6F73" w:rsidP="006B6F73">
      <w:pPr>
        <w:spacing w:line="360" w:lineRule="auto"/>
        <w:ind w:right="-426"/>
        <w:jc w:val="both"/>
        <w:rPr>
          <w:rFonts w:ascii="David" w:eastAsia="Calibri" w:hAnsi="David"/>
          <w:rtl/>
        </w:rPr>
      </w:pPr>
      <w:r w:rsidRPr="00795316">
        <w:rPr>
          <w:rFonts w:ascii="David" w:eastAsia="Calibri" w:hAnsi="David"/>
          <w:rtl/>
        </w:rPr>
        <w:t xml:space="preserve">יש לזקוף לזכותו של הנאשם 2 את החיסכון המשמעותי בזמן שיפוטי יקר, הנגזר מהודאתו המהירה ומנטילת האחריות שביצע. האזנתי בקשב רב לדבריי אביו ואני מכיר את פועלו למען ביטחון הקהילה.  ברי, כי עונש מאסר ממושך יפגע בנאשם ומשפחתו.  בעניינו של הנאשם 2 לא הופק תסקיר לעניין העונש. במובן זה, לא קיימת המלצה שיקומית בעניינו. </w:t>
      </w:r>
      <w:r w:rsidRPr="00795316">
        <w:rPr>
          <w:rFonts w:ascii="David" w:eastAsia="Calibri" w:hAnsi="David"/>
          <w:b/>
          <w:bCs/>
          <w:rtl/>
        </w:rPr>
        <w:t xml:space="preserve">הנאשם נעדר עבר פלילי. </w:t>
      </w:r>
      <w:r w:rsidRPr="00795316">
        <w:rPr>
          <w:rFonts w:ascii="David" w:eastAsia="Calibri" w:hAnsi="David"/>
          <w:rtl/>
        </w:rPr>
        <w:t xml:space="preserve">כמו כן, לא נעלמה מעיניי תקופת מעצרו באיזוק אלקטרוני. </w:t>
      </w:r>
    </w:p>
    <w:p w14:paraId="5D8363E9" w14:textId="77777777" w:rsidR="006B6F73" w:rsidRPr="00795316" w:rsidRDefault="006B6F73" w:rsidP="006B6F73">
      <w:pPr>
        <w:overflowPunct w:val="0"/>
        <w:autoSpaceDE w:val="0"/>
        <w:autoSpaceDN w:val="0"/>
        <w:spacing w:line="360" w:lineRule="auto"/>
        <w:ind w:right="-426"/>
        <w:jc w:val="both"/>
        <w:rPr>
          <w:rFonts w:ascii="David" w:hAnsi="David"/>
          <w:rtl/>
        </w:rPr>
      </w:pPr>
    </w:p>
    <w:p w14:paraId="149CCA8C" w14:textId="77777777" w:rsidR="006B6F73" w:rsidRPr="00795316" w:rsidRDefault="006B6F73" w:rsidP="006B6F73">
      <w:pPr>
        <w:spacing w:line="360" w:lineRule="auto"/>
        <w:jc w:val="both"/>
        <w:rPr>
          <w:rFonts w:ascii="David" w:eastAsia="Calibri" w:hAnsi="David"/>
          <w:rtl/>
        </w:rPr>
      </w:pPr>
      <w:r w:rsidRPr="00795316">
        <w:rPr>
          <w:rFonts w:ascii="David" w:eastAsia="Calibri" w:hAnsi="David"/>
          <w:rtl/>
        </w:rPr>
        <w:t>לאחר ששקלתי את כל השיקולים הדרושים לכך, מצאתי לנכון להשית עליו את העונשים הבאים:</w:t>
      </w:r>
    </w:p>
    <w:p w14:paraId="5E131BB9" w14:textId="77777777" w:rsidR="006B6F73" w:rsidRPr="00795316" w:rsidRDefault="006B6F73" w:rsidP="006B6F73">
      <w:pPr>
        <w:spacing w:line="360" w:lineRule="auto"/>
        <w:jc w:val="both"/>
        <w:rPr>
          <w:rFonts w:ascii="David" w:eastAsia="Calibri" w:hAnsi="David"/>
          <w:rtl/>
        </w:rPr>
      </w:pPr>
    </w:p>
    <w:p w14:paraId="1E1B7142" w14:textId="77777777" w:rsidR="006B6F73" w:rsidRPr="00795316" w:rsidRDefault="006B6F73" w:rsidP="006B6F73">
      <w:pPr>
        <w:numPr>
          <w:ilvl w:val="0"/>
          <w:numId w:val="2"/>
        </w:numPr>
        <w:overflowPunct w:val="0"/>
        <w:autoSpaceDE w:val="0"/>
        <w:autoSpaceDN w:val="0"/>
        <w:spacing w:after="160" w:line="360" w:lineRule="auto"/>
        <w:jc w:val="both"/>
        <w:rPr>
          <w:rFonts w:ascii="David" w:hAnsi="David"/>
          <w:rtl/>
        </w:rPr>
      </w:pPr>
      <w:r w:rsidRPr="00795316">
        <w:rPr>
          <w:rFonts w:ascii="David" w:hAnsi="David"/>
          <w:b/>
          <w:bCs/>
          <w:rtl/>
        </w:rPr>
        <w:t xml:space="preserve">14 חודשי מאסר לריצוי בפועל בניכוי ימי מעצרו. </w:t>
      </w:r>
    </w:p>
    <w:p w14:paraId="1DD4BDC8" w14:textId="77777777" w:rsidR="006B6F73" w:rsidRPr="00795316" w:rsidRDefault="006B6F73" w:rsidP="006B6F73">
      <w:pPr>
        <w:numPr>
          <w:ilvl w:val="0"/>
          <w:numId w:val="2"/>
        </w:numPr>
        <w:overflowPunct w:val="0"/>
        <w:autoSpaceDE w:val="0"/>
        <w:autoSpaceDN w:val="0"/>
        <w:spacing w:after="160" w:line="360" w:lineRule="auto"/>
        <w:jc w:val="both"/>
        <w:rPr>
          <w:rFonts w:ascii="David" w:hAnsi="David"/>
        </w:rPr>
      </w:pPr>
      <w:r w:rsidRPr="00795316">
        <w:rPr>
          <w:rFonts w:ascii="David" w:hAnsi="David"/>
          <w:rtl/>
        </w:rPr>
        <w:t>10 חודשי מאסר על תנאי שלא יעבור במשך 3 שנים עבירות בנשק</w:t>
      </w:r>
      <w:r w:rsidRPr="00795316">
        <w:rPr>
          <w:rtl/>
        </w:rPr>
        <w:t xml:space="preserve"> לפי </w:t>
      </w:r>
      <w:hyperlink r:id="rId36" w:history="1">
        <w:r w:rsidR="00F841DF" w:rsidRPr="00F841DF">
          <w:rPr>
            <w:rStyle w:val="Hyperlink"/>
            <w:color w:val="0000FF"/>
            <w:rtl/>
          </w:rPr>
          <w:t>סעיף 144</w:t>
        </w:r>
      </w:hyperlink>
      <w:r w:rsidRPr="00795316">
        <w:rPr>
          <w:rtl/>
        </w:rPr>
        <w:t xml:space="preserve"> ל</w:t>
      </w:r>
      <w:hyperlink r:id="rId37" w:history="1">
        <w:r w:rsidR="009F004E" w:rsidRPr="009F004E">
          <w:rPr>
            <w:color w:val="0000FF"/>
            <w:u w:val="single"/>
            <w:rtl/>
          </w:rPr>
          <w:t>חוק העונשין</w:t>
        </w:r>
      </w:hyperlink>
      <w:r w:rsidRPr="00795316">
        <w:rPr>
          <w:rtl/>
        </w:rPr>
        <w:t xml:space="preserve">. </w:t>
      </w:r>
    </w:p>
    <w:p w14:paraId="05815C1B" w14:textId="77777777" w:rsidR="006B6F73" w:rsidRPr="00795316" w:rsidRDefault="006B6F73" w:rsidP="006B6F73">
      <w:pPr>
        <w:numPr>
          <w:ilvl w:val="0"/>
          <w:numId w:val="2"/>
        </w:numPr>
        <w:overflowPunct w:val="0"/>
        <w:autoSpaceDE w:val="0"/>
        <w:autoSpaceDN w:val="0"/>
        <w:spacing w:after="160" w:line="360" w:lineRule="auto"/>
        <w:jc w:val="both"/>
        <w:rPr>
          <w:rFonts w:ascii="David" w:hAnsi="David"/>
        </w:rPr>
      </w:pPr>
      <w:r w:rsidRPr="00795316">
        <w:rPr>
          <w:rFonts w:ascii="David" w:hAnsi="David"/>
          <w:rtl/>
        </w:rPr>
        <w:t>6 חודשי מאסר על תנאי שלא יעבור במשך 3 שנים עבירות בנשק</w:t>
      </w:r>
      <w:r w:rsidRPr="00795316">
        <w:rPr>
          <w:rtl/>
        </w:rPr>
        <w:t xml:space="preserve"> מסוג עוון לפי </w:t>
      </w:r>
      <w:hyperlink r:id="rId38" w:history="1">
        <w:r w:rsidR="00F841DF" w:rsidRPr="00F841DF">
          <w:rPr>
            <w:rStyle w:val="Hyperlink"/>
            <w:color w:val="0000FF"/>
            <w:rtl/>
          </w:rPr>
          <w:t>סעיף 144.</w:t>
        </w:r>
      </w:hyperlink>
      <w:r w:rsidRPr="00795316">
        <w:rPr>
          <w:rtl/>
        </w:rPr>
        <w:t xml:space="preserve">  </w:t>
      </w:r>
    </w:p>
    <w:p w14:paraId="4EB71EFF" w14:textId="77777777" w:rsidR="006B6F73" w:rsidRPr="00795316" w:rsidRDefault="006B6F73" w:rsidP="006B6F73">
      <w:pPr>
        <w:spacing w:line="360" w:lineRule="auto"/>
        <w:contextualSpacing/>
        <w:jc w:val="both"/>
        <w:rPr>
          <w:rFonts w:ascii="David" w:eastAsia="Calibri" w:hAnsi="David"/>
          <w:b/>
          <w:bCs/>
          <w:rtl/>
        </w:rPr>
      </w:pPr>
      <w:r w:rsidRPr="00795316">
        <w:rPr>
          <w:rFonts w:ascii="David" w:eastAsia="Calibri" w:hAnsi="David"/>
          <w:b/>
          <w:bCs/>
          <w:rtl/>
        </w:rPr>
        <w:t xml:space="preserve">הנשק והאביזרים יושמדו . </w:t>
      </w:r>
    </w:p>
    <w:p w14:paraId="622CF666" w14:textId="77777777" w:rsidR="006B6F73" w:rsidRPr="00795316" w:rsidRDefault="006B6F73" w:rsidP="006B6F73">
      <w:pPr>
        <w:spacing w:line="360" w:lineRule="auto"/>
        <w:contextualSpacing/>
        <w:jc w:val="both"/>
        <w:rPr>
          <w:rFonts w:ascii="David" w:eastAsia="Calibri" w:hAnsi="David"/>
          <w:b/>
          <w:bCs/>
          <w:rtl/>
        </w:rPr>
      </w:pPr>
    </w:p>
    <w:p w14:paraId="71F5981E" w14:textId="77777777" w:rsidR="006B6F73" w:rsidRPr="00795316" w:rsidRDefault="006B6F73" w:rsidP="006B6F73">
      <w:pPr>
        <w:spacing w:line="360" w:lineRule="auto"/>
        <w:contextualSpacing/>
        <w:jc w:val="both"/>
        <w:rPr>
          <w:rFonts w:ascii="David" w:eastAsia="Calibri" w:hAnsi="David"/>
          <w:b/>
          <w:bCs/>
          <w:rtl/>
        </w:rPr>
      </w:pPr>
      <w:r w:rsidRPr="00795316">
        <w:rPr>
          <w:rFonts w:ascii="David" w:eastAsia="Calibri" w:hAnsi="David"/>
          <w:b/>
          <w:bCs/>
          <w:rtl/>
        </w:rPr>
        <w:t xml:space="preserve">זכות ערעור כחוק. </w:t>
      </w:r>
    </w:p>
    <w:p w14:paraId="75D9BAC5" w14:textId="77777777" w:rsidR="006B6F73" w:rsidRPr="009F004E" w:rsidRDefault="009F004E" w:rsidP="006B6F73">
      <w:pPr>
        <w:spacing w:line="360" w:lineRule="auto"/>
        <w:jc w:val="both"/>
        <w:rPr>
          <w:color w:val="FFFFFF"/>
          <w:sz w:val="2"/>
          <w:szCs w:val="2"/>
          <w:rtl/>
        </w:rPr>
      </w:pPr>
      <w:r w:rsidRPr="009F004E">
        <w:rPr>
          <w:color w:val="FFFFFF"/>
          <w:sz w:val="2"/>
          <w:szCs w:val="2"/>
          <w:rtl/>
        </w:rPr>
        <w:t>5129371</w:t>
      </w:r>
    </w:p>
    <w:p w14:paraId="3CDF0BC8" w14:textId="77777777" w:rsidR="006B6F73" w:rsidRDefault="009F004E" w:rsidP="006B6F73">
      <w:pPr>
        <w:rPr>
          <w:rFonts w:cs="FrankRuehl"/>
          <w:sz w:val="28"/>
          <w:szCs w:val="28"/>
          <w:rtl/>
        </w:rPr>
      </w:pPr>
      <w:bookmarkStart w:id="7" w:name="Nitan"/>
      <w:r w:rsidRPr="009F004E">
        <w:rPr>
          <w:rFonts w:ascii="Arial" w:hAnsi="Arial"/>
          <w:color w:val="FFFFFF"/>
          <w:sz w:val="2"/>
          <w:szCs w:val="2"/>
          <w:rtl/>
        </w:rPr>
        <w:t>54678313</w:t>
      </w:r>
      <w:r>
        <w:rPr>
          <w:rFonts w:ascii="Arial" w:hAnsi="Arial"/>
          <w:rtl/>
        </w:rPr>
        <w:t xml:space="preserve">ניתן היום,  ה' טבת תשפ"ה, 05 ינואר 2025, במעמד הצדדים. </w:t>
      </w:r>
      <w:bookmarkEnd w:id="7"/>
    </w:p>
    <w:p w14:paraId="53D3C701" w14:textId="77777777" w:rsidR="006B6F73" w:rsidRDefault="006B6F73" w:rsidP="009F004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E8658E9" w14:textId="77777777" w:rsidR="006B6F73" w:rsidRDefault="006B6F73" w:rsidP="006B6F73">
      <w:pPr>
        <w:jc w:val="center"/>
        <w:rPr>
          <w:rFonts w:ascii="Arial" w:hAnsi="Arial" w:cs="FrankRuehl"/>
          <w:sz w:val="28"/>
          <w:szCs w:val="28"/>
          <w:rtl/>
        </w:rPr>
      </w:pPr>
    </w:p>
    <w:p w14:paraId="030DE3E6" w14:textId="77777777" w:rsidR="006B6F73" w:rsidRDefault="006B6F73" w:rsidP="006B6F73">
      <w:pPr>
        <w:rPr>
          <w:rFonts w:cs="FrankRuehl"/>
          <w:sz w:val="28"/>
          <w:szCs w:val="28"/>
          <w:rtl/>
        </w:rPr>
      </w:pPr>
    </w:p>
    <w:p w14:paraId="46ECAEC5" w14:textId="77777777" w:rsidR="006B6F73" w:rsidRPr="00F841DF" w:rsidRDefault="00F841DF" w:rsidP="006B6F73">
      <w:pPr>
        <w:pStyle w:val="a3"/>
        <w:jc w:val="center"/>
        <w:rPr>
          <w:color w:val="FFFFFF"/>
          <w:sz w:val="2"/>
          <w:szCs w:val="2"/>
          <w:rtl/>
        </w:rPr>
      </w:pPr>
      <w:r w:rsidRPr="00F841DF">
        <w:rPr>
          <w:color w:val="FFFFFF"/>
          <w:sz w:val="2"/>
          <w:szCs w:val="2"/>
          <w:rtl/>
        </w:rPr>
        <w:t>5129371</w:t>
      </w:r>
    </w:p>
    <w:p w14:paraId="00F98899" w14:textId="77777777" w:rsidR="00D077C2" w:rsidRPr="00F841DF" w:rsidRDefault="00F841DF" w:rsidP="009F004E">
      <w:pPr>
        <w:keepNext/>
        <w:rPr>
          <w:rFonts w:ascii="David" w:hAnsi="David"/>
          <w:color w:val="FFFFFF"/>
          <w:sz w:val="2"/>
          <w:szCs w:val="2"/>
          <w:rtl/>
        </w:rPr>
      </w:pPr>
      <w:r w:rsidRPr="00F841DF">
        <w:rPr>
          <w:rFonts w:ascii="David" w:hAnsi="David"/>
          <w:color w:val="FFFFFF"/>
          <w:sz w:val="2"/>
          <w:szCs w:val="2"/>
          <w:rtl/>
        </w:rPr>
        <w:t>54678313</w:t>
      </w:r>
    </w:p>
    <w:p w14:paraId="7FFA1591" w14:textId="77777777" w:rsidR="009F004E" w:rsidRDefault="009F004E" w:rsidP="009F004E">
      <w:pPr>
        <w:rPr>
          <w:rtl/>
        </w:rPr>
      </w:pPr>
    </w:p>
    <w:p w14:paraId="381A6087" w14:textId="77777777" w:rsidR="009F004E" w:rsidRDefault="009F004E" w:rsidP="009F004E">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66F5DC01" w14:textId="77777777" w:rsidR="00F841DF" w:rsidRPr="00F841DF" w:rsidRDefault="00F841DF" w:rsidP="00F841DF">
      <w:pPr>
        <w:keepNext/>
        <w:rPr>
          <w:rFonts w:ascii="David" w:hAnsi="David"/>
          <w:color w:val="000000"/>
          <w:sz w:val="22"/>
          <w:szCs w:val="22"/>
          <w:rtl/>
        </w:rPr>
      </w:pPr>
    </w:p>
    <w:p w14:paraId="0105FEB7" w14:textId="77777777" w:rsidR="00F841DF" w:rsidRPr="00F841DF" w:rsidRDefault="00F841DF" w:rsidP="00F841DF">
      <w:pPr>
        <w:keepNext/>
        <w:rPr>
          <w:rFonts w:ascii="David" w:hAnsi="David"/>
          <w:color w:val="000000"/>
          <w:sz w:val="22"/>
          <w:szCs w:val="22"/>
          <w:rtl/>
        </w:rPr>
      </w:pPr>
      <w:r w:rsidRPr="00F841DF">
        <w:rPr>
          <w:rFonts w:ascii="David" w:hAnsi="David"/>
          <w:color w:val="000000"/>
          <w:sz w:val="22"/>
          <w:szCs w:val="22"/>
          <w:rtl/>
        </w:rPr>
        <w:t>אבי לוי 54678313-/</w:t>
      </w:r>
    </w:p>
    <w:p w14:paraId="5E09589E" w14:textId="77777777" w:rsidR="009F004E" w:rsidRPr="009F004E" w:rsidRDefault="00F841DF" w:rsidP="00F841DF">
      <w:pPr>
        <w:rPr>
          <w:color w:val="0000FF"/>
          <w:u w:val="single"/>
        </w:rPr>
      </w:pPr>
      <w:r w:rsidRPr="00F841DF">
        <w:rPr>
          <w:color w:val="000000"/>
          <w:u w:val="single"/>
          <w:rtl/>
        </w:rPr>
        <w:t>נוסח מסמך זה כפוף לשינויי ניסוח ועריכה</w:t>
      </w:r>
    </w:p>
    <w:sectPr w:rsidR="009F004E" w:rsidRPr="009F004E" w:rsidSect="00F841DF">
      <w:headerReference w:type="even" r:id="rId40"/>
      <w:headerReference w:type="default" r:id="rId41"/>
      <w:footerReference w:type="even" r:id="rId42"/>
      <w:footerReference w:type="default" r:id="rId43"/>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912923" w14:textId="77777777" w:rsidR="00373282" w:rsidRDefault="00373282" w:rsidP="007560A6">
      <w:r>
        <w:separator/>
      </w:r>
    </w:p>
  </w:endnote>
  <w:endnote w:type="continuationSeparator" w:id="0">
    <w:p w14:paraId="3BF6AB20" w14:textId="77777777" w:rsidR="00373282" w:rsidRDefault="00373282" w:rsidP="00756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EA19F" w14:textId="77777777" w:rsidR="00F841DF" w:rsidRDefault="00F841DF" w:rsidP="00F841D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1BAB51A4" w14:textId="77777777" w:rsidR="00D521C6" w:rsidRPr="00F841DF" w:rsidRDefault="00F841DF" w:rsidP="00F841DF">
    <w:pPr>
      <w:pStyle w:val="a5"/>
      <w:pBdr>
        <w:top w:val="single" w:sz="4" w:space="1" w:color="auto"/>
        <w:between w:val="single" w:sz="4" w:space="0" w:color="auto"/>
      </w:pBdr>
      <w:spacing w:after="60"/>
      <w:jc w:val="center"/>
      <w:rPr>
        <w:rFonts w:ascii="FrankRuehl" w:hAnsi="FrankRuehl" w:cs="FrankRuehl"/>
        <w:color w:val="000000"/>
      </w:rPr>
    </w:pPr>
    <w:r w:rsidRPr="00F841D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032D3" w14:textId="77777777" w:rsidR="00F841DF" w:rsidRDefault="00F841DF" w:rsidP="00F841D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A4406">
      <w:rPr>
        <w:rFonts w:ascii="FrankRuehl" w:hAnsi="FrankRuehl" w:cs="FrankRuehl"/>
        <w:noProof/>
        <w:rtl/>
      </w:rPr>
      <w:t>1</w:t>
    </w:r>
    <w:r>
      <w:rPr>
        <w:rFonts w:ascii="FrankRuehl" w:hAnsi="FrankRuehl" w:cs="FrankRuehl"/>
        <w:rtl/>
      </w:rPr>
      <w:fldChar w:fldCharType="end"/>
    </w:r>
  </w:p>
  <w:p w14:paraId="250A9A40" w14:textId="77777777" w:rsidR="00D521C6" w:rsidRPr="00F841DF" w:rsidRDefault="00F841DF" w:rsidP="00F841DF">
    <w:pPr>
      <w:pStyle w:val="a5"/>
      <w:pBdr>
        <w:top w:val="single" w:sz="4" w:space="1" w:color="auto"/>
        <w:between w:val="single" w:sz="4" w:space="0" w:color="auto"/>
      </w:pBdr>
      <w:spacing w:after="60"/>
      <w:jc w:val="center"/>
      <w:rPr>
        <w:rFonts w:ascii="FrankRuehl" w:hAnsi="FrankRuehl" w:cs="FrankRuehl"/>
        <w:color w:val="000000"/>
      </w:rPr>
    </w:pPr>
    <w:r w:rsidRPr="00F841DF">
      <w:rPr>
        <w:rFonts w:ascii="FrankRuehl" w:hAnsi="FrankRuehl" w:cs="FrankRuehl"/>
        <w:color w:val="000000"/>
      </w:rPr>
      <w:pict w14:anchorId="496461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0E62A" w14:textId="77777777" w:rsidR="00373282" w:rsidRDefault="00373282" w:rsidP="007560A6">
      <w:r>
        <w:separator/>
      </w:r>
    </w:p>
  </w:footnote>
  <w:footnote w:type="continuationSeparator" w:id="0">
    <w:p w14:paraId="2B65A84F" w14:textId="77777777" w:rsidR="00373282" w:rsidRDefault="00373282" w:rsidP="00756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F1F4C" w14:textId="77777777" w:rsidR="009F004E" w:rsidRPr="00F841DF" w:rsidRDefault="00F841DF" w:rsidP="00F841D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14070-06-24</w:t>
    </w:r>
    <w:r>
      <w:rPr>
        <w:rFonts w:ascii="David" w:hAnsi="David"/>
        <w:color w:val="000000"/>
        <w:sz w:val="22"/>
        <w:szCs w:val="22"/>
        <w:rtl/>
      </w:rPr>
      <w:tab/>
      <w:t xml:space="preserve"> מדינת ישראל נ' מחמוד חטיב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B6E7F" w14:textId="77777777" w:rsidR="009F004E" w:rsidRPr="00F841DF" w:rsidRDefault="00F841DF" w:rsidP="00F841D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14070-06-24</w:t>
    </w:r>
    <w:r>
      <w:rPr>
        <w:rFonts w:ascii="David" w:hAnsi="David"/>
        <w:color w:val="000000"/>
        <w:sz w:val="22"/>
        <w:szCs w:val="22"/>
        <w:rtl/>
      </w:rPr>
      <w:tab/>
      <w:t xml:space="preserve"> מדינת ישראל נ' מחמוד חטיב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9675F0"/>
    <w:multiLevelType w:val="hybridMultilevel"/>
    <w:tmpl w:val="F3D4C91A"/>
    <w:lvl w:ilvl="0" w:tplc="04090013">
      <w:start w:val="1"/>
      <w:numFmt w:val="hebrew1"/>
      <w:lvlText w:val="%1."/>
      <w:lvlJc w:val="center"/>
      <w:pPr>
        <w:ind w:left="1543" w:hanging="360"/>
      </w:pPr>
    </w:lvl>
    <w:lvl w:ilvl="1" w:tplc="04090019">
      <w:start w:val="1"/>
      <w:numFmt w:val="lowerLetter"/>
      <w:lvlText w:val="%2."/>
      <w:lvlJc w:val="left"/>
      <w:pPr>
        <w:ind w:left="2263" w:hanging="360"/>
      </w:pPr>
    </w:lvl>
    <w:lvl w:ilvl="2" w:tplc="0409001B">
      <w:start w:val="1"/>
      <w:numFmt w:val="lowerRoman"/>
      <w:lvlText w:val="%3."/>
      <w:lvlJc w:val="right"/>
      <w:pPr>
        <w:ind w:left="2983" w:hanging="180"/>
      </w:pPr>
    </w:lvl>
    <w:lvl w:ilvl="3" w:tplc="0409000F">
      <w:start w:val="1"/>
      <w:numFmt w:val="decimal"/>
      <w:lvlText w:val="%4."/>
      <w:lvlJc w:val="left"/>
      <w:pPr>
        <w:ind w:left="3703" w:hanging="360"/>
      </w:pPr>
    </w:lvl>
    <w:lvl w:ilvl="4" w:tplc="04090019">
      <w:start w:val="1"/>
      <w:numFmt w:val="lowerLetter"/>
      <w:lvlText w:val="%5."/>
      <w:lvlJc w:val="left"/>
      <w:pPr>
        <w:ind w:left="4423" w:hanging="360"/>
      </w:pPr>
    </w:lvl>
    <w:lvl w:ilvl="5" w:tplc="0409001B">
      <w:start w:val="1"/>
      <w:numFmt w:val="lowerRoman"/>
      <w:lvlText w:val="%6."/>
      <w:lvlJc w:val="right"/>
      <w:pPr>
        <w:ind w:left="5143" w:hanging="180"/>
      </w:pPr>
    </w:lvl>
    <w:lvl w:ilvl="6" w:tplc="0409000F">
      <w:start w:val="1"/>
      <w:numFmt w:val="decimal"/>
      <w:lvlText w:val="%7."/>
      <w:lvlJc w:val="left"/>
      <w:pPr>
        <w:ind w:left="5863" w:hanging="360"/>
      </w:pPr>
    </w:lvl>
    <w:lvl w:ilvl="7" w:tplc="04090019">
      <w:start w:val="1"/>
      <w:numFmt w:val="lowerLetter"/>
      <w:lvlText w:val="%8."/>
      <w:lvlJc w:val="left"/>
      <w:pPr>
        <w:ind w:left="6583" w:hanging="360"/>
      </w:pPr>
    </w:lvl>
    <w:lvl w:ilvl="8" w:tplc="0409001B">
      <w:start w:val="1"/>
      <w:numFmt w:val="lowerRoman"/>
      <w:lvlText w:val="%9."/>
      <w:lvlJc w:val="right"/>
      <w:pPr>
        <w:ind w:left="7303" w:hanging="180"/>
      </w:pPr>
    </w:lvl>
  </w:abstractNum>
  <w:abstractNum w:abstractNumId="1" w15:restartNumberingAfterBreak="0">
    <w:nsid w:val="75551F1B"/>
    <w:multiLevelType w:val="hybridMultilevel"/>
    <w:tmpl w:val="788E7F10"/>
    <w:lvl w:ilvl="0" w:tplc="1E4A58C4">
      <w:start w:val="1"/>
      <w:numFmt w:val="hebrew1"/>
      <w:lvlText w:val="%1."/>
      <w:lvlJc w:val="center"/>
      <w:pPr>
        <w:ind w:left="1543" w:hanging="360"/>
      </w:pPr>
      <w:rPr>
        <w:color w:val="auto"/>
      </w:rPr>
    </w:lvl>
    <w:lvl w:ilvl="1" w:tplc="04090019">
      <w:start w:val="1"/>
      <w:numFmt w:val="lowerLetter"/>
      <w:lvlText w:val="%2."/>
      <w:lvlJc w:val="left"/>
      <w:pPr>
        <w:ind w:left="2263" w:hanging="360"/>
      </w:pPr>
    </w:lvl>
    <w:lvl w:ilvl="2" w:tplc="0409001B">
      <w:start w:val="1"/>
      <w:numFmt w:val="lowerRoman"/>
      <w:lvlText w:val="%3."/>
      <w:lvlJc w:val="right"/>
      <w:pPr>
        <w:ind w:left="2983" w:hanging="180"/>
      </w:pPr>
    </w:lvl>
    <w:lvl w:ilvl="3" w:tplc="0409000F">
      <w:start w:val="1"/>
      <w:numFmt w:val="decimal"/>
      <w:lvlText w:val="%4."/>
      <w:lvlJc w:val="left"/>
      <w:pPr>
        <w:ind w:left="3703" w:hanging="360"/>
      </w:pPr>
    </w:lvl>
    <w:lvl w:ilvl="4" w:tplc="04090019">
      <w:start w:val="1"/>
      <w:numFmt w:val="lowerLetter"/>
      <w:lvlText w:val="%5."/>
      <w:lvlJc w:val="left"/>
      <w:pPr>
        <w:ind w:left="4423" w:hanging="360"/>
      </w:pPr>
    </w:lvl>
    <w:lvl w:ilvl="5" w:tplc="0409001B">
      <w:start w:val="1"/>
      <w:numFmt w:val="lowerRoman"/>
      <w:lvlText w:val="%6."/>
      <w:lvlJc w:val="right"/>
      <w:pPr>
        <w:ind w:left="5143" w:hanging="180"/>
      </w:pPr>
    </w:lvl>
    <w:lvl w:ilvl="6" w:tplc="0409000F">
      <w:start w:val="1"/>
      <w:numFmt w:val="decimal"/>
      <w:lvlText w:val="%7."/>
      <w:lvlJc w:val="left"/>
      <w:pPr>
        <w:ind w:left="5863" w:hanging="360"/>
      </w:pPr>
    </w:lvl>
    <w:lvl w:ilvl="7" w:tplc="04090019">
      <w:start w:val="1"/>
      <w:numFmt w:val="lowerLetter"/>
      <w:lvlText w:val="%8."/>
      <w:lvlJc w:val="left"/>
      <w:pPr>
        <w:ind w:left="6583" w:hanging="360"/>
      </w:pPr>
    </w:lvl>
    <w:lvl w:ilvl="8" w:tplc="0409001B">
      <w:start w:val="1"/>
      <w:numFmt w:val="lowerRoman"/>
      <w:lvlText w:val="%9."/>
      <w:lvlJc w:val="right"/>
      <w:pPr>
        <w:ind w:left="7303" w:hanging="180"/>
      </w:pPr>
    </w:lvl>
  </w:abstractNum>
  <w:num w:numId="1" w16cid:durableId="16693605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26477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B6F73"/>
    <w:rsid w:val="00373282"/>
    <w:rsid w:val="006B6F73"/>
    <w:rsid w:val="0073253F"/>
    <w:rsid w:val="007560A6"/>
    <w:rsid w:val="009F004E"/>
    <w:rsid w:val="00B92735"/>
    <w:rsid w:val="00D077C2"/>
    <w:rsid w:val="00D521C6"/>
    <w:rsid w:val="00DA4406"/>
    <w:rsid w:val="00F841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3C2BF2"/>
  <w15:chartTrackingRefBased/>
  <w15:docId w15:val="{BCB4C075-98B6-4B99-872E-33CC0840C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B6F7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B6F73"/>
    <w:pPr>
      <w:tabs>
        <w:tab w:val="center" w:pos="4153"/>
        <w:tab w:val="right" w:pos="8306"/>
      </w:tabs>
    </w:pPr>
  </w:style>
  <w:style w:type="character" w:customStyle="1" w:styleId="a4">
    <w:name w:val="כותרת עליונה תו"/>
    <w:link w:val="a3"/>
    <w:rsid w:val="006B6F73"/>
    <w:rPr>
      <w:rFonts w:ascii="Times New Roman" w:eastAsia="Times New Roman" w:hAnsi="Times New Roman" w:cs="David"/>
      <w:sz w:val="24"/>
      <w:szCs w:val="24"/>
    </w:rPr>
  </w:style>
  <w:style w:type="paragraph" w:styleId="a5">
    <w:name w:val="footer"/>
    <w:basedOn w:val="a"/>
    <w:link w:val="a6"/>
    <w:rsid w:val="006B6F73"/>
    <w:pPr>
      <w:tabs>
        <w:tab w:val="center" w:pos="4153"/>
        <w:tab w:val="right" w:pos="8306"/>
      </w:tabs>
    </w:pPr>
  </w:style>
  <w:style w:type="character" w:customStyle="1" w:styleId="a6">
    <w:name w:val="כותרת תחתונה תו"/>
    <w:link w:val="a5"/>
    <w:rsid w:val="006B6F73"/>
    <w:rPr>
      <w:rFonts w:ascii="Times New Roman" w:eastAsia="Times New Roman" w:hAnsi="Times New Roman" w:cs="David"/>
      <w:sz w:val="24"/>
      <w:szCs w:val="24"/>
    </w:rPr>
  </w:style>
  <w:style w:type="table" w:styleId="a7">
    <w:name w:val="Table Grid"/>
    <w:basedOn w:val="a1"/>
    <w:rsid w:val="006B6F7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B6F73"/>
  </w:style>
  <w:style w:type="character" w:styleId="Hyperlink">
    <w:name w:val="Hyperlink"/>
    <w:rsid w:val="009F004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5576587" TargetMode="External"/><Relationship Id="rId26" Type="http://schemas.openxmlformats.org/officeDocument/2006/relationships/hyperlink" Target="http://www.nevo.co.il/case/20531134"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5824863" TargetMode="External"/><Relationship Id="rId34" Type="http://schemas.openxmlformats.org/officeDocument/2006/relationships/hyperlink" Target="http://www.nevo.co.il/law/70301/144" TargetMode="External"/><Relationship Id="rId42"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5824863" TargetMode="External"/><Relationship Id="rId29" Type="http://schemas.openxmlformats.org/officeDocument/2006/relationships/hyperlink" Target="http://www.nevo.co.il/case/2888308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c.a" TargetMode="External"/><Relationship Id="rId24" Type="http://schemas.openxmlformats.org/officeDocument/2006/relationships/hyperlink" Target="http://www.nevo.co.il/case/28400048" TargetMode="External"/><Relationship Id="rId32" Type="http://schemas.openxmlformats.org/officeDocument/2006/relationships/hyperlink" Target="http://www.nevo.co.il/law/70301/144" TargetMode="External"/><Relationship Id="rId37" Type="http://schemas.openxmlformats.org/officeDocument/2006/relationships/hyperlink" Target="http://www.nevo.co.il/law/70301"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8384637" TargetMode="External"/><Relationship Id="rId23" Type="http://schemas.openxmlformats.org/officeDocument/2006/relationships/hyperlink" Target="http://www.nevo.co.il/case/22690203" TargetMode="External"/><Relationship Id="rId28" Type="http://schemas.openxmlformats.org/officeDocument/2006/relationships/hyperlink" Target="http://www.nevo.co.il/case/28513828" TargetMode="External"/><Relationship Id="rId36" Type="http://schemas.openxmlformats.org/officeDocument/2006/relationships/hyperlink" Target="http://www.nevo.co.il/law/70301/144"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law/70301/40jc.a" TargetMode="External"/><Relationship Id="rId31" Type="http://schemas.openxmlformats.org/officeDocument/2006/relationships/hyperlink" Target="http://www.nevo.co.il/case/24263426"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1771409" TargetMode="External"/><Relationship Id="rId27" Type="http://schemas.openxmlformats.org/officeDocument/2006/relationships/hyperlink" Target="http://www.nevo.co.il/case/27502726" TargetMode="External"/><Relationship Id="rId30" Type="http://schemas.openxmlformats.org/officeDocument/2006/relationships/hyperlink" Target="http://www.nevo.co.il/law/70301/40i" TargetMode="External"/><Relationship Id="rId35" Type="http://schemas.openxmlformats.org/officeDocument/2006/relationships/hyperlink" Target="http://www.nevo.co.il/law/70301/40i" TargetMode="External"/><Relationship Id="rId43" Type="http://schemas.openxmlformats.org/officeDocument/2006/relationships/footer" Target="footer2.xml"/><Relationship Id="rId8" Type="http://schemas.openxmlformats.org/officeDocument/2006/relationships/hyperlink" Target="http://www.nevo.co.il/law/70301/40i" TargetMode="External"/><Relationship Id="rId3" Type="http://schemas.openxmlformats.org/officeDocument/2006/relationships/settings" Target="settings.xml"/><Relationship Id="rId12" Type="http://schemas.openxmlformats.org/officeDocument/2006/relationships/hyperlink" Target="http://www.nevo.co.il/law/70301/40jc.c" TargetMode="External"/><Relationship Id="rId17" Type="http://schemas.openxmlformats.org/officeDocument/2006/relationships/hyperlink" Target="http://www.nevo.co.il/case/13093721" TargetMode="External"/><Relationship Id="rId25" Type="http://schemas.openxmlformats.org/officeDocument/2006/relationships/hyperlink" Target="http://www.nevo.co.il/case/25890687"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144" TargetMode="External"/><Relationship Id="rId20" Type="http://schemas.openxmlformats.org/officeDocument/2006/relationships/hyperlink" Target="http://www.nevo.co.il/law/70301/40jc.c"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2626</Words>
  <Characters>13134</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15729</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6357092</vt:i4>
      </vt:variant>
      <vt:variant>
        <vt:i4>93</vt:i4>
      </vt:variant>
      <vt:variant>
        <vt:i4>0</vt:i4>
      </vt:variant>
      <vt:variant>
        <vt:i4>5</vt:i4>
      </vt:variant>
      <vt:variant>
        <vt:lpwstr>http://www.nevo.co.il/law/70301/144</vt:lpwstr>
      </vt:variant>
      <vt:variant>
        <vt:lpwstr/>
      </vt:variant>
      <vt:variant>
        <vt:i4>7995492</vt:i4>
      </vt:variant>
      <vt:variant>
        <vt:i4>90</vt:i4>
      </vt:variant>
      <vt:variant>
        <vt:i4>0</vt:i4>
      </vt:variant>
      <vt:variant>
        <vt:i4>5</vt:i4>
      </vt:variant>
      <vt:variant>
        <vt:lpwstr>http://www.nevo.co.il/law/70301</vt:lpwstr>
      </vt:variant>
      <vt:variant>
        <vt:lpwstr/>
      </vt:variant>
      <vt:variant>
        <vt:i4>6357092</vt:i4>
      </vt:variant>
      <vt:variant>
        <vt:i4>87</vt:i4>
      </vt:variant>
      <vt:variant>
        <vt:i4>0</vt:i4>
      </vt:variant>
      <vt:variant>
        <vt:i4>5</vt:i4>
      </vt:variant>
      <vt:variant>
        <vt:lpwstr>http://www.nevo.co.il/law/70301/144</vt:lpwstr>
      </vt:variant>
      <vt:variant>
        <vt:lpwstr/>
      </vt:variant>
      <vt:variant>
        <vt:i4>6619233</vt:i4>
      </vt:variant>
      <vt:variant>
        <vt:i4>84</vt:i4>
      </vt:variant>
      <vt:variant>
        <vt:i4>0</vt:i4>
      </vt:variant>
      <vt:variant>
        <vt:i4>5</vt:i4>
      </vt:variant>
      <vt:variant>
        <vt:lpwstr>http://www.nevo.co.il/law/70301/40i</vt:lpwstr>
      </vt:variant>
      <vt:variant>
        <vt:lpwstr/>
      </vt:variant>
      <vt:variant>
        <vt:i4>6357092</vt:i4>
      </vt:variant>
      <vt:variant>
        <vt:i4>81</vt:i4>
      </vt:variant>
      <vt:variant>
        <vt:i4>0</vt:i4>
      </vt:variant>
      <vt:variant>
        <vt:i4>5</vt:i4>
      </vt:variant>
      <vt:variant>
        <vt:lpwstr>http://www.nevo.co.il/law/70301/144</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6357092</vt:i4>
      </vt:variant>
      <vt:variant>
        <vt:i4>75</vt:i4>
      </vt:variant>
      <vt:variant>
        <vt:i4>0</vt:i4>
      </vt:variant>
      <vt:variant>
        <vt:i4>5</vt:i4>
      </vt:variant>
      <vt:variant>
        <vt:lpwstr>http://www.nevo.co.il/law/70301/144</vt:lpwstr>
      </vt:variant>
      <vt:variant>
        <vt:lpwstr/>
      </vt:variant>
      <vt:variant>
        <vt:i4>3211378</vt:i4>
      </vt:variant>
      <vt:variant>
        <vt:i4>72</vt:i4>
      </vt:variant>
      <vt:variant>
        <vt:i4>0</vt:i4>
      </vt:variant>
      <vt:variant>
        <vt:i4>5</vt:i4>
      </vt:variant>
      <vt:variant>
        <vt:lpwstr>http://www.nevo.co.il/case/24263426</vt:lpwstr>
      </vt:variant>
      <vt:variant>
        <vt:lpwstr/>
      </vt:variant>
      <vt:variant>
        <vt:i4>6619233</vt:i4>
      </vt:variant>
      <vt:variant>
        <vt:i4>69</vt:i4>
      </vt:variant>
      <vt:variant>
        <vt:i4>0</vt:i4>
      </vt:variant>
      <vt:variant>
        <vt:i4>5</vt:i4>
      </vt:variant>
      <vt:variant>
        <vt:lpwstr>http://www.nevo.co.il/law/70301/40i</vt:lpwstr>
      </vt:variant>
      <vt:variant>
        <vt:lpwstr/>
      </vt:variant>
      <vt:variant>
        <vt:i4>3211380</vt:i4>
      </vt:variant>
      <vt:variant>
        <vt:i4>66</vt:i4>
      </vt:variant>
      <vt:variant>
        <vt:i4>0</vt:i4>
      </vt:variant>
      <vt:variant>
        <vt:i4>5</vt:i4>
      </vt:variant>
      <vt:variant>
        <vt:lpwstr>http://www.nevo.co.il/case/28883087</vt:lpwstr>
      </vt:variant>
      <vt:variant>
        <vt:lpwstr/>
      </vt:variant>
      <vt:variant>
        <vt:i4>3539061</vt:i4>
      </vt:variant>
      <vt:variant>
        <vt:i4>63</vt:i4>
      </vt:variant>
      <vt:variant>
        <vt:i4>0</vt:i4>
      </vt:variant>
      <vt:variant>
        <vt:i4>5</vt:i4>
      </vt:variant>
      <vt:variant>
        <vt:lpwstr>http://www.nevo.co.il/case/28513828</vt:lpwstr>
      </vt:variant>
      <vt:variant>
        <vt:lpwstr/>
      </vt:variant>
      <vt:variant>
        <vt:i4>3604596</vt:i4>
      </vt:variant>
      <vt:variant>
        <vt:i4>60</vt:i4>
      </vt:variant>
      <vt:variant>
        <vt:i4>0</vt:i4>
      </vt:variant>
      <vt:variant>
        <vt:i4>5</vt:i4>
      </vt:variant>
      <vt:variant>
        <vt:lpwstr>http://www.nevo.co.il/case/27502726</vt:lpwstr>
      </vt:variant>
      <vt:variant>
        <vt:lpwstr/>
      </vt:variant>
      <vt:variant>
        <vt:i4>3473526</vt:i4>
      </vt:variant>
      <vt:variant>
        <vt:i4>57</vt:i4>
      </vt:variant>
      <vt:variant>
        <vt:i4>0</vt:i4>
      </vt:variant>
      <vt:variant>
        <vt:i4>5</vt:i4>
      </vt:variant>
      <vt:variant>
        <vt:lpwstr>http://www.nevo.co.il/case/20531134</vt:lpwstr>
      </vt:variant>
      <vt:variant>
        <vt:lpwstr/>
      </vt:variant>
      <vt:variant>
        <vt:i4>3276926</vt:i4>
      </vt:variant>
      <vt:variant>
        <vt:i4>54</vt:i4>
      </vt:variant>
      <vt:variant>
        <vt:i4>0</vt:i4>
      </vt:variant>
      <vt:variant>
        <vt:i4>5</vt:i4>
      </vt:variant>
      <vt:variant>
        <vt:lpwstr>http://www.nevo.co.il/case/25890687</vt:lpwstr>
      </vt:variant>
      <vt:variant>
        <vt:lpwstr/>
      </vt:variant>
      <vt:variant>
        <vt:i4>3276924</vt:i4>
      </vt:variant>
      <vt:variant>
        <vt:i4>51</vt:i4>
      </vt:variant>
      <vt:variant>
        <vt:i4>0</vt:i4>
      </vt:variant>
      <vt:variant>
        <vt:i4>5</vt:i4>
      </vt:variant>
      <vt:variant>
        <vt:lpwstr>http://www.nevo.co.il/case/28400048</vt:lpwstr>
      </vt:variant>
      <vt:variant>
        <vt:lpwstr/>
      </vt:variant>
      <vt:variant>
        <vt:i4>3407997</vt:i4>
      </vt:variant>
      <vt:variant>
        <vt:i4>48</vt:i4>
      </vt:variant>
      <vt:variant>
        <vt:i4>0</vt:i4>
      </vt:variant>
      <vt:variant>
        <vt:i4>5</vt:i4>
      </vt:variant>
      <vt:variant>
        <vt:lpwstr>http://www.nevo.co.il/case/22690203</vt:lpwstr>
      </vt:variant>
      <vt:variant>
        <vt:lpwstr/>
      </vt:variant>
      <vt:variant>
        <vt:i4>3407990</vt:i4>
      </vt:variant>
      <vt:variant>
        <vt:i4>45</vt:i4>
      </vt:variant>
      <vt:variant>
        <vt:i4>0</vt:i4>
      </vt:variant>
      <vt:variant>
        <vt:i4>5</vt:i4>
      </vt:variant>
      <vt:variant>
        <vt:lpwstr>http://www.nevo.co.il/case/21771409</vt:lpwstr>
      </vt:variant>
      <vt:variant>
        <vt:lpwstr/>
      </vt:variant>
      <vt:variant>
        <vt:i4>3670139</vt:i4>
      </vt:variant>
      <vt:variant>
        <vt:i4>42</vt:i4>
      </vt:variant>
      <vt:variant>
        <vt:i4>0</vt:i4>
      </vt:variant>
      <vt:variant>
        <vt:i4>5</vt:i4>
      </vt:variant>
      <vt:variant>
        <vt:lpwstr>http://www.nevo.co.il/case/25824863</vt:lpwstr>
      </vt:variant>
      <vt:variant>
        <vt:lpwstr/>
      </vt:variant>
      <vt:variant>
        <vt:i4>6619173</vt:i4>
      </vt:variant>
      <vt:variant>
        <vt:i4>39</vt:i4>
      </vt:variant>
      <vt:variant>
        <vt:i4>0</vt:i4>
      </vt:variant>
      <vt:variant>
        <vt:i4>5</vt:i4>
      </vt:variant>
      <vt:variant>
        <vt:lpwstr>http://www.nevo.co.il/law/70301/40jc.c</vt:lpwstr>
      </vt:variant>
      <vt:variant>
        <vt:lpwstr/>
      </vt:variant>
      <vt:variant>
        <vt:i4>6750245</vt:i4>
      </vt:variant>
      <vt:variant>
        <vt:i4>36</vt:i4>
      </vt:variant>
      <vt:variant>
        <vt:i4>0</vt:i4>
      </vt:variant>
      <vt:variant>
        <vt:i4>5</vt:i4>
      </vt:variant>
      <vt:variant>
        <vt:lpwstr>http://www.nevo.co.il/law/70301/40jc.a</vt:lpwstr>
      </vt:variant>
      <vt:variant>
        <vt:lpwstr/>
      </vt:variant>
      <vt:variant>
        <vt:i4>3145855</vt:i4>
      </vt:variant>
      <vt:variant>
        <vt:i4>33</vt:i4>
      </vt:variant>
      <vt:variant>
        <vt:i4>0</vt:i4>
      </vt:variant>
      <vt:variant>
        <vt:i4>5</vt:i4>
      </vt:variant>
      <vt:variant>
        <vt:lpwstr>http://www.nevo.co.il/case/5576587</vt:lpwstr>
      </vt:variant>
      <vt:variant>
        <vt:lpwstr/>
      </vt:variant>
      <vt:variant>
        <vt:i4>3145849</vt:i4>
      </vt:variant>
      <vt:variant>
        <vt:i4>30</vt:i4>
      </vt:variant>
      <vt:variant>
        <vt:i4>0</vt:i4>
      </vt:variant>
      <vt:variant>
        <vt:i4>5</vt:i4>
      </vt:variant>
      <vt:variant>
        <vt:lpwstr>http://www.nevo.co.il/case/13093721</vt:lpwstr>
      </vt:variant>
      <vt:variant>
        <vt:lpwstr/>
      </vt:variant>
      <vt:variant>
        <vt:i4>3670139</vt:i4>
      </vt:variant>
      <vt:variant>
        <vt:i4>27</vt:i4>
      </vt:variant>
      <vt:variant>
        <vt:i4>0</vt:i4>
      </vt:variant>
      <vt:variant>
        <vt:i4>5</vt:i4>
      </vt:variant>
      <vt:variant>
        <vt:lpwstr>http://www.nevo.co.il/case/25824863</vt:lpwstr>
      </vt:variant>
      <vt:variant>
        <vt:lpwstr/>
      </vt:variant>
      <vt:variant>
        <vt:i4>3539058</vt:i4>
      </vt:variant>
      <vt:variant>
        <vt:i4>24</vt:i4>
      </vt:variant>
      <vt:variant>
        <vt:i4>0</vt:i4>
      </vt:variant>
      <vt:variant>
        <vt:i4>5</vt:i4>
      </vt:variant>
      <vt:variant>
        <vt:lpwstr>http://www.nevo.co.il/case/28384637</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6619173</vt:i4>
      </vt:variant>
      <vt:variant>
        <vt:i4>15</vt:i4>
      </vt:variant>
      <vt:variant>
        <vt:i4>0</vt:i4>
      </vt:variant>
      <vt:variant>
        <vt:i4>5</vt:i4>
      </vt:variant>
      <vt:variant>
        <vt:lpwstr>http://www.nevo.co.il/law/70301/40jc.c</vt:lpwstr>
      </vt:variant>
      <vt:variant>
        <vt:lpwstr/>
      </vt:variant>
      <vt:variant>
        <vt:i4>6750245</vt:i4>
      </vt:variant>
      <vt:variant>
        <vt:i4>12</vt:i4>
      </vt:variant>
      <vt:variant>
        <vt:i4>0</vt:i4>
      </vt:variant>
      <vt:variant>
        <vt:i4>5</vt:i4>
      </vt:variant>
      <vt:variant>
        <vt:lpwstr>http://www.nevo.co.il/law/70301/40jc.a</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2025-04-25T11:02:00Z</dcterms:created>
  <dcterms:modified xsi:type="dcterms:W3CDTF">2025-04-25T11:02:00Z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14070</vt:lpwstr>
  </property>
  <property fmtid="{D5CDD505-2E9C-101B-9397-08002B2CF9AE}" pid="6" name="NEWPARTB">
    <vt:lpwstr>06</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מחמוד חטיב;סאמח נמירי </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20250105</vt:lpwstr>
  </property>
  <property fmtid="{D5CDD505-2E9C-101B-9397-08002B2CF9AE}" pid="13" name="TYPE_N_DATE">
    <vt:lpwstr>39020250105</vt:lpwstr>
  </property>
  <property fmtid="{D5CDD505-2E9C-101B-9397-08002B2CF9AE}" pid="14" name="CASESLISTTMP1">
    <vt:lpwstr>28384637;25824863:2;13093721;5576587;21771409;22690203;28400048;25890687;20531134;27502726;28513828;28883087;24263426</vt:lpwstr>
  </property>
  <property fmtid="{D5CDD505-2E9C-101B-9397-08002B2CF9AE}" pid="15" name="WORDNUMPAGES">
    <vt:lpwstr>7</vt:lpwstr>
  </property>
  <property fmtid="{D5CDD505-2E9C-101B-9397-08002B2CF9AE}" pid="16" name="TYPE_ABS_DATE">
    <vt:lpwstr>390020250105</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70301/144.a;40jc.a;40jc.c;040i:2;144:4</vt:lpwstr>
  </property>
  <property fmtid="{D5CDD505-2E9C-101B-9397-08002B2CF9AE}" pid="36" name="ISABSTRACT">
    <vt:lpwstr>Y</vt:lpwstr>
  </property>
</Properties>
</file>