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810F5" w:rsidRPr="002E2476" w14:paraId="6F0F1256" w14:textId="77777777" w:rsidTr="001726EB">
        <w:trPr>
          <w:trHeight w:hRule="exact" w:val="418"/>
          <w:jc w:val="center"/>
        </w:trPr>
        <w:tc>
          <w:tcPr>
            <w:tcW w:w="8721" w:type="dxa"/>
            <w:gridSpan w:val="2"/>
          </w:tcPr>
          <w:p w14:paraId="42CDDFCA" w14:textId="77777777" w:rsidR="009810F5" w:rsidRPr="002E2476" w:rsidRDefault="009810F5" w:rsidP="00DB0804">
            <w:pPr>
              <w:pStyle w:val="a3"/>
              <w:jc w:val="center"/>
              <w:rPr>
                <w:rFonts w:ascii="Tahoma" w:hAnsi="Tahoma" w:cs="Tahoma"/>
                <w:color w:val="000080"/>
                <w:rtl/>
              </w:rPr>
            </w:pPr>
            <w:bookmarkStart w:id="0" w:name="LastJudge"/>
            <w:r w:rsidRPr="002E2476">
              <w:rPr>
                <w:rFonts w:ascii="Tahoma" w:hAnsi="Tahoma" w:cs="Tahoma"/>
                <w:b/>
                <w:bCs/>
                <w:color w:val="000080"/>
                <w:rtl/>
              </w:rPr>
              <w:t>בית המשפט המחוזי בירושלים</w:t>
            </w:r>
          </w:p>
        </w:tc>
      </w:tr>
      <w:tr w:rsidR="009810F5" w:rsidRPr="002E2476" w14:paraId="7A03C377" w14:textId="77777777" w:rsidTr="001726EB">
        <w:trPr>
          <w:trHeight w:val="337"/>
          <w:jc w:val="center"/>
        </w:trPr>
        <w:tc>
          <w:tcPr>
            <w:tcW w:w="5054" w:type="dxa"/>
          </w:tcPr>
          <w:p w14:paraId="303F51CC" w14:textId="77777777" w:rsidR="009810F5" w:rsidRPr="002E2476" w:rsidRDefault="009810F5" w:rsidP="00DB0804">
            <w:pPr>
              <w:rPr>
                <w:rFonts w:cs="FrankRuehl"/>
                <w:sz w:val="28"/>
                <w:szCs w:val="28"/>
                <w:rtl/>
              </w:rPr>
            </w:pPr>
            <w:r w:rsidRPr="002E2476">
              <w:rPr>
                <w:rFonts w:cs="FrankRuehl"/>
                <w:sz w:val="28"/>
                <w:szCs w:val="28"/>
                <w:rtl/>
              </w:rPr>
              <w:t>ת"פ</w:t>
            </w:r>
            <w:r w:rsidRPr="002E2476">
              <w:rPr>
                <w:rFonts w:cs="FrankRuehl" w:hint="cs"/>
                <w:sz w:val="28"/>
                <w:szCs w:val="28"/>
                <w:rtl/>
              </w:rPr>
              <w:t xml:space="preserve"> </w:t>
            </w:r>
            <w:r w:rsidRPr="002E2476">
              <w:rPr>
                <w:rFonts w:cs="FrankRuehl"/>
                <w:sz w:val="28"/>
                <w:szCs w:val="28"/>
                <w:rtl/>
              </w:rPr>
              <w:t>54640-06-24</w:t>
            </w:r>
            <w:r w:rsidRPr="002E2476">
              <w:rPr>
                <w:rFonts w:cs="FrankRuehl" w:hint="cs"/>
                <w:sz w:val="28"/>
                <w:szCs w:val="28"/>
                <w:rtl/>
              </w:rPr>
              <w:t xml:space="preserve"> </w:t>
            </w:r>
            <w:r w:rsidRPr="002E2476">
              <w:rPr>
                <w:rFonts w:cs="FrankRuehl"/>
                <w:sz w:val="28"/>
                <w:szCs w:val="28"/>
                <w:rtl/>
              </w:rPr>
              <w:t>מדינת ישראל נ' נופל</w:t>
            </w:r>
          </w:p>
        </w:tc>
        <w:tc>
          <w:tcPr>
            <w:tcW w:w="3667" w:type="dxa"/>
          </w:tcPr>
          <w:p w14:paraId="0831CFF6" w14:textId="77777777" w:rsidR="009810F5" w:rsidRPr="002E2476" w:rsidRDefault="009810F5" w:rsidP="00DB0804">
            <w:pPr>
              <w:pStyle w:val="a3"/>
              <w:jc w:val="right"/>
              <w:rPr>
                <w:rFonts w:cs="FrankRuehl"/>
                <w:sz w:val="28"/>
                <w:szCs w:val="28"/>
                <w:rtl/>
              </w:rPr>
            </w:pPr>
          </w:p>
        </w:tc>
      </w:tr>
    </w:tbl>
    <w:p w14:paraId="7D6EA7C9" w14:textId="77777777" w:rsidR="009810F5" w:rsidRPr="002E2476" w:rsidRDefault="009810F5" w:rsidP="009810F5">
      <w:pPr>
        <w:pStyle w:val="a3"/>
        <w:rPr>
          <w:rtl/>
        </w:rPr>
      </w:pPr>
      <w:r w:rsidRPr="002E2476">
        <w:rPr>
          <w:rFonts w:hint="cs"/>
          <w:rtl/>
        </w:rPr>
        <w:t xml:space="preserve"> </w:t>
      </w:r>
    </w:p>
    <w:p w14:paraId="1927B818" w14:textId="77777777" w:rsidR="009810F5" w:rsidRPr="002E2476" w:rsidRDefault="009810F5" w:rsidP="009810F5">
      <w:pPr>
        <w:rPr>
          <w:rtl/>
        </w:rPr>
      </w:pPr>
    </w:p>
    <w:p w14:paraId="23CE1DC1" w14:textId="77777777" w:rsidR="009810F5" w:rsidRPr="002E2476" w:rsidRDefault="009810F5" w:rsidP="009810F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810F5" w:rsidRPr="002E2476" w14:paraId="5F69B557" w14:textId="77777777" w:rsidTr="009810F5">
        <w:trPr>
          <w:trHeight w:val="295"/>
          <w:jc w:val="center"/>
        </w:trPr>
        <w:tc>
          <w:tcPr>
            <w:tcW w:w="923" w:type="dxa"/>
            <w:tcBorders>
              <w:top w:val="nil"/>
              <w:left w:val="nil"/>
              <w:bottom w:val="nil"/>
              <w:right w:val="nil"/>
            </w:tcBorders>
            <w:shd w:val="clear" w:color="auto" w:fill="auto"/>
          </w:tcPr>
          <w:p w14:paraId="35582EF5" w14:textId="77777777" w:rsidR="009810F5" w:rsidRPr="002E2476" w:rsidRDefault="009810F5" w:rsidP="009810F5">
            <w:pPr>
              <w:jc w:val="both"/>
              <w:rPr>
                <w:rFonts w:ascii="David" w:hAnsi="David"/>
                <w:sz w:val="26"/>
                <w:szCs w:val="26"/>
              </w:rPr>
            </w:pPr>
            <w:r w:rsidRPr="002E2476">
              <w:rPr>
                <w:rFonts w:ascii="David" w:hAnsi="David" w:hint="cs"/>
                <w:sz w:val="26"/>
                <w:szCs w:val="26"/>
                <w:rtl/>
              </w:rPr>
              <w:t>ל</w:t>
            </w:r>
            <w:r w:rsidRPr="002E2476">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30E4F8A" w14:textId="77777777" w:rsidR="009810F5" w:rsidRPr="002E2476" w:rsidRDefault="009810F5" w:rsidP="00DB0804">
            <w:pPr>
              <w:rPr>
                <w:rFonts w:ascii="David" w:hAnsi="David"/>
                <w:b/>
                <w:bCs/>
                <w:sz w:val="26"/>
                <w:szCs w:val="26"/>
                <w:rtl/>
              </w:rPr>
            </w:pPr>
            <w:r w:rsidRPr="002E2476">
              <w:rPr>
                <w:rFonts w:ascii="David" w:hAnsi="David"/>
                <w:b/>
                <w:bCs/>
                <w:sz w:val="26"/>
                <w:szCs w:val="26"/>
                <w:rtl/>
              </w:rPr>
              <w:t>כבוד השופט  אלעזר נחלון</w:t>
            </w:r>
          </w:p>
          <w:p w14:paraId="270E0F24" w14:textId="77777777" w:rsidR="009810F5" w:rsidRPr="002E2476" w:rsidRDefault="009810F5" w:rsidP="00DB0804">
            <w:pPr>
              <w:rPr>
                <w:rFonts w:ascii="David" w:hAnsi="David"/>
                <w:sz w:val="26"/>
                <w:szCs w:val="26"/>
                <w:rtl/>
              </w:rPr>
            </w:pPr>
          </w:p>
          <w:p w14:paraId="61679FC8" w14:textId="77777777" w:rsidR="009810F5" w:rsidRPr="002E2476" w:rsidRDefault="009810F5" w:rsidP="009810F5">
            <w:pPr>
              <w:jc w:val="both"/>
              <w:rPr>
                <w:rFonts w:ascii="David" w:hAnsi="David"/>
                <w:sz w:val="26"/>
                <w:szCs w:val="26"/>
              </w:rPr>
            </w:pPr>
          </w:p>
        </w:tc>
      </w:tr>
      <w:tr w:rsidR="009810F5" w:rsidRPr="002E2476" w14:paraId="25888699" w14:textId="77777777" w:rsidTr="009810F5">
        <w:trPr>
          <w:trHeight w:val="355"/>
          <w:jc w:val="center"/>
        </w:trPr>
        <w:tc>
          <w:tcPr>
            <w:tcW w:w="923" w:type="dxa"/>
            <w:tcBorders>
              <w:top w:val="nil"/>
              <w:left w:val="nil"/>
              <w:bottom w:val="nil"/>
              <w:right w:val="nil"/>
            </w:tcBorders>
            <w:shd w:val="clear" w:color="auto" w:fill="auto"/>
          </w:tcPr>
          <w:p w14:paraId="755EA3D8" w14:textId="77777777" w:rsidR="009810F5" w:rsidRPr="002E2476" w:rsidRDefault="009810F5" w:rsidP="009810F5">
            <w:pPr>
              <w:jc w:val="both"/>
              <w:rPr>
                <w:rFonts w:ascii="David" w:hAnsi="David"/>
                <w:sz w:val="26"/>
                <w:szCs w:val="26"/>
              </w:rPr>
            </w:pPr>
            <w:bookmarkStart w:id="1" w:name="FirstAppellant"/>
            <w:r w:rsidRPr="002E2476">
              <w:rPr>
                <w:rFonts w:ascii="David" w:hAnsi="David"/>
                <w:sz w:val="26"/>
                <w:szCs w:val="26"/>
                <w:rtl/>
              </w:rPr>
              <w:t>בעניין:</w:t>
            </w:r>
          </w:p>
        </w:tc>
        <w:tc>
          <w:tcPr>
            <w:tcW w:w="3219" w:type="dxa"/>
            <w:tcBorders>
              <w:top w:val="nil"/>
              <w:left w:val="nil"/>
              <w:bottom w:val="nil"/>
              <w:right w:val="nil"/>
            </w:tcBorders>
            <w:shd w:val="clear" w:color="auto" w:fill="auto"/>
          </w:tcPr>
          <w:p w14:paraId="4AC07C1F" w14:textId="77777777" w:rsidR="009810F5" w:rsidRPr="002E2476" w:rsidRDefault="009810F5" w:rsidP="009810F5">
            <w:pPr>
              <w:suppressLineNumbers/>
            </w:pPr>
            <w:r w:rsidRPr="002E2476">
              <w:rPr>
                <w:rFonts w:ascii="Arial" w:hAnsi="Arial" w:hint="cs"/>
                <w:b/>
                <w:bCs/>
                <w:sz w:val="26"/>
                <w:szCs w:val="26"/>
                <w:rtl/>
              </w:rPr>
              <w:t>ה</w:t>
            </w:r>
            <w:r w:rsidRPr="002E2476">
              <w:rPr>
                <w:rFonts w:ascii="Arial" w:hAnsi="Arial"/>
                <w:b/>
                <w:bCs/>
                <w:sz w:val="26"/>
                <w:szCs w:val="26"/>
                <w:rtl/>
              </w:rPr>
              <w:t>מאשימה</w:t>
            </w:r>
          </w:p>
          <w:p w14:paraId="55668568" w14:textId="77777777" w:rsidR="009810F5" w:rsidRPr="002E2476" w:rsidRDefault="009810F5" w:rsidP="00DB0804">
            <w:pPr>
              <w:rPr>
                <w:rFonts w:ascii="David" w:hAnsi="David"/>
                <w:sz w:val="26"/>
                <w:szCs w:val="26"/>
              </w:rPr>
            </w:pPr>
          </w:p>
        </w:tc>
        <w:tc>
          <w:tcPr>
            <w:tcW w:w="4678" w:type="dxa"/>
            <w:tcBorders>
              <w:top w:val="nil"/>
              <w:left w:val="nil"/>
              <w:bottom w:val="nil"/>
              <w:right w:val="nil"/>
            </w:tcBorders>
            <w:shd w:val="clear" w:color="auto" w:fill="auto"/>
            <w:vAlign w:val="center"/>
          </w:tcPr>
          <w:p w14:paraId="5918BFF2" w14:textId="77777777" w:rsidR="009810F5" w:rsidRPr="002E2476" w:rsidRDefault="009810F5" w:rsidP="009810F5">
            <w:pPr>
              <w:suppressLineNumbers/>
              <w:rPr>
                <w:rFonts w:ascii="David" w:hAnsi="David"/>
                <w:sz w:val="26"/>
                <w:szCs w:val="26"/>
              </w:rPr>
            </w:pPr>
            <w:r w:rsidRPr="002E2476">
              <w:rPr>
                <w:rFonts w:ascii="Arial" w:hAnsi="Arial"/>
                <w:b/>
                <w:bCs/>
                <w:sz w:val="26"/>
                <w:szCs w:val="26"/>
                <w:rtl/>
              </w:rPr>
              <w:t>מדינת ישראל</w:t>
            </w:r>
          </w:p>
        </w:tc>
      </w:tr>
      <w:bookmarkEnd w:id="1"/>
      <w:tr w:rsidR="009810F5" w:rsidRPr="002E2476" w14:paraId="7058548F" w14:textId="77777777" w:rsidTr="009810F5">
        <w:trPr>
          <w:trHeight w:val="355"/>
          <w:jc w:val="center"/>
        </w:trPr>
        <w:tc>
          <w:tcPr>
            <w:tcW w:w="923" w:type="dxa"/>
            <w:tcBorders>
              <w:top w:val="nil"/>
              <w:left w:val="nil"/>
              <w:bottom w:val="nil"/>
              <w:right w:val="nil"/>
            </w:tcBorders>
            <w:shd w:val="clear" w:color="auto" w:fill="auto"/>
          </w:tcPr>
          <w:p w14:paraId="01A073B4" w14:textId="77777777" w:rsidR="009810F5" w:rsidRPr="002E2476" w:rsidRDefault="009810F5" w:rsidP="009810F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38364E2" w14:textId="77777777" w:rsidR="009810F5" w:rsidRPr="002E2476" w:rsidRDefault="009810F5" w:rsidP="009810F5">
            <w:pPr>
              <w:jc w:val="center"/>
              <w:rPr>
                <w:rFonts w:ascii="David" w:hAnsi="David"/>
                <w:b/>
                <w:bCs/>
                <w:sz w:val="26"/>
                <w:szCs w:val="26"/>
                <w:rtl/>
              </w:rPr>
            </w:pPr>
          </w:p>
          <w:p w14:paraId="62C1F72F" w14:textId="77777777" w:rsidR="009810F5" w:rsidRPr="002E2476" w:rsidRDefault="009810F5" w:rsidP="009810F5">
            <w:pPr>
              <w:jc w:val="center"/>
              <w:rPr>
                <w:rFonts w:ascii="David" w:hAnsi="David"/>
                <w:b/>
                <w:bCs/>
                <w:sz w:val="26"/>
                <w:szCs w:val="26"/>
                <w:rtl/>
              </w:rPr>
            </w:pPr>
            <w:r w:rsidRPr="002E2476">
              <w:rPr>
                <w:rFonts w:ascii="David" w:hAnsi="David"/>
                <w:b/>
                <w:bCs/>
                <w:sz w:val="26"/>
                <w:szCs w:val="26"/>
                <w:rtl/>
              </w:rPr>
              <w:t>נגד</w:t>
            </w:r>
          </w:p>
          <w:p w14:paraId="4634BD8B" w14:textId="77777777" w:rsidR="009810F5" w:rsidRPr="002E2476" w:rsidRDefault="009810F5" w:rsidP="009810F5">
            <w:pPr>
              <w:jc w:val="both"/>
              <w:rPr>
                <w:rFonts w:ascii="David" w:hAnsi="David"/>
                <w:sz w:val="26"/>
                <w:szCs w:val="26"/>
              </w:rPr>
            </w:pPr>
          </w:p>
        </w:tc>
      </w:tr>
      <w:tr w:rsidR="009810F5" w:rsidRPr="002E2476" w14:paraId="025E7F27" w14:textId="77777777" w:rsidTr="009810F5">
        <w:trPr>
          <w:trHeight w:val="355"/>
          <w:jc w:val="center"/>
        </w:trPr>
        <w:tc>
          <w:tcPr>
            <w:tcW w:w="923" w:type="dxa"/>
            <w:tcBorders>
              <w:top w:val="nil"/>
              <w:left w:val="nil"/>
              <w:bottom w:val="nil"/>
              <w:right w:val="nil"/>
            </w:tcBorders>
            <w:shd w:val="clear" w:color="auto" w:fill="auto"/>
          </w:tcPr>
          <w:p w14:paraId="07B0F4B4" w14:textId="77777777" w:rsidR="009810F5" w:rsidRPr="002E2476" w:rsidRDefault="009810F5" w:rsidP="00DB0804">
            <w:pPr>
              <w:rPr>
                <w:rFonts w:ascii="David" w:hAnsi="David"/>
                <w:sz w:val="26"/>
                <w:szCs w:val="26"/>
                <w:rtl/>
              </w:rPr>
            </w:pPr>
          </w:p>
        </w:tc>
        <w:tc>
          <w:tcPr>
            <w:tcW w:w="3219" w:type="dxa"/>
            <w:tcBorders>
              <w:top w:val="nil"/>
              <w:left w:val="nil"/>
              <w:bottom w:val="nil"/>
              <w:right w:val="nil"/>
            </w:tcBorders>
            <w:shd w:val="clear" w:color="auto" w:fill="auto"/>
          </w:tcPr>
          <w:p w14:paraId="2AA84F85" w14:textId="77777777" w:rsidR="009810F5" w:rsidRPr="002E2476" w:rsidRDefault="009810F5" w:rsidP="00DB0804">
            <w:pPr>
              <w:rPr>
                <w:rFonts w:ascii="Arial" w:hAnsi="Arial"/>
                <w:b/>
                <w:bCs/>
                <w:sz w:val="26"/>
                <w:szCs w:val="26"/>
                <w:rtl/>
              </w:rPr>
            </w:pPr>
            <w:r w:rsidRPr="002E247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5FF68A7" w14:textId="77777777" w:rsidR="009810F5" w:rsidRPr="002E2476" w:rsidRDefault="009810F5" w:rsidP="009810F5">
            <w:pPr>
              <w:suppressLineNumbers/>
              <w:rPr>
                <w:rFonts w:ascii="David" w:hAnsi="David"/>
                <w:sz w:val="26"/>
                <w:szCs w:val="26"/>
              </w:rPr>
            </w:pPr>
            <w:r w:rsidRPr="002E2476">
              <w:rPr>
                <w:rFonts w:ascii="Arial" w:hAnsi="Arial"/>
                <w:b/>
                <w:bCs/>
                <w:sz w:val="26"/>
                <w:szCs w:val="26"/>
                <w:rtl/>
              </w:rPr>
              <w:t>עלאא אלדין נופ</w:t>
            </w:r>
            <w:r w:rsidRPr="002E2476">
              <w:rPr>
                <w:rFonts w:ascii="Arial" w:hAnsi="Arial" w:hint="cs"/>
                <w:b/>
                <w:bCs/>
                <w:sz w:val="26"/>
                <w:szCs w:val="26"/>
                <w:rtl/>
              </w:rPr>
              <w:t>ל</w:t>
            </w:r>
          </w:p>
        </w:tc>
      </w:tr>
      <w:tr w:rsidR="009810F5" w:rsidRPr="002E2476" w14:paraId="5F4A4371" w14:textId="77777777" w:rsidTr="009810F5">
        <w:trPr>
          <w:trHeight w:val="355"/>
          <w:jc w:val="center"/>
        </w:trPr>
        <w:tc>
          <w:tcPr>
            <w:tcW w:w="923" w:type="dxa"/>
            <w:tcBorders>
              <w:top w:val="nil"/>
              <w:left w:val="nil"/>
              <w:bottom w:val="nil"/>
              <w:right w:val="nil"/>
            </w:tcBorders>
            <w:shd w:val="clear" w:color="auto" w:fill="auto"/>
          </w:tcPr>
          <w:p w14:paraId="7E409C48" w14:textId="77777777" w:rsidR="009810F5" w:rsidRPr="002E2476" w:rsidRDefault="009810F5" w:rsidP="009810F5">
            <w:pPr>
              <w:jc w:val="both"/>
              <w:rPr>
                <w:rFonts w:ascii="David" w:hAnsi="David"/>
                <w:sz w:val="26"/>
                <w:szCs w:val="26"/>
                <w:rtl/>
              </w:rPr>
            </w:pPr>
          </w:p>
        </w:tc>
        <w:tc>
          <w:tcPr>
            <w:tcW w:w="3219" w:type="dxa"/>
            <w:tcBorders>
              <w:top w:val="nil"/>
              <w:left w:val="nil"/>
              <w:bottom w:val="nil"/>
              <w:right w:val="nil"/>
            </w:tcBorders>
            <w:shd w:val="clear" w:color="auto" w:fill="auto"/>
          </w:tcPr>
          <w:p w14:paraId="0FB8814E" w14:textId="77777777" w:rsidR="009810F5" w:rsidRPr="002E2476" w:rsidRDefault="009810F5" w:rsidP="009810F5">
            <w:pPr>
              <w:jc w:val="both"/>
              <w:rPr>
                <w:rFonts w:ascii="David" w:hAnsi="David"/>
                <w:sz w:val="26"/>
                <w:szCs w:val="26"/>
                <w:rtl/>
              </w:rPr>
            </w:pPr>
          </w:p>
        </w:tc>
        <w:tc>
          <w:tcPr>
            <w:tcW w:w="4678" w:type="dxa"/>
            <w:tcBorders>
              <w:top w:val="nil"/>
              <w:left w:val="nil"/>
              <w:bottom w:val="nil"/>
              <w:right w:val="nil"/>
            </w:tcBorders>
            <w:shd w:val="clear" w:color="auto" w:fill="auto"/>
          </w:tcPr>
          <w:p w14:paraId="34453D37" w14:textId="77777777" w:rsidR="009810F5" w:rsidRPr="002E2476" w:rsidRDefault="009810F5" w:rsidP="009810F5">
            <w:pPr>
              <w:jc w:val="right"/>
              <w:rPr>
                <w:rFonts w:ascii="David" w:hAnsi="David"/>
                <w:sz w:val="26"/>
                <w:szCs w:val="26"/>
              </w:rPr>
            </w:pPr>
          </w:p>
        </w:tc>
      </w:tr>
      <w:tr w:rsidR="009810F5" w:rsidRPr="002E2476" w14:paraId="67452A0F" w14:textId="77777777" w:rsidTr="009810F5">
        <w:trPr>
          <w:trHeight w:val="355"/>
          <w:jc w:val="center"/>
        </w:trPr>
        <w:tc>
          <w:tcPr>
            <w:tcW w:w="923" w:type="dxa"/>
            <w:tcBorders>
              <w:top w:val="nil"/>
              <w:left w:val="nil"/>
              <w:bottom w:val="nil"/>
              <w:right w:val="nil"/>
            </w:tcBorders>
            <w:shd w:val="clear" w:color="auto" w:fill="auto"/>
          </w:tcPr>
          <w:p w14:paraId="3F0A256F" w14:textId="77777777" w:rsidR="009810F5" w:rsidRPr="002E2476" w:rsidRDefault="009810F5" w:rsidP="009810F5">
            <w:pPr>
              <w:jc w:val="both"/>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034AF5EF" w14:textId="77777777" w:rsidR="009810F5" w:rsidRPr="002E2476" w:rsidRDefault="009810F5" w:rsidP="009810F5">
            <w:pPr>
              <w:jc w:val="both"/>
              <w:rPr>
                <w:rFonts w:ascii="David" w:hAnsi="David"/>
                <w:sz w:val="26"/>
                <w:szCs w:val="26"/>
                <w:rtl/>
              </w:rPr>
            </w:pPr>
            <w:r w:rsidRPr="002E2476">
              <w:rPr>
                <w:rFonts w:ascii="David" w:hAnsi="David" w:hint="cs"/>
                <w:sz w:val="26"/>
                <w:szCs w:val="26"/>
                <w:rtl/>
              </w:rPr>
              <w:t>בשם המאשימה:</w:t>
            </w:r>
          </w:p>
        </w:tc>
        <w:tc>
          <w:tcPr>
            <w:tcW w:w="4678" w:type="dxa"/>
            <w:tcBorders>
              <w:top w:val="nil"/>
              <w:left w:val="nil"/>
              <w:bottom w:val="nil"/>
              <w:right w:val="nil"/>
            </w:tcBorders>
            <w:shd w:val="clear" w:color="auto" w:fill="auto"/>
          </w:tcPr>
          <w:p w14:paraId="6DC986CC" w14:textId="77777777" w:rsidR="009810F5" w:rsidRPr="002E2476" w:rsidRDefault="009810F5" w:rsidP="00DB0804">
            <w:pPr>
              <w:rPr>
                <w:rFonts w:ascii="David" w:hAnsi="David"/>
                <w:sz w:val="26"/>
                <w:szCs w:val="26"/>
              </w:rPr>
            </w:pPr>
            <w:r w:rsidRPr="002E2476">
              <w:rPr>
                <w:rFonts w:ascii="David" w:hAnsi="David" w:hint="cs"/>
                <w:sz w:val="26"/>
                <w:szCs w:val="26"/>
                <w:rtl/>
              </w:rPr>
              <w:t>עו"ד נדב שחם; עו"ד חני שפירא</w:t>
            </w:r>
          </w:p>
        </w:tc>
      </w:tr>
      <w:bookmarkEnd w:id="2"/>
      <w:tr w:rsidR="009810F5" w:rsidRPr="002E2476" w14:paraId="45F4A1DF" w14:textId="77777777" w:rsidTr="009810F5">
        <w:trPr>
          <w:trHeight w:val="355"/>
          <w:jc w:val="center"/>
        </w:trPr>
        <w:tc>
          <w:tcPr>
            <w:tcW w:w="923" w:type="dxa"/>
            <w:tcBorders>
              <w:top w:val="nil"/>
              <w:left w:val="nil"/>
              <w:bottom w:val="nil"/>
              <w:right w:val="nil"/>
            </w:tcBorders>
            <w:shd w:val="clear" w:color="auto" w:fill="auto"/>
          </w:tcPr>
          <w:p w14:paraId="636B6C38" w14:textId="77777777" w:rsidR="009810F5" w:rsidRPr="002E2476" w:rsidRDefault="009810F5" w:rsidP="009810F5">
            <w:pPr>
              <w:jc w:val="both"/>
              <w:rPr>
                <w:rFonts w:ascii="David" w:hAnsi="David"/>
                <w:sz w:val="26"/>
                <w:szCs w:val="26"/>
                <w:rtl/>
              </w:rPr>
            </w:pPr>
          </w:p>
        </w:tc>
        <w:tc>
          <w:tcPr>
            <w:tcW w:w="3219" w:type="dxa"/>
            <w:tcBorders>
              <w:top w:val="nil"/>
              <w:left w:val="nil"/>
              <w:bottom w:val="nil"/>
              <w:right w:val="nil"/>
            </w:tcBorders>
            <w:shd w:val="clear" w:color="auto" w:fill="auto"/>
          </w:tcPr>
          <w:p w14:paraId="2B239A54" w14:textId="77777777" w:rsidR="009810F5" w:rsidRPr="002E2476" w:rsidRDefault="009810F5" w:rsidP="009810F5">
            <w:pPr>
              <w:jc w:val="both"/>
              <w:rPr>
                <w:rFonts w:ascii="David" w:hAnsi="David"/>
                <w:sz w:val="26"/>
                <w:szCs w:val="26"/>
                <w:rtl/>
              </w:rPr>
            </w:pPr>
          </w:p>
        </w:tc>
        <w:tc>
          <w:tcPr>
            <w:tcW w:w="4678" w:type="dxa"/>
            <w:tcBorders>
              <w:top w:val="nil"/>
              <w:left w:val="nil"/>
              <w:bottom w:val="nil"/>
              <w:right w:val="nil"/>
            </w:tcBorders>
            <w:shd w:val="clear" w:color="auto" w:fill="auto"/>
          </w:tcPr>
          <w:p w14:paraId="0FE45745" w14:textId="77777777" w:rsidR="009810F5" w:rsidRPr="002E2476" w:rsidRDefault="009810F5" w:rsidP="009810F5">
            <w:pPr>
              <w:jc w:val="right"/>
              <w:rPr>
                <w:rFonts w:ascii="David" w:hAnsi="David"/>
                <w:sz w:val="26"/>
                <w:szCs w:val="26"/>
              </w:rPr>
            </w:pPr>
          </w:p>
        </w:tc>
      </w:tr>
      <w:tr w:rsidR="009810F5" w:rsidRPr="002E2476" w14:paraId="65C1292C" w14:textId="77777777" w:rsidTr="009810F5">
        <w:trPr>
          <w:trHeight w:val="355"/>
          <w:jc w:val="center"/>
        </w:trPr>
        <w:tc>
          <w:tcPr>
            <w:tcW w:w="923" w:type="dxa"/>
            <w:tcBorders>
              <w:top w:val="nil"/>
              <w:left w:val="nil"/>
              <w:bottom w:val="nil"/>
              <w:right w:val="nil"/>
            </w:tcBorders>
            <w:shd w:val="clear" w:color="auto" w:fill="auto"/>
          </w:tcPr>
          <w:p w14:paraId="54F2BD81" w14:textId="77777777" w:rsidR="009810F5" w:rsidRPr="002E2476" w:rsidRDefault="009810F5" w:rsidP="009810F5">
            <w:pPr>
              <w:jc w:val="both"/>
              <w:rPr>
                <w:rFonts w:ascii="David" w:hAnsi="David"/>
                <w:sz w:val="26"/>
                <w:szCs w:val="26"/>
                <w:rtl/>
              </w:rPr>
            </w:pPr>
          </w:p>
        </w:tc>
        <w:tc>
          <w:tcPr>
            <w:tcW w:w="3219" w:type="dxa"/>
            <w:tcBorders>
              <w:top w:val="nil"/>
              <w:left w:val="nil"/>
              <w:bottom w:val="nil"/>
              <w:right w:val="nil"/>
            </w:tcBorders>
            <w:shd w:val="clear" w:color="auto" w:fill="auto"/>
          </w:tcPr>
          <w:p w14:paraId="7F5CE15D" w14:textId="77777777" w:rsidR="009810F5" w:rsidRPr="002E2476" w:rsidRDefault="009810F5" w:rsidP="009810F5">
            <w:pPr>
              <w:jc w:val="both"/>
              <w:rPr>
                <w:rFonts w:ascii="David" w:hAnsi="David"/>
                <w:sz w:val="26"/>
                <w:szCs w:val="26"/>
                <w:rtl/>
              </w:rPr>
            </w:pPr>
            <w:r w:rsidRPr="002E2476">
              <w:rPr>
                <w:rFonts w:ascii="David" w:hAnsi="David" w:hint="cs"/>
                <w:sz w:val="26"/>
                <w:szCs w:val="26"/>
                <w:rtl/>
              </w:rPr>
              <w:t>בשם הנאשם:</w:t>
            </w:r>
          </w:p>
        </w:tc>
        <w:tc>
          <w:tcPr>
            <w:tcW w:w="4678" w:type="dxa"/>
            <w:tcBorders>
              <w:top w:val="nil"/>
              <w:left w:val="nil"/>
              <w:bottom w:val="nil"/>
              <w:right w:val="nil"/>
            </w:tcBorders>
            <w:shd w:val="clear" w:color="auto" w:fill="auto"/>
          </w:tcPr>
          <w:p w14:paraId="293EB562" w14:textId="77777777" w:rsidR="009810F5" w:rsidRPr="002E2476" w:rsidRDefault="009810F5" w:rsidP="00DB0804">
            <w:pPr>
              <w:rPr>
                <w:rFonts w:ascii="David" w:hAnsi="David"/>
                <w:sz w:val="26"/>
                <w:szCs w:val="26"/>
              </w:rPr>
            </w:pPr>
            <w:r w:rsidRPr="002E2476">
              <w:rPr>
                <w:rFonts w:ascii="David" w:hAnsi="David" w:hint="cs"/>
                <w:sz w:val="26"/>
                <w:szCs w:val="26"/>
                <w:rtl/>
              </w:rPr>
              <w:t>עו"ד לאה צמל</w:t>
            </w:r>
          </w:p>
        </w:tc>
      </w:tr>
    </w:tbl>
    <w:p w14:paraId="3E555C25" w14:textId="77777777" w:rsidR="00672F68" w:rsidRDefault="00672F68" w:rsidP="002E2476">
      <w:pPr>
        <w:rPr>
          <w:sz w:val="26"/>
          <w:szCs w:val="26"/>
          <w:rtl/>
        </w:rPr>
      </w:pPr>
      <w:bookmarkStart w:id="3" w:name="LawTable"/>
      <w:bookmarkEnd w:id="3"/>
    </w:p>
    <w:p w14:paraId="6BBCC524" w14:textId="77777777" w:rsidR="00672F68" w:rsidRDefault="00672F68" w:rsidP="00672F68">
      <w:pPr>
        <w:spacing w:after="120" w:line="240" w:lineRule="exact"/>
        <w:ind w:left="283" w:hanging="283"/>
        <w:jc w:val="both"/>
        <w:rPr>
          <w:rFonts w:ascii="FrankRuehl" w:hAnsi="FrankRuehl" w:cs="FrankRuehl" w:hint="cs"/>
          <w:rtl/>
        </w:rPr>
      </w:pPr>
    </w:p>
    <w:p w14:paraId="43E3DDC7" w14:textId="77777777" w:rsidR="00672F68" w:rsidRDefault="00672F68" w:rsidP="00672F68">
      <w:pPr>
        <w:spacing w:after="120" w:line="240" w:lineRule="exact"/>
        <w:ind w:left="283" w:hanging="283"/>
        <w:jc w:val="both"/>
        <w:rPr>
          <w:rFonts w:ascii="FrankRuehl" w:hAnsi="FrankRuehl" w:cs="FrankRuehl" w:hint="cs"/>
          <w:rtl/>
        </w:rPr>
      </w:pPr>
    </w:p>
    <w:p w14:paraId="17C0041F" w14:textId="77777777" w:rsidR="00672F68" w:rsidRPr="00672F68" w:rsidRDefault="00672F68" w:rsidP="00672F68">
      <w:pPr>
        <w:spacing w:after="120" w:line="240" w:lineRule="exact"/>
        <w:ind w:left="283" w:hanging="283"/>
        <w:jc w:val="both"/>
        <w:rPr>
          <w:rFonts w:ascii="FrankRuehl" w:hAnsi="FrankRuehl" w:cs="FrankRuehl" w:hint="cs"/>
          <w:rtl/>
        </w:rPr>
      </w:pPr>
    </w:p>
    <w:p w14:paraId="3C6AD129" w14:textId="77777777" w:rsidR="00672F68" w:rsidRPr="00672F68" w:rsidRDefault="00672F68" w:rsidP="00672F68">
      <w:pPr>
        <w:spacing w:after="120" w:line="240" w:lineRule="exact"/>
        <w:ind w:left="283" w:hanging="283"/>
        <w:jc w:val="both"/>
        <w:rPr>
          <w:rFonts w:ascii="FrankRuehl" w:hAnsi="FrankRuehl" w:cs="FrankRuehl"/>
          <w:rtl/>
        </w:rPr>
      </w:pPr>
      <w:r w:rsidRPr="00672F68">
        <w:rPr>
          <w:rFonts w:ascii="FrankRuehl" w:hAnsi="FrankRuehl" w:cs="FrankRuehl"/>
          <w:rtl/>
        </w:rPr>
        <w:t xml:space="preserve">חקיקה שאוזכרה: </w:t>
      </w:r>
    </w:p>
    <w:p w14:paraId="68E6D8B3" w14:textId="77777777" w:rsidR="00672F68" w:rsidRPr="00672F68" w:rsidRDefault="00672F68" w:rsidP="00672F68">
      <w:pPr>
        <w:spacing w:after="120" w:line="240" w:lineRule="exact"/>
        <w:ind w:left="283" w:hanging="283"/>
        <w:jc w:val="both"/>
        <w:rPr>
          <w:rFonts w:ascii="FrankRuehl" w:hAnsi="FrankRuehl" w:cs="FrankRuehl"/>
          <w:rtl/>
        </w:rPr>
      </w:pPr>
      <w:hyperlink r:id="rId7" w:history="1">
        <w:r w:rsidRPr="00672F68">
          <w:rPr>
            <w:rFonts w:ascii="FrankRuehl" w:hAnsi="FrankRuehl" w:cs="FrankRuehl"/>
            <w:color w:val="0000FF"/>
            <w:u w:val="single"/>
            <w:rtl/>
          </w:rPr>
          <w:t>חוק העונשין, תשל"ז-1977</w:t>
        </w:r>
      </w:hyperlink>
      <w:r w:rsidRPr="00672F68">
        <w:rPr>
          <w:rFonts w:ascii="FrankRuehl" w:hAnsi="FrankRuehl" w:cs="FrankRuehl"/>
          <w:rtl/>
        </w:rPr>
        <w:t xml:space="preserve">: סע'  </w:t>
      </w:r>
      <w:hyperlink r:id="rId8" w:history="1">
        <w:r w:rsidRPr="00672F68">
          <w:rPr>
            <w:rFonts w:ascii="FrankRuehl" w:hAnsi="FrankRuehl" w:cs="FrankRuehl"/>
            <w:color w:val="0000FF"/>
            <w:u w:val="single"/>
            <w:rtl/>
          </w:rPr>
          <w:t>40ב</w:t>
        </w:r>
      </w:hyperlink>
      <w:r w:rsidRPr="00672F68">
        <w:rPr>
          <w:rFonts w:ascii="FrankRuehl" w:hAnsi="FrankRuehl" w:cs="FrankRuehl"/>
          <w:rtl/>
        </w:rPr>
        <w:t xml:space="preserve">, </w:t>
      </w:r>
      <w:hyperlink r:id="rId9" w:history="1">
        <w:r w:rsidRPr="00672F68">
          <w:rPr>
            <w:rFonts w:ascii="FrankRuehl" w:hAnsi="FrankRuehl" w:cs="FrankRuehl"/>
            <w:color w:val="0000FF"/>
            <w:u w:val="single"/>
            <w:rtl/>
          </w:rPr>
          <w:t>40ג(א)</w:t>
        </w:r>
      </w:hyperlink>
      <w:r w:rsidRPr="00672F68">
        <w:rPr>
          <w:rFonts w:ascii="FrankRuehl" w:hAnsi="FrankRuehl" w:cs="FrankRuehl"/>
          <w:rtl/>
        </w:rPr>
        <w:t xml:space="preserve">, </w:t>
      </w:r>
      <w:hyperlink r:id="rId10" w:history="1">
        <w:r w:rsidRPr="00672F68">
          <w:rPr>
            <w:rFonts w:ascii="FrankRuehl" w:hAnsi="FrankRuehl" w:cs="FrankRuehl"/>
            <w:color w:val="0000FF"/>
            <w:u w:val="single"/>
            <w:rtl/>
          </w:rPr>
          <w:t>40ג(ב)</w:t>
        </w:r>
      </w:hyperlink>
      <w:r w:rsidRPr="00672F68">
        <w:rPr>
          <w:rFonts w:ascii="FrankRuehl" w:hAnsi="FrankRuehl" w:cs="FrankRuehl"/>
          <w:rtl/>
        </w:rPr>
        <w:t xml:space="preserve">, </w:t>
      </w:r>
      <w:hyperlink r:id="rId11" w:history="1">
        <w:r w:rsidRPr="00672F68">
          <w:rPr>
            <w:rFonts w:ascii="FrankRuehl" w:hAnsi="FrankRuehl" w:cs="FrankRuehl"/>
            <w:color w:val="0000FF"/>
            <w:u w:val="single"/>
            <w:rtl/>
          </w:rPr>
          <w:t>40ו</w:t>
        </w:r>
      </w:hyperlink>
      <w:r w:rsidRPr="00672F68">
        <w:rPr>
          <w:rFonts w:ascii="FrankRuehl" w:hAnsi="FrankRuehl" w:cs="FrankRuehl"/>
          <w:rtl/>
        </w:rPr>
        <w:t xml:space="preserve">, </w:t>
      </w:r>
      <w:hyperlink r:id="rId12" w:history="1">
        <w:r w:rsidRPr="00672F68">
          <w:rPr>
            <w:rFonts w:ascii="FrankRuehl" w:hAnsi="FrankRuehl" w:cs="FrankRuehl"/>
            <w:color w:val="0000FF"/>
            <w:u w:val="single"/>
            <w:rtl/>
          </w:rPr>
          <w:t>40ז</w:t>
        </w:r>
      </w:hyperlink>
      <w:r w:rsidRPr="00672F68">
        <w:rPr>
          <w:rFonts w:ascii="FrankRuehl" w:hAnsi="FrankRuehl" w:cs="FrankRuehl"/>
          <w:rtl/>
        </w:rPr>
        <w:t xml:space="preserve">, </w:t>
      </w:r>
      <w:hyperlink r:id="rId13" w:history="1">
        <w:r w:rsidRPr="00672F68">
          <w:rPr>
            <w:rFonts w:ascii="FrankRuehl" w:hAnsi="FrankRuehl" w:cs="FrankRuehl"/>
            <w:color w:val="0000FF"/>
            <w:u w:val="single"/>
            <w:rtl/>
          </w:rPr>
          <w:t>40ט</w:t>
        </w:r>
      </w:hyperlink>
      <w:r w:rsidRPr="00672F68">
        <w:rPr>
          <w:rFonts w:ascii="FrankRuehl" w:hAnsi="FrankRuehl" w:cs="FrankRuehl"/>
          <w:rtl/>
        </w:rPr>
        <w:t xml:space="preserve">, </w:t>
      </w:r>
      <w:hyperlink r:id="rId14" w:history="1">
        <w:r w:rsidRPr="00672F68">
          <w:rPr>
            <w:rFonts w:ascii="FrankRuehl" w:hAnsi="FrankRuehl" w:cs="FrankRuehl"/>
            <w:color w:val="0000FF"/>
            <w:u w:val="single"/>
            <w:rtl/>
          </w:rPr>
          <w:t>40ט(א)</w:t>
        </w:r>
      </w:hyperlink>
      <w:r w:rsidRPr="00672F68">
        <w:rPr>
          <w:rFonts w:ascii="FrankRuehl" w:hAnsi="FrankRuehl" w:cs="FrankRuehl"/>
          <w:rtl/>
        </w:rPr>
        <w:t xml:space="preserve">, </w:t>
      </w:r>
      <w:hyperlink r:id="rId15" w:history="1">
        <w:r w:rsidRPr="00672F68">
          <w:rPr>
            <w:rFonts w:ascii="FrankRuehl" w:hAnsi="FrankRuehl" w:cs="FrankRuehl"/>
            <w:color w:val="0000FF"/>
            <w:u w:val="single"/>
            <w:rtl/>
          </w:rPr>
          <w:t>סק (1))</w:t>
        </w:r>
      </w:hyperlink>
      <w:r w:rsidRPr="00672F68">
        <w:rPr>
          <w:rFonts w:ascii="FrankRuehl" w:hAnsi="FrankRuehl" w:cs="FrankRuehl"/>
          <w:rtl/>
        </w:rPr>
        <w:t xml:space="preserve">, </w:t>
      </w:r>
      <w:hyperlink r:id="rId16" w:history="1">
        <w:r w:rsidRPr="00672F68">
          <w:rPr>
            <w:rFonts w:ascii="FrankRuehl" w:hAnsi="FrankRuehl" w:cs="FrankRuehl"/>
            <w:color w:val="0000FF"/>
            <w:u w:val="single"/>
            <w:rtl/>
          </w:rPr>
          <w:t>40ט.א.10.</w:t>
        </w:r>
      </w:hyperlink>
      <w:r w:rsidRPr="00672F68">
        <w:rPr>
          <w:rFonts w:ascii="FrankRuehl" w:hAnsi="FrankRuehl" w:cs="FrankRuehl"/>
          <w:rtl/>
        </w:rPr>
        <w:t xml:space="preserve">, </w:t>
      </w:r>
      <w:hyperlink r:id="rId17" w:history="1">
        <w:r w:rsidRPr="00672F68">
          <w:rPr>
            <w:rFonts w:ascii="FrankRuehl" w:hAnsi="FrankRuehl" w:cs="FrankRuehl"/>
            <w:color w:val="0000FF"/>
            <w:u w:val="single"/>
            <w:rtl/>
          </w:rPr>
          <w:t>40ט.א.11</w:t>
        </w:r>
      </w:hyperlink>
      <w:r w:rsidRPr="00672F68">
        <w:rPr>
          <w:rFonts w:ascii="FrankRuehl" w:hAnsi="FrankRuehl" w:cs="FrankRuehl"/>
          <w:rtl/>
        </w:rPr>
        <w:t xml:space="preserve">, </w:t>
      </w:r>
      <w:hyperlink r:id="rId18" w:history="1">
        <w:r w:rsidRPr="00672F68">
          <w:rPr>
            <w:rFonts w:ascii="FrankRuehl" w:hAnsi="FrankRuehl" w:cs="FrankRuehl"/>
            <w:color w:val="0000FF"/>
            <w:u w:val="single"/>
            <w:rtl/>
          </w:rPr>
          <w:t>סק (2))</w:t>
        </w:r>
      </w:hyperlink>
      <w:r w:rsidRPr="00672F68">
        <w:rPr>
          <w:rFonts w:ascii="FrankRuehl" w:hAnsi="FrankRuehl" w:cs="FrankRuehl"/>
          <w:rtl/>
        </w:rPr>
        <w:t xml:space="preserve">, </w:t>
      </w:r>
      <w:hyperlink r:id="rId19" w:history="1">
        <w:r w:rsidRPr="00672F68">
          <w:rPr>
            <w:rFonts w:ascii="FrankRuehl" w:hAnsi="FrankRuehl" w:cs="FrankRuehl"/>
            <w:color w:val="0000FF"/>
            <w:u w:val="single"/>
            <w:rtl/>
          </w:rPr>
          <w:t>סק (3))</w:t>
        </w:r>
      </w:hyperlink>
      <w:r w:rsidRPr="00672F68">
        <w:rPr>
          <w:rFonts w:ascii="FrankRuehl" w:hAnsi="FrankRuehl" w:cs="FrankRuehl"/>
          <w:rtl/>
        </w:rPr>
        <w:t xml:space="preserve">, </w:t>
      </w:r>
      <w:hyperlink r:id="rId20" w:history="1">
        <w:r w:rsidRPr="00672F68">
          <w:rPr>
            <w:rFonts w:ascii="FrankRuehl" w:hAnsi="FrankRuehl" w:cs="FrankRuehl"/>
            <w:color w:val="0000FF"/>
            <w:u w:val="single"/>
            <w:rtl/>
          </w:rPr>
          <w:t>סק (4)).</w:t>
        </w:r>
      </w:hyperlink>
      <w:r w:rsidRPr="00672F68">
        <w:rPr>
          <w:rFonts w:ascii="FrankRuehl" w:hAnsi="FrankRuehl" w:cs="FrankRuehl"/>
          <w:rtl/>
        </w:rPr>
        <w:t xml:space="preserve">, </w:t>
      </w:r>
      <w:hyperlink r:id="rId21" w:history="1">
        <w:r w:rsidRPr="00672F68">
          <w:rPr>
            <w:rFonts w:ascii="FrankRuehl" w:hAnsi="FrankRuehl" w:cs="FrankRuehl"/>
            <w:color w:val="0000FF"/>
            <w:u w:val="single"/>
            <w:rtl/>
          </w:rPr>
          <w:t>סק (5))</w:t>
        </w:r>
      </w:hyperlink>
      <w:r w:rsidRPr="00672F68">
        <w:rPr>
          <w:rFonts w:ascii="FrankRuehl" w:hAnsi="FrankRuehl" w:cs="FrankRuehl"/>
          <w:rtl/>
        </w:rPr>
        <w:t xml:space="preserve">, </w:t>
      </w:r>
      <w:hyperlink r:id="rId22" w:history="1">
        <w:r w:rsidRPr="00672F68">
          <w:rPr>
            <w:rFonts w:ascii="FrankRuehl" w:hAnsi="FrankRuehl" w:cs="FrankRuehl"/>
            <w:color w:val="0000FF"/>
            <w:u w:val="single"/>
            <w:rtl/>
          </w:rPr>
          <w:t>40ט.א.6.</w:t>
        </w:r>
      </w:hyperlink>
      <w:r w:rsidRPr="00672F68">
        <w:rPr>
          <w:rFonts w:ascii="FrankRuehl" w:hAnsi="FrankRuehl" w:cs="FrankRuehl"/>
          <w:rtl/>
        </w:rPr>
        <w:t xml:space="preserve">, </w:t>
      </w:r>
      <w:hyperlink r:id="rId23" w:history="1">
        <w:r w:rsidRPr="00672F68">
          <w:rPr>
            <w:rFonts w:ascii="FrankRuehl" w:hAnsi="FrankRuehl" w:cs="FrankRuehl"/>
            <w:color w:val="0000FF"/>
            <w:u w:val="single"/>
            <w:rtl/>
          </w:rPr>
          <w:t>40ט.א.7.</w:t>
        </w:r>
      </w:hyperlink>
      <w:r w:rsidRPr="00672F68">
        <w:rPr>
          <w:rFonts w:ascii="FrankRuehl" w:hAnsi="FrankRuehl" w:cs="FrankRuehl"/>
          <w:rtl/>
        </w:rPr>
        <w:t xml:space="preserve">, </w:t>
      </w:r>
      <w:hyperlink r:id="rId24" w:history="1">
        <w:r w:rsidRPr="00672F68">
          <w:rPr>
            <w:rFonts w:ascii="FrankRuehl" w:hAnsi="FrankRuehl" w:cs="FrankRuehl"/>
            <w:color w:val="0000FF"/>
            <w:u w:val="single"/>
            <w:rtl/>
          </w:rPr>
          <w:t>40ט.א.8.</w:t>
        </w:r>
      </w:hyperlink>
      <w:r w:rsidRPr="00672F68">
        <w:rPr>
          <w:rFonts w:ascii="FrankRuehl" w:hAnsi="FrankRuehl" w:cs="FrankRuehl"/>
          <w:rtl/>
        </w:rPr>
        <w:t xml:space="preserve">, </w:t>
      </w:r>
      <w:hyperlink r:id="rId25" w:history="1">
        <w:r w:rsidRPr="00672F68">
          <w:rPr>
            <w:rFonts w:ascii="FrankRuehl" w:hAnsi="FrankRuehl" w:cs="FrankRuehl"/>
            <w:color w:val="0000FF"/>
            <w:u w:val="single"/>
            <w:rtl/>
          </w:rPr>
          <w:t>40ט.א.9.</w:t>
        </w:r>
      </w:hyperlink>
      <w:r w:rsidRPr="00672F68">
        <w:rPr>
          <w:rFonts w:ascii="FrankRuehl" w:hAnsi="FrankRuehl" w:cs="FrankRuehl"/>
          <w:rtl/>
        </w:rPr>
        <w:t xml:space="preserve">, </w:t>
      </w:r>
      <w:hyperlink r:id="rId26" w:history="1">
        <w:r w:rsidRPr="00672F68">
          <w:rPr>
            <w:rFonts w:ascii="FrankRuehl" w:hAnsi="FrankRuehl" w:cs="FrankRuehl"/>
            <w:color w:val="0000FF"/>
            <w:u w:val="single"/>
            <w:rtl/>
          </w:rPr>
          <w:t>144(ב)</w:t>
        </w:r>
      </w:hyperlink>
      <w:r w:rsidRPr="00672F68">
        <w:rPr>
          <w:rFonts w:ascii="FrankRuehl" w:hAnsi="FrankRuehl" w:cs="FrankRuehl"/>
          <w:rtl/>
        </w:rPr>
        <w:t xml:space="preserve">, </w:t>
      </w:r>
      <w:hyperlink r:id="rId27" w:history="1">
        <w:r w:rsidRPr="00672F68">
          <w:rPr>
            <w:rFonts w:ascii="FrankRuehl" w:hAnsi="FrankRuehl" w:cs="FrankRuehl"/>
            <w:color w:val="0000FF"/>
            <w:u w:val="single"/>
            <w:rtl/>
          </w:rPr>
          <w:t>144(ז)</w:t>
        </w:r>
      </w:hyperlink>
      <w:r w:rsidRPr="00672F68">
        <w:rPr>
          <w:rFonts w:ascii="FrankRuehl" w:hAnsi="FrankRuehl" w:cs="FrankRuehl"/>
          <w:rtl/>
        </w:rPr>
        <w:t xml:space="preserve">, </w:t>
      </w:r>
      <w:hyperlink r:id="rId28" w:history="1">
        <w:r w:rsidRPr="00672F68">
          <w:rPr>
            <w:rFonts w:ascii="FrankRuehl" w:hAnsi="FrankRuehl" w:cs="FrankRuehl"/>
            <w:color w:val="0000FF"/>
            <w:u w:val="single"/>
            <w:rtl/>
          </w:rPr>
          <w:t>40יא</w:t>
        </w:r>
      </w:hyperlink>
      <w:r w:rsidRPr="00672F68">
        <w:rPr>
          <w:rFonts w:ascii="FrankRuehl" w:hAnsi="FrankRuehl" w:cs="FrankRuehl"/>
          <w:rtl/>
        </w:rPr>
        <w:t xml:space="preserve">, </w:t>
      </w:r>
      <w:hyperlink r:id="rId29" w:history="1">
        <w:r w:rsidRPr="00672F68">
          <w:rPr>
            <w:rFonts w:ascii="FrankRuehl" w:hAnsi="FrankRuehl" w:cs="FrankRuehl"/>
            <w:color w:val="0000FF"/>
            <w:u w:val="single"/>
            <w:rtl/>
          </w:rPr>
          <w:t>40יב</w:t>
        </w:r>
      </w:hyperlink>
    </w:p>
    <w:p w14:paraId="7B143DD0" w14:textId="77777777" w:rsidR="00672F68" w:rsidRDefault="00672F68" w:rsidP="00672F68">
      <w:pPr>
        <w:spacing w:after="120" w:line="240" w:lineRule="exact"/>
        <w:ind w:left="283" w:hanging="283"/>
        <w:jc w:val="both"/>
        <w:rPr>
          <w:rFonts w:ascii="FrankRuehl" w:hAnsi="FrankRuehl" w:cs="FrankRuehl" w:hint="cs"/>
          <w:rtl/>
        </w:rPr>
      </w:pPr>
    </w:p>
    <w:p w14:paraId="52945F41" w14:textId="77777777" w:rsidR="00672F68" w:rsidRDefault="00672F68" w:rsidP="00672F68">
      <w:pPr>
        <w:spacing w:after="120" w:line="240" w:lineRule="exact"/>
        <w:ind w:left="283" w:hanging="283"/>
        <w:jc w:val="both"/>
        <w:rPr>
          <w:rFonts w:ascii="FrankRuehl" w:hAnsi="FrankRuehl" w:cs="FrankRuehl" w:hint="cs"/>
          <w:rtl/>
        </w:rPr>
      </w:pPr>
    </w:p>
    <w:p w14:paraId="211722D9" w14:textId="77777777" w:rsidR="00672F68" w:rsidRPr="00672F68" w:rsidRDefault="00672F68" w:rsidP="00672F68">
      <w:pPr>
        <w:spacing w:after="120" w:line="240" w:lineRule="exact"/>
        <w:ind w:left="283" w:hanging="283"/>
        <w:jc w:val="both"/>
        <w:rPr>
          <w:rFonts w:ascii="FrankRuehl" w:hAnsi="FrankRuehl" w:cs="FrankRuehl" w:hint="cs"/>
          <w:rtl/>
        </w:rPr>
      </w:pPr>
    </w:p>
    <w:p w14:paraId="0FA09755" w14:textId="77777777" w:rsidR="00672F68" w:rsidRPr="00672F68" w:rsidRDefault="00672F68" w:rsidP="002E2476">
      <w:pPr>
        <w:rPr>
          <w:sz w:val="26"/>
          <w:szCs w:val="26"/>
          <w:rtl/>
        </w:rPr>
      </w:pPr>
      <w:bookmarkStart w:id="4" w:name="LawTable_End"/>
      <w:bookmarkEnd w:id="4"/>
    </w:p>
    <w:p w14:paraId="1EDA49B5" w14:textId="77777777" w:rsidR="002E2476" w:rsidRPr="002E2476" w:rsidRDefault="002E2476" w:rsidP="002E2476">
      <w:pPr>
        <w:rPr>
          <w:sz w:val="26"/>
          <w:szCs w:val="26"/>
          <w:rtl/>
        </w:rPr>
      </w:pPr>
    </w:p>
    <w:p w14:paraId="374A7694" w14:textId="77777777" w:rsidR="009810F5" w:rsidRPr="002E2476" w:rsidRDefault="009810F5" w:rsidP="009810F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10F5" w14:paraId="33EAEEE0" w14:textId="77777777" w:rsidTr="009810F5">
        <w:trPr>
          <w:trHeight w:val="355"/>
          <w:jc w:val="center"/>
        </w:trPr>
        <w:tc>
          <w:tcPr>
            <w:tcW w:w="8820" w:type="dxa"/>
            <w:tcBorders>
              <w:top w:val="nil"/>
              <w:left w:val="nil"/>
              <w:bottom w:val="nil"/>
              <w:right w:val="nil"/>
            </w:tcBorders>
            <w:shd w:val="clear" w:color="auto" w:fill="auto"/>
          </w:tcPr>
          <w:p w14:paraId="3EB3CCBB" w14:textId="77777777" w:rsidR="002E2476" w:rsidRPr="002E2476" w:rsidRDefault="002E2476" w:rsidP="002E2476">
            <w:pPr>
              <w:jc w:val="center"/>
              <w:rPr>
                <w:rFonts w:ascii="David" w:hAnsi="David"/>
                <w:b/>
                <w:bCs/>
                <w:sz w:val="32"/>
                <w:szCs w:val="32"/>
                <w:u w:val="single"/>
                <w:rtl/>
              </w:rPr>
            </w:pPr>
            <w:bookmarkStart w:id="5" w:name="PsakDin" w:colFirst="0" w:colLast="0"/>
            <w:bookmarkEnd w:id="0"/>
            <w:r w:rsidRPr="002E2476">
              <w:rPr>
                <w:rFonts w:ascii="David" w:hAnsi="David"/>
                <w:b/>
                <w:bCs/>
                <w:sz w:val="32"/>
                <w:szCs w:val="32"/>
                <w:u w:val="single"/>
                <w:rtl/>
              </w:rPr>
              <w:t>גזר דין</w:t>
            </w:r>
          </w:p>
          <w:p w14:paraId="12C1E7EB" w14:textId="77777777" w:rsidR="009810F5" w:rsidRPr="002E2476" w:rsidRDefault="009810F5" w:rsidP="002E2476">
            <w:pPr>
              <w:jc w:val="center"/>
              <w:rPr>
                <w:rFonts w:ascii="David" w:hAnsi="David"/>
                <w:bCs/>
                <w:sz w:val="32"/>
                <w:szCs w:val="32"/>
                <w:u w:val="single"/>
                <w:rtl/>
              </w:rPr>
            </w:pPr>
          </w:p>
        </w:tc>
      </w:tr>
    </w:tbl>
    <w:bookmarkEnd w:id="5"/>
    <w:p w14:paraId="56DACC4F" w14:textId="77777777" w:rsidR="009810F5" w:rsidRDefault="009810F5" w:rsidP="009810F5">
      <w:pPr>
        <w:keepNext/>
        <w:spacing w:after="240"/>
        <w:rPr>
          <w:rFonts w:cs="Miriam"/>
          <w:color w:val="000000"/>
          <w:rtl/>
        </w:rPr>
      </w:pPr>
      <w:r>
        <w:rPr>
          <w:rFonts w:cs="Miriam"/>
          <w:color w:val="000000"/>
          <w:rtl/>
        </w:rPr>
        <w:t>א. כללי</w:t>
      </w:r>
    </w:p>
    <w:p w14:paraId="22DCD0BD" w14:textId="77777777" w:rsidR="009810F5" w:rsidRDefault="009810F5" w:rsidP="009810F5">
      <w:pPr>
        <w:numPr>
          <w:ilvl w:val="0"/>
          <w:numId w:val="1"/>
        </w:numPr>
        <w:spacing w:after="240" w:line="360" w:lineRule="auto"/>
        <w:ind w:left="-7" w:firstLine="0"/>
        <w:jc w:val="both"/>
        <w:rPr>
          <w:rFonts w:cs="FrankRuehl"/>
          <w:color w:val="000000"/>
          <w:sz w:val="28"/>
          <w:szCs w:val="28"/>
        </w:rPr>
      </w:pPr>
      <w:bookmarkStart w:id="6" w:name="ABSTRACT_START"/>
      <w:bookmarkEnd w:id="6"/>
      <w:r>
        <w:rPr>
          <w:rFonts w:cs="FrankRuehl"/>
          <w:color w:val="000000"/>
          <w:sz w:val="28"/>
          <w:szCs w:val="28"/>
          <w:rtl/>
        </w:rPr>
        <w:t>הנאשם הורשע בנשיאת נשק, על פי הודאתו שניתנה במסגרת הסדר טיעון. הגיעה העת לגזור את עונשו.</w:t>
      </w:r>
      <w:bookmarkStart w:id="7" w:name="ABSTRACT_END"/>
      <w:bookmarkEnd w:id="7"/>
    </w:p>
    <w:p w14:paraId="0C409491" w14:textId="77777777" w:rsidR="009810F5" w:rsidRDefault="009810F5" w:rsidP="009810F5">
      <w:pPr>
        <w:keepNext/>
        <w:spacing w:after="240"/>
        <w:rPr>
          <w:rFonts w:cs="Miriam"/>
          <w:color w:val="000000"/>
          <w:rtl/>
        </w:rPr>
      </w:pPr>
      <w:r>
        <w:rPr>
          <w:rFonts w:cs="Miriam"/>
          <w:color w:val="000000"/>
          <w:rtl/>
        </w:rPr>
        <w:lastRenderedPageBreak/>
        <w:t>ב. מעשי הנאשם והעבירה שבה הורשע</w:t>
      </w:r>
    </w:p>
    <w:p w14:paraId="2490311B"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בהכרעת הדין נקבע, על יסוד הודאת הנאשם, כי ביום 10.6.24 בשעה 02:00 לפנות בוקר לערך, הוא נסע ברכבו, תוך שהוא נושא ומוביל שלא כדין רובה דמוי </w:t>
      </w:r>
      <w:r>
        <w:rPr>
          <w:rFonts w:cs="FrankRuehl"/>
          <w:color w:val="000000"/>
          <w:sz w:val="28"/>
          <w:szCs w:val="28"/>
        </w:rPr>
        <w:t>M-16</w:t>
      </w:r>
      <w:r>
        <w:rPr>
          <w:rFonts w:cs="FrankRuehl"/>
          <w:color w:val="000000"/>
          <w:sz w:val="28"/>
          <w:szCs w:val="28"/>
          <w:rtl/>
        </w:rPr>
        <w:t xml:space="preserve"> שבכוחו להמית אדם. בגין כך הורשע הנאשם בעבירה של נשיאת נשק שלא כדין, לפי </w:t>
      </w:r>
      <w:hyperlink r:id="rId30" w:history="1">
        <w:r w:rsidR="001726EB" w:rsidRPr="001726EB">
          <w:rPr>
            <w:rFonts w:cs="FrankRuehl"/>
            <w:color w:val="0000FF"/>
            <w:sz w:val="28"/>
            <w:szCs w:val="28"/>
            <w:u w:val="single"/>
            <w:rtl/>
          </w:rPr>
          <w:t>סעיף 144(ב)</w:t>
        </w:r>
      </w:hyperlink>
      <w:r>
        <w:rPr>
          <w:rFonts w:cs="FrankRuehl"/>
          <w:color w:val="000000"/>
          <w:sz w:val="28"/>
          <w:szCs w:val="28"/>
          <w:rtl/>
        </w:rPr>
        <w:t xml:space="preserve"> ל</w:t>
      </w:r>
      <w:hyperlink r:id="rId31" w:history="1">
        <w:r w:rsidR="002E2476" w:rsidRPr="002E2476">
          <w:rPr>
            <w:rFonts w:cs="FrankRuehl"/>
            <w:color w:val="0000FF"/>
            <w:sz w:val="28"/>
            <w:szCs w:val="28"/>
            <w:u w:val="single"/>
            <w:rtl/>
          </w:rPr>
          <w:t>חוק העונשין</w:t>
        </w:r>
      </w:hyperlink>
      <w:r>
        <w:rPr>
          <w:rFonts w:cs="FrankRuehl"/>
          <w:color w:val="000000"/>
          <w:sz w:val="28"/>
          <w:szCs w:val="28"/>
          <w:rtl/>
        </w:rPr>
        <w:t xml:space="preserve">, התשל"ז-1977 (להלן: </w:t>
      </w:r>
      <w:r>
        <w:rPr>
          <w:rFonts w:cs="Miriam"/>
          <w:color w:val="000000"/>
          <w:rtl/>
        </w:rPr>
        <w:t>חוק</w:t>
      </w:r>
      <w:r>
        <w:rPr>
          <w:rFonts w:cs="FrankRuehl"/>
          <w:color w:val="000000"/>
          <w:sz w:val="28"/>
          <w:szCs w:val="28"/>
          <w:rtl/>
        </w:rPr>
        <w:t xml:space="preserve"> </w:t>
      </w:r>
      <w:r>
        <w:rPr>
          <w:rFonts w:cs="Miriam"/>
          <w:color w:val="000000"/>
          <w:rtl/>
        </w:rPr>
        <w:t>העונשין</w:t>
      </w:r>
      <w:r>
        <w:rPr>
          <w:rFonts w:cs="FrankRuehl"/>
          <w:color w:val="000000"/>
          <w:sz w:val="28"/>
          <w:szCs w:val="28"/>
          <w:rtl/>
        </w:rPr>
        <w:t>).</w:t>
      </w:r>
    </w:p>
    <w:p w14:paraId="4AB895A6"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יוער כי הוסכם בין הצדדים שהנאשם נעצר עם הנשק בעקבות מידע מודיעיני, ושהנשק נתפס על ידי המאשימה.</w:t>
      </w:r>
    </w:p>
    <w:p w14:paraId="2651EE07" w14:textId="77777777" w:rsidR="009810F5" w:rsidRDefault="009810F5" w:rsidP="009810F5">
      <w:pPr>
        <w:keepNext/>
        <w:spacing w:after="240"/>
        <w:rPr>
          <w:rFonts w:cs="Miriam"/>
          <w:color w:val="000000"/>
          <w:rtl/>
        </w:rPr>
      </w:pPr>
      <w:r>
        <w:rPr>
          <w:rFonts w:cs="Miriam"/>
          <w:color w:val="000000"/>
          <w:rtl/>
        </w:rPr>
        <w:t>ג. ההליך והראיות לעניין העונש</w:t>
      </w:r>
    </w:p>
    <w:p w14:paraId="30254B86"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הסדר הטיעון לא כלל הסכמה עונשית.</w:t>
      </w:r>
    </w:p>
    <w:p w14:paraId="21CF2A60"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המאשימה הגישה תדפיס מידע פלילי בעניינו של הנאשם. מתדפיס זה עולה כי חרף היותו כבן 22 בלבד, הנאשם הוא בעל שתי הרשעות קודמות: האחת בגין עבירות של נשיאת נשק ותחמושת </w:t>
      </w:r>
      <w:r>
        <w:rPr>
          <w:rFonts w:cs="FrankRuehl" w:hint="cs"/>
          <w:color w:val="000000"/>
          <w:sz w:val="28"/>
          <w:szCs w:val="28"/>
          <w:rtl/>
        </w:rPr>
        <w:t>שביצע ב</w:t>
      </w:r>
      <w:r>
        <w:rPr>
          <w:rFonts w:cs="FrankRuehl"/>
          <w:color w:val="000000"/>
          <w:sz w:val="28"/>
          <w:szCs w:val="28"/>
          <w:rtl/>
        </w:rPr>
        <w:t>שנת 2016</w:t>
      </w:r>
      <w:r>
        <w:rPr>
          <w:rFonts w:cs="FrankRuehl" w:hint="cs"/>
          <w:color w:val="000000"/>
          <w:sz w:val="28"/>
          <w:szCs w:val="28"/>
          <w:rtl/>
        </w:rPr>
        <w:t xml:space="preserve"> בהיותו כבן 13.5</w:t>
      </w:r>
      <w:r>
        <w:rPr>
          <w:rFonts w:cs="FrankRuehl"/>
          <w:color w:val="000000"/>
          <w:sz w:val="28"/>
          <w:szCs w:val="28"/>
          <w:rtl/>
        </w:rPr>
        <w:t>, והשנייה משנת 2021 בגין ניסיון לתקיפת שוטר כשהתוקף מזוין בנשק חם או קר. בגין ההרשעה הראשונה שהה הנאשם במעון נעול למשך שנתיים וחצי, ונגזרו עליו עונשים נוספים, ובגין ההרשעה השנייה נגזרו על הנאשם 7 חודשי מאסר בפועל ומאסר על תנאי.</w:t>
      </w:r>
    </w:p>
    <w:p w14:paraId="23995E6C"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הנאשם מצידו הגיש מסמכים המלמדים על כך שלאורך השנים הוא סיים מספר הכשרות ומסגרות: כך, בשנת 2017 סיים הנאשם תוכנית בת 150 שעות בשם "צעירים בונים", שנועדה להעניק כלים לפיתוח אישי ולהכשרה מקצועית; בשנת 2018 הוא השלים 12 שנות לימוד במסגרת תוכנית היל"ה מטעם המינהל לקידום נוער במשרד החינוך ועמד בבחינות; בשלב מסוים השלים הנאשם הכשרה במשחק בבית ספר למשחק בשם </w:t>
      </w:r>
      <w:r>
        <w:rPr>
          <w:rFonts w:cs="FrankRuehl"/>
          <w:color w:val="000000"/>
          <w:sz w:val="28"/>
          <w:szCs w:val="28"/>
        </w:rPr>
        <w:t>Image</w:t>
      </w:r>
      <w:r>
        <w:rPr>
          <w:rFonts w:cs="FrankRuehl"/>
          <w:color w:val="000000"/>
          <w:sz w:val="28"/>
          <w:szCs w:val="28"/>
          <w:rtl/>
        </w:rPr>
        <w:t xml:space="preserve">; וכן </w:t>
      </w:r>
      <w:r>
        <w:rPr>
          <w:rFonts w:cs="FrankRuehl" w:hint="cs"/>
          <w:color w:val="000000"/>
          <w:sz w:val="28"/>
          <w:szCs w:val="28"/>
          <w:rtl/>
        </w:rPr>
        <w:t xml:space="preserve">רכש </w:t>
      </w:r>
      <w:r>
        <w:rPr>
          <w:rFonts w:cs="FrankRuehl"/>
          <w:color w:val="000000"/>
          <w:sz w:val="28"/>
          <w:szCs w:val="28"/>
          <w:rtl/>
        </w:rPr>
        <w:t>הכשרה בסַפַּרוּת בת 40 שעות. כמו כן הגיש הנאשם תיעוד ספורדי בנוגע לעבודות שבהן עבד (המסמכים כולם סומנו כמוצג נ/1).</w:t>
      </w:r>
    </w:p>
    <w:p w14:paraId="4DC81BE4"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מטעם הנאשם </w:t>
      </w:r>
      <w:r>
        <w:rPr>
          <w:rFonts w:cs="FrankRuehl" w:hint="cs"/>
          <w:color w:val="000000"/>
          <w:sz w:val="28"/>
          <w:szCs w:val="28"/>
          <w:rtl/>
        </w:rPr>
        <w:t xml:space="preserve">העידה </w:t>
      </w:r>
      <w:r>
        <w:rPr>
          <w:rFonts w:cs="FrankRuehl"/>
          <w:color w:val="000000"/>
          <w:sz w:val="28"/>
          <w:szCs w:val="28"/>
          <w:rtl/>
        </w:rPr>
        <w:t>אחותו הבכורה. האחות סיפרה על הרקע המשפחתי המורכב ביותר שבו גדל הנאשם, אשר אביו מרצה בכלא שנות מאסר ארוכות בשל התנהלותו כלפי מי מבני משפחתו, ועל התפקיד שיועד לנאשם מקטנות</w:t>
      </w:r>
      <w:r>
        <w:rPr>
          <w:rFonts w:cs="FrankRuehl" w:hint="cs"/>
          <w:color w:val="000000"/>
          <w:sz w:val="28"/>
          <w:szCs w:val="28"/>
          <w:rtl/>
        </w:rPr>
        <w:t>ו</w:t>
      </w:r>
      <w:r>
        <w:rPr>
          <w:rFonts w:cs="FrankRuehl"/>
          <w:color w:val="000000"/>
          <w:sz w:val="28"/>
          <w:szCs w:val="28"/>
          <w:rtl/>
        </w:rPr>
        <w:t xml:space="preserve"> כמגינן של נשות המשפחה. האחות סיפרה גם על התנהלות האב כלפי הנאשם והשלכותיה, וציינה כי נוכח המצב המורכב, הוא ואחיותיו הועברו </w:t>
      </w:r>
      <w:r>
        <w:rPr>
          <w:rFonts w:cs="FrankRuehl"/>
          <w:color w:val="000000"/>
          <w:sz w:val="28"/>
          <w:szCs w:val="28"/>
          <w:rtl/>
        </w:rPr>
        <w:lastRenderedPageBreak/>
        <w:t>למסגרות מוסדיות. כמו כן התייחסה האחות לרקע להרשעת הנאשם בעבירה של נשיאת נשק ותחמושת ב</w:t>
      </w:r>
      <w:r>
        <w:rPr>
          <w:rFonts w:cs="FrankRuehl" w:hint="cs"/>
          <w:color w:val="000000"/>
          <w:sz w:val="28"/>
          <w:szCs w:val="28"/>
          <w:rtl/>
        </w:rPr>
        <w:t xml:space="preserve">היותו קטין </w:t>
      </w:r>
      <w:r>
        <w:rPr>
          <w:rFonts w:cs="FrankRuehl"/>
          <w:color w:val="000000"/>
          <w:sz w:val="28"/>
          <w:szCs w:val="28"/>
          <w:rtl/>
        </w:rPr>
        <w:t>מנקודת מבטה. האחות גם העידה על התקדמותו של הנאשם במעון הנעול שבו שהה ולאחריו</w:t>
      </w:r>
      <w:r>
        <w:rPr>
          <w:rFonts w:cs="FrankRuehl" w:hint="cs"/>
          <w:color w:val="000000"/>
          <w:sz w:val="28"/>
          <w:szCs w:val="28"/>
          <w:rtl/>
        </w:rPr>
        <w:t>,</w:t>
      </w:r>
      <w:r>
        <w:rPr>
          <w:rFonts w:cs="FrankRuehl"/>
          <w:color w:val="000000"/>
          <w:sz w:val="28"/>
          <w:szCs w:val="28"/>
          <w:rtl/>
        </w:rPr>
        <w:t xml:space="preserve"> ועל יחסו הטוב לבנות המשפחה, וכן </w:t>
      </w:r>
      <w:r>
        <w:rPr>
          <w:rFonts w:cs="FrankRuehl" w:hint="cs"/>
          <w:color w:val="000000"/>
          <w:sz w:val="28"/>
          <w:szCs w:val="28"/>
          <w:rtl/>
        </w:rPr>
        <w:t xml:space="preserve">התייחס </w:t>
      </w:r>
      <w:r>
        <w:rPr>
          <w:rFonts w:cs="FrankRuehl"/>
          <w:color w:val="000000"/>
          <w:sz w:val="28"/>
          <w:szCs w:val="28"/>
          <w:rtl/>
        </w:rPr>
        <w:t>לתנאי מעצר</w:t>
      </w:r>
      <w:r>
        <w:rPr>
          <w:rFonts w:cs="FrankRuehl" w:hint="cs"/>
          <w:color w:val="000000"/>
          <w:sz w:val="28"/>
          <w:szCs w:val="28"/>
          <w:rtl/>
        </w:rPr>
        <w:t xml:space="preserve"> הנוכחי</w:t>
      </w:r>
      <w:r>
        <w:rPr>
          <w:rFonts w:cs="FrankRuehl"/>
          <w:color w:val="000000"/>
          <w:sz w:val="28"/>
          <w:szCs w:val="28"/>
          <w:rtl/>
        </w:rPr>
        <w:t>. ה</w:t>
      </w:r>
      <w:r>
        <w:rPr>
          <w:rFonts w:cs="FrankRuehl" w:hint="cs"/>
          <w:color w:val="000000"/>
          <w:sz w:val="28"/>
          <w:szCs w:val="28"/>
          <w:rtl/>
        </w:rPr>
        <w:t xml:space="preserve">אחות </w:t>
      </w:r>
      <w:r>
        <w:rPr>
          <w:rFonts w:cs="FrankRuehl"/>
          <w:color w:val="000000"/>
          <w:sz w:val="28"/>
          <w:szCs w:val="28"/>
          <w:rtl/>
        </w:rPr>
        <w:t xml:space="preserve">הביעה תקווה שהנאשם יתקדם בחייו, וביקשה להקל עמו. הדברים פורטו גם בכתב, ועל מנת לשמור על פרטיות הנאשם </w:t>
      </w:r>
      <w:r>
        <w:rPr>
          <w:rFonts w:cs="FrankRuehl" w:hint="cs"/>
          <w:color w:val="000000"/>
          <w:sz w:val="28"/>
          <w:szCs w:val="28"/>
          <w:rtl/>
        </w:rPr>
        <w:t>ובנות משפחתו אסתפק בהפניה לכתוב</w:t>
      </w:r>
      <w:r>
        <w:rPr>
          <w:rFonts w:cs="FrankRuehl"/>
          <w:color w:val="000000"/>
          <w:sz w:val="28"/>
          <w:szCs w:val="28"/>
          <w:rtl/>
        </w:rPr>
        <w:t xml:space="preserve"> (מוצג נ/1).</w:t>
      </w:r>
    </w:p>
    <w:p w14:paraId="10E2DEAF"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הצדדים הגישו עיקרי טענות בכתב והשלימו את טענותיהם בדיון.</w:t>
      </w:r>
    </w:p>
    <w:p w14:paraId="6A85A5C8" w14:textId="77777777" w:rsidR="009810F5" w:rsidRDefault="009810F5" w:rsidP="009810F5">
      <w:pPr>
        <w:keepNext/>
        <w:tabs>
          <w:tab w:val="left" w:pos="702"/>
        </w:tabs>
        <w:spacing w:after="240"/>
        <w:ind w:left="-6"/>
        <w:rPr>
          <w:rFonts w:cs="Miriam"/>
          <w:color w:val="000000"/>
        </w:rPr>
      </w:pPr>
      <w:r>
        <w:rPr>
          <w:rFonts w:cs="Miriam"/>
          <w:color w:val="000000"/>
          <w:rtl/>
        </w:rPr>
        <w:t>ד. טענות הצדדים</w:t>
      </w:r>
    </w:p>
    <w:p w14:paraId="2435CB11"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המאשימה טוענת כי מתחם העונש ההולם למעשי הנאשם נע בין 30 ל-52 חודשי מאסר בפועל ולצדם עונשים נוספים, והעונש המתאים לו עומד על 42 חודשי מאסר בפועל, ולצדו מאסר על תנאי וקנס. כמו כן עתרה המאשימה לחלט את הרכב ששימש לביצוע העבירה.</w:t>
      </w:r>
    </w:p>
    <w:p w14:paraId="3EBC03BF" w14:textId="77777777" w:rsidR="009810F5" w:rsidRDefault="009810F5" w:rsidP="009810F5">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מבחינת נסיבות הקשורות בביצוע העבירה, המאשימה טוענת כי מדובר היה בנשיאת רובה, </w:t>
      </w:r>
      <w:r>
        <w:rPr>
          <w:rFonts w:cs="FrankRuehl" w:hint="cs"/>
          <w:color w:val="000000"/>
          <w:sz w:val="28"/>
          <w:szCs w:val="28"/>
          <w:rtl/>
        </w:rPr>
        <w:t>ה</w:t>
      </w:r>
      <w:r>
        <w:rPr>
          <w:rFonts w:cs="FrankRuehl"/>
          <w:color w:val="000000"/>
          <w:sz w:val="28"/>
          <w:szCs w:val="28"/>
          <w:rtl/>
        </w:rPr>
        <w:t xml:space="preserve">גם שדמוי </w:t>
      </w:r>
      <w:r>
        <w:rPr>
          <w:rFonts w:cs="FrankRuehl"/>
          <w:color w:val="000000"/>
          <w:sz w:val="28"/>
          <w:szCs w:val="28"/>
        </w:rPr>
        <w:t>M-16</w:t>
      </w:r>
      <w:r>
        <w:rPr>
          <w:rFonts w:cs="FrankRuehl"/>
          <w:color w:val="000000"/>
          <w:sz w:val="28"/>
          <w:szCs w:val="28"/>
          <w:rtl/>
        </w:rPr>
        <w:t>, ברכב, באופן המלמד על זמינות השימוש בו.</w:t>
      </w:r>
    </w:p>
    <w:p w14:paraId="4DE8958C" w14:textId="77777777" w:rsidR="009810F5" w:rsidRDefault="009810F5" w:rsidP="009810F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מבחינת נסיבות שאינן קשורות בביצוע העבירה טוענת המאשימה כי לטובת הנאשם עומדת הודאתו במסגרת הסדר טיעון וגילו הצעיר יחסית. לטובת הנאשם עומדות גם נסיבות חייו המורכבות כפי שפירטה אחותו, אולם </w:t>
      </w:r>
      <w:r>
        <w:rPr>
          <w:rFonts w:cs="FrankRuehl" w:hint="cs"/>
          <w:color w:val="000000"/>
          <w:sz w:val="28"/>
          <w:szCs w:val="28"/>
          <w:rtl/>
        </w:rPr>
        <w:t xml:space="preserve">נטען כי </w:t>
      </w:r>
      <w:r>
        <w:rPr>
          <w:rFonts w:cs="FrankRuehl"/>
          <w:color w:val="000000"/>
          <w:sz w:val="28"/>
          <w:szCs w:val="28"/>
          <w:rtl/>
        </w:rPr>
        <w:t xml:space="preserve">בעבירות מעין אלה המשקל שיש ליתן לנסיבות כאמור הוא מוגבל. </w:t>
      </w:r>
      <w:r>
        <w:rPr>
          <w:rFonts w:cs="FrankRuehl" w:hint="cs"/>
          <w:color w:val="000000"/>
          <w:sz w:val="28"/>
          <w:szCs w:val="28"/>
          <w:rtl/>
        </w:rPr>
        <w:t xml:space="preserve">אל מול אלה, עומד </w:t>
      </w:r>
      <w:r>
        <w:rPr>
          <w:rFonts w:cs="FrankRuehl"/>
          <w:color w:val="000000"/>
          <w:sz w:val="28"/>
          <w:szCs w:val="28"/>
          <w:rtl/>
        </w:rPr>
        <w:t>לחובת הנאשם עברו הפלילי לרבות בעבירות דומות, ועל כן העונש המתאים לו מצוי מעט מעל אמצע המתחם.</w:t>
      </w:r>
    </w:p>
    <w:p w14:paraId="6EBDE98F" w14:textId="77777777" w:rsidR="009810F5" w:rsidRDefault="009810F5" w:rsidP="009810F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המאשימה עתרה גם לחלט את הרכב ששימש לביצוע העבירה.</w:t>
      </w:r>
    </w:p>
    <w:p w14:paraId="06B5FAA7"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ascii="FrankRuehl" w:hAnsi="FrankRuehl" w:cs="FrankRuehl"/>
          <w:color w:val="000000"/>
          <w:sz w:val="28"/>
          <w:szCs w:val="28"/>
          <w:rtl/>
        </w:rPr>
        <w:t xml:space="preserve">באת כוח </w:t>
      </w:r>
      <w:r>
        <w:rPr>
          <w:rFonts w:cs="FrankRuehl"/>
          <w:color w:val="000000"/>
          <w:sz w:val="28"/>
          <w:szCs w:val="28"/>
          <w:rtl/>
        </w:rPr>
        <w:t>הנאש</w:t>
      </w:r>
      <w:r>
        <w:rPr>
          <w:rFonts w:ascii="FrankRuehl" w:hAnsi="FrankRuehl" w:cs="FrankRuehl"/>
          <w:color w:val="000000"/>
          <w:sz w:val="28"/>
          <w:szCs w:val="28"/>
          <w:rtl/>
        </w:rPr>
        <w:t>ם מצידה לא נקבה בפירוט בגבולות מתחם העונש ההולם הראוי</w:t>
      </w:r>
      <w:r>
        <w:rPr>
          <w:rFonts w:ascii="FrankRuehl" w:hAnsi="FrankRuehl" w:cs="FrankRuehl" w:hint="cs"/>
          <w:color w:val="000000"/>
          <w:sz w:val="28"/>
          <w:szCs w:val="28"/>
          <w:rtl/>
        </w:rPr>
        <w:t>,</w:t>
      </w:r>
      <w:r>
        <w:rPr>
          <w:rFonts w:ascii="FrankRuehl" w:hAnsi="FrankRuehl" w:cs="FrankRuehl"/>
          <w:color w:val="000000"/>
          <w:sz w:val="28"/>
          <w:szCs w:val="28"/>
          <w:rtl/>
        </w:rPr>
        <w:t xml:space="preserve"> לטענתה, אולם ביקשה שהעונש שיוטל על הנאשם יפחת מ-30 חודשי מאסר בפועל.</w:t>
      </w:r>
    </w:p>
    <w:p w14:paraId="0E5D9B22" w14:textId="77777777" w:rsidR="009810F5" w:rsidRDefault="009810F5" w:rsidP="009810F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r>
      <w:r>
        <w:rPr>
          <w:rFonts w:cs="FrankRuehl"/>
          <w:color w:val="000000"/>
          <w:sz w:val="28"/>
          <w:szCs w:val="28"/>
          <w:rtl/>
        </w:rPr>
        <w:tab/>
        <w:t>מבחינת נסיבות הקשורות בביצוע העבירה נטען כי מדובר היה בנשיאת רובה לא תקני וללא תחמושת; שהייתה ידועה לכוחות הביטחון השונים; והרובה אף נתפס - כך שהנזק הפוטנציאלי היה מוגבל ולא נגרם נזק בפועל.</w:t>
      </w:r>
    </w:p>
    <w:p w14:paraId="38151F40" w14:textId="77777777" w:rsidR="009810F5" w:rsidRDefault="009810F5" w:rsidP="009810F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מבחינת נסיבות שאינן קשורות בביצוע העבירה נטען כי הנאשם הוא צעיר כבן 22, וכי עברו הפלילי אינו צריך להשליך על עונשו, בין היתר משום שאת עבירת הנשק הקודמת ביצע בהיותו כבן 13.5 שנים. עוד נטען כי נסיבותיו המשפחתיות של הנאשם מורכבות, וכי לאחר סי</w:t>
      </w:r>
      <w:r>
        <w:rPr>
          <w:rFonts w:cs="FrankRuehl" w:hint="cs"/>
          <w:color w:val="000000"/>
          <w:sz w:val="28"/>
          <w:szCs w:val="28"/>
          <w:rtl/>
        </w:rPr>
        <w:t>ו</w:t>
      </w:r>
      <w:r>
        <w:rPr>
          <w:rFonts w:cs="FrankRuehl"/>
          <w:color w:val="000000"/>
          <w:sz w:val="28"/>
          <w:szCs w:val="28"/>
          <w:rtl/>
        </w:rPr>
        <w:t xml:space="preserve">ם </w:t>
      </w:r>
      <w:r>
        <w:rPr>
          <w:rFonts w:cs="FrankRuehl" w:hint="cs"/>
          <w:color w:val="000000"/>
          <w:sz w:val="28"/>
          <w:szCs w:val="28"/>
          <w:rtl/>
        </w:rPr>
        <w:t xml:space="preserve">תקופת </w:t>
      </w:r>
      <w:r>
        <w:rPr>
          <w:rFonts w:cs="FrankRuehl"/>
          <w:color w:val="000000"/>
          <w:sz w:val="28"/>
          <w:szCs w:val="28"/>
          <w:rtl/>
        </w:rPr>
        <w:t>שהות</w:t>
      </w:r>
      <w:r>
        <w:rPr>
          <w:rFonts w:cs="FrankRuehl" w:hint="cs"/>
          <w:color w:val="000000"/>
          <w:sz w:val="28"/>
          <w:szCs w:val="28"/>
          <w:rtl/>
        </w:rPr>
        <w:t>ו</w:t>
      </w:r>
      <w:r>
        <w:rPr>
          <w:rFonts w:cs="FrankRuehl"/>
          <w:color w:val="000000"/>
          <w:sz w:val="28"/>
          <w:szCs w:val="28"/>
          <w:rtl/>
        </w:rPr>
        <w:t xml:space="preserve"> במעון נעול הוא פעל לשקם את חייו, בכך שעבד, למד ואף רכש הכשרה מקצועית מגוונת.</w:t>
      </w:r>
    </w:p>
    <w:p w14:paraId="1D5CA10F" w14:textId="77777777" w:rsidR="009810F5" w:rsidRDefault="009810F5" w:rsidP="009810F5">
      <w:pPr>
        <w:tabs>
          <w:tab w:val="left" w:pos="702"/>
        </w:tabs>
        <w:spacing w:after="240" w:line="360" w:lineRule="auto"/>
        <w:ind w:left="-7"/>
        <w:jc w:val="both"/>
        <w:rPr>
          <w:rFonts w:cs="FrankRuehl"/>
          <w:color w:val="000000"/>
          <w:sz w:val="28"/>
          <w:szCs w:val="28"/>
          <w:rtl/>
        </w:rPr>
      </w:pPr>
      <w:r>
        <w:rPr>
          <w:rFonts w:cs="FrankRuehl"/>
          <w:color w:val="000000"/>
          <w:sz w:val="28"/>
          <w:szCs w:val="28"/>
          <w:rtl/>
        </w:rPr>
        <w:tab/>
      </w:r>
      <w:r>
        <w:rPr>
          <w:rFonts w:cs="FrankRuehl" w:hint="cs"/>
          <w:color w:val="000000"/>
          <w:sz w:val="28"/>
          <w:szCs w:val="28"/>
          <w:rtl/>
        </w:rPr>
        <w:t xml:space="preserve">באת כוח </w:t>
      </w:r>
      <w:r>
        <w:rPr>
          <w:rFonts w:cs="FrankRuehl"/>
          <w:color w:val="000000"/>
          <w:sz w:val="28"/>
          <w:szCs w:val="28"/>
          <w:rtl/>
        </w:rPr>
        <w:t>הנאשם הותיר</w:t>
      </w:r>
      <w:r>
        <w:rPr>
          <w:rFonts w:cs="FrankRuehl" w:hint="cs"/>
          <w:color w:val="000000"/>
          <w:sz w:val="28"/>
          <w:szCs w:val="28"/>
          <w:rtl/>
        </w:rPr>
        <w:t>ה</w:t>
      </w:r>
      <w:r>
        <w:rPr>
          <w:rFonts w:cs="FrankRuehl"/>
          <w:color w:val="000000"/>
          <w:sz w:val="28"/>
          <w:szCs w:val="28"/>
          <w:rtl/>
        </w:rPr>
        <w:t xml:space="preserve"> את חילוט הרכב לשיקול דעת בית המשפט, אך ציי</w:t>
      </w:r>
      <w:r>
        <w:rPr>
          <w:rFonts w:cs="FrankRuehl" w:hint="cs"/>
          <w:color w:val="000000"/>
          <w:sz w:val="28"/>
          <w:szCs w:val="28"/>
          <w:rtl/>
        </w:rPr>
        <w:t>נה</w:t>
      </w:r>
      <w:r>
        <w:rPr>
          <w:rFonts w:cs="FrankRuehl"/>
          <w:color w:val="000000"/>
          <w:sz w:val="28"/>
          <w:szCs w:val="28"/>
          <w:rtl/>
        </w:rPr>
        <w:t xml:space="preserve"> כי ככל שהרכב יחולט יש לראות בכך מרכיב משמעותי בעונש.</w:t>
      </w:r>
    </w:p>
    <w:p w14:paraId="059B88E1" w14:textId="77777777" w:rsidR="009810F5" w:rsidRDefault="009810F5" w:rsidP="009810F5">
      <w:pPr>
        <w:numPr>
          <w:ilvl w:val="0"/>
          <w:numId w:val="1"/>
        </w:numPr>
        <w:tabs>
          <w:tab w:val="left" w:pos="702"/>
        </w:tabs>
        <w:spacing w:after="240" w:line="360" w:lineRule="auto"/>
        <w:ind w:left="-7" w:firstLine="0"/>
        <w:jc w:val="both"/>
        <w:rPr>
          <w:rFonts w:ascii="FrankRuehl" w:hAnsi="FrankRuehl" w:cs="FrankRuehl"/>
          <w:color w:val="000000"/>
          <w:sz w:val="28"/>
          <w:szCs w:val="28"/>
          <w:rtl/>
        </w:rPr>
      </w:pPr>
      <w:r>
        <w:rPr>
          <w:rFonts w:ascii="FrankRuehl" w:hAnsi="FrankRuehl" w:cs="FrankRuehl"/>
          <w:color w:val="000000"/>
          <w:sz w:val="28"/>
          <w:szCs w:val="28"/>
          <w:rtl/>
        </w:rPr>
        <w:t>הנאשם עצמו אמר כי הוא מצטער על מעשיו, וכי מעצרו הביא אותו למחשבה מעמיקה על התנהלותו ולרצון לשנותה. הנאשם סיפר כי גדל בסביבה מורכבת ביותר, שבה "כל דאלים גבר" ו"אין דין ואין דיין". לדברי הנאשם, חווית חיים זו של פחד והעדר מוגנות עמדה בבסיס עבירות נשיאת הנשק והתחמושת שביצע הן בילדותו והן כעת. הנאשם סיפר כי שהותו במעון נעול היטיבה עמו והוא רכש הכשרה מקצועית מגוונת וכן השלים את לימודיו, וכי גם לאחר מכן רכש כאמור הכשרה במשחק ובס</w:t>
      </w:r>
      <w:r>
        <w:rPr>
          <w:rFonts w:ascii="FrankRuehl" w:hAnsi="FrankRuehl" w:cs="FrankRuehl" w:hint="cs"/>
          <w:color w:val="000000"/>
          <w:sz w:val="28"/>
          <w:szCs w:val="28"/>
          <w:rtl/>
        </w:rPr>
        <w:t>ַ</w:t>
      </w:r>
      <w:r>
        <w:rPr>
          <w:rFonts w:ascii="FrankRuehl" w:hAnsi="FrankRuehl" w:cs="FrankRuehl"/>
          <w:color w:val="000000"/>
          <w:sz w:val="28"/>
          <w:szCs w:val="28"/>
          <w:rtl/>
        </w:rPr>
        <w:t>פ</w:t>
      </w:r>
      <w:r>
        <w:rPr>
          <w:rFonts w:ascii="FrankRuehl" w:hAnsi="FrankRuehl" w:cs="FrankRuehl" w:hint="cs"/>
          <w:color w:val="000000"/>
          <w:sz w:val="28"/>
          <w:szCs w:val="28"/>
          <w:rtl/>
        </w:rPr>
        <w:t>ַּ</w:t>
      </w:r>
      <w:r>
        <w:rPr>
          <w:rFonts w:ascii="FrankRuehl" w:hAnsi="FrankRuehl" w:cs="FrankRuehl"/>
          <w:color w:val="000000"/>
          <w:sz w:val="28"/>
          <w:szCs w:val="28"/>
          <w:rtl/>
        </w:rPr>
        <w:t>רו</w:t>
      </w:r>
      <w:r>
        <w:rPr>
          <w:rFonts w:ascii="FrankRuehl" w:hAnsi="FrankRuehl" w:cs="FrankRuehl" w:hint="cs"/>
          <w:color w:val="000000"/>
          <w:sz w:val="28"/>
          <w:szCs w:val="28"/>
          <w:rtl/>
        </w:rPr>
        <w:t>ּ</w:t>
      </w:r>
      <w:r>
        <w:rPr>
          <w:rFonts w:ascii="FrankRuehl" w:hAnsi="FrankRuehl" w:cs="FrankRuehl"/>
          <w:color w:val="000000"/>
          <w:sz w:val="28"/>
          <w:szCs w:val="28"/>
          <w:rtl/>
        </w:rPr>
        <w:t>ת, כשחלומו הוא ש"המשפחה שלי תראה אותי כוכב ולא רק מי שנעצר". הנאשם ביקש רחמים כדי לאפשר לו לתקן את מה שאביו קלקל</w:t>
      </w:r>
      <w:r>
        <w:rPr>
          <w:rFonts w:ascii="FrankRuehl" w:hAnsi="FrankRuehl" w:cs="FrankRuehl" w:hint="cs"/>
          <w:color w:val="000000"/>
          <w:sz w:val="28"/>
          <w:szCs w:val="28"/>
          <w:rtl/>
        </w:rPr>
        <w:t>,</w:t>
      </w:r>
      <w:r>
        <w:rPr>
          <w:rFonts w:ascii="FrankRuehl" w:hAnsi="FrankRuehl" w:cs="FrankRuehl"/>
          <w:color w:val="000000"/>
          <w:sz w:val="28"/>
          <w:szCs w:val="28"/>
          <w:rtl/>
        </w:rPr>
        <w:t xml:space="preserve"> ולהמשיך להתקדם בחייו.</w:t>
      </w:r>
    </w:p>
    <w:p w14:paraId="3ADEDDB4" w14:textId="77777777" w:rsidR="009810F5" w:rsidRDefault="009810F5" w:rsidP="009810F5">
      <w:pPr>
        <w:keepNext/>
        <w:spacing w:after="240"/>
        <w:rPr>
          <w:rFonts w:cs="Miriam"/>
          <w:color w:val="000000"/>
        </w:rPr>
      </w:pPr>
      <w:r>
        <w:rPr>
          <w:rFonts w:cs="Miriam"/>
          <w:color w:val="000000"/>
          <w:rtl/>
        </w:rPr>
        <w:t>ה. דיון</w:t>
      </w:r>
    </w:p>
    <w:p w14:paraId="12EC248D" w14:textId="77777777" w:rsidR="009810F5" w:rsidRDefault="009810F5" w:rsidP="009810F5">
      <w:pPr>
        <w:tabs>
          <w:tab w:val="left" w:pos="702"/>
        </w:tabs>
        <w:spacing w:after="240"/>
        <w:ind w:left="-7"/>
        <w:rPr>
          <w:rFonts w:ascii="FrankRuehl" w:hAnsi="FrankRuehl" w:cs="FrankRuehl"/>
          <w:sz w:val="20"/>
          <w:szCs w:val="26"/>
          <w:rtl/>
        </w:rPr>
      </w:pPr>
      <w:r>
        <w:rPr>
          <w:rFonts w:ascii="FrankRuehl" w:hAnsi="FrankRuehl" w:cs="FrankRuehl"/>
          <w:color w:val="000000"/>
          <w:sz w:val="28"/>
          <w:szCs w:val="28"/>
          <w:rtl/>
        </w:rPr>
        <w:t xml:space="preserve">ה(1) </w:t>
      </w:r>
      <w:r>
        <w:rPr>
          <w:rFonts w:ascii="FrankRuehl" w:hAnsi="FrankRuehl" w:cs="FrankRuehl"/>
          <w:color w:val="000000"/>
          <w:sz w:val="28"/>
          <w:szCs w:val="28"/>
          <w:u w:val="single"/>
          <w:rtl/>
        </w:rPr>
        <w:t>גזירת הדין - כללי</w:t>
      </w:r>
    </w:p>
    <w:p w14:paraId="0842E6C1" w14:textId="77777777" w:rsidR="009810F5" w:rsidRDefault="001726EB" w:rsidP="009810F5">
      <w:pPr>
        <w:numPr>
          <w:ilvl w:val="0"/>
          <w:numId w:val="1"/>
        </w:numPr>
        <w:tabs>
          <w:tab w:val="left" w:pos="702"/>
        </w:tabs>
        <w:spacing w:after="240" w:line="360" w:lineRule="auto"/>
        <w:ind w:left="-7" w:firstLine="0"/>
        <w:jc w:val="both"/>
        <w:rPr>
          <w:rFonts w:ascii="FrankRuehl" w:hAnsi="FrankRuehl" w:cs="FrankRuehl"/>
          <w:color w:val="000000"/>
          <w:sz w:val="28"/>
          <w:szCs w:val="28"/>
          <w:rtl/>
        </w:rPr>
      </w:pPr>
      <w:hyperlink r:id="rId32" w:history="1">
        <w:r w:rsidRPr="001726EB">
          <w:rPr>
            <w:rFonts w:ascii="FrankRuehl" w:hAnsi="FrankRuehl" w:cs="FrankRuehl"/>
            <w:color w:val="0000FF"/>
            <w:sz w:val="28"/>
            <w:szCs w:val="28"/>
            <w:u w:val="single"/>
            <w:rtl/>
          </w:rPr>
          <w:t>סעיף 40ב</w:t>
        </w:r>
      </w:hyperlink>
      <w:r w:rsidR="009810F5">
        <w:rPr>
          <w:rFonts w:ascii="FrankRuehl" w:hAnsi="FrankRuehl" w:cs="FrankRuehl"/>
          <w:color w:val="000000"/>
          <w:sz w:val="28"/>
          <w:szCs w:val="28"/>
          <w:rtl/>
        </w:rPr>
        <w:t xml:space="preserve"> ל</w:t>
      </w:r>
      <w:hyperlink r:id="rId33" w:history="1">
        <w:r w:rsidR="002E2476" w:rsidRPr="002E2476">
          <w:rPr>
            <w:rFonts w:ascii="FrankRuehl" w:hAnsi="FrankRuehl" w:cs="FrankRuehl"/>
            <w:color w:val="0000FF"/>
            <w:sz w:val="28"/>
            <w:szCs w:val="28"/>
            <w:u w:val="single"/>
            <w:rtl/>
          </w:rPr>
          <w:t>חוק העונשין</w:t>
        </w:r>
      </w:hyperlink>
      <w:r w:rsidR="009810F5">
        <w:rPr>
          <w:rFonts w:ascii="FrankRuehl" w:hAnsi="FrankRuehl" w:cs="FrankRuehl"/>
          <w:color w:val="000000"/>
          <w:sz w:val="28"/>
          <w:szCs w:val="28"/>
          <w:rtl/>
        </w:rPr>
        <w:t xml:space="preserve"> קובע כי "העיקרון המנחה בענישה הוא קיומו של יחס הולם בין חומרת מעשה העבירה בנסיבותיו ומידת אשמו של הנאשם ובין סוג ומידת העונש המוטל עליו". </w:t>
      </w:r>
      <w:hyperlink r:id="rId34" w:history="1">
        <w:r w:rsidR="00672F68" w:rsidRPr="00672F68">
          <w:rPr>
            <w:rFonts w:ascii="FrankRuehl" w:hAnsi="FrankRuehl" w:cs="FrankRuehl"/>
            <w:color w:val="0000FF"/>
            <w:sz w:val="28"/>
            <w:szCs w:val="28"/>
            <w:u w:val="single"/>
            <w:rtl/>
          </w:rPr>
          <w:t>סעיף 40ג(א)</w:t>
        </w:r>
      </w:hyperlink>
      <w:r w:rsidR="009810F5">
        <w:rPr>
          <w:rFonts w:ascii="FrankRuehl" w:hAnsi="FrankRuehl" w:cs="FrankRuehl"/>
          <w:color w:val="000000"/>
          <w:sz w:val="28"/>
          <w:szCs w:val="28"/>
          <w:rtl/>
        </w:rPr>
        <w:t xml:space="preserve"> מורה כי בהתאם לעקרון ההלימה יש לקבוע "מתחם עונש הולם", וזאת תוך התחשבות "בערך החברתי שנפגע מביצוע העבירה, במידת הפגיעה בו, במדיניות הענישה הנהוגה ובנסיבות הקשורות בביצוע העבירה". חלק מהנסיבות הקשורות בביצוע העבירה מנויות </w:t>
      </w:r>
      <w:hyperlink r:id="rId35" w:history="1">
        <w:r w:rsidR="00672F68" w:rsidRPr="00672F68">
          <w:rPr>
            <w:rFonts w:ascii="FrankRuehl" w:hAnsi="FrankRuehl" w:cs="FrankRuehl"/>
            <w:color w:val="0000FF"/>
            <w:sz w:val="28"/>
            <w:szCs w:val="28"/>
            <w:u w:val="single"/>
            <w:rtl/>
          </w:rPr>
          <w:t>בסעיף 40ט</w:t>
        </w:r>
      </w:hyperlink>
      <w:r w:rsidR="009810F5">
        <w:rPr>
          <w:rFonts w:ascii="FrankRuehl" w:hAnsi="FrankRuehl" w:cs="FrankRuehl"/>
          <w:color w:val="000000"/>
          <w:sz w:val="28"/>
          <w:szCs w:val="28"/>
          <w:rtl/>
        </w:rPr>
        <w:t xml:space="preserve"> לחוק, אולם ניתן לשקול גם נסיבות אחרות (ראו </w:t>
      </w:r>
      <w:hyperlink r:id="rId36" w:history="1">
        <w:r w:rsidR="00672F68" w:rsidRPr="00672F68">
          <w:rPr>
            <w:rFonts w:ascii="FrankRuehl" w:hAnsi="FrankRuehl" w:cs="FrankRuehl"/>
            <w:color w:val="0000FF"/>
            <w:sz w:val="28"/>
            <w:szCs w:val="28"/>
            <w:u w:val="single"/>
            <w:rtl/>
          </w:rPr>
          <w:t>סעיף 40יב</w:t>
        </w:r>
      </w:hyperlink>
      <w:r w:rsidR="009810F5">
        <w:rPr>
          <w:rFonts w:ascii="FrankRuehl" w:hAnsi="FrankRuehl" w:cs="FrankRuehl"/>
          <w:color w:val="000000"/>
          <w:sz w:val="28"/>
          <w:szCs w:val="28"/>
          <w:rtl/>
        </w:rPr>
        <w:t xml:space="preserve"> לחוק).</w:t>
      </w:r>
    </w:p>
    <w:p w14:paraId="099B3011" w14:textId="77777777" w:rsidR="009810F5" w:rsidRDefault="009810F5" w:rsidP="009810F5">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לאחר קביעת מתחם העונש יש לגזור את העונש המתאים לנאשם, שככלל אמור להיגזר בתוך המתחם. זאת בהתחשב בנסיבות שאינן קשורות בביצוע העבירה (</w:t>
      </w:r>
      <w:hyperlink r:id="rId37" w:history="1">
        <w:r w:rsidR="00672F68" w:rsidRPr="00672F68">
          <w:rPr>
            <w:rFonts w:ascii="FrankRuehl" w:hAnsi="FrankRuehl" w:cs="FrankRuehl"/>
            <w:color w:val="0000FF"/>
            <w:sz w:val="28"/>
            <w:szCs w:val="28"/>
            <w:u w:val="single"/>
            <w:rtl/>
          </w:rPr>
          <w:t>סעיף 40ג(ב)</w:t>
        </w:r>
      </w:hyperlink>
      <w:r>
        <w:rPr>
          <w:rFonts w:ascii="FrankRuehl" w:hAnsi="FrankRuehl" w:cs="FrankRuehl"/>
          <w:color w:val="000000"/>
          <w:sz w:val="28"/>
          <w:szCs w:val="28"/>
          <w:rtl/>
        </w:rPr>
        <w:t xml:space="preserve"> לחוק) המפורטות </w:t>
      </w:r>
      <w:hyperlink r:id="rId38" w:history="1">
        <w:r w:rsidR="00672F68" w:rsidRPr="00672F68">
          <w:rPr>
            <w:rFonts w:ascii="FrankRuehl" w:hAnsi="FrankRuehl" w:cs="FrankRuehl"/>
            <w:color w:val="0000FF"/>
            <w:sz w:val="28"/>
            <w:szCs w:val="28"/>
            <w:u w:val="single"/>
            <w:rtl/>
          </w:rPr>
          <w:t>בסעיף 40יא</w:t>
        </w:r>
      </w:hyperlink>
      <w:r>
        <w:rPr>
          <w:rFonts w:ascii="FrankRuehl" w:hAnsi="FrankRuehl" w:cs="FrankRuehl"/>
          <w:color w:val="000000"/>
          <w:sz w:val="28"/>
          <w:szCs w:val="28"/>
          <w:rtl/>
        </w:rPr>
        <w:t xml:space="preserve"> לחוק (אולם גם כאן הרשימה אינה סגורה, ראו </w:t>
      </w:r>
      <w:hyperlink r:id="rId39" w:history="1">
        <w:r w:rsidR="00672F68" w:rsidRPr="00672F68">
          <w:rPr>
            <w:rFonts w:ascii="FrankRuehl" w:hAnsi="FrankRuehl" w:cs="FrankRuehl"/>
            <w:color w:val="0000FF"/>
            <w:sz w:val="28"/>
            <w:szCs w:val="28"/>
            <w:u w:val="single"/>
            <w:rtl/>
          </w:rPr>
          <w:t>סעיף 40יב</w:t>
        </w:r>
      </w:hyperlink>
      <w:r>
        <w:rPr>
          <w:rFonts w:ascii="FrankRuehl" w:hAnsi="FrankRuehl" w:cs="FrankRuehl"/>
          <w:color w:val="000000"/>
          <w:sz w:val="28"/>
          <w:szCs w:val="28"/>
          <w:rtl/>
        </w:rPr>
        <w:t xml:space="preserve"> לחוק), וכן בשיקולים של הרתעת הנאשם והרתעת הרבים (</w:t>
      </w:r>
      <w:hyperlink r:id="rId40" w:history="1">
        <w:r w:rsidR="00672F68" w:rsidRPr="00672F68">
          <w:rPr>
            <w:rFonts w:ascii="FrankRuehl" w:hAnsi="FrankRuehl" w:cs="FrankRuehl"/>
            <w:color w:val="0000FF"/>
            <w:sz w:val="28"/>
            <w:szCs w:val="28"/>
            <w:u w:val="single"/>
            <w:rtl/>
          </w:rPr>
          <w:t>סעיפים 40ו-40ז</w:t>
        </w:r>
      </w:hyperlink>
      <w:r>
        <w:rPr>
          <w:rFonts w:ascii="FrankRuehl" w:hAnsi="FrankRuehl" w:cs="FrankRuehl"/>
          <w:color w:val="000000"/>
          <w:sz w:val="28"/>
          <w:szCs w:val="28"/>
          <w:rtl/>
        </w:rPr>
        <w:t xml:space="preserve"> לחוק).</w:t>
      </w:r>
    </w:p>
    <w:p w14:paraId="218FA743" w14:textId="77777777" w:rsidR="009810F5" w:rsidRDefault="009810F5" w:rsidP="009810F5">
      <w:pPr>
        <w:tabs>
          <w:tab w:val="left" w:pos="702"/>
        </w:tabs>
        <w:spacing w:after="240"/>
        <w:ind w:left="-7"/>
        <w:rPr>
          <w:rFonts w:cs="FrankRuehl"/>
          <w:color w:val="000000"/>
          <w:sz w:val="28"/>
          <w:szCs w:val="28"/>
          <w:u w:val="single"/>
        </w:rPr>
      </w:pPr>
      <w:r>
        <w:rPr>
          <w:rFonts w:cs="FrankRuehl"/>
          <w:color w:val="000000"/>
          <w:sz w:val="28"/>
          <w:szCs w:val="28"/>
          <w:rtl/>
        </w:rPr>
        <w:t xml:space="preserve">ה(2) </w:t>
      </w:r>
      <w:r>
        <w:rPr>
          <w:rFonts w:cs="FrankRuehl"/>
          <w:color w:val="000000"/>
          <w:sz w:val="28"/>
          <w:szCs w:val="28"/>
          <w:u w:val="single"/>
          <w:rtl/>
        </w:rPr>
        <w:t>מתחם העונש ההולם למעשהו של הנאשם</w:t>
      </w:r>
    </w:p>
    <w:p w14:paraId="1F1079D4"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השיקולים הרלוונטיים לקביעת מתחם העונש ההולם הם כאמור </w:t>
      </w:r>
      <w:r>
        <w:rPr>
          <w:rFonts w:ascii="FrankRuehl" w:hAnsi="FrankRuehl" w:cs="FrankRuehl"/>
          <w:color w:val="000000"/>
          <w:sz w:val="28"/>
          <w:szCs w:val="28"/>
          <w:rtl/>
        </w:rPr>
        <w:t>הערכים החברתיים שנפגעו מביצוע העבירה, מידת הפגיעה בהם, מדיניות הענישה הנהוגה, ונסיבות הקשורות בביצוע העבירה. אתייחס לשיקולים אלה</w:t>
      </w:r>
      <w:r>
        <w:rPr>
          <w:rFonts w:cs="FrankRuehl"/>
          <w:color w:val="000000"/>
          <w:sz w:val="28"/>
          <w:szCs w:val="28"/>
          <w:rtl/>
        </w:rPr>
        <w:t>.</w:t>
      </w:r>
    </w:p>
    <w:p w14:paraId="561E6E3D" w14:textId="77777777" w:rsidR="009810F5" w:rsidRDefault="009810F5" w:rsidP="009810F5">
      <w:pPr>
        <w:tabs>
          <w:tab w:val="left" w:pos="702"/>
        </w:tabs>
        <w:spacing w:after="240"/>
        <w:ind w:left="-7"/>
        <w:rPr>
          <w:rFonts w:cs="FrankRuehl"/>
          <w:color w:val="000000"/>
          <w:sz w:val="28"/>
          <w:szCs w:val="28"/>
        </w:rPr>
      </w:pPr>
      <w:r>
        <w:rPr>
          <w:rFonts w:cs="FrankRuehl"/>
          <w:i/>
          <w:iCs/>
          <w:color w:val="000000"/>
          <w:sz w:val="28"/>
          <w:szCs w:val="28"/>
          <w:rtl/>
        </w:rPr>
        <w:t>ה(2)(1) הערכים החברתיים שנפגעו</w:t>
      </w:r>
    </w:p>
    <w:p w14:paraId="68780B26"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הערכים החברתיים העומדים ביסוד עבירות הנשק הם "שמירה על חיי אדם ועל שלמות גופו, וכן שמירה על סדרי חיים תקינים ושלווים..." (</w:t>
      </w:r>
      <w:hyperlink r:id="rId41" w:history="1">
        <w:r w:rsidR="002E2476" w:rsidRPr="002E2476">
          <w:rPr>
            <w:rFonts w:cs="FrankRuehl"/>
            <w:color w:val="0000FF"/>
            <w:sz w:val="28"/>
            <w:szCs w:val="28"/>
            <w:u w:val="single"/>
            <w:rtl/>
          </w:rPr>
          <w:t>ע"פ 147/21</w:t>
        </w:r>
      </w:hyperlink>
      <w:r>
        <w:rPr>
          <w:rFonts w:cs="FrankRuehl"/>
          <w:color w:val="000000"/>
          <w:sz w:val="28"/>
          <w:szCs w:val="28"/>
          <w:rtl/>
        </w:rPr>
        <w:t xml:space="preserve"> </w:t>
      </w:r>
      <w:r>
        <w:rPr>
          <w:rFonts w:cs="Miriam"/>
          <w:color w:val="000000"/>
          <w:sz w:val="18"/>
          <w:rtl/>
        </w:rPr>
        <w:t>מדינת ישראל נ' ביטון</w:t>
      </w:r>
      <w:r>
        <w:rPr>
          <w:rFonts w:cs="FrankRuehl"/>
          <w:color w:val="000000"/>
          <w:sz w:val="28"/>
          <w:szCs w:val="28"/>
          <w:rtl/>
        </w:rPr>
        <w:t xml:space="preserve">, פיסקה 7 (14.2.2021); ראו גם </w:t>
      </w:r>
      <w:hyperlink r:id="rId42" w:history="1">
        <w:r w:rsidR="002E2476" w:rsidRPr="002E2476">
          <w:rPr>
            <w:rFonts w:cs="FrankRuehl"/>
            <w:color w:val="0000FF"/>
            <w:sz w:val="28"/>
            <w:szCs w:val="28"/>
            <w:u w:val="single"/>
            <w:rtl/>
          </w:rPr>
          <w:t>ע"פ 309/22</w:t>
        </w:r>
      </w:hyperlink>
      <w:r>
        <w:rPr>
          <w:rFonts w:cs="FrankRuehl"/>
          <w:color w:val="000000"/>
          <w:sz w:val="28"/>
          <w:szCs w:val="28"/>
          <w:rtl/>
        </w:rPr>
        <w:t xml:space="preserve"> </w:t>
      </w:r>
      <w:r>
        <w:rPr>
          <w:rFonts w:cs="Miriam"/>
          <w:color w:val="000000"/>
          <w:sz w:val="18"/>
          <w:rtl/>
        </w:rPr>
        <w:t>מדינת ישראל נ' ביאדסה</w:t>
      </w:r>
      <w:r>
        <w:rPr>
          <w:rFonts w:cs="FrankRuehl"/>
          <w:color w:val="000000"/>
          <w:sz w:val="28"/>
          <w:szCs w:val="28"/>
          <w:rtl/>
        </w:rPr>
        <w:t xml:space="preserve">, פיסקה 6 (10.5.2022); </w:t>
      </w:r>
      <w:hyperlink r:id="rId43" w:history="1">
        <w:r w:rsidR="002E2476" w:rsidRPr="002E2476">
          <w:rPr>
            <w:rFonts w:cs="FrankRuehl"/>
            <w:color w:val="0000FF"/>
            <w:sz w:val="28"/>
            <w:szCs w:val="28"/>
            <w:u w:val="single"/>
            <w:rtl/>
          </w:rPr>
          <w:t>ע"פ 4103/22</w:t>
        </w:r>
      </w:hyperlink>
      <w:r>
        <w:rPr>
          <w:rFonts w:cs="FrankRuehl"/>
          <w:color w:val="000000"/>
          <w:sz w:val="28"/>
          <w:szCs w:val="28"/>
          <w:rtl/>
        </w:rPr>
        <w:t xml:space="preserve"> </w:t>
      </w:r>
      <w:r>
        <w:rPr>
          <w:rFonts w:cs="Miriam"/>
          <w:color w:val="000000"/>
          <w:sz w:val="18"/>
          <w:rtl/>
        </w:rPr>
        <w:t>מדינת ישראל נ' אמון</w:t>
      </w:r>
      <w:r>
        <w:rPr>
          <w:rFonts w:cs="FrankRuehl"/>
          <w:color w:val="000000"/>
          <w:sz w:val="28"/>
          <w:szCs w:val="28"/>
          <w:rtl/>
        </w:rPr>
        <w:t xml:space="preserve">, פיסקה 9 (6.11.2022); </w:t>
      </w:r>
      <w:hyperlink r:id="rId44" w:history="1">
        <w:r w:rsidR="002E2476" w:rsidRPr="002E2476">
          <w:rPr>
            <w:rFonts w:ascii="FrankRuehl" w:hAnsi="FrankRuehl" w:cs="FrankRuehl"/>
            <w:color w:val="0000FF"/>
            <w:sz w:val="28"/>
            <w:szCs w:val="28"/>
            <w:u w:val="single"/>
            <w:rtl/>
          </w:rPr>
          <w:t>ע"פ 7595/19</w:t>
        </w:r>
      </w:hyperlink>
      <w:r>
        <w:rPr>
          <w:rFonts w:ascii="Miriam" w:hAnsi="Miriam" w:cs="Miriam"/>
          <w:rtl/>
        </w:rPr>
        <w:t xml:space="preserve"> </w:t>
      </w:r>
      <w:r>
        <w:rPr>
          <w:rFonts w:cs="Miriam"/>
          <w:color w:val="000000"/>
          <w:sz w:val="18"/>
          <w:rtl/>
        </w:rPr>
        <w:t>סגים נ' מדינת ישראל</w:t>
      </w:r>
      <w:r>
        <w:rPr>
          <w:rFonts w:ascii="FrankRuehl" w:hAnsi="FrankRuehl" w:cs="FrankRuehl"/>
          <w:sz w:val="28"/>
          <w:szCs w:val="28"/>
          <w:rtl/>
        </w:rPr>
        <w:t>, פיסקה 32 (22.11.2020)</w:t>
      </w:r>
      <w:r>
        <w:rPr>
          <w:rFonts w:cs="FrankRuehl"/>
          <w:color w:val="000000"/>
          <w:sz w:val="28"/>
          <w:szCs w:val="28"/>
          <w:rtl/>
        </w:rPr>
        <w:t>). בשל חומרת הסכנה הנשקפת מנשק, הוטלו עונשים חמורים על "כל חוליות השרשרת העבריינית", לרבות מי שמחזיק או נושא אותו שלא כדין "בלבד" (</w:t>
      </w:r>
      <w:hyperlink r:id="rId45" w:history="1">
        <w:r w:rsidR="002E2476" w:rsidRPr="002E2476">
          <w:rPr>
            <w:rFonts w:cs="FrankRuehl"/>
            <w:color w:val="0000FF"/>
            <w:sz w:val="28"/>
            <w:szCs w:val="28"/>
            <w:u w:val="single"/>
            <w:rtl/>
          </w:rPr>
          <w:t>ע"פ 147/21</w:t>
        </w:r>
      </w:hyperlink>
      <w:r>
        <w:rPr>
          <w:rFonts w:cs="FrankRuehl"/>
          <w:color w:val="000000"/>
          <w:sz w:val="28"/>
          <w:szCs w:val="28"/>
          <w:rtl/>
        </w:rPr>
        <w:t xml:space="preserve"> הנזכר, </w:t>
      </w:r>
      <w:r>
        <w:rPr>
          <w:rFonts w:cs="Miriam"/>
          <w:color w:val="000000"/>
          <w:sz w:val="18"/>
          <w:rtl/>
        </w:rPr>
        <w:t>שם</w:t>
      </w:r>
      <w:r>
        <w:rPr>
          <w:rFonts w:cs="FrankRuehl"/>
          <w:color w:val="000000"/>
          <w:sz w:val="28"/>
          <w:szCs w:val="28"/>
          <w:rtl/>
        </w:rPr>
        <w:t>).</w:t>
      </w:r>
    </w:p>
    <w:p w14:paraId="6050ADB5"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במקרה שכאן, הנאשם נשא נשק מסוג רובה דמוי </w:t>
      </w:r>
      <w:r>
        <w:rPr>
          <w:rFonts w:cs="FrankRuehl"/>
          <w:color w:val="000000"/>
          <w:sz w:val="28"/>
          <w:szCs w:val="28"/>
        </w:rPr>
        <w:t>M-16</w:t>
      </w:r>
      <w:r>
        <w:rPr>
          <w:rFonts w:cs="FrankRuehl"/>
          <w:color w:val="000000"/>
          <w:sz w:val="28"/>
          <w:szCs w:val="28"/>
          <w:rtl/>
        </w:rPr>
        <w:t>, בתוך רכב. נסיבות אלה משקפות פגיעה לא מבוטלת בערכים החברתיים, הן בשל כך שמדובר בנשיאה למרחק משמעותי, והן בשל סוג הנשק.</w:t>
      </w:r>
    </w:p>
    <w:p w14:paraId="1224F118" w14:textId="77777777" w:rsidR="009810F5" w:rsidRDefault="009810F5" w:rsidP="009810F5">
      <w:pPr>
        <w:keepNext/>
        <w:tabs>
          <w:tab w:val="left" w:pos="702"/>
        </w:tabs>
        <w:spacing w:after="240"/>
        <w:rPr>
          <w:rFonts w:cs="FrankRuehl"/>
          <w:i/>
          <w:iCs/>
          <w:color w:val="000000"/>
          <w:sz w:val="28"/>
          <w:szCs w:val="28"/>
        </w:rPr>
      </w:pPr>
      <w:r>
        <w:rPr>
          <w:rFonts w:cs="FrankRuehl"/>
          <w:i/>
          <w:iCs/>
          <w:color w:val="000000"/>
          <w:sz w:val="28"/>
          <w:szCs w:val="28"/>
          <w:rtl/>
        </w:rPr>
        <w:t>ה(2)(2) נסיבות ביצוע העבירה (</w:t>
      </w:r>
      <w:hyperlink r:id="rId46" w:history="1">
        <w:r w:rsidR="00672F68" w:rsidRPr="00672F68">
          <w:rPr>
            <w:rFonts w:cs="FrankRuehl"/>
            <w:i/>
            <w:iCs/>
            <w:color w:val="0000FF"/>
            <w:sz w:val="28"/>
            <w:szCs w:val="28"/>
            <w:u w:val="single"/>
            <w:rtl/>
          </w:rPr>
          <w:t>סעיף 40ט(א)</w:t>
        </w:r>
      </w:hyperlink>
      <w:r>
        <w:rPr>
          <w:rFonts w:cs="FrankRuehl"/>
          <w:i/>
          <w:iCs/>
          <w:color w:val="000000"/>
          <w:sz w:val="28"/>
          <w:szCs w:val="28"/>
          <w:rtl/>
        </w:rPr>
        <w:t xml:space="preserve"> ל</w:t>
      </w:r>
      <w:hyperlink r:id="rId47" w:history="1">
        <w:r w:rsidR="002E2476" w:rsidRPr="002E2476">
          <w:rPr>
            <w:rFonts w:cs="FrankRuehl"/>
            <w:i/>
            <w:iCs/>
            <w:color w:val="0000FF"/>
            <w:sz w:val="28"/>
            <w:szCs w:val="28"/>
            <w:u w:val="single"/>
            <w:rtl/>
          </w:rPr>
          <w:t>חוק העונשין</w:t>
        </w:r>
      </w:hyperlink>
      <w:r>
        <w:rPr>
          <w:rFonts w:cs="FrankRuehl"/>
          <w:i/>
          <w:iCs/>
          <w:color w:val="000000"/>
          <w:sz w:val="28"/>
          <w:szCs w:val="28"/>
          <w:rtl/>
        </w:rPr>
        <w:t>)</w:t>
      </w:r>
    </w:p>
    <w:p w14:paraId="2E41CE42"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הנסיבות הבסיסיות עולות מתיאור המעשים בכתב האישום: נשיאת רובה, שהוא נשק התקפי, ברכב, באישון ליל, אם כי מדובר היה ברובה </w:t>
      </w:r>
      <w:r w:rsidRPr="00496479">
        <w:rPr>
          <w:rFonts w:cs="FrankRuehl"/>
          <w:color w:val="000000"/>
          <w:sz w:val="28"/>
          <w:szCs w:val="28"/>
          <w:rtl/>
        </w:rPr>
        <w:t>דמוי</w:t>
      </w:r>
      <w:r>
        <w:rPr>
          <w:rFonts w:cs="FrankRuehl"/>
          <w:color w:val="000000"/>
          <w:sz w:val="28"/>
          <w:szCs w:val="28"/>
          <w:rtl/>
        </w:rPr>
        <w:t xml:space="preserve"> </w:t>
      </w:r>
      <w:r>
        <w:rPr>
          <w:rFonts w:cs="FrankRuehl"/>
          <w:color w:val="000000"/>
          <w:sz w:val="28"/>
          <w:szCs w:val="28"/>
        </w:rPr>
        <w:t>M-16</w:t>
      </w:r>
      <w:r>
        <w:rPr>
          <w:rFonts w:cs="FrankRuehl"/>
          <w:color w:val="000000"/>
          <w:sz w:val="28"/>
          <w:szCs w:val="28"/>
          <w:rtl/>
        </w:rPr>
        <w:t xml:space="preserve"> ולא ברובה מקורי. הנשיאה הייתה מתוכננת מעצם טיבה (</w:t>
      </w:r>
      <w:hyperlink r:id="rId48" w:history="1">
        <w:r w:rsidR="00672F68" w:rsidRPr="00672F68">
          <w:rPr>
            <w:rFonts w:cs="FrankRuehl"/>
            <w:color w:val="0000FF"/>
            <w:sz w:val="28"/>
            <w:szCs w:val="28"/>
            <w:u w:val="single"/>
            <w:rtl/>
          </w:rPr>
          <w:t>ס"ק (1))</w:t>
        </w:r>
      </w:hyperlink>
      <w:r>
        <w:rPr>
          <w:rFonts w:cs="FrankRuehl"/>
          <w:color w:val="000000"/>
          <w:sz w:val="28"/>
          <w:szCs w:val="28"/>
          <w:rtl/>
        </w:rPr>
        <w:t>; הנאשם ביצע אותה לבדו ולא נטען כי אחר השפיע עליו (</w:t>
      </w:r>
      <w:hyperlink r:id="rId49" w:history="1">
        <w:r w:rsidR="00672F68" w:rsidRPr="00672F68">
          <w:rPr>
            <w:rFonts w:cs="FrankRuehl"/>
            <w:color w:val="0000FF"/>
            <w:sz w:val="28"/>
            <w:szCs w:val="28"/>
            <w:u w:val="single"/>
            <w:rtl/>
          </w:rPr>
          <w:t>ס"ק (2))</w:t>
        </w:r>
      </w:hyperlink>
      <w:r>
        <w:rPr>
          <w:rFonts w:cs="FrankRuehl"/>
          <w:color w:val="000000"/>
          <w:sz w:val="28"/>
          <w:szCs w:val="28"/>
          <w:rtl/>
        </w:rPr>
        <w:t>; הנזק שהיה עלול להיגרם הוא נזק לחיים או לגוף (</w:t>
      </w:r>
      <w:hyperlink r:id="rId50" w:history="1">
        <w:r w:rsidR="00672F68" w:rsidRPr="00672F68">
          <w:rPr>
            <w:rFonts w:cs="FrankRuehl"/>
            <w:color w:val="0000FF"/>
            <w:sz w:val="28"/>
            <w:szCs w:val="28"/>
            <w:u w:val="single"/>
            <w:rtl/>
          </w:rPr>
          <w:t>ס"ק (3))</w:t>
        </w:r>
      </w:hyperlink>
      <w:r>
        <w:rPr>
          <w:rFonts w:cs="FrankRuehl"/>
          <w:color w:val="000000"/>
          <w:sz w:val="28"/>
          <w:szCs w:val="28"/>
          <w:rtl/>
        </w:rPr>
        <w:t>; ולמרבה המזל לא נגרם נזק בפועל, מה גם שהרובה נתפס על ידי המאשימה (</w:t>
      </w:r>
      <w:hyperlink r:id="rId51" w:history="1">
        <w:r w:rsidR="00672F68" w:rsidRPr="00672F68">
          <w:rPr>
            <w:rFonts w:cs="FrankRuehl"/>
            <w:color w:val="0000FF"/>
            <w:sz w:val="28"/>
            <w:szCs w:val="28"/>
            <w:u w:val="single"/>
            <w:rtl/>
          </w:rPr>
          <w:t>ס"ק (4)).</w:t>
        </w:r>
      </w:hyperlink>
      <w:r>
        <w:rPr>
          <w:rFonts w:cs="FrankRuehl"/>
          <w:color w:val="000000"/>
          <w:sz w:val="28"/>
          <w:szCs w:val="28"/>
          <w:rtl/>
        </w:rPr>
        <w:t xml:space="preserve"> לא הובהר מה היה המניע </w:t>
      </w:r>
      <w:r>
        <w:rPr>
          <w:rFonts w:cs="FrankRuehl" w:hint="cs"/>
          <w:color w:val="000000"/>
          <w:sz w:val="28"/>
          <w:szCs w:val="28"/>
          <w:rtl/>
        </w:rPr>
        <w:t xml:space="preserve">הקונקרטי </w:t>
      </w:r>
      <w:r>
        <w:rPr>
          <w:rFonts w:cs="FrankRuehl"/>
          <w:color w:val="000000"/>
          <w:sz w:val="28"/>
          <w:szCs w:val="28"/>
          <w:rtl/>
        </w:rPr>
        <w:t>למעשהו של הנאשם (</w:t>
      </w:r>
      <w:hyperlink r:id="rId52" w:history="1">
        <w:r w:rsidR="00672F68" w:rsidRPr="00672F68">
          <w:rPr>
            <w:rFonts w:cs="FrankRuehl"/>
            <w:color w:val="0000FF"/>
            <w:sz w:val="28"/>
            <w:szCs w:val="28"/>
            <w:u w:val="single"/>
            <w:rtl/>
          </w:rPr>
          <w:t>ס"ק (5))</w:t>
        </w:r>
      </w:hyperlink>
      <w:r>
        <w:rPr>
          <w:rFonts w:cs="FrankRuehl"/>
          <w:color w:val="000000"/>
          <w:sz w:val="28"/>
          <w:szCs w:val="28"/>
          <w:rtl/>
        </w:rPr>
        <w:t>, ולא נטען להתקיימותן של נסיבות ייחודיות אחרות (</w:t>
      </w:r>
      <w:hyperlink r:id="rId53" w:history="1">
        <w:r w:rsidR="00672F68" w:rsidRPr="00672F68">
          <w:rPr>
            <w:rFonts w:cs="FrankRuehl"/>
            <w:color w:val="0000FF"/>
            <w:sz w:val="28"/>
            <w:szCs w:val="28"/>
            <w:u w:val="single"/>
            <w:rtl/>
          </w:rPr>
          <w:t>ס"ק (6)-(11)).</w:t>
        </w:r>
      </w:hyperlink>
    </w:p>
    <w:p w14:paraId="2D9277B8"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באת כוח הנאשם ייחסה כאמור משקל משמעותי לכך שלא נקבע שעם הרובה נישאה תחמושת. אכן, לנסיבה זו יש משקל, והיא מלמדת שהנזק המיידי הצפוי מהרובה במצב שבו נשא אותו הנאשם היה מתון. עם זאת הדעת נותנת שהרובה הוחזק</w:t>
      </w:r>
      <w:r>
        <w:rPr>
          <w:rFonts w:cs="FrankRuehl" w:hint="cs"/>
          <w:color w:val="000000"/>
          <w:sz w:val="28"/>
          <w:szCs w:val="28"/>
          <w:rtl/>
        </w:rPr>
        <w:t>,</w:t>
      </w:r>
      <w:r>
        <w:rPr>
          <w:rFonts w:cs="FrankRuehl"/>
          <w:color w:val="000000"/>
          <w:sz w:val="28"/>
          <w:szCs w:val="28"/>
          <w:rtl/>
        </w:rPr>
        <w:t xml:space="preserve"> נישא והובל כדי שניתן יהיה להשתמש בו בעת הצורך ככלי ירייה, ובפראפרזה על הפתגם הידוע, "רובה הנישא במערכה הראשונה, עלול להיות כזה שייעשה בו שימוש במערכה השלישית".</w:t>
      </w:r>
    </w:p>
    <w:p w14:paraId="67079B18" w14:textId="77777777" w:rsidR="009810F5" w:rsidRDefault="009810F5" w:rsidP="009810F5">
      <w:pPr>
        <w:tabs>
          <w:tab w:val="left" w:pos="702"/>
        </w:tabs>
        <w:spacing w:after="240"/>
        <w:ind w:left="-7"/>
        <w:rPr>
          <w:rFonts w:cs="FrankRuehl"/>
          <w:i/>
          <w:iCs/>
          <w:color w:val="000000"/>
          <w:sz w:val="28"/>
          <w:szCs w:val="28"/>
          <w:rtl/>
        </w:rPr>
      </w:pPr>
      <w:r>
        <w:rPr>
          <w:rFonts w:cs="FrankRuehl"/>
          <w:i/>
          <w:iCs/>
          <w:color w:val="000000"/>
          <w:sz w:val="28"/>
          <w:szCs w:val="28"/>
          <w:rtl/>
        </w:rPr>
        <w:t xml:space="preserve">ה(2)(3) מדיניות הענישה הנהוגה </w:t>
      </w:r>
    </w:p>
    <w:p w14:paraId="29D5CBF9"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העונש המרבי לעבירת נשיאת נשק עומד על עשר שנות מאסר. העונש המזערי עומד, ככלל, על רבע מעונש זה, אם כי חלקו יכול להיגזר בדרך של מאסר על תנאי.</w:t>
      </w:r>
    </w:p>
    <w:p w14:paraId="09FEEAA6"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אשר למדיניות הענישה הנהוגה, הרי שבית המשפט העליון עמד לא אחת על החומרה שבה יש להתייחס אל עבירות נשק בכלל:</w:t>
      </w:r>
    </w:p>
    <w:p w14:paraId="137C97F5" w14:textId="77777777" w:rsidR="009810F5" w:rsidRDefault="009810F5" w:rsidP="009810F5">
      <w:pPr>
        <w:pStyle w:val="a9"/>
      </w:pPr>
      <w:r>
        <w:rPr>
          <w:rtl/>
        </w:rPr>
        <w:t>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והן מהוות בסיס לביצוע פעילות עבריינית, פשיעה לאומנית ופעולות טרור מסכנות חיים. זמינותם ונגישותם של כלי נשק בלתי חוקיים מאפשרות שימוש תדיר בנשק ככלי לפתרון סכסוכים, לעיתים תוך ירי באזורי מגורים, וגביית קורבנות בגוף ובנפש.</w:t>
      </w:r>
    </w:p>
    <w:p w14:paraId="2DDE4794" w14:textId="77777777" w:rsidR="009810F5" w:rsidRDefault="009810F5" w:rsidP="009810F5">
      <w:pPr>
        <w:pStyle w:val="a9"/>
      </w:pPr>
      <w:r>
        <w:rPr>
          <w:rtl/>
        </w:rPr>
        <w:t>בית משפט זה עמד לא אחת על כך שתרומתם העיקרית של בתי המשפט למיגור תופעת עבריינות הנשק ונגזרותיה היא בהטלת עונשים חמורים ומרתיעים על עברייני הנשק.</w:t>
      </w:r>
    </w:p>
    <w:p w14:paraId="436CCDBC" w14:textId="77777777" w:rsidR="009810F5" w:rsidRDefault="009810F5" w:rsidP="009810F5">
      <w:pPr>
        <w:pStyle w:val="a9"/>
        <w:spacing w:after="360"/>
      </w:pPr>
      <w:r>
        <w:rPr>
          <w:rtl/>
        </w:rPr>
        <w:t>(</w:t>
      </w:r>
      <w:hyperlink r:id="rId54" w:history="1">
        <w:r w:rsidR="002E2476" w:rsidRPr="002E2476">
          <w:rPr>
            <w:color w:val="0000FF"/>
            <w:u w:val="single"/>
            <w:rtl/>
          </w:rPr>
          <w:t>ע"פ 579/22</w:t>
        </w:r>
      </w:hyperlink>
      <w:r w:rsidR="002E2476">
        <w:rPr>
          <w:rtl/>
        </w:rPr>
        <w:t xml:space="preserve"> </w:t>
      </w:r>
      <w:r>
        <w:rPr>
          <w:rFonts w:ascii="Arial TUR" w:hAnsi="Arial TUR" w:cs="Miriam"/>
          <w:color w:val="auto"/>
          <w:sz w:val="24"/>
          <w:szCs w:val="24"/>
          <w:rtl/>
        </w:rPr>
        <w:t>מדינת ישראל נ' טחאינה</w:t>
      </w:r>
      <w:r>
        <w:rPr>
          <w:rtl/>
        </w:rPr>
        <w:t xml:space="preserve">, פיסקאות 16-15 (13.6.2022‏)‏, בהשמטת אסמכתאות; וראו עוד מבין רבים: </w:t>
      </w:r>
      <w:hyperlink r:id="rId55" w:history="1">
        <w:r w:rsidR="002E2476" w:rsidRPr="002E2476">
          <w:rPr>
            <w:color w:val="0000FF"/>
            <w:u w:val="single"/>
            <w:rtl/>
          </w:rPr>
          <w:t>ע"פ 3728/22</w:t>
        </w:r>
      </w:hyperlink>
      <w:r>
        <w:rPr>
          <w:rtl/>
        </w:rPr>
        <w:t xml:space="preserve"> </w:t>
      </w:r>
      <w:r>
        <w:rPr>
          <w:rFonts w:ascii="Arial TUR" w:hAnsi="Arial TUR" w:cs="Miriam"/>
          <w:color w:val="auto"/>
          <w:sz w:val="24"/>
          <w:szCs w:val="24"/>
          <w:rtl/>
        </w:rPr>
        <w:t>מסאלחה נ' מדינת ישראל</w:t>
      </w:r>
      <w:r>
        <w:rPr>
          <w:rtl/>
        </w:rPr>
        <w:t xml:space="preserve">, פיסקה 14 (9.8.2022); </w:t>
      </w:r>
      <w:hyperlink r:id="rId56" w:history="1">
        <w:r w:rsidR="002E2476" w:rsidRPr="002E2476">
          <w:rPr>
            <w:color w:val="0000FF"/>
            <w:u w:val="single"/>
            <w:rtl/>
          </w:rPr>
          <w:t>ע"פ 2283/22</w:t>
        </w:r>
      </w:hyperlink>
      <w:r>
        <w:rPr>
          <w:rtl/>
        </w:rPr>
        <w:t xml:space="preserve"> </w:t>
      </w:r>
      <w:r>
        <w:rPr>
          <w:rFonts w:ascii="Arial TUR" w:hAnsi="Arial TUR" w:cs="Miriam"/>
          <w:color w:val="auto"/>
          <w:sz w:val="24"/>
          <w:szCs w:val="24"/>
          <w:rtl/>
        </w:rPr>
        <w:t>אל נבארי נ' מדינת ישראל</w:t>
      </w:r>
      <w:r>
        <w:rPr>
          <w:rtl/>
        </w:rPr>
        <w:t xml:space="preserve">, פיסקאות 14-13 (31.7.2022); </w:t>
      </w:r>
      <w:hyperlink r:id="rId57" w:history="1">
        <w:r w:rsidR="002E2476" w:rsidRPr="002E2476">
          <w:rPr>
            <w:color w:val="0000FF"/>
            <w:u w:val="single"/>
            <w:rtl/>
          </w:rPr>
          <w:t>ע"פ 3569/22</w:t>
        </w:r>
      </w:hyperlink>
      <w:r>
        <w:rPr>
          <w:rtl/>
        </w:rPr>
        <w:t xml:space="preserve"> </w:t>
      </w:r>
      <w:r>
        <w:rPr>
          <w:rFonts w:ascii="Arial TUR" w:hAnsi="Arial TUR" w:cs="Miriam"/>
          <w:color w:val="auto"/>
          <w:sz w:val="24"/>
          <w:szCs w:val="24"/>
          <w:rtl/>
        </w:rPr>
        <w:t>מדינת ישראל נ' חדיד</w:t>
      </w:r>
      <w:r>
        <w:rPr>
          <w:rtl/>
        </w:rPr>
        <w:t>, פיסקאות 8-7 (23.6.2022)).</w:t>
      </w:r>
    </w:p>
    <w:p w14:paraId="401D7E63"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מדיניות ההחמרה בענישה בגין עבירות נשק מתבטאת בתיקון החקיקה שבו כאמור הוספו עונשים מזעריים לעבירות נשק שונות (</w:t>
      </w:r>
      <w:hyperlink r:id="rId58" w:history="1">
        <w:r w:rsidR="00672F68" w:rsidRPr="00672F68">
          <w:rPr>
            <w:rFonts w:cs="FrankRuehl"/>
            <w:color w:val="0000FF"/>
            <w:sz w:val="28"/>
            <w:szCs w:val="28"/>
            <w:u w:val="single"/>
            <w:rtl/>
          </w:rPr>
          <w:t>סעיף 144(ז)</w:t>
        </w:r>
      </w:hyperlink>
      <w:r>
        <w:rPr>
          <w:rFonts w:cs="FrankRuehl"/>
          <w:color w:val="000000"/>
          <w:sz w:val="28"/>
          <w:szCs w:val="28"/>
          <w:rtl/>
        </w:rPr>
        <w:t xml:space="preserve"> ל</w:t>
      </w:r>
      <w:hyperlink r:id="rId59" w:history="1">
        <w:r w:rsidR="002E2476" w:rsidRPr="002E2476">
          <w:rPr>
            <w:rFonts w:cs="FrankRuehl"/>
            <w:color w:val="0000FF"/>
            <w:sz w:val="28"/>
            <w:szCs w:val="28"/>
            <w:u w:val="single"/>
            <w:rtl/>
          </w:rPr>
          <w:t>חוק העונשין</w:t>
        </w:r>
      </w:hyperlink>
      <w:r>
        <w:rPr>
          <w:rFonts w:cs="FrankRuehl"/>
          <w:color w:val="000000"/>
          <w:sz w:val="28"/>
          <w:szCs w:val="28"/>
          <w:rtl/>
        </w:rPr>
        <w:t xml:space="preserve"> בנוסחו היום).</w:t>
      </w:r>
    </w:p>
    <w:p w14:paraId="468674AE"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על יסוד מדיניות כללית זו, נקבע ב</w:t>
      </w:r>
      <w:hyperlink r:id="rId60" w:history="1">
        <w:r w:rsidR="002E2476" w:rsidRPr="002E2476">
          <w:rPr>
            <w:rFonts w:cs="FrankRuehl"/>
            <w:color w:val="0000FF"/>
            <w:sz w:val="28"/>
            <w:szCs w:val="28"/>
            <w:u w:val="single"/>
            <w:rtl/>
          </w:rPr>
          <w:t>ע"פ 5602/22</w:t>
        </w:r>
      </w:hyperlink>
      <w:r>
        <w:rPr>
          <w:rFonts w:cs="FrankRuehl"/>
          <w:color w:val="000000"/>
          <w:sz w:val="28"/>
          <w:szCs w:val="28"/>
          <w:rtl/>
        </w:rPr>
        <w:t xml:space="preserve"> </w:t>
      </w:r>
      <w:r>
        <w:rPr>
          <w:rFonts w:cs="Miriam"/>
          <w:color w:val="000000"/>
          <w:sz w:val="18"/>
          <w:rtl/>
        </w:rPr>
        <w:t>מדינת ישראל נ' פלוני</w:t>
      </w:r>
      <w:r>
        <w:rPr>
          <w:rFonts w:cs="FrankRuehl"/>
          <w:color w:val="000000"/>
          <w:rtl/>
        </w:rPr>
        <w:t xml:space="preserve"> </w:t>
      </w:r>
      <w:r>
        <w:rPr>
          <w:rFonts w:cs="FrankRuehl"/>
          <w:color w:val="000000"/>
          <w:sz w:val="28"/>
          <w:szCs w:val="28"/>
          <w:rtl/>
        </w:rPr>
        <w:t>(14.9.2022) שאליו הפנתה המאשימה ועסק בעבירה של נשיאת נשק, כי</w:t>
      </w:r>
    </w:p>
    <w:p w14:paraId="2F371373" w14:textId="77777777" w:rsidR="009810F5" w:rsidRDefault="009810F5" w:rsidP="009810F5">
      <w:pPr>
        <w:pStyle w:val="a9"/>
        <w:rPr>
          <w:rtl/>
        </w:rPr>
      </w:pPr>
      <w:r>
        <w:rPr>
          <w:rtl/>
        </w:rPr>
        <w:t xml:space="preserve">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הווה אומר: באין נסיבות מיוחדות לחומרא או לקולא, יהא זה בהחלט סביר אם בית משפט יטיל על נאשם כאמור עונש של 36 חודשי מאסר לריצוי בפועל. </w:t>
      </w:r>
      <w:r>
        <w:rPr>
          <w:rFonts w:ascii="Arial TUR" w:hAnsi="Arial TUR" w:cs="Miriam"/>
          <w:color w:val="auto"/>
          <w:sz w:val="24"/>
          <w:szCs w:val="24"/>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p>
    <w:p w14:paraId="6EF1ED41" w14:textId="77777777" w:rsidR="009810F5" w:rsidRDefault="009810F5" w:rsidP="009810F5">
      <w:pPr>
        <w:pStyle w:val="a9"/>
        <w:spacing w:after="240"/>
      </w:pPr>
      <w:r>
        <w:rPr>
          <w:rtl/>
        </w:rPr>
        <w:t>(</w:t>
      </w:r>
      <w:r>
        <w:rPr>
          <w:rFonts w:ascii="Arial TUR" w:hAnsi="Arial TUR" w:cs="Miriam"/>
          <w:color w:val="auto"/>
          <w:sz w:val="24"/>
          <w:szCs w:val="24"/>
          <w:rtl/>
        </w:rPr>
        <w:t>שם</w:t>
      </w:r>
      <w:r>
        <w:rPr>
          <w:rtl/>
        </w:rPr>
        <w:t>, פיסקה 16 (14.9.2022), ההדגשה במקור).</w:t>
      </w:r>
    </w:p>
    <w:p w14:paraId="5227C595"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דברים ברוח דומה נקבעו עוד קודם לכן </w:t>
      </w:r>
      <w:r>
        <w:rPr>
          <w:rFonts w:ascii="FrankRuehl" w:hAnsi="FrankRuehl" w:cs="FrankRuehl"/>
          <w:sz w:val="28"/>
          <w:szCs w:val="28"/>
          <w:rtl/>
        </w:rPr>
        <w:t>ב</w:t>
      </w:r>
      <w:hyperlink r:id="rId61" w:history="1">
        <w:r w:rsidR="002E2476" w:rsidRPr="002E2476">
          <w:rPr>
            <w:rFonts w:ascii="FrankRuehl" w:hAnsi="FrankRuehl" w:cs="FrankRuehl"/>
            <w:color w:val="0000FF"/>
            <w:sz w:val="28"/>
            <w:szCs w:val="28"/>
            <w:u w:val="single"/>
            <w:rtl/>
          </w:rPr>
          <w:t>ע"פ 4077/22</w:t>
        </w:r>
      </w:hyperlink>
      <w:r>
        <w:rPr>
          <w:rFonts w:ascii="FrankRuehl" w:hAnsi="FrankRuehl" w:cs="FrankRuehl"/>
          <w:sz w:val="28"/>
          <w:szCs w:val="28"/>
          <w:rtl/>
        </w:rPr>
        <w:t xml:space="preserve"> </w:t>
      </w:r>
      <w:r>
        <w:rPr>
          <w:rFonts w:ascii="Miriam" w:hAnsi="Miriam" w:cs="Miriam"/>
          <w:sz w:val="18"/>
          <w:rtl/>
        </w:rPr>
        <w:t>פלוני נ' מדינת ישראל</w:t>
      </w:r>
      <w:r>
        <w:rPr>
          <w:rFonts w:ascii="FrankRuehl" w:hAnsi="FrankRuehl" w:cs="FrankRuehl"/>
          <w:sz w:val="28"/>
          <w:szCs w:val="28"/>
          <w:rtl/>
        </w:rPr>
        <w:t>, פיסקה 13 (28.7.2022), שם נאמר‏‏</w:t>
      </w:r>
      <w:r>
        <w:rPr>
          <w:rFonts w:cs="FrankRuehl"/>
          <w:color w:val="000000"/>
          <w:sz w:val="28"/>
          <w:szCs w:val="28"/>
          <w:rtl/>
        </w:rPr>
        <w:t xml:space="preserve"> כי "מאסר בפועל בסביבתן של שלוש שנים הולם הובלה ונשיאה חד-פעמית של נשק..." (וראו גם </w:t>
      </w:r>
      <w:hyperlink r:id="rId62" w:history="1">
        <w:r w:rsidR="002E2476" w:rsidRPr="002E2476">
          <w:rPr>
            <w:rFonts w:cs="FrankRuehl"/>
            <w:color w:val="0000FF"/>
            <w:sz w:val="28"/>
            <w:szCs w:val="28"/>
            <w:u w:val="single"/>
            <w:rtl/>
          </w:rPr>
          <w:t>ע"פ 7971/23</w:t>
        </w:r>
      </w:hyperlink>
      <w:r>
        <w:rPr>
          <w:rFonts w:cs="FrankRuehl"/>
          <w:color w:val="000000"/>
          <w:sz w:val="28"/>
          <w:szCs w:val="28"/>
          <w:rtl/>
        </w:rPr>
        <w:t xml:space="preserve"> </w:t>
      </w:r>
      <w:r>
        <w:rPr>
          <w:rFonts w:ascii="Miriam" w:hAnsi="Miriam" w:cs="Miriam"/>
          <w:sz w:val="18"/>
          <w:rtl/>
        </w:rPr>
        <w:t>אגבאריה נ' מדינת ישראל</w:t>
      </w:r>
      <w:r>
        <w:rPr>
          <w:rFonts w:cs="FrankRuehl"/>
          <w:color w:val="000000"/>
          <w:sz w:val="28"/>
          <w:szCs w:val="28"/>
          <w:rtl/>
        </w:rPr>
        <w:t xml:space="preserve"> (26.5.2024), שאליו הפנתה באת כוח הנאשם).</w:t>
      </w:r>
    </w:p>
    <w:p w14:paraId="5AD3BF6B" w14:textId="77777777" w:rsidR="009810F5" w:rsidRDefault="009810F5" w:rsidP="009810F5">
      <w:pPr>
        <w:tabs>
          <w:tab w:val="left" w:pos="702"/>
        </w:tabs>
        <w:spacing w:after="240" w:line="360" w:lineRule="auto"/>
        <w:ind w:left="-7"/>
        <w:jc w:val="both"/>
        <w:rPr>
          <w:rFonts w:cs="FrankRuehl"/>
          <w:color w:val="000000"/>
          <w:sz w:val="28"/>
          <w:szCs w:val="28"/>
        </w:rPr>
      </w:pPr>
      <w:r>
        <w:rPr>
          <w:rFonts w:cs="FrankRuehl"/>
          <w:color w:val="000000"/>
          <w:sz w:val="28"/>
          <w:szCs w:val="28"/>
          <w:rtl/>
        </w:rPr>
        <w:tab/>
        <w:t>ואכן, לא מכבר שב בית המשפט העליון וקבע כי "נשיאה והובלה של נשק התקפי, היא כשלעצמה מחייבת, בנסיבות רגילות-מקלות, מאסר לתקופה של שלוש שנים" (</w:t>
      </w:r>
      <w:hyperlink r:id="rId63" w:history="1">
        <w:r w:rsidR="002E2476" w:rsidRPr="002E2476">
          <w:rPr>
            <w:rFonts w:cs="FrankRuehl"/>
            <w:color w:val="0000FF"/>
            <w:sz w:val="28"/>
            <w:szCs w:val="28"/>
            <w:u w:val="single"/>
            <w:rtl/>
          </w:rPr>
          <w:t>ע"פ 6527/23</w:t>
        </w:r>
      </w:hyperlink>
      <w:r>
        <w:rPr>
          <w:rFonts w:cs="FrankRuehl"/>
          <w:color w:val="000000"/>
          <w:sz w:val="28"/>
          <w:szCs w:val="28"/>
          <w:rtl/>
        </w:rPr>
        <w:t xml:space="preserve"> </w:t>
      </w:r>
      <w:r>
        <w:rPr>
          <w:rFonts w:ascii="Miriam" w:hAnsi="Miriam" w:cs="Miriam"/>
          <w:sz w:val="18"/>
          <w:rtl/>
        </w:rPr>
        <w:t>מדחת נ' מדינת ישראל</w:t>
      </w:r>
      <w:r>
        <w:rPr>
          <w:rFonts w:cs="FrankRuehl"/>
          <w:color w:val="000000"/>
          <w:sz w:val="28"/>
          <w:szCs w:val="28"/>
          <w:rtl/>
        </w:rPr>
        <w:t>, פיסקה 11 (12.1.2025)).</w:t>
      </w:r>
    </w:p>
    <w:p w14:paraId="086340FE" w14:textId="77777777" w:rsidR="009810F5" w:rsidRDefault="009810F5" w:rsidP="009810F5">
      <w:pPr>
        <w:keepNext/>
        <w:tabs>
          <w:tab w:val="left" w:pos="702"/>
        </w:tabs>
        <w:spacing w:after="240"/>
        <w:rPr>
          <w:rFonts w:cs="FrankRuehl"/>
          <w:color w:val="000000"/>
          <w:sz w:val="28"/>
          <w:szCs w:val="28"/>
          <w:rtl/>
        </w:rPr>
      </w:pPr>
      <w:r>
        <w:rPr>
          <w:rFonts w:cs="FrankRuehl"/>
          <w:i/>
          <w:iCs/>
          <w:color w:val="000000"/>
          <w:sz w:val="28"/>
          <w:szCs w:val="28"/>
          <w:rtl/>
        </w:rPr>
        <w:t>ה(2)(4) המסקנה בעניין מתחם העונש ההולם</w:t>
      </w:r>
    </w:p>
    <w:p w14:paraId="62C110EF"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על רקע הערכים החברתיים שנפגעו; על רקע נסיבות ביצוע העבירה על ידי הנאשם ומידת הפגיעה בערכים כעולה מן האמור לעיל; ועל רקע פסקי הדין שהובאו והמתחם שהותווה בהם ביחס לנשיאת רובה כמו במקרה שכאן</w:t>
      </w:r>
      <w:r>
        <w:rPr>
          <w:rFonts w:ascii="FrankRuehl" w:hAnsi="FrankRuehl" w:cs="FrankRuehl" w:hint="cs"/>
          <w:color w:val="000000"/>
          <w:sz w:val="28"/>
          <w:szCs w:val="28"/>
          <w:rtl/>
        </w:rPr>
        <w:t>;</w:t>
      </w:r>
      <w:r>
        <w:rPr>
          <w:rFonts w:ascii="FrankRuehl" w:hAnsi="FrankRuehl" w:cs="FrankRuehl"/>
          <w:color w:val="000000"/>
          <w:sz w:val="28"/>
          <w:szCs w:val="28"/>
          <w:rtl/>
        </w:rPr>
        <w:t xml:space="preserve"> ומנגד תוך מתן משקל לכך שמדובר ברובה דמוי </w:t>
      </w:r>
      <w:r>
        <w:rPr>
          <w:rFonts w:ascii="FrankRuehl" w:hAnsi="FrankRuehl" w:cs="FrankRuehl"/>
          <w:color w:val="000000"/>
          <w:sz w:val="28"/>
          <w:szCs w:val="28"/>
        </w:rPr>
        <w:t>M-16</w:t>
      </w:r>
      <w:r>
        <w:rPr>
          <w:rFonts w:ascii="FrankRuehl" w:hAnsi="FrankRuehl" w:cs="FrankRuehl"/>
          <w:color w:val="000000"/>
          <w:sz w:val="28"/>
          <w:szCs w:val="28"/>
          <w:rtl/>
        </w:rPr>
        <w:t xml:space="preserve"> </w:t>
      </w:r>
      <w:r>
        <w:rPr>
          <w:rFonts w:ascii="FrankRuehl" w:hAnsi="FrankRuehl" w:cs="FrankRuehl" w:hint="cs"/>
          <w:color w:val="000000"/>
          <w:sz w:val="28"/>
          <w:szCs w:val="28"/>
          <w:rtl/>
        </w:rPr>
        <w:t>ו</w:t>
      </w:r>
      <w:r>
        <w:rPr>
          <w:rFonts w:ascii="Miriam" w:hAnsi="Miriam" w:cs="Miriam"/>
          <w:sz w:val="18"/>
          <w:rtl/>
        </w:rPr>
        <w:t>ללא תחמושת כלשהי</w:t>
      </w:r>
      <w:r>
        <w:rPr>
          <w:rFonts w:ascii="FrankRuehl" w:hAnsi="FrankRuehl" w:cs="FrankRuehl"/>
          <w:color w:val="000000"/>
          <w:sz w:val="28"/>
          <w:szCs w:val="28"/>
          <w:rtl/>
        </w:rPr>
        <w:t xml:space="preserve"> –</w:t>
      </w:r>
      <w:r>
        <w:rPr>
          <w:rFonts w:cs="FrankRuehl"/>
          <w:color w:val="000000"/>
          <w:sz w:val="28"/>
          <w:szCs w:val="28"/>
          <w:rtl/>
        </w:rPr>
        <w:t xml:space="preserve"> סבורני כי יש להעמיד את מתחם העונש ההולם על בין 26 ל-40 חודשי מאסר בפועל, ולצידם עונשים נלווים.</w:t>
      </w:r>
    </w:p>
    <w:p w14:paraId="23B397AA" w14:textId="77777777" w:rsidR="009810F5" w:rsidRDefault="009810F5" w:rsidP="009810F5">
      <w:pPr>
        <w:tabs>
          <w:tab w:val="left" w:pos="702"/>
        </w:tabs>
        <w:spacing w:after="240"/>
        <w:rPr>
          <w:rFonts w:cs="FrankRuehl"/>
          <w:color w:val="000000"/>
          <w:sz w:val="28"/>
          <w:szCs w:val="28"/>
          <w:u w:val="single"/>
        </w:rPr>
      </w:pPr>
      <w:r>
        <w:rPr>
          <w:rFonts w:cs="FrankRuehl"/>
          <w:color w:val="000000"/>
          <w:sz w:val="28"/>
          <w:szCs w:val="28"/>
          <w:rtl/>
        </w:rPr>
        <w:t xml:space="preserve">ה(3) </w:t>
      </w:r>
      <w:r>
        <w:rPr>
          <w:rFonts w:cs="FrankRuehl"/>
          <w:color w:val="000000"/>
          <w:sz w:val="28"/>
          <w:szCs w:val="28"/>
          <w:u w:val="single"/>
          <w:rtl/>
        </w:rPr>
        <w:t>העונש המתאים לנאשם</w:t>
      </w:r>
    </w:p>
    <w:p w14:paraId="3BCE0B62"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בגזירת עונשו של הנאשם בתוך המתחם יש להתחשב בנסיבות שאינן קשורות בביצוע העבירות (</w:t>
      </w:r>
      <w:hyperlink r:id="rId64" w:history="1">
        <w:r w:rsidR="00672F68" w:rsidRPr="00672F68">
          <w:rPr>
            <w:rFonts w:cs="FrankRuehl"/>
            <w:color w:val="0000FF"/>
            <w:sz w:val="28"/>
            <w:szCs w:val="28"/>
            <w:u w:val="single"/>
            <w:rtl/>
          </w:rPr>
          <w:t>סעיף 40יא</w:t>
        </w:r>
      </w:hyperlink>
      <w:r>
        <w:rPr>
          <w:rFonts w:cs="FrankRuehl"/>
          <w:color w:val="000000"/>
          <w:sz w:val="28"/>
          <w:szCs w:val="28"/>
          <w:rtl/>
        </w:rPr>
        <w:t xml:space="preserve"> ל</w:t>
      </w:r>
      <w:hyperlink r:id="rId65" w:history="1">
        <w:r w:rsidR="002E2476" w:rsidRPr="002E2476">
          <w:rPr>
            <w:rFonts w:cs="FrankRuehl"/>
            <w:color w:val="0000FF"/>
            <w:sz w:val="28"/>
            <w:szCs w:val="28"/>
            <w:u w:val="single"/>
            <w:rtl/>
          </w:rPr>
          <w:t>חוק העונשין</w:t>
        </w:r>
      </w:hyperlink>
      <w:r>
        <w:rPr>
          <w:rFonts w:cs="FrankRuehl"/>
          <w:color w:val="000000"/>
          <w:sz w:val="28"/>
          <w:szCs w:val="28"/>
          <w:rtl/>
        </w:rPr>
        <w:t>), וכן בשיקולי הרתעה אישית והרתעת הרבים (</w:t>
      </w:r>
      <w:hyperlink r:id="rId66" w:history="1">
        <w:r w:rsidR="00672F68" w:rsidRPr="00672F68">
          <w:rPr>
            <w:rFonts w:cs="FrankRuehl"/>
            <w:color w:val="0000FF"/>
            <w:sz w:val="28"/>
            <w:szCs w:val="28"/>
            <w:u w:val="single"/>
            <w:rtl/>
          </w:rPr>
          <w:t>סעיפים 40ו-ז</w:t>
        </w:r>
      </w:hyperlink>
      <w:r>
        <w:rPr>
          <w:rFonts w:cs="FrankRuehl"/>
          <w:color w:val="000000"/>
          <w:sz w:val="28"/>
          <w:szCs w:val="28"/>
          <w:rtl/>
        </w:rPr>
        <w:t xml:space="preserve"> לחוק).</w:t>
      </w:r>
    </w:p>
    <w:p w14:paraId="6A977209"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הנאשם כבן 22. לזכותו פועלת העובדה שהוא נטל אחריות על מעשיו בפני בית המשפט, והביא לחיסכון במשאבים שיפוטיים ובמשאבי גורמי האכיפה. אמנם, הסדר הטיעון הושג לאחר העברת ההליך לשמיעת העדויות, אולם עדיין מדובר בשלב ראשוני של ההליך. לזכות הנאשם עומדות גם נסיבותיו המשפחתיות והסביבתיות המורכבות ביותר, כפי שעלו מעדות אחותו ומדבריו שלו, שחדרו אל הלב ושיקפו גם את תחושת העדר המוגנות העמוקה שחווה הנאשם</w:t>
      </w:r>
      <w:r>
        <w:rPr>
          <w:rFonts w:cs="FrankRuehl" w:hint="cs"/>
          <w:color w:val="000000"/>
          <w:sz w:val="28"/>
          <w:szCs w:val="28"/>
          <w:rtl/>
        </w:rPr>
        <w:t xml:space="preserve"> מקטנות</w:t>
      </w:r>
      <w:r>
        <w:rPr>
          <w:rFonts w:cs="FrankRuehl"/>
          <w:color w:val="000000"/>
          <w:sz w:val="28"/>
          <w:szCs w:val="28"/>
          <w:rtl/>
        </w:rPr>
        <w:t xml:space="preserve">. כמו כן עומד </w:t>
      </w:r>
      <w:r>
        <w:rPr>
          <w:rFonts w:cs="FrankRuehl" w:hint="cs"/>
          <w:color w:val="000000"/>
          <w:sz w:val="28"/>
          <w:szCs w:val="28"/>
          <w:rtl/>
        </w:rPr>
        <w:t xml:space="preserve">לזכות הנאשם </w:t>
      </w:r>
      <w:r>
        <w:rPr>
          <w:rFonts w:cs="FrankRuehl"/>
          <w:color w:val="000000"/>
          <w:sz w:val="28"/>
          <w:szCs w:val="28"/>
          <w:rtl/>
        </w:rPr>
        <w:t>ניסיונו</w:t>
      </w:r>
      <w:r>
        <w:rPr>
          <w:rFonts w:cs="FrankRuehl" w:hint="cs"/>
          <w:color w:val="000000"/>
          <w:sz w:val="28"/>
          <w:szCs w:val="28"/>
          <w:rtl/>
        </w:rPr>
        <w:t xml:space="preserve"> </w:t>
      </w:r>
      <w:r>
        <w:rPr>
          <w:rFonts w:cs="FrankRuehl"/>
          <w:color w:val="000000"/>
          <w:sz w:val="28"/>
          <w:szCs w:val="28"/>
          <w:rtl/>
        </w:rPr>
        <w:t>להשתלם, להתקדם, ללמוד, ולרכוש הכשרה מקצועית נורמטיבית ומגוונת. לזכות הנאשם עומדת גם העובדה שהוא עצור מזה כתשעה חודשים, ותנאי המעצר נוקשים מתנאי המאסר.</w:t>
      </w:r>
    </w:p>
    <w:p w14:paraId="4EFEAF64"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לחובת הנאשם עומד עברו הפלילי, שחרף גילו הצעיר כבר עומד על שתי הרשעות. אמנם ההרשעה הראשונה מתייחסת לעבירה שביצע הנאשם בהיותו כבן 13.5 בלבד, אולם מדובר בעבירה דומה לזו שכאן, ובעטיה ריצה הנאשם עונש ממושך במעון נעול. למרבה הצער, למרות זאת הנאשם לא למד את לקחו, ושב על </w:t>
      </w:r>
      <w:r>
        <w:rPr>
          <w:rFonts w:cs="FrankRuehl" w:hint="cs"/>
          <w:color w:val="000000"/>
          <w:sz w:val="28"/>
          <w:szCs w:val="28"/>
          <w:rtl/>
        </w:rPr>
        <w:t xml:space="preserve">עבירה דומה </w:t>
      </w:r>
      <w:r>
        <w:rPr>
          <w:rFonts w:cs="FrankRuehl"/>
          <w:color w:val="000000"/>
          <w:sz w:val="28"/>
          <w:szCs w:val="28"/>
          <w:rtl/>
        </w:rPr>
        <w:t>כעת. הרשעה נוספת היא בעבירות של ניסיון לתקיפת שוטר כשהתוקף מזוין בנשק חם או קר משנת 2021, ועונש של שבעה חודשי מאסר בפועל שהוטל על הנאשם לא הרתיע אותו מלבצע את העבירה הנוכחית. עובדות אלה מצדיקות ליתן משקל ממשי לשיקולי הרתעה אישית.</w:t>
      </w:r>
    </w:p>
    <w:p w14:paraId="1B9B6D4A" w14:textId="77777777" w:rsidR="009810F5" w:rsidRDefault="009810F5" w:rsidP="009810F5">
      <w:pPr>
        <w:keepNext/>
        <w:spacing w:after="240"/>
        <w:rPr>
          <w:rFonts w:cs="Miriam"/>
          <w:color w:val="000000"/>
        </w:rPr>
      </w:pPr>
      <w:r>
        <w:rPr>
          <w:rFonts w:cs="Miriam"/>
          <w:color w:val="000000"/>
          <w:rtl/>
        </w:rPr>
        <w:t>ו. סיכום</w:t>
      </w:r>
    </w:p>
    <w:p w14:paraId="34BC812E"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נוכח כל האמור, ותוך מתן משקל לנסיבות החיים המורכבות ול</w:t>
      </w:r>
      <w:r>
        <w:rPr>
          <w:rFonts w:cs="FrankRuehl" w:hint="cs"/>
          <w:color w:val="000000"/>
          <w:sz w:val="28"/>
          <w:szCs w:val="28"/>
          <w:rtl/>
        </w:rPr>
        <w:t xml:space="preserve">כך </w:t>
      </w:r>
      <w:r>
        <w:rPr>
          <w:rFonts w:cs="FrankRuehl"/>
          <w:color w:val="000000"/>
          <w:sz w:val="28"/>
          <w:szCs w:val="28"/>
          <w:rtl/>
        </w:rPr>
        <w:t>ש</w:t>
      </w:r>
      <w:r>
        <w:rPr>
          <w:rFonts w:cs="FrankRuehl" w:hint="cs"/>
          <w:color w:val="000000"/>
          <w:sz w:val="28"/>
          <w:szCs w:val="28"/>
          <w:rtl/>
        </w:rPr>
        <w:t xml:space="preserve">את </w:t>
      </w:r>
      <w:r>
        <w:rPr>
          <w:rFonts w:cs="FrankRuehl"/>
          <w:color w:val="000000"/>
          <w:sz w:val="28"/>
          <w:szCs w:val="28"/>
          <w:rtl/>
        </w:rPr>
        <w:t xml:space="preserve">עבירת הנשק הקודמת </w:t>
      </w:r>
      <w:r>
        <w:rPr>
          <w:rFonts w:cs="FrankRuehl" w:hint="cs"/>
          <w:color w:val="000000"/>
          <w:sz w:val="28"/>
          <w:szCs w:val="28"/>
          <w:rtl/>
        </w:rPr>
        <w:t xml:space="preserve">ביצע </w:t>
      </w:r>
      <w:r>
        <w:rPr>
          <w:rFonts w:cs="FrankRuehl"/>
          <w:color w:val="000000"/>
          <w:sz w:val="28"/>
          <w:szCs w:val="28"/>
          <w:rtl/>
        </w:rPr>
        <w:t xml:space="preserve">הנאשם </w:t>
      </w:r>
      <w:r>
        <w:rPr>
          <w:rFonts w:cs="FrankRuehl" w:hint="cs"/>
          <w:color w:val="000000"/>
          <w:sz w:val="28"/>
          <w:szCs w:val="28"/>
          <w:rtl/>
        </w:rPr>
        <w:t xml:space="preserve">בהיותו </w:t>
      </w:r>
      <w:r>
        <w:rPr>
          <w:rFonts w:cs="FrankRuehl"/>
          <w:color w:val="000000"/>
          <w:sz w:val="28"/>
          <w:szCs w:val="28"/>
          <w:rtl/>
        </w:rPr>
        <w:t>עוּל ימים, נגזרים בזאת על הנאשם העונשים הבאים:</w:t>
      </w:r>
    </w:p>
    <w:p w14:paraId="3EB49E9F" w14:textId="77777777" w:rsidR="009810F5" w:rsidRDefault="009810F5" w:rsidP="009810F5">
      <w:pPr>
        <w:numPr>
          <w:ilvl w:val="1"/>
          <w:numId w:val="2"/>
        </w:numPr>
        <w:tabs>
          <w:tab w:val="left" w:pos="702"/>
        </w:tabs>
        <w:spacing w:after="240" w:line="360" w:lineRule="auto"/>
        <w:jc w:val="both"/>
        <w:rPr>
          <w:rFonts w:cs="FrankRuehl"/>
          <w:color w:val="000000"/>
          <w:sz w:val="28"/>
          <w:szCs w:val="28"/>
        </w:rPr>
      </w:pPr>
      <w:r>
        <w:rPr>
          <w:rFonts w:cs="FrankRuehl"/>
          <w:color w:val="000000"/>
          <w:sz w:val="28"/>
          <w:szCs w:val="28"/>
          <w:rtl/>
        </w:rPr>
        <w:t>34 חודשי מאסר בפועל, שיימנו החל ממועד מעצר הנאשם בגין ההליך שכאן.</w:t>
      </w:r>
    </w:p>
    <w:p w14:paraId="32361C98" w14:textId="77777777" w:rsidR="009810F5" w:rsidRDefault="009810F5" w:rsidP="009810F5">
      <w:pPr>
        <w:numPr>
          <w:ilvl w:val="1"/>
          <w:numId w:val="2"/>
        </w:numPr>
        <w:tabs>
          <w:tab w:val="left" w:pos="702"/>
        </w:tabs>
        <w:spacing w:after="240" w:line="360" w:lineRule="auto"/>
        <w:jc w:val="both"/>
        <w:rPr>
          <w:rFonts w:cs="FrankRuehl"/>
          <w:color w:val="000000"/>
          <w:sz w:val="28"/>
          <w:szCs w:val="28"/>
        </w:rPr>
      </w:pPr>
      <w:r>
        <w:rPr>
          <w:rFonts w:cs="FrankRuehl"/>
          <w:color w:val="000000"/>
          <w:sz w:val="28"/>
          <w:szCs w:val="28"/>
          <w:rtl/>
        </w:rPr>
        <w:t>מאסר על-תנאי לתקופה של 12 חודשים. הנאשם יישא עונש זה אם בתוך שלוש שנים מיום שחרורו יעבור עבירת נשק מסוג פשע.</w:t>
      </w:r>
    </w:p>
    <w:p w14:paraId="60F3BD19" w14:textId="77777777" w:rsidR="009810F5" w:rsidRDefault="009810F5" w:rsidP="009810F5">
      <w:pPr>
        <w:numPr>
          <w:ilvl w:val="1"/>
          <w:numId w:val="2"/>
        </w:numPr>
        <w:tabs>
          <w:tab w:val="left" w:pos="702"/>
        </w:tabs>
        <w:spacing w:after="240" w:line="360" w:lineRule="auto"/>
        <w:jc w:val="both"/>
        <w:rPr>
          <w:rFonts w:cs="FrankRuehl"/>
          <w:color w:val="000000"/>
          <w:sz w:val="28"/>
          <w:szCs w:val="28"/>
        </w:rPr>
      </w:pPr>
      <w:r>
        <w:rPr>
          <w:rFonts w:cs="FrankRuehl"/>
          <w:color w:val="000000"/>
          <w:sz w:val="28"/>
          <w:szCs w:val="28"/>
          <w:rtl/>
        </w:rPr>
        <w:t>מאסר על תנאי לתקופה של 6 חודשים. הנאשם יישא עונש זה אם בתוך שלוש שנים מיום שחרורו יעבור עבירת מסוג עוון</w:t>
      </w:r>
      <w:r>
        <w:rPr>
          <w:rFonts w:cs="FrankRuehl" w:hint="cs"/>
          <w:color w:val="000000"/>
          <w:sz w:val="28"/>
          <w:szCs w:val="28"/>
          <w:rtl/>
        </w:rPr>
        <w:t xml:space="preserve"> הקשורה בנשק</w:t>
      </w:r>
      <w:r>
        <w:rPr>
          <w:rFonts w:cs="FrankRuehl"/>
          <w:color w:val="000000"/>
          <w:sz w:val="28"/>
          <w:szCs w:val="28"/>
          <w:rtl/>
        </w:rPr>
        <w:t>.</w:t>
      </w:r>
    </w:p>
    <w:p w14:paraId="01AA45AC" w14:textId="77777777" w:rsidR="009810F5" w:rsidRDefault="002E2476" w:rsidP="009810F5">
      <w:pPr>
        <w:numPr>
          <w:ilvl w:val="0"/>
          <w:numId w:val="1"/>
        </w:numPr>
        <w:tabs>
          <w:tab w:val="left" w:pos="702"/>
        </w:tabs>
        <w:spacing w:after="240" w:line="360" w:lineRule="auto"/>
        <w:ind w:left="-7" w:firstLine="0"/>
        <w:jc w:val="both"/>
        <w:rPr>
          <w:rFonts w:cs="FrankRuehl"/>
          <w:color w:val="000000"/>
          <w:sz w:val="28"/>
          <w:szCs w:val="28"/>
        </w:rPr>
      </w:pPr>
      <w:r w:rsidRPr="002E2476">
        <w:rPr>
          <w:rFonts w:cs="FrankRuehl"/>
          <w:color w:val="FFFFFF"/>
          <w:sz w:val="2"/>
          <w:szCs w:val="2"/>
          <w:rtl/>
        </w:rPr>
        <w:t>5129371</w:t>
      </w:r>
      <w:r w:rsidR="009810F5">
        <w:rPr>
          <w:rFonts w:cs="FrankRuehl"/>
          <w:color w:val="000000"/>
          <w:sz w:val="28"/>
          <w:szCs w:val="28"/>
          <w:rtl/>
        </w:rPr>
        <w:t>לבקשת המאשימה, ובהעדר התנגדות הנאשם, יחולט רכב טויוטה נושא לוחית רישוי 01084956 ששימש לביצוע העבירה. בשים לב לכך ולמשך המאסר, לא יוטל על הנאשם גם קנס.</w:t>
      </w:r>
    </w:p>
    <w:p w14:paraId="7C3F85F0" w14:textId="77777777" w:rsidR="009810F5" w:rsidRDefault="002E2476" w:rsidP="009810F5">
      <w:pPr>
        <w:numPr>
          <w:ilvl w:val="0"/>
          <w:numId w:val="1"/>
        </w:numPr>
        <w:tabs>
          <w:tab w:val="left" w:pos="702"/>
        </w:tabs>
        <w:spacing w:after="240" w:line="360" w:lineRule="auto"/>
        <w:ind w:left="-7" w:firstLine="0"/>
        <w:jc w:val="both"/>
        <w:rPr>
          <w:rFonts w:cs="FrankRuehl"/>
          <w:color w:val="000000"/>
          <w:sz w:val="28"/>
          <w:szCs w:val="28"/>
        </w:rPr>
      </w:pPr>
      <w:r w:rsidRPr="002E2476">
        <w:rPr>
          <w:rFonts w:cs="FrankRuehl"/>
          <w:color w:val="FFFFFF"/>
          <w:sz w:val="2"/>
          <w:szCs w:val="2"/>
          <w:rtl/>
        </w:rPr>
        <w:t>54678313</w:t>
      </w:r>
      <w:r w:rsidR="009810F5">
        <w:rPr>
          <w:rFonts w:cs="FrankRuehl"/>
          <w:color w:val="000000"/>
          <w:sz w:val="28"/>
          <w:szCs w:val="28"/>
          <w:rtl/>
        </w:rPr>
        <w:t>יש לקוות כי לאחר שחרורו אכן יגשים הנאשם את שאיפתו לחיים נורמטיביים, ויממש את עצמו</w:t>
      </w:r>
      <w:r w:rsidR="009810F5">
        <w:rPr>
          <w:rFonts w:cs="FrankRuehl" w:hint="cs"/>
          <w:color w:val="000000"/>
          <w:sz w:val="28"/>
          <w:szCs w:val="28"/>
          <w:rtl/>
        </w:rPr>
        <w:t>, בין ב</w:t>
      </w:r>
      <w:r w:rsidR="009810F5">
        <w:rPr>
          <w:rFonts w:cs="FrankRuehl"/>
          <w:color w:val="000000"/>
          <w:sz w:val="28"/>
          <w:szCs w:val="28"/>
          <w:rtl/>
        </w:rPr>
        <w:t>כיוונים המקצועיים המגוונים שאותם למד ו</w:t>
      </w:r>
      <w:r w:rsidR="009810F5">
        <w:rPr>
          <w:rFonts w:cs="FrankRuehl" w:hint="cs"/>
          <w:color w:val="000000"/>
          <w:sz w:val="28"/>
          <w:szCs w:val="28"/>
          <w:rtl/>
        </w:rPr>
        <w:t>בין ב</w:t>
      </w:r>
      <w:r w:rsidR="009810F5">
        <w:rPr>
          <w:rFonts w:cs="FrankRuehl"/>
          <w:color w:val="000000"/>
          <w:sz w:val="28"/>
          <w:szCs w:val="28"/>
          <w:rtl/>
        </w:rPr>
        <w:t>כיוונים אחרים.</w:t>
      </w:r>
    </w:p>
    <w:p w14:paraId="2C0239B5" w14:textId="77777777" w:rsidR="009810F5" w:rsidRDefault="009810F5" w:rsidP="009810F5">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ניתן לערער על פסק הדין בתוך 45 ימים.</w:t>
      </w:r>
    </w:p>
    <w:p w14:paraId="6C6C9AF6" w14:textId="77777777" w:rsidR="009810F5" w:rsidRPr="000F2247" w:rsidRDefault="002E2476" w:rsidP="009810F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אדר תשפ"ה, 23 מרץ 2025, במעמד הצדדים. </w:t>
      </w:r>
      <w:bookmarkEnd w:id="8"/>
      <w:r w:rsidR="009810F5">
        <w:rPr>
          <w:rFonts w:ascii="Arial" w:hAnsi="Arial"/>
          <w:b/>
          <w:bCs/>
          <w:sz w:val="26"/>
          <w:szCs w:val="26"/>
          <w:rtl/>
        </w:rPr>
        <w:tab/>
      </w:r>
      <w:r w:rsidR="009810F5">
        <w:rPr>
          <w:rFonts w:ascii="Arial" w:hAnsi="Arial"/>
          <w:b/>
          <w:bCs/>
          <w:sz w:val="26"/>
          <w:szCs w:val="26"/>
          <w:rtl/>
        </w:rPr>
        <w:tab/>
      </w:r>
      <w:r w:rsidR="009810F5">
        <w:rPr>
          <w:rFonts w:ascii="Arial" w:hAnsi="Arial"/>
          <w:b/>
          <w:bCs/>
          <w:sz w:val="26"/>
          <w:szCs w:val="26"/>
          <w:rtl/>
        </w:rPr>
        <w:tab/>
      </w:r>
      <w:r w:rsidR="009810F5">
        <w:rPr>
          <w:rFonts w:ascii="Arial" w:hAnsi="Arial"/>
          <w:b/>
          <w:bCs/>
          <w:sz w:val="26"/>
          <w:szCs w:val="26"/>
          <w:rtl/>
        </w:rPr>
        <w:tab/>
      </w:r>
      <w:r w:rsidR="009810F5">
        <w:rPr>
          <w:rFonts w:ascii="Arial" w:hAnsi="Arial"/>
          <w:b/>
          <w:bCs/>
          <w:sz w:val="26"/>
          <w:szCs w:val="26"/>
          <w:rtl/>
        </w:rPr>
        <w:tab/>
      </w:r>
      <w:r w:rsidR="009810F5">
        <w:rPr>
          <w:rFonts w:ascii="Arial" w:hAnsi="Arial"/>
          <w:b/>
          <w:bCs/>
          <w:sz w:val="26"/>
          <w:szCs w:val="26"/>
          <w:rtl/>
        </w:rPr>
        <w:tab/>
      </w:r>
      <w:r w:rsidR="009810F5">
        <w:rPr>
          <w:rFonts w:ascii="Arial" w:hAnsi="Arial"/>
          <w:b/>
          <w:bCs/>
          <w:sz w:val="26"/>
          <w:szCs w:val="26"/>
          <w:rtl/>
        </w:rPr>
        <w:tab/>
      </w:r>
      <w:r w:rsidR="009810F5">
        <w:rPr>
          <w:rFonts w:ascii="Arial" w:hAnsi="Arial" w:hint="cs"/>
          <w:b/>
          <w:bCs/>
          <w:sz w:val="26"/>
          <w:szCs w:val="26"/>
          <w:rtl/>
        </w:rPr>
        <w:t xml:space="preserve">         </w:t>
      </w:r>
    </w:p>
    <w:p w14:paraId="1D81B0C7" w14:textId="77777777" w:rsidR="009810F5" w:rsidRPr="000F2247" w:rsidRDefault="009810F5" w:rsidP="002E247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3677ADE" w14:textId="77777777" w:rsidR="009810F5" w:rsidRPr="00672F68" w:rsidRDefault="00672F68" w:rsidP="009810F5">
      <w:pPr>
        <w:jc w:val="center"/>
        <w:rPr>
          <w:rFonts w:ascii="Arial" w:hAnsi="Arial"/>
          <w:b/>
          <w:bCs/>
          <w:color w:val="FFFFFF"/>
          <w:sz w:val="2"/>
          <w:szCs w:val="2"/>
          <w:rtl/>
        </w:rPr>
      </w:pPr>
      <w:r w:rsidRPr="00672F68">
        <w:rPr>
          <w:rFonts w:ascii="Arial" w:hAnsi="Arial"/>
          <w:b/>
          <w:bCs/>
          <w:color w:val="FFFFFF"/>
          <w:sz w:val="2"/>
          <w:szCs w:val="2"/>
          <w:rtl/>
        </w:rPr>
        <w:t>5129371</w:t>
      </w:r>
    </w:p>
    <w:p w14:paraId="03E14F73" w14:textId="77777777" w:rsidR="00956D1E" w:rsidRPr="00672F68" w:rsidRDefault="00672F68" w:rsidP="002E2476">
      <w:pPr>
        <w:keepNext/>
        <w:rPr>
          <w:rFonts w:ascii="David" w:hAnsi="David"/>
          <w:color w:val="FFFFFF"/>
          <w:sz w:val="2"/>
          <w:szCs w:val="2"/>
          <w:rtl/>
        </w:rPr>
      </w:pPr>
      <w:r w:rsidRPr="00672F68">
        <w:rPr>
          <w:rFonts w:ascii="David" w:hAnsi="David"/>
          <w:color w:val="FFFFFF"/>
          <w:sz w:val="2"/>
          <w:szCs w:val="2"/>
          <w:rtl/>
        </w:rPr>
        <w:t>54678313</w:t>
      </w:r>
    </w:p>
    <w:p w14:paraId="75B1961D" w14:textId="77777777" w:rsidR="002E2476" w:rsidRDefault="002E2476" w:rsidP="002E2476">
      <w:pPr>
        <w:rPr>
          <w:rtl/>
        </w:rPr>
      </w:pPr>
    </w:p>
    <w:p w14:paraId="38D8BE3D" w14:textId="77777777" w:rsidR="002E2476" w:rsidRDefault="002E2476" w:rsidP="002E2476">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6E06EC9E" w14:textId="77777777" w:rsidR="00672F68" w:rsidRPr="00672F68" w:rsidRDefault="00672F68" w:rsidP="00672F68">
      <w:pPr>
        <w:keepNext/>
        <w:rPr>
          <w:rFonts w:ascii="David" w:hAnsi="David"/>
          <w:color w:val="000000"/>
          <w:sz w:val="22"/>
          <w:szCs w:val="22"/>
          <w:rtl/>
        </w:rPr>
      </w:pPr>
    </w:p>
    <w:p w14:paraId="1AB06E06" w14:textId="77777777" w:rsidR="00672F68" w:rsidRPr="00672F68" w:rsidRDefault="00672F68" w:rsidP="00672F68">
      <w:pPr>
        <w:keepNext/>
        <w:rPr>
          <w:rFonts w:ascii="David" w:hAnsi="David"/>
          <w:color w:val="000000"/>
          <w:sz w:val="22"/>
          <w:szCs w:val="22"/>
          <w:rtl/>
        </w:rPr>
      </w:pPr>
      <w:r w:rsidRPr="00672F68">
        <w:rPr>
          <w:rFonts w:ascii="David" w:hAnsi="David"/>
          <w:color w:val="000000"/>
          <w:sz w:val="22"/>
          <w:szCs w:val="22"/>
          <w:rtl/>
        </w:rPr>
        <w:t>אלעזר נחלון 54678313-/</w:t>
      </w:r>
    </w:p>
    <w:p w14:paraId="7D79A322" w14:textId="77777777" w:rsidR="002E2476" w:rsidRPr="002E2476" w:rsidRDefault="00672F68" w:rsidP="00672F68">
      <w:pPr>
        <w:rPr>
          <w:color w:val="0000FF"/>
          <w:u w:val="single"/>
        </w:rPr>
      </w:pPr>
      <w:r w:rsidRPr="00672F68">
        <w:rPr>
          <w:color w:val="000000"/>
          <w:u w:val="single"/>
          <w:rtl/>
        </w:rPr>
        <w:t>נוסח מסמך זה כפוף לשינויי ניסוח ועריכה</w:t>
      </w:r>
    </w:p>
    <w:sectPr w:rsidR="002E2476" w:rsidRPr="002E2476" w:rsidSect="00672F68">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7668D" w14:textId="77777777" w:rsidR="00B2735E" w:rsidRDefault="00B2735E" w:rsidP="009E51C3">
      <w:r>
        <w:separator/>
      </w:r>
    </w:p>
  </w:endnote>
  <w:endnote w:type="continuationSeparator" w:id="0">
    <w:p w14:paraId="669EC0D3" w14:textId="77777777" w:rsidR="00B2735E" w:rsidRDefault="00B2735E" w:rsidP="009E5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81C46" w14:textId="77777777" w:rsidR="00672F68" w:rsidRDefault="00672F68" w:rsidP="00672F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C316573" w14:textId="77777777" w:rsidR="00DB0804" w:rsidRPr="00672F68" w:rsidRDefault="00672F68" w:rsidP="00672F68">
    <w:pPr>
      <w:pStyle w:val="a5"/>
      <w:pBdr>
        <w:top w:val="single" w:sz="4" w:space="1" w:color="auto"/>
        <w:between w:val="single" w:sz="4" w:space="0" w:color="auto"/>
      </w:pBdr>
      <w:spacing w:after="60"/>
      <w:jc w:val="center"/>
      <w:rPr>
        <w:rFonts w:ascii="FrankRuehl" w:hAnsi="FrankRuehl" w:cs="FrankRuehl"/>
        <w:color w:val="000000"/>
      </w:rPr>
    </w:pPr>
    <w:r w:rsidRPr="00672F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1058F" w14:textId="77777777" w:rsidR="00672F68" w:rsidRDefault="00672F68" w:rsidP="00672F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3829">
      <w:rPr>
        <w:rFonts w:ascii="FrankRuehl" w:hAnsi="FrankRuehl" w:cs="FrankRuehl"/>
        <w:noProof/>
        <w:rtl/>
      </w:rPr>
      <w:t>1</w:t>
    </w:r>
    <w:r>
      <w:rPr>
        <w:rFonts w:ascii="FrankRuehl" w:hAnsi="FrankRuehl" w:cs="FrankRuehl"/>
        <w:rtl/>
      </w:rPr>
      <w:fldChar w:fldCharType="end"/>
    </w:r>
  </w:p>
  <w:p w14:paraId="125F1F89" w14:textId="77777777" w:rsidR="00DB0804" w:rsidRPr="00672F68" w:rsidRDefault="00672F68" w:rsidP="00672F68">
    <w:pPr>
      <w:pStyle w:val="a5"/>
      <w:pBdr>
        <w:top w:val="single" w:sz="4" w:space="1" w:color="auto"/>
        <w:between w:val="single" w:sz="4" w:space="0" w:color="auto"/>
      </w:pBdr>
      <w:spacing w:after="60"/>
      <w:jc w:val="center"/>
      <w:rPr>
        <w:rFonts w:ascii="FrankRuehl" w:hAnsi="FrankRuehl" w:cs="FrankRuehl"/>
        <w:color w:val="000000"/>
      </w:rPr>
    </w:pPr>
    <w:r w:rsidRPr="00672F68">
      <w:rPr>
        <w:rFonts w:ascii="FrankRuehl" w:hAnsi="FrankRuehl" w:cs="FrankRuehl"/>
        <w:color w:val="000000"/>
      </w:rPr>
      <w:pict w14:anchorId="0CB8B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0EB81" w14:textId="77777777" w:rsidR="00B2735E" w:rsidRDefault="00B2735E" w:rsidP="009E51C3">
      <w:r>
        <w:separator/>
      </w:r>
    </w:p>
  </w:footnote>
  <w:footnote w:type="continuationSeparator" w:id="0">
    <w:p w14:paraId="1A46BE94" w14:textId="77777777" w:rsidR="00B2735E" w:rsidRDefault="00B2735E" w:rsidP="009E5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BDFF0" w14:textId="77777777" w:rsidR="002E2476" w:rsidRPr="00672F68" w:rsidRDefault="00672F68" w:rsidP="00672F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54640-06-24</w:t>
    </w:r>
    <w:r>
      <w:rPr>
        <w:rFonts w:ascii="David" w:hAnsi="David"/>
        <w:color w:val="000000"/>
        <w:sz w:val="22"/>
        <w:szCs w:val="22"/>
        <w:rtl/>
      </w:rPr>
      <w:tab/>
      <w:t xml:space="preserve"> מדינת ישראל נ' עלאא אלדין נופל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D87FB" w14:textId="77777777" w:rsidR="002E2476" w:rsidRPr="00672F68" w:rsidRDefault="00672F68" w:rsidP="00672F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54640-06-24</w:t>
    </w:r>
    <w:r>
      <w:rPr>
        <w:rFonts w:ascii="David" w:hAnsi="David"/>
        <w:color w:val="000000"/>
        <w:sz w:val="22"/>
        <w:szCs w:val="22"/>
        <w:rtl/>
      </w:rPr>
      <w:tab/>
      <w:t xml:space="preserve"> מדינת ישראל נ' עלאא אלדין נופל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5666"/>
    <w:multiLevelType w:val="hybridMultilevel"/>
    <w:tmpl w:val="D7765886"/>
    <w:lvl w:ilvl="0" w:tplc="3E3600EE">
      <w:start w:val="1"/>
      <w:numFmt w:val="decimal"/>
      <w:lvlText w:val="%1."/>
      <w:lvlJc w:val="left"/>
      <w:pPr>
        <w:ind w:left="720" w:hanging="360"/>
      </w:pPr>
      <w:rPr>
        <w:b w:val="0"/>
        <w:bCs w:val="0"/>
        <w:lang w:val="en-US" w:bidi="he-IL"/>
      </w:rPr>
    </w:lvl>
    <w:lvl w:ilvl="1" w:tplc="89368592">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594FC9"/>
    <w:multiLevelType w:val="hybridMultilevel"/>
    <w:tmpl w:val="91C81ECC"/>
    <w:lvl w:ilvl="0" w:tplc="D4E6FC94">
      <w:start w:val="1"/>
      <w:numFmt w:val="decimal"/>
      <w:lvlText w:val="%1."/>
      <w:lvlJc w:val="left"/>
      <w:pPr>
        <w:ind w:left="720" w:hanging="360"/>
      </w:pPr>
      <w:rPr>
        <w:b w:val="0"/>
        <w:bCs w:val="0"/>
        <w:color w:val="auto"/>
        <w:lang w:val="en-US" w:bidi="he-IL"/>
      </w:rPr>
    </w:lvl>
    <w:lvl w:ilvl="1" w:tplc="DF3A631E">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264814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02087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10F5"/>
    <w:rsid w:val="001726EB"/>
    <w:rsid w:val="002E2476"/>
    <w:rsid w:val="00343DE0"/>
    <w:rsid w:val="00672F68"/>
    <w:rsid w:val="006E673E"/>
    <w:rsid w:val="00956D1E"/>
    <w:rsid w:val="009810F5"/>
    <w:rsid w:val="009E51C3"/>
    <w:rsid w:val="00B2735E"/>
    <w:rsid w:val="00DB0804"/>
    <w:rsid w:val="00DE38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D9C597"/>
  <w15:chartTrackingRefBased/>
  <w15:docId w15:val="{6321FF74-8582-4899-B4EC-6F24C5E0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10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10F5"/>
    <w:pPr>
      <w:tabs>
        <w:tab w:val="center" w:pos="4153"/>
        <w:tab w:val="right" w:pos="8306"/>
      </w:tabs>
    </w:pPr>
  </w:style>
  <w:style w:type="character" w:customStyle="1" w:styleId="a4">
    <w:name w:val="כותרת עליונה תו"/>
    <w:link w:val="a3"/>
    <w:rsid w:val="009810F5"/>
    <w:rPr>
      <w:rFonts w:ascii="Times New Roman" w:eastAsia="Times New Roman" w:hAnsi="Times New Roman" w:cs="David"/>
      <w:sz w:val="24"/>
      <w:szCs w:val="24"/>
    </w:rPr>
  </w:style>
  <w:style w:type="paragraph" w:styleId="a5">
    <w:name w:val="footer"/>
    <w:basedOn w:val="a"/>
    <w:link w:val="a6"/>
    <w:rsid w:val="009810F5"/>
    <w:pPr>
      <w:tabs>
        <w:tab w:val="center" w:pos="4153"/>
        <w:tab w:val="right" w:pos="8306"/>
      </w:tabs>
    </w:pPr>
  </w:style>
  <w:style w:type="character" w:customStyle="1" w:styleId="a6">
    <w:name w:val="כותרת תחתונה תו"/>
    <w:link w:val="a5"/>
    <w:rsid w:val="009810F5"/>
    <w:rPr>
      <w:rFonts w:ascii="Times New Roman" w:eastAsia="Times New Roman" w:hAnsi="Times New Roman" w:cs="David"/>
      <w:sz w:val="24"/>
      <w:szCs w:val="24"/>
    </w:rPr>
  </w:style>
  <w:style w:type="table" w:styleId="a7">
    <w:name w:val="Table Grid"/>
    <w:basedOn w:val="a1"/>
    <w:rsid w:val="009810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10F5"/>
  </w:style>
  <w:style w:type="paragraph" w:customStyle="1" w:styleId="a9">
    <w:name w:val="תבנית ציטוט"/>
    <w:basedOn w:val="a"/>
    <w:next w:val="a"/>
    <w:rsid w:val="009810F5"/>
    <w:pPr>
      <w:tabs>
        <w:tab w:val="left" w:pos="702"/>
      </w:tabs>
      <w:spacing w:after="120"/>
      <w:ind w:left="1134" w:right="1134"/>
      <w:jc w:val="both"/>
    </w:pPr>
    <w:rPr>
      <w:rFonts w:cs="FrankRuehl"/>
      <w:color w:val="000000"/>
      <w:sz w:val="28"/>
      <w:szCs w:val="28"/>
    </w:rPr>
  </w:style>
  <w:style w:type="character" w:styleId="Hyperlink">
    <w:name w:val="Hyperlink"/>
    <w:rsid w:val="002E247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40i.a.5" TargetMode="External"/><Relationship Id="rId42" Type="http://schemas.openxmlformats.org/officeDocument/2006/relationships/hyperlink" Target="http://www.nevo.co.il/case/28243273"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9998996"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40i.a.10." TargetMode="External"/><Relationship Id="rId29" Type="http://schemas.openxmlformats.org/officeDocument/2006/relationships/hyperlink" Target="http://www.nevo.co.il/law/70301/40jb" TargetMode="External"/><Relationship Id="rId11" Type="http://schemas.openxmlformats.org/officeDocument/2006/relationships/hyperlink" Target="http://www.nevo.co.il/law/70301/40f" TargetMode="External"/><Relationship Id="rId24" Type="http://schemas.openxmlformats.org/officeDocument/2006/relationships/hyperlink" Target="http://www.nevo.co.il/law/70301/40i.a.8." TargetMode="External"/><Relationship Id="rId32" Type="http://schemas.openxmlformats.org/officeDocument/2006/relationships/hyperlink" Target="http://www.nevo.co.il/law/70301/40b" TargetMode="External"/><Relationship Id="rId37" Type="http://schemas.openxmlformats.org/officeDocument/2006/relationships/hyperlink" Target="http://www.nevo.co.il/law/70301/40c.b" TargetMode="External"/><Relationship Id="rId40" Type="http://schemas.openxmlformats.org/officeDocument/2006/relationships/hyperlink" Target="http://www.nevo.co.il/law/70301/40f;40g" TargetMode="External"/><Relationship Id="rId45" Type="http://schemas.openxmlformats.org/officeDocument/2006/relationships/hyperlink" Target="http://www.nevo.co.il/case/27309272" TargetMode="External"/><Relationship Id="rId53" Type="http://schemas.openxmlformats.org/officeDocument/2006/relationships/hyperlink" Target="http://www.nevo.co.il/law/70301/40i.a.6.;40i.a.7.;40i.a.8.;40i.a.9.;40i.a.10.;40i.a.11" TargetMode="External"/><Relationship Id="rId58" Type="http://schemas.openxmlformats.org/officeDocument/2006/relationships/hyperlink" Target="http://www.nevo.co.il/law/70301/144.g" TargetMode="External"/><Relationship Id="rId66" Type="http://schemas.openxmlformats.org/officeDocument/2006/relationships/hyperlink" Target="http://www.nevo.co.il/law/70301/40f;40g" TargetMode="External"/><Relationship Id="rId5" Type="http://schemas.openxmlformats.org/officeDocument/2006/relationships/footnotes" Target="footnotes.xml"/><Relationship Id="rId61" Type="http://schemas.openxmlformats.org/officeDocument/2006/relationships/hyperlink" Target="http://www.nevo.co.il/case/28697227" TargetMode="External"/><Relationship Id="rId19" Type="http://schemas.openxmlformats.org/officeDocument/2006/relationships/hyperlink" Target="http://www.nevo.co.il/law/70301/40i.a.3" TargetMode="External"/><Relationship Id="rId14" Type="http://schemas.openxmlformats.org/officeDocument/2006/relationships/hyperlink" Target="http://www.nevo.co.il/law/70301/40i.a" TargetMode="External"/><Relationship Id="rId22" Type="http://schemas.openxmlformats.org/officeDocument/2006/relationships/hyperlink" Target="http://www.nevo.co.il/law/70301/40i.a.6." TargetMode="External"/><Relationship Id="rId27" Type="http://schemas.openxmlformats.org/officeDocument/2006/relationships/hyperlink" Target="http://www.nevo.co.il/law/70301/144.g"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40i" TargetMode="External"/><Relationship Id="rId43" Type="http://schemas.openxmlformats.org/officeDocument/2006/relationships/hyperlink" Target="http://www.nevo.co.il/case/28697218" TargetMode="External"/><Relationship Id="rId48" Type="http://schemas.openxmlformats.org/officeDocument/2006/relationships/hyperlink" Target="http://www.nevo.co.il/law/70301/40i.a.1" TargetMode="External"/><Relationship Id="rId56" Type="http://schemas.openxmlformats.org/officeDocument/2006/relationships/hyperlink" Target="http://www.nevo.co.il/case/28452933" TargetMode="External"/><Relationship Id="rId64" Type="http://schemas.openxmlformats.org/officeDocument/2006/relationships/hyperlink" Target="http://www.nevo.co.il/law/70301/40ja" TargetMode="External"/><Relationship Id="rId69"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hyperlink" Target="http://www.nevo.co.il/law/70301/40i.a.4"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g" TargetMode="External"/><Relationship Id="rId17" Type="http://schemas.openxmlformats.org/officeDocument/2006/relationships/hyperlink" Target="http://www.nevo.co.il/law/70301/40i.a.11" TargetMode="External"/><Relationship Id="rId25" Type="http://schemas.openxmlformats.org/officeDocument/2006/relationships/hyperlink" Target="http://www.nevo.co.il/law/70301/40i.a.9."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law/70301/40i.a" TargetMode="External"/><Relationship Id="rId59" Type="http://schemas.openxmlformats.org/officeDocument/2006/relationships/hyperlink" Target="http://www.nevo.co.il/law/70301"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40i.a.4" TargetMode="External"/><Relationship Id="rId41" Type="http://schemas.openxmlformats.org/officeDocument/2006/relationships/hyperlink" Target="http://www.nevo.co.il/case/27309272" TargetMode="External"/><Relationship Id="rId54" Type="http://schemas.openxmlformats.org/officeDocument/2006/relationships/hyperlink" Target="http://www.nevo.co.il/case/28266138" TargetMode="External"/><Relationship Id="rId62" Type="http://schemas.openxmlformats.org/officeDocument/2006/relationships/hyperlink" Target="http://www.nevo.co.il/case/30168342"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a.1" TargetMode="External"/><Relationship Id="rId23" Type="http://schemas.openxmlformats.org/officeDocument/2006/relationships/hyperlink" Target="http://www.nevo.co.il/law/70301/40i.a.7." TargetMode="External"/><Relationship Id="rId28" Type="http://schemas.openxmlformats.org/officeDocument/2006/relationships/hyperlink" Target="http://www.nevo.co.il/law/70301/40ja" TargetMode="External"/><Relationship Id="rId36" Type="http://schemas.openxmlformats.org/officeDocument/2006/relationships/hyperlink" Target="http://www.nevo.co.il/law/70301/40jb" TargetMode="External"/><Relationship Id="rId49" Type="http://schemas.openxmlformats.org/officeDocument/2006/relationships/hyperlink" Target="http://www.nevo.co.il/law/70301/40i.a.2" TargetMode="External"/><Relationship Id="rId57" Type="http://schemas.openxmlformats.org/officeDocument/2006/relationships/hyperlink" Target="http://www.nevo.co.il/case/28643606"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6193556" TargetMode="External"/><Relationship Id="rId52" Type="http://schemas.openxmlformats.org/officeDocument/2006/relationships/hyperlink" Target="http://www.nevo.co.il/law/70301/40i.a.5" TargetMode="External"/><Relationship Id="rId60" Type="http://schemas.openxmlformats.org/officeDocument/2006/relationships/hyperlink" Target="http://www.nevo.co.il/case/28883087" TargetMode="External"/><Relationship Id="rId65" Type="http://schemas.openxmlformats.org/officeDocument/2006/relationships/hyperlink" Target="http://www.nevo.co.il/law/70301"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i" TargetMode="External"/><Relationship Id="rId18" Type="http://schemas.openxmlformats.org/officeDocument/2006/relationships/hyperlink" Target="http://www.nevo.co.il/law/70301/40i.a.2" TargetMode="External"/><Relationship Id="rId39" Type="http://schemas.openxmlformats.org/officeDocument/2006/relationships/hyperlink" Target="http://www.nevo.co.il/law/70301/40jb" TargetMode="External"/><Relationship Id="rId34" Type="http://schemas.openxmlformats.org/officeDocument/2006/relationships/hyperlink" Target="http://www.nevo.co.il/law/70301/40c.a" TargetMode="External"/><Relationship Id="rId50" Type="http://schemas.openxmlformats.org/officeDocument/2006/relationships/hyperlink" Target="http://www.nevo.co.il/law/70301/40i.a.3" TargetMode="External"/><Relationship Id="rId55" Type="http://schemas.openxmlformats.org/officeDocument/2006/relationships/hyperlink" Target="http://www.nevo.co.il/case/28660017"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2653</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15888</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7209011</vt:i4>
      </vt:variant>
      <vt:variant>
        <vt:i4>177</vt:i4>
      </vt:variant>
      <vt:variant>
        <vt:i4>0</vt:i4>
      </vt:variant>
      <vt:variant>
        <vt:i4>5</vt:i4>
      </vt:variant>
      <vt:variant>
        <vt:lpwstr>http://www.nevo.co.il/law/70301/40f;40g</vt:lpwstr>
      </vt:variant>
      <vt:variant>
        <vt:lpwstr/>
      </vt:variant>
      <vt:variant>
        <vt:i4>7995492</vt:i4>
      </vt:variant>
      <vt:variant>
        <vt:i4>174</vt:i4>
      </vt:variant>
      <vt:variant>
        <vt:i4>0</vt:i4>
      </vt:variant>
      <vt:variant>
        <vt:i4>5</vt:i4>
      </vt:variant>
      <vt:variant>
        <vt:lpwstr>http://www.nevo.co.il/law/70301</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3801213</vt:i4>
      </vt:variant>
      <vt:variant>
        <vt:i4>168</vt:i4>
      </vt:variant>
      <vt:variant>
        <vt:i4>0</vt:i4>
      </vt:variant>
      <vt:variant>
        <vt:i4>5</vt:i4>
      </vt:variant>
      <vt:variant>
        <vt:lpwstr>http://www.nevo.co.il/case/29998996</vt:lpwstr>
      </vt:variant>
      <vt:variant>
        <vt:lpwstr/>
      </vt:variant>
      <vt:variant>
        <vt:i4>4063345</vt:i4>
      </vt:variant>
      <vt:variant>
        <vt:i4>165</vt:i4>
      </vt:variant>
      <vt:variant>
        <vt:i4>0</vt:i4>
      </vt:variant>
      <vt:variant>
        <vt:i4>5</vt:i4>
      </vt:variant>
      <vt:variant>
        <vt:lpwstr>http://www.nevo.co.il/case/30168342</vt:lpwstr>
      </vt:variant>
      <vt:variant>
        <vt:lpwstr/>
      </vt:variant>
      <vt:variant>
        <vt:i4>3211383</vt:i4>
      </vt:variant>
      <vt:variant>
        <vt:i4>162</vt:i4>
      </vt:variant>
      <vt:variant>
        <vt:i4>0</vt:i4>
      </vt:variant>
      <vt:variant>
        <vt:i4>5</vt:i4>
      </vt:variant>
      <vt:variant>
        <vt:lpwstr>http://www.nevo.co.il/case/28697227</vt:lpwstr>
      </vt:variant>
      <vt:variant>
        <vt:lpwstr/>
      </vt:variant>
      <vt:variant>
        <vt:i4>3211380</vt:i4>
      </vt:variant>
      <vt:variant>
        <vt:i4>159</vt:i4>
      </vt:variant>
      <vt:variant>
        <vt:i4>0</vt:i4>
      </vt:variant>
      <vt:variant>
        <vt:i4>5</vt:i4>
      </vt:variant>
      <vt:variant>
        <vt:lpwstr>http://www.nevo.co.il/case/28883087</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5177424</vt:i4>
      </vt:variant>
      <vt:variant>
        <vt:i4>153</vt:i4>
      </vt:variant>
      <vt:variant>
        <vt:i4>0</vt:i4>
      </vt:variant>
      <vt:variant>
        <vt:i4>5</vt:i4>
      </vt:variant>
      <vt:variant>
        <vt:lpwstr>http://www.nevo.co.il/law/70301/144.g</vt:lpwstr>
      </vt:variant>
      <vt:variant>
        <vt:lpwstr/>
      </vt:variant>
      <vt:variant>
        <vt:i4>3604606</vt:i4>
      </vt:variant>
      <vt:variant>
        <vt:i4>150</vt:i4>
      </vt:variant>
      <vt:variant>
        <vt:i4>0</vt:i4>
      </vt:variant>
      <vt:variant>
        <vt:i4>5</vt:i4>
      </vt:variant>
      <vt:variant>
        <vt:lpwstr>http://www.nevo.co.il/case/28643606</vt:lpwstr>
      </vt:variant>
      <vt:variant>
        <vt:lpwstr/>
      </vt:variant>
      <vt:variant>
        <vt:i4>3604592</vt:i4>
      </vt:variant>
      <vt:variant>
        <vt:i4>147</vt:i4>
      </vt:variant>
      <vt:variant>
        <vt:i4>0</vt:i4>
      </vt:variant>
      <vt:variant>
        <vt:i4>5</vt:i4>
      </vt:variant>
      <vt:variant>
        <vt:lpwstr>http://www.nevo.co.il/case/28452933</vt:lpwstr>
      </vt:variant>
      <vt:variant>
        <vt:lpwstr/>
      </vt:variant>
      <vt:variant>
        <vt:i4>3473530</vt:i4>
      </vt:variant>
      <vt:variant>
        <vt:i4>144</vt:i4>
      </vt:variant>
      <vt:variant>
        <vt:i4>0</vt:i4>
      </vt:variant>
      <vt:variant>
        <vt:i4>5</vt:i4>
      </vt:variant>
      <vt:variant>
        <vt:lpwstr>http://www.nevo.co.il/case/28660017</vt:lpwstr>
      </vt:variant>
      <vt:variant>
        <vt:lpwstr/>
      </vt:variant>
      <vt:variant>
        <vt:i4>3473531</vt:i4>
      </vt:variant>
      <vt:variant>
        <vt:i4>141</vt:i4>
      </vt:variant>
      <vt:variant>
        <vt:i4>0</vt:i4>
      </vt:variant>
      <vt:variant>
        <vt:i4>5</vt:i4>
      </vt:variant>
      <vt:variant>
        <vt:lpwstr>http://www.nevo.co.il/case/28266138</vt:lpwstr>
      </vt:variant>
      <vt:variant>
        <vt:lpwstr/>
      </vt:variant>
      <vt:variant>
        <vt:i4>6357109</vt:i4>
      </vt:variant>
      <vt:variant>
        <vt:i4>138</vt:i4>
      </vt:variant>
      <vt:variant>
        <vt:i4>0</vt:i4>
      </vt:variant>
      <vt:variant>
        <vt:i4>5</vt:i4>
      </vt:variant>
      <vt:variant>
        <vt:lpwstr>http://www.nevo.co.il/law/70301/40i.a.6.;40i.a.7.;40i.a.8.;40i.a.9.;40i.a.10.;40i.a.11</vt:lpwstr>
      </vt:variant>
      <vt:variant>
        <vt:lpwstr/>
      </vt:variant>
      <vt:variant>
        <vt:i4>6619241</vt:i4>
      </vt:variant>
      <vt:variant>
        <vt:i4>135</vt:i4>
      </vt:variant>
      <vt:variant>
        <vt:i4>0</vt:i4>
      </vt:variant>
      <vt:variant>
        <vt:i4>5</vt:i4>
      </vt:variant>
      <vt:variant>
        <vt:lpwstr>http://www.nevo.co.il/law/70301/40i.a.5</vt:lpwstr>
      </vt:variant>
      <vt:variant>
        <vt:lpwstr/>
      </vt:variant>
      <vt:variant>
        <vt:i4>6619241</vt:i4>
      </vt:variant>
      <vt:variant>
        <vt:i4>132</vt:i4>
      </vt:variant>
      <vt:variant>
        <vt:i4>0</vt:i4>
      </vt:variant>
      <vt:variant>
        <vt:i4>5</vt:i4>
      </vt:variant>
      <vt:variant>
        <vt:lpwstr>http://www.nevo.co.il/law/70301/40i.a.4</vt:lpwstr>
      </vt:variant>
      <vt:variant>
        <vt:lpwstr/>
      </vt:variant>
      <vt:variant>
        <vt:i4>6619241</vt:i4>
      </vt:variant>
      <vt:variant>
        <vt:i4>129</vt:i4>
      </vt:variant>
      <vt:variant>
        <vt:i4>0</vt:i4>
      </vt:variant>
      <vt:variant>
        <vt:i4>5</vt:i4>
      </vt:variant>
      <vt:variant>
        <vt:lpwstr>http://www.nevo.co.il/law/70301/40i.a.3</vt:lpwstr>
      </vt:variant>
      <vt:variant>
        <vt:lpwstr/>
      </vt:variant>
      <vt:variant>
        <vt:i4>6619241</vt:i4>
      </vt:variant>
      <vt:variant>
        <vt:i4>126</vt:i4>
      </vt:variant>
      <vt:variant>
        <vt:i4>0</vt:i4>
      </vt:variant>
      <vt:variant>
        <vt:i4>5</vt:i4>
      </vt:variant>
      <vt:variant>
        <vt:lpwstr>http://www.nevo.co.il/law/70301/40i.a.2</vt:lpwstr>
      </vt:variant>
      <vt:variant>
        <vt:lpwstr/>
      </vt:variant>
      <vt:variant>
        <vt:i4>6619241</vt:i4>
      </vt:variant>
      <vt:variant>
        <vt:i4>123</vt:i4>
      </vt:variant>
      <vt:variant>
        <vt:i4>0</vt:i4>
      </vt:variant>
      <vt:variant>
        <vt:i4>5</vt:i4>
      </vt:variant>
      <vt:variant>
        <vt:lpwstr>http://www.nevo.co.il/law/70301/40i.a.1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4915208</vt:i4>
      </vt:variant>
      <vt:variant>
        <vt:i4>117</vt:i4>
      </vt:variant>
      <vt:variant>
        <vt:i4>0</vt:i4>
      </vt:variant>
      <vt:variant>
        <vt:i4>5</vt:i4>
      </vt:variant>
      <vt:variant>
        <vt:lpwstr>http://www.nevo.co.il/law/70301/40i.a</vt:lpwstr>
      </vt:variant>
      <vt:variant>
        <vt:lpwstr/>
      </vt:variant>
      <vt:variant>
        <vt:i4>4128881</vt:i4>
      </vt:variant>
      <vt:variant>
        <vt:i4>114</vt:i4>
      </vt:variant>
      <vt:variant>
        <vt:i4>0</vt:i4>
      </vt:variant>
      <vt:variant>
        <vt:i4>5</vt:i4>
      </vt:variant>
      <vt:variant>
        <vt:lpwstr>http://www.nevo.co.il/case/27309272</vt:lpwstr>
      </vt:variant>
      <vt:variant>
        <vt:lpwstr/>
      </vt:variant>
      <vt:variant>
        <vt:i4>3473534</vt:i4>
      </vt:variant>
      <vt:variant>
        <vt:i4>111</vt:i4>
      </vt:variant>
      <vt:variant>
        <vt:i4>0</vt:i4>
      </vt:variant>
      <vt:variant>
        <vt:i4>5</vt:i4>
      </vt:variant>
      <vt:variant>
        <vt:lpwstr>http://www.nevo.co.il/case/26193556</vt:lpwstr>
      </vt:variant>
      <vt:variant>
        <vt:lpwstr/>
      </vt:variant>
      <vt:variant>
        <vt:i4>3276919</vt:i4>
      </vt:variant>
      <vt:variant>
        <vt:i4>108</vt:i4>
      </vt:variant>
      <vt:variant>
        <vt:i4>0</vt:i4>
      </vt:variant>
      <vt:variant>
        <vt:i4>5</vt:i4>
      </vt:variant>
      <vt:variant>
        <vt:lpwstr>http://www.nevo.co.il/case/28697218</vt:lpwstr>
      </vt:variant>
      <vt:variant>
        <vt:lpwstr/>
      </vt:variant>
      <vt:variant>
        <vt:i4>3407994</vt:i4>
      </vt:variant>
      <vt:variant>
        <vt:i4>105</vt:i4>
      </vt:variant>
      <vt:variant>
        <vt:i4>0</vt:i4>
      </vt:variant>
      <vt:variant>
        <vt:i4>5</vt:i4>
      </vt:variant>
      <vt:variant>
        <vt:lpwstr>http://www.nevo.co.il/case/28243273</vt:lpwstr>
      </vt:variant>
      <vt:variant>
        <vt:lpwstr/>
      </vt:variant>
      <vt:variant>
        <vt:i4>4128881</vt:i4>
      </vt:variant>
      <vt:variant>
        <vt:i4>102</vt:i4>
      </vt:variant>
      <vt:variant>
        <vt:i4>0</vt:i4>
      </vt:variant>
      <vt:variant>
        <vt:i4>5</vt:i4>
      </vt:variant>
      <vt:variant>
        <vt:lpwstr>http://www.nevo.co.il/case/27309272</vt:lpwstr>
      </vt:variant>
      <vt:variant>
        <vt:lpwstr/>
      </vt:variant>
      <vt:variant>
        <vt:i4>7209011</vt:i4>
      </vt:variant>
      <vt:variant>
        <vt:i4>99</vt:i4>
      </vt:variant>
      <vt:variant>
        <vt:i4>0</vt:i4>
      </vt:variant>
      <vt:variant>
        <vt:i4>5</vt:i4>
      </vt:variant>
      <vt:variant>
        <vt:lpwstr>http://www.nevo.co.il/law/70301/40f;40g</vt:lpwstr>
      </vt:variant>
      <vt:variant>
        <vt:lpwstr/>
      </vt:variant>
      <vt:variant>
        <vt:i4>458763</vt:i4>
      </vt:variant>
      <vt:variant>
        <vt:i4>96</vt:i4>
      </vt:variant>
      <vt:variant>
        <vt:i4>0</vt:i4>
      </vt:variant>
      <vt:variant>
        <vt:i4>5</vt:i4>
      </vt:variant>
      <vt:variant>
        <vt:lpwstr>http://www.nevo.co.il/law/70301/40jb</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4915202</vt:i4>
      </vt:variant>
      <vt:variant>
        <vt:i4>90</vt:i4>
      </vt:variant>
      <vt:variant>
        <vt:i4>0</vt:i4>
      </vt:variant>
      <vt:variant>
        <vt:i4>5</vt:i4>
      </vt:variant>
      <vt:variant>
        <vt:lpwstr>http://www.nevo.co.il/law/70301/40c.b</vt:lpwstr>
      </vt:variant>
      <vt:variant>
        <vt:lpwstr/>
      </vt:variant>
      <vt:variant>
        <vt:i4>458763</vt:i4>
      </vt:variant>
      <vt:variant>
        <vt:i4>87</vt:i4>
      </vt:variant>
      <vt:variant>
        <vt:i4>0</vt:i4>
      </vt:variant>
      <vt:variant>
        <vt:i4>5</vt:i4>
      </vt:variant>
      <vt:variant>
        <vt:lpwstr>http://www.nevo.co.il/law/70301/40jb</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http://www.nevo.co.il/law/70301/40b</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458763</vt:i4>
      </vt:variant>
      <vt:variant>
        <vt:i4>66</vt:i4>
      </vt:variant>
      <vt:variant>
        <vt:i4>0</vt:i4>
      </vt:variant>
      <vt:variant>
        <vt:i4>5</vt:i4>
      </vt:variant>
      <vt:variant>
        <vt:lpwstr>http://www.nevo.co.il/law/70301/40jb</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5177424</vt:i4>
      </vt:variant>
      <vt:variant>
        <vt:i4>60</vt:i4>
      </vt:variant>
      <vt:variant>
        <vt:i4>0</vt:i4>
      </vt:variant>
      <vt:variant>
        <vt:i4>5</vt:i4>
      </vt:variant>
      <vt:variant>
        <vt:lpwstr>http://www.nevo.co.il/law/70301/144.g</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4915280</vt:i4>
      </vt:variant>
      <vt:variant>
        <vt:i4>54</vt:i4>
      </vt:variant>
      <vt:variant>
        <vt:i4>0</vt:i4>
      </vt:variant>
      <vt:variant>
        <vt:i4>5</vt:i4>
      </vt:variant>
      <vt:variant>
        <vt:lpwstr>http://www.nevo.co.il/law/70301/40i.a.9.</vt:lpwstr>
      </vt:variant>
      <vt:variant>
        <vt:lpwstr/>
      </vt:variant>
      <vt:variant>
        <vt:i4>4915281</vt:i4>
      </vt:variant>
      <vt:variant>
        <vt:i4>51</vt:i4>
      </vt:variant>
      <vt:variant>
        <vt:i4>0</vt:i4>
      </vt:variant>
      <vt:variant>
        <vt:i4>5</vt:i4>
      </vt:variant>
      <vt:variant>
        <vt:lpwstr>http://www.nevo.co.il/law/70301/40i.a.8.</vt:lpwstr>
      </vt:variant>
      <vt:variant>
        <vt:lpwstr/>
      </vt:variant>
      <vt:variant>
        <vt:i4>4915294</vt:i4>
      </vt:variant>
      <vt:variant>
        <vt:i4>48</vt:i4>
      </vt:variant>
      <vt:variant>
        <vt:i4>0</vt:i4>
      </vt:variant>
      <vt:variant>
        <vt:i4>5</vt:i4>
      </vt:variant>
      <vt:variant>
        <vt:lpwstr>http://www.nevo.co.il/law/70301/40i.a.7.</vt:lpwstr>
      </vt:variant>
      <vt:variant>
        <vt:lpwstr/>
      </vt:variant>
      <vt:variant>
        <vt:i4>4915295</vt:i4>
      </vt:variant>
      <vt:variant>
        <vt:i4>45</vt:i4>
      </vt:variant>
      <vt:variant>
        <vt:i4>0</vt:i4>
      </vt:variant>
      <vt:variant>
        <vt:i4>5</vt:i4>
      </vt:variant>
      <vt:variant>
        <vt:lpwstr>http://www.nevo.co.il/law/70301/40i.a.6.</vt:lpwstr>
      </vt:variant>
      <vt:variant>
        <vt:lpwstr/>
      </vt:variant>
      <vt:variant>
        <vt:i4>6619241</vt:i4>
      </vt:variant>
      <vt:variant>
        <vt:i4>42</vt:i4>
      </vt:variant>
      <vt:variant>
        <vt:i4>0</vt:i4>
      </vt:variant>
      <vt:variant>
        <vt:i4>5</vt:i4>
      </vt:variant>
      <vt:variant>
        <vt:lpwstr>http://www.nevo.co.il/law/70301/40i.a.5</vt:lpwstr>
      </vt:variant>
      <vt:variant>
        <vt:lpwstr/>
      </vt:variant>
      <vt:variant>
        <vt:i4>6619241</vt:i4>
      </vt:variant>
      <vt:variant>
        <vt:i4>39</vt:i4>
      </vt:variant>
      <vt:variant>
        <vt:i4>0</vt:i4>
      </vt:variant>
      <vt:variant>
        <vt:i4>5</vt:i4>
      </vt:variant>
      <vt:variant>
        <vt:lpwstr>http://www.nevo.co.il/law/70301/40i.a.4</vt:lpwstr>
      </vt:variant>
      <vt:variant>
        <vt:lpwstr/>
      </vt:variant>
      <vt:variant>
        <vt:i4>6619241</vt:i4>
      </vt:variant>
      <vt:variant>
        <vt:i4>36</vt:i4>
      </vt:variant>
      <vt:variant>
        <vt:i4>0</vt:i4>
      </vt:variant>
      <vt:variant>
        <vt:i4>5</vt:i4>
      </vt:variant>
      <vt:variant>
        <vt:lpwstr>http://www.nevo.co.il/law/70301/40i.a.3</vt:lpwstr>
      </vt:variant>
      <vt:variant>
        <vt:lpwstr/>
      </vt:variant>
      <vt:variant>
        <vt:i4>6619241</vt:i4>
      </vt:variant>
      <vt:variant>
        <vt:i4>33</vt:i4>
      </vt:variant>
      <vt:variant>
        <vt:i4>0</vt:i4>
      </vt:variant>
      <vt:variant>
        <vt:i4>5</vt:i4>
      </vt:variant>
      <vt:variant>
        <vt:lpwstr>http://www.nevo.co.il/law/70301/40i.a.2</vt:lpwstr>
      </vt:variant>
      <vt:variant>
        <vt:lpwstr/>
      </vt:variant>
      <vt:variant>
        <vt:i4>5505112</vt:i4>
      </vt:variant>
      <vt:variant>
        <vt:i4>30</vt:i4>
      </vt:variant>
      <vt:variant>
        <vt:i4>0</vt:i4>
      </vt:variant>
      <vt:variant>
        <vt:i4>5</vt:i4>
      </vt:variant>
      <vt:variant>
        <vt:lpwstr>http://www.nevo.co.il/law/70301/40i.a.11</vt:lpwstr>
      </vt:variant>
      <vt:variant>
        <vt:lpwstr/>
      </vt:variant>
      <vt:variant>
        <vt:i4>5570648</vt:i4>
      </vt:variant>
      <vt:variant>
        <vt:i4>27</vt:i4>
      </vt:variant>
      <vt:variant>
        <vt:i4>0</vt:i4>
      </vt:variant>
      <vt:variant>
        <vt:i4>5</vt:i4>
      </vt:variant>
      <vt:variant>
        <vt:lpwstr>http://www.nevo.co.il/law/70301/40i.a.10.</vt:lpwstr>
      </vt:variant>
      <vt:variant>
        <vt:lpwstr/>
      </vt:variant>
      <vt:variant>
        <vt:i4>6619241</vt:i4>
      </vt:variant>
      <vt:variant>
        <vt:i4>24</vt:i4>
      </vt:variant>
      <vt:variant>
        <vt:i4>0</vt:i4>
      </vt:variant>
      <vt:variant>
        <vt:i4>5</vt:i4>
      </vt:variant>
      <vt:variant>
        <vt:lpwstr>http://www.nevo.co.il/law/70301/40i.a.1</vt:lpwstr>
      </vt:variant>
      <vt:variant>
        <vt:lpwstr/>
      </vt:variant>
      <vt:variant>
        <vt:i4>4915208</vt:i4>
      </vt:variant>
      <vt:variant>
        <vt:i4>21</vt:i4>
      </vt:variant>
      <vt:variant>
        <vt:i4>0</vt:i4>
      </vt:variant>
      <vt:variant>
        <vt:i4>5</vt:i4>
      </vt:variant>
      <vt:variant>
        <vt:lpwstr>http://www.nevo.co.il/law/70301/40i.a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2025-04-25T11:02:00Z</dcterms:created>
  <dcterms:modified xsi:type="dcterms:W3CDTF">2025-04-25T11:02:00Z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54640</vt:lpwstr>
  </property>
  <property fmtid="{D5CDD505-2E9C-101B-9397-08002B2CF9AE}" pid="6" name="NEWPARTB">
    <vt:lpwstr>06</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עלאא אלדין נופל</vt:lpwstr>
  </property>
  <property fmtid="{D5CDD505-2E9C-101B-9397-08002B2CF9AE}" pid="10" name="LAWYER">
    <vt:lpwstr>נדב שחם;חני שפירא;לאה צמל</vt:lpwstr>
  </property>
  <property fmtid="{D5CDD505-2E9C-101B-9397-08002B2CF9AE}" pid="11" name="JUDGE">
    <vt:lpwstr>אלעזר נחלון</vt:lpwstr>
  </property>
  <property fmtid="{D5CDD505-2E9C-101B-9397-08002B2CF9AE}" pid="12" name="CITY">
    <vt:lpwstr>י-ם</vt:lpwstr>
  </property>
  <property fmtid="{D5CDD505-2E9C-101B-9397-08002B2CF9AE}" pid="13" name="DATE">
    <vt:lpwstr>20250323</vt:lpwstr>
  </property>
  <property fmtid="{D5CDD505-2E9C-101B-9397-08002B2CF9AE}" pid="14" name="TYPE_N_DATE">
    <vt:lpwstr>39020250323</vt:lpwstr>
  </property>
  <property fmtid="{D5CDD505-2E9C-101B-9397-08002B2CF9AE}" pid="15" name="CASESLISTTMP1">
    <vt:lpwstr>27309272:2;28243273;28697218;26193556;28266138;28660017;28452933;28643606;28883087;28697227;30168342;29998996</vt:lpwstr>
  </property>
  <property fmtid="{D5CDD505-2E9C-101B-9397-08002B2CF9AE}" pid="16" name="CASENOTES1">
    <vt:lpwstr>ProcID=213&amp;PartA=14&amp;PartC=13</vt:lpwstr>
  </property>
  <property fmtid="{D5CDD505-2E9C-101B-9397-08002B2CF9AE}" pid="17" name="WORDNUMPAGES">
    <vt:lpwstr>9</vt:lpwstr>
  </property>
  <property fmtid="{D5CDD505-2E9C-101B-9397-08002B2CF9AE}" pid="18" name="TYPE_ABS_DATE">
    <vt:lpwstr>390020250323</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70301/144.b;040b;040c.a;040i;40jb:2;040c.b;40ja:2;040f:2;040g:2;040i.a;040i.a.1;040i.a.2;040i.a.3;040i.a.4;040i.a.5;040i.a.6;040i.a.7;040i.a.8;040i.a.9;040i.a.10;040i.a.11;144.g</vt:lpwstr>
  </property>
</Properties>
</file>