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9435A" w:rsidRPr="00A264EB" w14:paraId="100B8AA6" w14:textId="77777777" w:rsidTr="00346F4C">
        <w:trPr>
          <w:trHeight w:hRule="exact" w:val="418"/>
          <w:jc w:val="center"/>
        </w:trPr>
        <w:tc>
          <w:tcPr>
            <w:tcW w:w="8721" w:type="dxa"/>
            <w:gridSpan w:val="2"/>
          </w:tcPr>
          <w:p w14:paraId="56C99FFD" w14:textId="77777777" w:rsidR="0019435A" w:rsidRPr="00A264EB" w:rsidRDefault="0019435A" w:rsidP="002660A0">
            <w:pPr>
              <w:pStyle w:val="a3"/>
              <w:jc w:val="center"/>
              <w:rPr>
                <w:rFonts w:ascii="Tahoma" w:hAnsi="Tahoma" w:cs="Tahoma"/>
                <w:color w:val="000080"/>
                <w:rtl/>
              </w:rPr>
            </w:pPr>
            <w:r w:rsidRPr="00A264EB">
              <w:rPr>
                <w:rFonts w:ascii="Tahoma" w:hAnsi="Tahoma" w:cs="Tahoma"/>
                <w:b/>
                <w:bCs/>
                <w:color w:val="000080"/>
                <w:rtl/>
              </w:rPr>
              <w:t>בית המשפט המחוזי בחיפה</w:t>
            </w:r>
          </w:p>
        </w:tc>
      </w:tr>
      <w:tr w:rsidR="0019435A" w:rsidRPr="00A264EB" w14:paraId="6DA050A2" w14:textId="77777777" w:rsidTr="00346F4C">
        <w:trPr>
          <w:trHeight w:val="337"/>
          <w:jc w:val="center"/>
        </w:trPr>
        <w:tc>
          <w:tcPr>
            <w:tcW w:w="5059" w:type="dxa"/>
          </w:tcPr>
          <w:p w14:paraId="25D2BEB3" w14:textId="77777777" w:rsidR="0019435A" w:rsidRPr="00A264EB" w:rsidRDefault="0019435A" w:rsidP="002660A0">
            <w:pPr>
              <w:rPr>
                <w:rFonts w:cs="FrankRuehl"/>
                <w:sz w:val="28"/>
                <w:szCs w:val="28"/>
                <w:rtl/>
              </w:rPr>
            </w:pPr>
            <w:r w:rsidRPr="00A264EB">
              <w:rPr>
                <w:b/>
                <w:bCs/>
                <w:sz w:val="26"/>
                <w:szCs w:val="26"/>
                <w:rtl/>
              </w:rPr>
              <w:t>ת"פ</w:t>
            </w:r>
            <w:r w:rsidRPr="00A264EB">
              <w:rPr>
                <w:rFonts w:cs="FrankRuehl" w:hint="cs"/>
                <w:sz w:val="28"/>
                <w:szCs w:val="28"/>
                <w:rtl/>
              </w:rPr>
              <w:t xml:space="preserve"> </w:t>
            </w:r>
            <w:r w:rsidRPr="00A264EB">
              <w:rPr>
                <w:b/>
                <w:bCs/>
                <w:sz w:val="26"/>
                <w:szCs w:val="26"/>
                <w:rtl/>
              </w:rPr>
              <w:t>25075-07-24</w:t>
            </w:r>
            <w:r w:rsidRPr="00A264EB">
              <w:rPr>
                <w:rFonts w:cs="FrankRuehl" w:hint="cs"/>
                <w:sz w:val="28"/>
                <w:szCs w:val="28"/>
                <w:rtl/>
              </w:rPr>
              <w:t xml:space="preserve"> </w:t>
            </w:r>
            <w:r w:rsidRPr="00A264EB">
              <w:rPr>
                <w:b/>
                <w:bCs/>
                <w:sz w:val="26"/>
                <w:szCs w:val="26"/>
                <w:rtl/>
              </w:rPr>
              <w:t>מדינת ישראל נ' עמאש(עציר)</w:t>
            </w:r>
          </w:p>
          <w:p w14:paraId="20EA9BF1" w14:textId="77777777" w:rsidR="0019435A" w:rsidRPr="00A264EB" w:rsidRDefault="0019435A" w:rsidP="002660A0">
            <w:pPr>
              <w:pStyle w:val="a3"/>
              <w:rPr>
                <w:rFonts w:cs="FrankRuehl"/>
                <w:sz w:val="28"/>
                <w:szCs w:val="28"/>
                <w:rtl/>
              </w:rPr>
            </w:pPr>
          </w:p>
        </w:tc>
        <w:tc>
          <w:tcPr>
            <w:tcW w:w="3662" w:type="dxa"/>
          </w:tcPr>
          <w:p w14:paraId="636D27E4" w14:textId="77777777" w:rsidR="0019435A" w:rsidRPr="00A264EB" w:rsidRDefault="0019435A" w:rsidP="002660A0">
            <w:pPr>
              <w:pStyle w:val="a3"/>
              <w:jc w:val="right"/>
              <w:rPr>
                <w:rFonts w:cs="FrankRuehl"/>
                <w:sz w:val="28"/>
                <w:szCs w:val="28"/>
                <w:rtl/>
              </w:rPr>
            </w:pPr>
          </w:p>
        </w:tc>
      </w:tr>
    </w:tbl>
    <w:p w14:paraId="3A424BE4" w14:textId="77777777" w:rsidR="0019435A" w:rsidRPr="00A264EB" w:rsidRDefault="0019435A" w:rsidP="00346F4C">
      <w:pPr>
        <w:pStyle w:val="a3"/>
        <w:rPr>
          <w:rtl/>
        </w:rPr>
      </w:pPr>
      <w:r w:rsidRPr="00A264E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9435A" w:rsidRPr="00A264EB" w14:paraId="27280472" w14:textId="77777777" w:rsidTr="0019435A">
        <w:trPr>
          <w:trHeight w:val="295"/>
          <w:jc w:val="center"/>
        </w:trPr>
        <w:tc>
          <w:tcPr>
            <w:tcW w:w="923" w:type="dxa"/>
            <w:tcBorders>
              <w:top w:val="nil"/>
              <w:left w:val="nil"/>
              <w:bottom w:val="nil"/>
              <w:right w:val="nil"/>
            </w:tcBorders>
            <w:shd w:val="clear" w:color="auto" w:fill="auto"/>
          </w:tcPr>
          <w:p w14:paraId="1C66392E" w14:textId="77777777" w:rsidR="0019435A" w:rsidRPr="00A264EB" w:rsidRDefault="0019435A" w:rsidP="0019435A">
            <w:pPr>
              <w:jc w:val="both"/>
              <w:rPr>
                <w:rFonts w:ascii="David" w:hAnsi="David"/>
                <w:b/>
                <w:bCs/>
                <w:sz w:val="26"/>
                <w:szCs w:val="26"/>
              </w:rPr>
            </w:pPr>
            <w:r w:rsidRPr="00A264EB">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18AC5AE7" w14:textId="77777777" w:rsidR="0019435A" w:rsidRPr="00A264EB" w:rsidRDefault="0019435A" w:rsidP="0019435A">
            <w:pPr>
              <w:jc w:val="both"/>
              <w:rPr>
                <w:rFonts w:ascii="David" w:hAnsi="David"/>
                <w:b/>
                <w:bCs/>
                <w:sz w:val="26"/>
                <w:szCs w:val="26"/>
              </w:rPr>
            </w:pPr>
            <w:r w:rsidRPr="00A264EB">
              <w:rPr>
                <w:rFonts w:ascii="David" w:hAnsi="David"/>
                <w:b/>
                <w:bCs/>
                <w:sz w:val="26"/>
                <w:szCs w:val="26"/>
                <w:rtl/>
              </w:rPr>
              <w:t>כב' הנשיא, השופט אבי לוי</w:t>
            </w:r>
          </w:p>
        </w:tc>
      </w:tr>
      <w:tr w:rsidR="0019435A" w:rsidRPr="00A264EB" w14:paraId="25487E53" w14:textId="77777777" w:rsidTr="0019435A">
        <w:trPr>
          <w:trHeight w:val="355"/>
          <w:jc w:val="center"/>
        </w:trPr>
        <w:tc>
          <w:tcPr>
            <w:tcW w:w="923" w:type="dxa"/>
            <w:tcBorders>
              <w:top w:val="nil"/>
              <w:left w:val="nil"/>
              <w:bottom w:val="nil"/>
              <w:right w:val="nil"/>
            </w:tcBorders>
            <w:shd w:val="clear" w:color="auto" w:fill="auto"/>
          </w:tcPr>
          <w:p w14:paraId="453F498D" w14:textId="77777777" w:rsidR="0019435A" w:rsidRPr="00A264EB" w:rsidRDefault="0019435A" w:rsidP="0019435A">
            <w:pPr>
              <w:jc w:val="both"/>
              <w:rPr>
                <w:rFonts w:ascii="David" w:hAnsi="David"/>
                <w:b/>
                <w:bCs/>
                <w:sz w:val="26"/>
                <w:szCs w:val="26"/>
              </w:rPr>
            </w:pPr>
            <w:bookmarkStart w:id="0" w:name="FirstAppellant"/>
            <w:bookmarkStart w:id="1" w:name="LastJudge"/>
            <w:bookmarkEnd w:id="1"/>
            <w:r w:rsidRPr="00A264EB">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27F592A5" w14:textId="77777777" w:rsidR="0019435A" w:rsidRPr="00A264EB" w:rsidRDefault="0019435A" w:rsidP="002660A0">
            <w:pPr>
              <w:rPr>
                <w:rFonts w:ascii="David" w:hAnsi="David"/>
                <w:b/>
                <w:bCs/>
                <w:sz w:val="26"/>
                <w:szCs w:val="26"/>
              </w:rPr>
            </w:pPr>
            <w:r w:rsidRPr="00A264EB">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1307976A" w14:textId="77777777" w:rsidR="0019435A" w:rsidRPr="00A264EB" w:rsidRDefault="0019435A" w:rsidP="0019435A">
            <w:pPr>
              <w:jc w:val="both"/>
              <w:rPr>
                <w:rFonts w:ascii="David" w:hAnsi="David"/>
                <w:b/>
                <w:bCs/>
                <w:sz w:val="26"/>
                <w:szCs w:val="26"/>
              </w:rPr>
            </w:pPr>
            <w:r w:rsidRPr="00A264EB">
              <w:rPr>
                <w:rFonts w:ascii="David" w:hAnsi="David" w:hint="cs"/>
                <w:b/>
                <w:bCs/>
                <w:sz w:val="26"/>
                <w:szCs w:val="26"/>
                <w:rtl/>
              </w:rPr>
              <w:t xml:space="preserve">מדינת ישראל </w:t>
            </w:r>
          </w:p>
        </w:tc>
      </w:tr>
      <w:bookmarkEnd w:id="0"/>
      <w:tr w:rsidR="0019435A" w:rsidRPr="00A264EB" w14:paraId="32CDE364" w14:textId="77777777" w:rsidTr="0019435A">
        <w:trPr>
          <w:trHeight w:val="355"/>
          <w:jc w:val="center"/>
        </w:trPr>
        <w:tc>
          <w:tcPr>
            <w:tcW w:w="923" w:type="dxa"/>
            <w:tcBorders>
              <w:top w:val="nil"/>
              <w:left w:val="nil"/>
              <w:bottom w:val="nil"/>
              <w:right w:val="nil"/>
            </w:tcBorders>
            <w:shd w:val="clear" w:color="auto" w:fill="auto"/>
          </w:tcPr>
          <w:p w14:paraId="6922EE32" w14:textId="77777777" w:rsidR="0019435A" w:rsidRPr="00A264EB" w:rsidRDefault="0019435A" w:rsidP="0019435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C18EF45" w14:textId="77777777" w:rsidR="0019435A" w:rsidRPr="00A264EB" w:rsidRDefault="0019435A" w:rsidP="0019435A">
            <w:pPr>
              <w:jc w:val="center"/>
              <w:rPr>
                <w:rFonts w:ascii="David" w:hAnsi="David"/>
                <w:b/>
                <w:bCs/>
                <w:sz w:val="26"/>
                <w:szCs w:val="26"/>
                <w:rtl/>
              </w:rPr>
            </w:pPr>
          </w:p>
          <w:p w14:paraId="63A0149D" w14:textId="77777777" w:rsidR="0019435A" w:rsidRPr="00A264EB" w:rsidRDefault="0019435A" w:rsidP="0019435A">
            <w:pPr>
              <w:jc w:val="center"/>
              <w:rPr>
                <w:rFonts w:ascii="David" w:hAnsi="David"/>
                <w:b/>
                <w:bCs/>
                <w:sz w:val="26"/>
                <w:szCs w:val="26"/>
                <w:rtl/>
              </w:rPr>
            </w:pPr>
            <w:r w:rsidRPr="00A264EB">
              <w:rPr>
                <w:rFonts w:ascii="David" w:hAnsi="David"/>
                <w:b/>
                <w:bCs/>
                <w:sz w:val="26"/>
                <w:szCs w:val="26"/>
                <w:rtl/>
              </w:rPr>
              <w:t>נגד</w:t>
            </w:r>
          </w:p>
          <w:p w14:paraId="0F43B044" w14:textId="77777777" w:rsidR="0019435A" w:rsidRPr="00A264EB" w:rsidRDefault="0019435A" w:rsidP="0019435A">
            <w:pPr>
              <w:jc w:val="both"/>
              <w:rPr>
                <w:rFonts w:ascii="David" w:hAnsi="David"/>
                <w:b/>
                <w:bCs/>
                <w:sz w:val="26"/>
                <w:szCs w:val="26"/>
              </w:rPr>
            </w:pPr>
          </w:p>
        </w:tc>
      </w:tr>
      <w:tr w:rsidR="0019435A" w:rsidRPr="00A264EB" w14:paraId="1907D229" w14:textId="77777777" w:rsidTr="0019435A">
        <w:trPr>
          <w:trHeight w:val="355"/>
          <w:jc w:val="center"/>
        </w:trPr>
        <w:tc>
          <w:tcPr>
            <w:tcW w:w="923" w:type="dxa"/>
            <w:tcBorders>
              <w:top w:val="nil"/>
              <w:left w:val="nil"/>
              <w:bottom w:val="nil"/>
              <w:right w:val="nil"/>
            </w:tcBorders>
            <w:shd w:val="clear" w:color="auto" w:fill="auto"/>
          </w:tcPr>
          <w:p w14:paraId="1F994022" w14:textId="77777777" w:rsidR="0019435A" w:rsidRPr="00A264EB" w:rsidRDefault="0019435A" w:rsidP="0019435A">
            <w:pPr>
              <w:jc w:val="both"/>
              <w:rPr>
                <w:rFonts w:ascii="David" w:hAnsi="David"/>
                <w:b/>
                <w:bCs/>
                <w:sz w:val="26"/>
                <w:szCs w:val="26"/>
                <w:rtl/>
              </w:rPr>
            </w:pPr>
          </w:p>
        </w:tc>
        <w:tc>
          <w:tcPr>
            <w:tcW w:w="4126" w:type="dxa"/>
            <w:tcBorders>
              <w:top w:val="nil"/>
              <w:left w:val="nil"/>
              <w:bottom w:val="nil"/>
              <w:right w:val="nil"/>
            </w:tcBorders>
            <w:shd w:val="clear" w:color="auto" w:fill="auto"/>
          </w:tcPr>
          <w:p w14:paraId="553E12CB" w14:textId="77777777" w:rsidR="0019435A" w:rsidRPr="00A264EB" w:rsidRDefault="0019435A" w:rsidP="0019435A">
            <w:pPr>
              <w:jc w:val="both"/>
              <w:rPr>
                <w:rFonts w:ascii="David" w:hAnsi="David"/>
                <w:b/>
                <w:bCs/>
                <w:sz w:val="26"/>
                <w:szCs w:val="26"/>
                <w:rtl/>
              </w:rPr>
            </w:pPr>
            <w:r w:rsidRPr="00A264EB">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4963E9A9" w14:textId="77777777" w:rsidR="0019435A" w:rsidRPr="00A264EB" w:rsidRDefault="0019435A" w:rsidP="0019435A">
            <w:pPr>
              <w:jc w:val="both"/>
              <w:rPr>
                <w:rFonts w:ascii="David" w:hAnsi="David"/>
                <w:b/>
                <w:bCs/>
                <w:sz w:val="26"/>
                <w:szCs w:val="26"/>
              </w:rPr>
            </w:pPr>
            <w:r w:rsidRPr="00A264EB">
              <w:rPr>
                <w:rFonts w:ascii="David" w:hAnsi="David"/>
                <w:b/>
                <w:bCs/>
                <w:sz w:val="26"/>
                <w:szCs w:val="26"/>
                <w:rtl/>
              </w:rPr>
              <w:t>איהם עמאש (עציר)</w:t>
            </w:r>
          </w:p>
        </w:tc>
      </w:tr>
    </w:tbl>
    <w:p w14:paraId="5C163999" w14:textId="77777777" w:rsidR="00A264EB" w:rsidRPr="00A264EB" w:rsidRDefault="00A264EB" w:rsidP="00A264EB">
      <w:pPr>
        <w:spacing w:before="120" w:after="120" w:line="240" w:lineRule="exact"/>
        <w:ind w:left="283" w:hanging="283"/>
        <w:jc w:val="both"/>
        <w:rPr>
          <w:rFonts w:ascii="FrankRuehl" w:hAnsi="FrankRuehl" w:cs="FrankRuehl"/>
          <w:rtl/>
        </w:rPr>
      </w:pPr>
    </w:p>
    <w:p w14:paraId="5BAC8017" w14:textId="77777777" w:rsidR="00A264EB" w:rsidRPr="00A264EB" w:rsidRDefault="00A264EB" w:rsidP="00A264EB">
      <w:pPr>
        <w:rPr>
          <w:rtl/>
        </w:rPr>
      </w:pPr>
    </w:p>
    <w:p w14:paraId="03BAE693" w14:textId="77777777" w:rsidR="00346F4C" w:rsidRPr="00346F4C" w:rsidRDefault="00346F4C" w:rsidP="00346F4C">
      <w:pPr>
        <w:spacing w:before="120" w:after="120" w:line="240" w:lineRule="exact"/>
        <w:ind w:left="283" w:hanging="283"/>
        <w:jc w:val="both"/>
        <w:rPr>
          <w:rFonts w:ascii="FrankRuehl" w:hAnsi="FrankRuehl" w:cs="FrankRuehl"/>
          <w:rtl/>
        </w:rPr>
      </w:pPr>
      <w:bookmarkStart w:id="2" w:name="LawTable"/>
      <w:bookmarkEnd w:id="2"/>
    </w:p>
    <w:p w14:paraId="342C3E50" w14:textId="77777777" w:rsidR="00346F4C" w:rsidRPr="00346F4C" w:rsidRDefault="00346F4C" w:rsidP="00346F4C">
      <w:pPr>
        <w:spacing w:before="120" w:after="120" w:line="240" w:lineRule="exact"/>
        <w:ind w:left="283" w:hanging="283"/>
        <w:jc w:val="both"/>
        <w:rPr>
          <w:rFonts w:ascii="FrankRuehl" w:hAnsi="FrankRuehl" w:cs="FrankRuehl"/>
          <w:rtl/>
        </w:rPr>
      </w:pPr>
      <w:r w:rsidRPr="00346F4C">
        <w:rPr>
          <w:rFonts w:ascii="FrankRuehl" w:hAnsi="FrankRuehl" w:cs="FrankRuehl"/>
          <w:rtl/>
        </w:rPr>
        <w:t xml:space="preserve">חקיקה שאוזכרה: </w:t>
      </w:r>
    </w:p>
    <w:p w14:paraId="205F63A6" w14:textId="77777777" w:rsidR="00346F4C" w:rsidRPr="00346F4C" w:rsidRDefault="00346F4C" w:rsidP="00346F4C">
      <w:pPr>
        <w:spacing w:before="120" w:after="120" w:line="240" w:lineRule="exact"/>
        <w:ind w:left="283" w:hanging="283"/>
        <w:jc w:val="both"/>
        <w:rPr>
          <w:rFonts w:ascii="FrankRuehl" w:hAnsi="FrankRuehl" w:cs="FrankRuehl"/>
          <w:color w:val="0000FF"/>
          <w:rtl/>
        </w:rPr>
      </w:pPr>
      <w:hyperlink r:id="rId7" w:history="1">
        <w:r w:rsidRPr="00346F4C">
          <w:rPr>
            <w:rStyle w:val="Hyperlink"/>
            <w:rFonts w:ascii="FrankRuehl" w:hAnsi="FrankRuehl" w:cs="FrankRuehl"/>
            <w:u w:val="none"/>
            <w:rtl/>
          </w:rPr>
          <w:t>חוק העונשין, תשל"ז-1977</w:t>
        </w:r>
      </w:hyperlink>
      <w:r w:rsidRPr="00346F4C">
        <w:rPr>
          <w:rFonts w:ascii="FrankRuehl" w:hAnsi="FrankRuehl" w:cs="FrankRuehl"/>
          <w:color w:val="0000FF"/>
          <w:rtl/>
        </w:rPr>
        <w:t xml:space="preserve">: סע'  </w:t>
      </w:r>
      <w:hyperlink r:id="rId8" w:history="1">
        <w:r w:rsidRPr="00346F4C">
          <w:rPr>
            <w:rStyle w:val="Hyperlink"/>
            <w:rFonts w:ascii="FrankRuehl" w:hAnsi="FrankRuehl" w:cs="FrankRuehl"/>
            <w:u w:val="none"/>
          </w:rPr>
          <w:t>40</w:t>
        </w:r>
        <w:r w:rsidRPr="00346F4C">
          <w:rPr>
            <w:rStyle w:val="Hyperlink"/>
            <w:rFonts w:ascii="FrankRuehl" w:hAnsi="FrankRuehl" w:cs="FrankRuehl"/>
            <w:u w:val="none"/>
            <w:rtl/>
          </w:rPr>
          <w:t>ז</w:t>
        </w:r>
      </w:hyperlink>
      <w:r w:rsidRPr="00346F4C">
        <w:rPr>
          <w:rFonts w:ascii="FrankRuehl" w:hAnsi="FrankRuehl" w:cs="FrankRuehl"/>
          <w:color w:val="0000FF"/>
          <w:rtl/>
        </w:rPr>
        <w:t xml:space="preserve">, </w:t>
      </w:r>
      <w:hyperlink r:id="rId9" w:history="1">
        <w:r w:rsidRPr="00346F4C">
          <w:rPr>
            <w:rStyle w:val="Hyperlink"/>
            <w:rFonts w:ascii="FrankRuehl" w:hAnsi="FrankRuehl" w:cs="FrankRuehl"/>
            <w:u w:val="none"/>
          </w:rPr>
          <w:t>40</w:t>
        </w:r>
        <w:r w:rsidRPr="00346F4C">
          <w:rPr>
            <w:rStyle w:val="Hyperlink"/>
            <w:rFonts w:ascii="FrankRuehl" w:hAnsi="FrankRuehl" w:cs="FrankRuehl"/>
            <w:u w:val="none"/>
            <w:rtl/>
          </w:rPr>
          <w:t>ט</w:t>
        </w:r>
      </w:hyperlink>
      <w:r w:rsidRPr="00346F4C">
        <w:rPr>
          <w:rFonts w:ascii="FrankRuehl" w:hAnsi="FrankRuehl" w:cs="FrankRuehl"/>
          <w:color w:val="0000FF"/>
          <w:rtl/>
        </w:rPr>
        <w:t xml:space="preserve">(א), </w:t>
      </w:r>
      <w:hyperlink r:id="rId10" w:history="1">
        <w:r w:rsidRPr="00346F4C">
          <w:rPr>
            <w:rStyle w:val="Hyperlink"/>
            <w:rFonts w:ascii="FrankRuehl" w:hAnsi="FrankRuehl" w:cs="FrankRuehl"/>
            <w:u w:val="none"/>
          </w:rPr>
          <w:t>144</w:t>
        </w:r>
      </w:hyperlink>
      <w:r w:rsidRPr="00346F4C">
        <w:rPr>
          <w:rFonts w:ascii="FrankRuehl" w:hAnsi="FrankRuehl" w:cs="FrankRuehl"/>
          <w:color w:val="0000FF"/>
          <w:rtl/>
        </w:rPr>
        <w:t xml:space="preserve">(ב), </w:t>
      </w:r>
      <w:hyperlink r:id="rId11" w:history="1">
        <w:r w:rsidRPr="00346F4C">
          <w:rPr>
            <w:rStyle w:val="Hyperlink"/>
            <w:rFonts w:ascii="FrankRuehl" w:hAnsi="FrankRuehl" w:cs="FrankRuehl"/>
            <w:u w:val="none"/>
          </w:rPr>
          <w:t>144</w:t>
        </w:r>
      </w:hyperlink>
      <w:r w:rsidRPr="00346F4C">
        <w:rPr>
          <w:rFonts w:ascii="FrankRuehl" w:hAnsi="FrankRuehl" w:cs="FrankRuehl"/>
          <w:color w:val="0000FF"/>
          <w:rtl/>
        </w:rPr>
        <w:t xml:space="preserve">(ז), </w:t>
      </w:r>
      <w:hyperlink r:id="rId12" w:history="1">
        <w:r w:rsidRPr="00346F4C">
          <w:rPr>
            <w:rStyle w:val="Hyperlink"/>
            <w:rFonts w:ascii="FrankRuehl" w:hAnsi="FrankRuehl" w:cs="FrankRuehl"/>
            <w:u w:val="none"/>
          </w:rPr>
          <w:t>275</w:t>
        </w:r>
      </w:hyperlink>
      <w:r w:rsidRPr="00346F4C">
        <w:rPr>
          <w:rFonts w:ascii="FrankRuehl" w:hAnsi="FrankRuehl" w:cs="FrankRuehl"/>
          <w:color w:val="0000FF"/>
          <w:rtl/>
        </w:rPr>
        <w:t xml:space="preserve">, </w:t>
      </w:r>
      <w:hyperlink r:id="rId13" w:history="1">
        <w:r w:rsidRPr="00346F4C">
          <w:rPr>
            <w:rStyle w:val="Hyperlink"/>
            <w:rFonts w:ascii="FrankRuehl" w:hAnsi="FrankRuehl" w:cs="FrankRuehl"/>
            <w:u w:val="none"/>
          </w:rPr>
          <w:t xml:space="preserve">40 </w:t>
        </w:r>
        <w:r w:rsidRPr="00346F4C">
          <w:rPr>
            <w:rStyle w:val="Hyperlink"/>
            <w:rFonts w:ascii="FrankRuehl" w:hAnsi="FrankRuehl" w:cs="FrankRuehl"/>
            <w:u w:val="none"/>
            <w:rtl/>
          </w:rPr>
          <w:t>יא</w:t>
        </w:r>
      </w:hyperlink>
      <w:r w:rsidRPr="00346F4C">
        <w:rPr>
          <w:rFonts w:ascii="FrankRuehl" w:hAnsi="FrankRuehl" w:cs="FrankRuehl"/>
          <w:color w:val="0000FF"/>
          <w:rtl/>
        </w:rPr>
        <w:t xml:space="preserve">, </w:t>
      </w:r>
      <w:hyperlink r:id="rId14" w:history="1">
        <w:r w:rsidRPr="00346F4C">
          <w:rPr>
            <w:rStyle w:val="Hyperlink"/>
            <w:rFonts w:ascii="FrankRuehl" w:hAnsi="FrankRuehl" w:cs="FrankRuehl"/>
            <w:u w:val="none"/>
          </w:rPr>
          <w:t>40</w:t>
        </w:r>
        <w:r w:rsidRPr="00346F4C">
          <w:rPr>
            <w:rStyle w:val="Hyperlink"/>
            <w:rFonts w:ascii="FrankRuehl" w:hAnsi="FrankRuehl" w:cs="FrankRuehl"/>
            <w:u w:val="none"/>
            <w:rtl/>
          </w:rPr>
          <w:t>יג</w:t>
        </w:r>
      </w:hyperlink>
      <w:r w:rsidRPr="00346F4C">
        <w:rPr>
          <w:rFonts w:ascii="FrankRuehl" w:hAnsi="FrankRuehl" w:cs="FrankRuehl"/>
          <w:color w:val="0000FF"/>
          <w:rtl/>
        </w:rPr>
        <w:t xml:space="preserve">(א), </w:t>
      </w:r>
      <w:hyperlink r:id="rId15" w:history="1">
        <w:r w:rsidRPr="00346F4C">
          <w:rPr>
            <w:rStyle w:val="Hyperlink"/>
            <w:rFonts w:ascii="FrankRuehl" w:hAnsi="FrankRuehl" w:cs="FrankRuehl"/>
            <w:u w:val="none"/>
          </w:rPr>
          <w:t>40</w:t>
        </w:r>
        <w:r w:rsidRPr="00346F4C">
          <w:rPr>
            <w:rStyle w:val="Hyperlink"/>
            <w:rFonts w:ascii="FrankRuehl" w:hAnsi="FrankRuehl" w:cs="FrankRuehl"/>
            <w:u w:val="none"/>
            <w:rtl/>
          </w:rPr>
          <w:t>יג</w:t>
        </w:r>
      </w:hyperlink>
      <w:r w:rsidRPr="00346F4C">
        <w:rPr>
          <w:rFonts w:ascii="FrankRuehl" w:hAnsi="FrankRuehl" w:cs="FrankRuehl"/>
          <w:color w:val="0000FF"/>
          <w:rtl/>
        </w:rPr>
        <w:t>(ג)</w:t>
      </w:r>
    </w:p>
    <w:p w14:paraId="067E8FF4" w14:textId="77777777" w:rsidR="0019435A" w:rsidRPr="00346F4C" w:rsidRDefault="0019435A" w:rsidP="00346F4C">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435A" w14:paraId="797BCF7E" w14:textId="77777777" w:rsidTr="0019435A">
        <w:trPr>
          <w:trHeight w:val="355"/>
          <w:jc w:val="center"/>
        </w:trPr>
        <w:tc>
          <w:tcPr>
            <w:tcW w:w="8820" w:type="dxa"/>
            <w:tcBorders>
              <w:top w:val="nil"/>
              <w:left w:val="nil"/>
              <w:bottom w:val="nil"/>
              <w:right w:val="nil"/>
            </w:tcBorders>
            <w:shd w:val="clear" w:color="auto" w:fill="auto"/>
          </w:tcPr>
          <w:p w14:paraId="40654368" w14:textId="77777777" w:rsidR="00A264EB" w:rsidRPr="00A264EB" w:rsidRDefault="00A264EB" w:rsidP="00A264EB">
            <w:pPr>
              <w:jc w:val="center"/>
              <w:rPr>
                <w:rFonts w:ascii="Arial" w:hAnsi="Arial"/>
                <w:b/>
                <w:bCs/>
                <w:sz w:val="28"/>
                <w:szCs w:val="28"/>
                <w:u w:val="single"/>
                <w:rtl/>
              </w:rPr>
            </w:pPr>
            <w:bookmarkStart w:id="4" w:name="PsakDin" w:colFirst="0" w:colLast="0"/>
            <w:r w:rsidRPr="00A264EB">
              <w:rPr>
                <w:rFonts w:ascii="Arial" w:hAnsi="Arial"/>
                <w:b/>
                <w:bCs/>
                <w:sz w:val="28"/>
                <w:szCs w:val="28"/>
                <w:u w:val="single"/>
                <w:rtl/>
              </w:rPr>
              <w:t>גזר דין</w:t>
            </w:r>
          </w:p>
          <w:p w14:paraId="07D7B65D" w14:textId="77777777" w:rsidR="0019435A" w:rsidRPr="00A264EB" w:rsidRDefault="0019435A" w:rsidP="00A264EB">
            <w:pPr>
              <w:jc w:val="center"/>
              <w:rPr>
                <w:rFonts w:ascii="Arial" w:hAnsi="Arial"/>
                <w:bCs/>
                <w:sz w:val="28"/>
                <w:szCs w:val="28"/>
                <w:u w:val="single"/>
                <w:rtl/>
              </w:rPr>
            </w:pPr>
          </w:p>
        </w:tc>
      </w:tr>
      <w:bookmarkEnd w:id="4"/>
    </w:tbl>
    <w:p w14:paraId="1DD42071" w14:textId="77777777" w:rsidR="0019435A" w:rsidRPr="00B05847" w:rsidRDefault="0019435A" w:rsidP="0019435A">
      <w:pPr>
        <w:spacing w:line="360" w:lineRule="auto"/>
        <w:jc w:val="both"/>
        <w:rPr>
          <w:rFonts w:ascii="Arial" w:hAnsi="Arial"/>
          <w:rtl/>
        </w:rPr>
      </w:pPr>
    </w:p>
    <w:p w14:paraId="6DED58B4" w14:textId="77777777" w:rsidR="0019435A" w:rsidRPr="001A5350" w:rsidRDefault="0019435A" w:rsidP="0019435A">
      <w:pPr>
        <w:spacing w:line="360" w:lineRule="auto"/>
        <w:jc w:val="both"/>
        <w:rPr>
          <w:rFonts w:ascii="David" w:eastAsia="Calibri" w:hAnsi="David"/>
          <w:u w:val="single"/>
        </w:rPr>
      </w:pPr>
      <w:r w:rsidRPr="001A5350">
        <w:rPr>
          <w:rFonts w:ascii="David" w:eastAsia="Calibri" w:hAnsi="David"/>
          <w:u w:val="single"/>
          <w:rtl/>
        </w:rPr>
        <w:t>כללי</w:t>
      </w:r>
    </w:p>
    <w:p w14:paraId="4570E06F" w14:textId="77777777" w:rsidR="0019435A" w:rsidRPr="001A5350" w:rsidRDefault="0019435A" w:rsidP="0019435A">
      <w:pPr>
        <w:spacing w:line="360" w:lineRule="auto"/>
        <w:jc w:val="both"/>
        <w:rPr>
          <w:rFonts w:ascii="David" w:eastAsia="Calibri" w:hAnsi="David"/>
          <w:rtl/>
        </w:rPr>
      </w:pPr>
      <w:bookmarkStart w:id="5" w:name="ABSTRACT_START"/>
      <w:bookmarkEnd w:id="5"/>
      <w:r w:rsidRPr="001A5350">
        <w:rPr>
          <w:rFonts w:ascii="David" w:eastAsia="Calibri" w:hAnsi="David"/>
          <w:rtl/>
        </w:rPr>
        <w:t xml:space="preserve">הנאשם, איהם עמאש, הורשע ביום 20.11.24, על סמך הודאתו במסגרת הסדר טיעון, בכתב אישום מתוקן שהוגש נגדו, בגין </w:t>
      </w:r>
      <w:r w:rsidRPr="001A5350">
        <w:rPr>
          <w:rFonts w:ascii="David" w:eastAsia="Calibri" w:hAnsi="David"/>
          <w:b/>
          <w:bCs/>
          <w:rtl/>
        </w:rPr>
        <w:t>עבירות בנשק (נשיאה והובלה)</w:t>
      </w:r>
      <w:r w:rsidRPr="001A5350">
        <w:rPr>
          <w:rFonts w:ascii="David" w:eastAsia="Calibri" w:hAnsi="David"/>
          <w:rtl/>
        </w:rPr>
        <w:t xml:space="preserve"> – לפי </w:t>
      </w:r>
      <w:hyperlink r:id="rId16" w:history="1">
        <w:r w:rsidR="00346F4C" w:rsidRPr="00346F4C">
          <w:rPr>
            <w:rStyle w:val="Hyperlink"/>
            <w:rFonts w:ascii="David" w:eastAsia="Calibri" w:hAnsi="David"/>
            <w:color w:val="0000FF"/>
            <w:rtl/>
          </w:rPr>
          <w:t>סעיפים 144(ב)</w:t>
        </w:r>
      </w:hyperlink>
      <w:r w:rsidRPr="001A5350">
        <w:rPr>
          <w:rFonts w:ascii="David" w:eastAsia="Calibri" w:hAnsi="David"/>
          <w:rtl/>
        </w:rPr>
        <w:t xml:space="preserve"> רישא וסיפא</w:t>
      </w:r>
      <w:r w:rsidRPr="001A5350">
        <w:rPr>
          <w:rFonts w:ascii="David" w:eastAsia="Calibri" w:hAnsi="David"/>
        </w:rPr>
        <w:t>;</w:t>
      </w:r>
    </w:p>
    <w:p w14:paraId="165EE3A9"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ובעבירה של </w:t>
      </w:r>
      <w:r w:rsidRPr="001A5350">
        <w:rPr>
          <w:rFonts w:ascii="David" w:eastAsia="Calibri" w:hAnsi="David"/>
          <w:b/>
          <w:bCs/>
          <w:rtl/>
        </w:rPr>
        <w:t>הפרעה לשוטר בשעת מילוי תפקידו</w:t>
      </w:r>
      <w:r w:rsidRPr="001A5350">
        <w:rPr>
          <w:rFonts w:ascii="David" w:eastAsia="Calibri" w:hAnsi="David"/>
          <w:rtl/>
        </w:rPr>
        <w:t xml:space="preserve"> – לפי </w:t>
      </w:r>
      <w:hyperlink r:id="rId17" w:history="1">
        <w:r w:rsidR="00346F4C" w:rsidRPr="00346F4C">
          <w:rPr>
            <w:rStyle w:val="Hyperlink"/>
            <w:rFonts w:ascii="David" w:eastAsia="Calibri" w:hAnsi="David"/>
            <w:color w:val="0000FF"/>
            <w:rtl/>
          </w:rPr>
          <w:t>סעיף 275</w:t>
        </w:r>
      </w:hyperlink>
      <w:r w:rsidRPr="001A5350">
        <w:rPr>
          <w:rFonts w:ascii="David" w:eastAsia="Calibri" w:hAnsi="David"/>
          <w:rtl/>
        </w:rPr>
        <w:t xml:space="preserve"> ל</w:t>
      </w:r>
      <w:hyperlink r:id="rId18" w:history="1">
        <w:r w:rsidR="00A264EB" w:rsidRPr="00A264EB">
          <w:rPr>
            <w:rFonts w:ascii="David" w:eastAsia="Calibri" w:hAnsi="David"/>
            <w:color w:val="0000FF"/>
            <w:u w:val="single"/>
            <w:rtl/>
          </w:rPr>
          <w:t>חוק העונשין</w:t>
        </w:r>
      </w:hyperlink>
      <w:r w:rsidRPr="001A5350">
        <w:rPr>
          <w:rFonts w:ascii="David" w:eastAsia="Calibri" w:hAnsi="David"/>
          <w:rtl/>
        </w:rPr>
        <w:t>, תשל"ז-1977 (להלן: "</w:t>
      </w:r>
      <w:r w:rsidRPr="001A5350">
        <w:rPr>
          <w:rFonts w:ascii="David" w:eastAsia="Calibri" w:hAnsi="David"/>
          <w:b/>
          <w:bCs/>
          <w:rtl/>
        </w:rPr>
        <w:t>חוק העונשין</w:t>
      </w:r>
      <w:r w:rsidRPr="001A5350">
        <w:rPr>
          <w:rFonts w:ascii="David" w:eastAsia="Calibri" w:hAnsi="David"/>
          <w:rtl/>
        </w:rPr>
        <w:t>" או "</w:t>
      </w:r>
      <w:r w:rsidRPr="001A5350">
        <w:rPr>
          <w:rFonts w:ascii="David" w:eastAsia="Calibri" w:hAnsi="David"/>
          <w:b/>
          <w:bCs/>
          <w:rtl/>
        </w:rPr>
        <w:t>החוק</w:t>
      </w:r>
      <w:r w:rsidRPr="001A5350">
        <w:rPr>
          <w:rFonts w:ascii="David" w:eastAsia="Calibri" w:hAnsi="David"/>
          <w:rtl/>
        </w:rPr>
        <w:t>").</w:t>
      </w:r>
    </w:p>
    <w:p w14:paraId="51507BFF" w14:textId="77777777" w:rsidR="0019435A" w:rsidRPr="001A5350" w:rsidRDefault="0019435A" w:rsidP="0019435A">
      <w:pPr>
        <w:spacing w:after="240" w:line="360" w:lineRule="auto"/>
        <w:jc w:val="both"/>
        <w:rPr>
          <w:rFonts w:ascii="David" w:eastAsia="Calibri" w:hAnsi="David"/>
          <w:rtl/>
        </w:rPr>
      </w:pPr>
      <w:bookmarkStart w:id="6" w:name="ABSTRACT_END"/>
      <w:bookmarkEnd w:id="6"/>
      <w:r w:rsidRPr="001A5350">
        <w:rPr>
          <w:rFonts w:ascii="David" w:eastAsia="Calibri" w:hAnsi="David"/>
          <w:rtl/>
        </w:rPr>
        <w:t>הסדר הטיעון לא כלל הסכמות לעניין עונשו של הנאשם.</w:t>
      </w:r>
    </w:p>
    <w:p w14:paraId="17B1C8EB" w14:textId="77777777" w:rsidR="0019435A" w:rsidRPr="001A5350" w:rsidRDefault="0019435A" w:rsidP="0019435A">
      <w:pPr>
        <w:spacing w:line="360" w:lineRule="auto"/>
        <w:jc w:val="both"/>
        <w:rPr>
          <w:rFonts w:ascii="David" w:eastAsia="Calibri" w:hAnsi="David"/>
          <w:u w:val="single"/>
          <w:rtl/>
        </w:rPr>
      </w:pPr>
      <w:r w:rsidRPr="001A5350">
        <w:rPr>
          <w:rFonts w:ascii="David" w:eastAsia="Calibri" w:hAnsi="David"/>
          <w:u w:val="single"/>
          <w:rtl/>
        </w:rPr>
        <w:t>עובדות כתב-האישום המתוקן</w:t>
      </w:r>
    </w:p>
    <w:p w14:paraId="1A75ACB3"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ביום 23.6.24, בשעה 19:34 לערך, בג'סר א-זרקא, נשא הנאשם חפץ דמוי תת-מקלע מאולתר, כשכדור נמצא בקנה שלו, ושחוברה לו מחסנית, אשר הכילה 3 כדורים. שוטרים אשר ביצעו פעילות משטרתית בסמוך למקום, הבחינו בנאשם וקראו לו לעצור. הנאשם בתגובה, החל להימלט מהשוטרים. בעת מנוסתו מהשוטרים, השליך הנאשם את תת-המקלע והמשיך בהימלטותו. כעבור מספר ימים, נעצר הנאשם על-ידי משטרת ישראל, ביום 29.6.24.</w:t>
      </w:r>
    </w:p>
    <w:p w14:paraId="2F6F13E3" w14:textId="77777777" w:rsidR="0019435A" w:rsidRPr="001A5350" w:rsidRDefault="0019435A" w:rsidP="0019435A">
      <w:pPr>
        <w:spacing w:line="360" w:lineRule="auto"/>
        <w:jc w:val="both"/>
        <w:rPr>
          <w:rFonts w:ascii="David" w:eastAsia="Calibri" w:hAnsi="David"/>
          <w:u w:val="single"/>
          <w:rtl/>
        </w:rPr>
      </w:pPr>
      <w:r w:rsidRPr="001A5350">
        <w:rPr>
          <w:rFonts w:ascii="David" w:eastAsia="Calibri" w:hAnsi="David"/>
          <w:u w:val="single"/>
          <w:rtl/>
        </w:rPr>
        <w:t>תסקיר שירות המבחן</w:t>
      </w:r>
    </w:p>
    <w:p w14:paraId="535AC288"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על-פי תסקיר שירות המבחן לנאשם מיום 14.1.25, עולה כי הנאשם הינו רווק, בן 20, מג'סר א-זרקא</w:t>
      </w:r>
      <w:r w:rsidRPr="001A5350">
        <w:rPr>
          <w:rFonts w:ascii="David" w:eastAsia="Calibri" w:hAnsi="David"/>
        </w:rPr>
        <w:t>;</w:t>
      </w:r>
      <w:r w:rsidRPr="001A5350">
        <w:rPr>
          <w:rFonts w:ascii="David" w:eastAsia="Calibri" w:hAnsi="David"/>
          <w:rtl/>
        </w:rPr>
        <w:t xml:space="preserve"> טרם מעצרו בתיק זה, עבד הנאשם במסעדה בקיסריה במשך כשמונה חודשים</w:t>
      </w:r>
      <w:r w:rsidRPr="001A5350">
        <w:rPr>
          <w:rFonts w:ascii="David" w:eastAsia="Calibri" w:hAnsi="David"/>
        </w:rPr>
        <w:t>;</w:t>
      </w:r>
      <w:r w:rsidRPr="001A5350">
        <w:rPr>
          <w:rFonts w:ascii="David" w:eastAsia="Calibri" w:hAnsi="David"/>
          <w:rtl/>
        </w:rPr>
        <w:t xml:space="preserve"> צוין, כי לנאשם הסתבכות קודמת בעבירה שעניינה היזק לרכוש במזיד</w:t>
      </w:r>
      <w:r w:rsidRPr="001A5350">
        <w:rPr>
          <w:rFonts w:ascii="David" w:eastAsia="Calibri" w:hAnsi="David"/>
        </w:rPr>
        <w:t>;</w:t>
      </w:r>
      <w:r w:rsidRPr="001A5350">
        <w:rPr>
          <w:rFonts w:ascii="David" w:eastAsia="Calibri" w:hAnsi="David"/>
          <w:rtl/>
        </w:rPr>
        <w:t xml:space="preserve"> בבחינת התייחסותו של הנאשם לעבירות בתיק זה, התרשם שירות המבחן כי הנאשם לוקח אחריות על המיוחס לו, אך עם זאת, הוא שיתף באופן חלקי בלבד אודות מה שאירע בעת ביצוע העבירות. לדברי הנאשם, הוא מצא את הנשק בשכונה בה מתגורר וירה ממנו ירייה אחת. עוד צוין, כי הנאשם גילה מודעות להשלכות החמורות של מעשיו, הביע חרטה עליהם ומכיר בחומרתם. לצד זאת, מתואר כי הוא התקשה להסביר את </w:t>
      </w:r>
      <w:r w:rsidRPr="001A5350">
        <w:rPr>
          <w:rFonts w:ascii="David" w:eastAsia="Calibri" w:hAnsi="David"/>
          <w:rtl/>
        </w:rPr>
        <w:lastRenderedPageBreak/>
        <w:t>המניעים העומדים בבסיס התנהגותו, וכן כי התקשה לבחון באופן ביקורתי את התנהלותו</w:t>
      </w:r>
      <w:r w:rsidRPr="001A5350">
        <w:rPr>
          <w:rFonts w:ascii="David" w:eastAsia="Calibri" w:hAnsi="David"/>
        </w:rPr>
        <w:t>;</w:t>
      </w:r>
      <w:r w:rsidRPr="001A5350">
        <w:rPr>
          <w:rFonts w:ascii="David" w:eastAsia="Calibri" w:hAnsi="David"/>
          <w:rtl/>
        </w:rPr>
        <w:t xml:space="preserve"> עוד פורט, כי התקבל בידי שירות המבחן מידע מגורמי הטיפול בבית המעצר, ולפיו הנאשם המשיך לגלות דפוסי התנהגות בלתי מסתגלים, וכי לחובתו שני דיונים משמעתיים בגין הפרת סדר ומשמעת</w:t>
      </w:r>
      <w:r w:rsidRPr="001A5350">
        <w:rPr>
          <w:rFonts w:ascii="David" w:eastAsia="Calibri" w:hAnsi="David"/>
        </w:rPr>
        <w:t>;</w:t>
      </w:r>
      <w:r w:rsidRPr="001A5350">
        <w:rPr>
          <w:rFonts w:ascii="David" w:eastAsia="Calibri" w:hAnsi="David"/>
          <w:rtl/>
        </w:rPr>
        <w:t xml:space="preserve"> לסיכום, סבר שירות המבחן כי אין בידיו לבוא בהמלצה טיפולית במסגרת הקהילה, באופן זה שיפחית את הסיכון להישנותה של התנהגות פורצת גבולות מצד הנאשם. לצד זאת, העריך שירות המבחן כי קיימת חשיבות לשילובו של הנאשם בהליך טיפולי בתקופת מאסרו, ומשכך המליץ לשבצו בתוכנית טיפולית במסגרת שירות בתי-הסוהר.</w:t>
      </w:r>
    </w:p>
    <w:p w14:paraId="5BE5B7CB" w14:textId="77777777" w:rsidR="0019435A" w:rsidRPr="001A5350" w:rsidRDefault="0019435A" w:rsidP="0019435A">
      <w:pPr>
        <w:spacing w:after="240" w:line="360" w:lineRule="auto"/>
        <w:jc w:val="both"/>
        <w:rPr>
          <w:rFonts w:ascii="David" w:eastAsia="Calibri" w:hAnsi="David"/>
          <w:b/>
          <w:bCs/>
          <w:u w:val="single"/>
          <w:rtl/>
        </w:rPr>
      </w:pPr>
      <w:r w:rsidRPr="001A5350">
        <w:rPr>
          <w:rFonts w:ascii="David" w:eastAsia="Calibri" w:hAnsi="David"/>
          <w:b/>
          <w:bCs/>
          <w:u w:val="single"/>
          <w:rtl/>
        </w:rPr>
        <w:t>הראיות לעניין העונש</w:t>
      </w:r>
    </w:p>
    <w:p w14:paraId="16C8BF2A" w14:textId="77777777" w:rsidR="0019435A" w:rsidRPr="001A5350" w:rsidRDefault="0019435A" w:rsidP="0019435A">
      <w:pPr>
        <w:spacing w:line="360" w:lineRule="auto"/>
        <w:jc w:val="both"/>
        <w:rPr>
          <w:rFonts w:ascii="David" w:eastAsia="Calibri" w:hAnsi="David"/>
          <w:u w:val="single"/>
          <w:rtl/>
        </w:rPr>
      </w:pPr>
      <w:r w:rsidRPr="001A5350">
        <w:rPr>
          <w:rFonts w:ascii="David" w:eastAsia="Calibri" w:hAnsi="David"/>
          <w:u w:val="single"/>
          <w:rtl/>
        </w:rPr>
        <w:t>המאשימה</w:t>
      </w:r>
    </w:p>
    <w:p w14:paraId="2E5A6E9F"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 xml:space="preserve">במסגרת ראיות התביעה לעניין העונש, הגיש הפרקליט המלומד, עו"ד מיכאל יפרח, </w:t>
      </w:r>
      <w:r w:rsidRPr="001A5350">
        <w:rPr>
          <w:rFonts w:ascii="David" w:eastAsia="Calibri" w:hAnsi="David"/>
          <w:b/>
          <w:bCs/>
          <w:rtl/>
        </w:rPr>
        <w:t>תדפיסי מידע פליליים</w:t>
      </w:r>
      <w:r w:rsidRPr="001A5350">
        <w:rPr>
          <w:rFonts w:ascii="David" w:eastAsia="Calibri" w:hAnsi="David"/>
          <w:rtl/>
        </w:rPr>
        <w:t xml:space="preserve"> בעניינו של הנאשם - תדפיס כללי ותדפיס תעבורתי (סומנו יחדיו </w:t>
      </w:r>
      <w:r w:rsidRPr="001A5350">
        <w:rPr>
          <w:rFonts w:ascii="David" w:eastAsia="Calibri" w:hAnsi="David"/>
          <w:b/>
          <w:bCs/>
          <w:rtl/>
        </w:rPr>
        <w:t>טעת/1</w:t>
      </w:r>
      <w:r w:rsidRPr="001A5350">
        <w:rPr>
          <w:rFonts w:ascii="David" w:eastAsia="Calibri" w:hAnsi="David"/>
          <w:rtl/>
        </w:rPr>
        <w:t>). על-פי התדפיס הכללי, לנאשם תיק פלילי קודם בעבירה של היזק לרכוש במזיד, בגינו נקבע כי ביצע את המעשים, אך הוא לא הורשע בהם, ונגזרו עליו צו התחייבות להימנע מעבירה וחיוב בפיצוי לנפגע העבירה.</w:t>
      </w:r>
    </w:p>
    <w:p w14:paraId="5E52A4B9" w14:textId="77777777" w:rsidR="0019435A" w:rsidRPr="001A5350" w:rsidRDefault="0019435A" w:rsidP="0019435A">
      <w:pPr>
        <w:spacing w:line="360" w:lineRule="auto"/>
        <w:jc w:val="both"/>
        <w:rPr>
          <w:rFonts w:ascii="David" w:eastAsia="Calibri" w:hAnsi="David"/>
          <w:u w:val="single"/>
        </w:rPr>
      </w:pPr>
      <w:r w:rsidRPr="001A5350">
        <w:rPr>
          <w:rFonts w:ascii="David" w:eastAsia="Calibri" w:hAnsi="David"/>
          <w:u w:val="single"/>
          <w:rtl/>
        </w:rPr>
        <w:t>ההגנה</w:t>
      </w:r>
    </w:p>
    <w:p w14:paraId="23863AAE"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מטעמה של ההגנה לא הוגשו ראיות לעניין העונש.</w:t>
      </w:r>
    </w:p>
    <w:p w14:paraId="6F85E725" w14:textId="77777777" w:rsidR="0019435A" w:rsidRPr="001A5350" w:rsidRDefault="0019435A" w:rsidP="0019435A">
      <w:pPr>
        <w:spacing w:after="240" w:line="360" w:lineRule="auto"/>
        <w:jc w:val="both"/>
        <w:rPr>
          <w:rFonts w:ascii="David" w:eastAsia="Calibri" w:hAnsi="David"/>
          <w:b/>
          <w:bCs/>
          <w:u w:val="single"/>
          <w:rtl/>
        </w:rPr>
      </w:pPr>
      <w:r w:rsidRPr="001A5350">
        <w:rPr>
          <w:rFonts w:ascii="David" w:eastAsia="Calibri" w:hAnsi="David"/>
          <w:b/>
          <w:bCs/>
          <w:u w:val="single"/>
          <w:rtl/>
        </w:rPr>
        <w:t>הטיעונים לעניין עונש</w:t>
      </w:r>
    </w:p>
    <w:p w14:paraId="7F0170A5" w14:textId="77777777" w:rsidR="0019435A" w:rsidRPr="001A5350" w:rsidRDefault="0019435A" w:rsidP="0019435A">
      <w:pPr>
        <w:spacing w:line="360" w:lineRule="auto"/>
        <w:jc w:val="both"/>
        <w:rPr>
          <w:rFonts w:ascii="David" w:eastAsia="Calibri" w:hAnsi="David"/>
          <w:u w:val="single"/>
          <w:rtl/>
        </w:rPr>
      </w:pPr>
      <w:r w:rsidRPr="001A5350">
        <w:rPr>
          <w:rFonts w:ascii="David" w:eastAsia="Calibri" w:hAnsi="David"/>
          <w:u w:val="single"/>
          <w:rtl/>
        </w:rPr>
        <w:t>המאשימה</w:t>
      </w:r>
    </w:p>
    <w:p w14:paraId="754B7408"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המאשימה הגישה את טיעוניה לעונש בכתב (סומנו </w:t>
      </w:r>
      <w:r w:rsidRPr="001A5350">
        <w:rPr>
          <w:rFonts w:ascii="David" w:eastAsia="Calibri" w:hAnsi="David"/>
          <w:b/>
          <w:bCs/>
          <w:rtl/>
        </w:rPr>
        <w:t>טעת/2</w:t>
      </w:r>
      <w:r w:rsidRPr="001A5350">
        <w:rPr>
          <w:rFonts w:ascii="David" w:eastAsia="Calibri" w:hAnsi="David"/>
          <w:rtl/>
        </w:rPr>
        <w:t xml:space="preserve">). במסגרת טיעוניה, עמדה המאשימה על </w:t>
      </w:r>
      <w:r w:rsidRPr="001A5350">
        <w:rPr>
          <w:rFonts w:ascii="David" w:eastAsia="Calibri" w:hAnsi="David"/>
          <w:b/>
          <w:bCs/>
          <w:rtl/>
        </w:rPr>
        <w:t>הערכים המוגנים</w:t>
      </w:r>
      <w:r w:rsidRPr="001A5350">
        <w:rPr>
          <w:rFonts w:ascii="David" w:eastAsia="Calibri" w:hAnsi="David"/>
          <w:rtl/>
        </w:rPr>
        <w:t xml:space="preserve"> שנפגעו ממעשיו של הנאשם: שמירה על ערך חיי אדם, שלמות הגוף, ביטחון הציבור ושלומו, שמירה על שלטון החוק ועל הסדר הציבורי. עוד הדגישה, כי תדירותן של עבירות הנשק הולכת וגוברת בקרב הציבור, עד כדי הפיכתן ל"מכת מדינה".</w:t>
      </w:r>
    </w:p>
    <w:p w14:paraId="6AAF4E1D"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בבחינת הנסיבות המחמירות הקשורות בביצוע העבירה, עמדה המאשימה על חומרתן של עבירות הנשק ועל הפוטנציאל הגלום בהן לסיכון חיי אדם. כמו כן, ציינה כי לנוכח החוק והפסיקה הנוהגת בעבירות נשק, יש לתת ביטוי עונשי הולם לאותה החמרה ברמת הענישה. עוד הופניתי לתיקון מספר 140 (הוראת-שעה), המעוגן ב</w:t>
      </w:r>
      <w:hyperlink r:id="rId19" w:history="1">
        <w:r w:rsidR="00A264EB" w:rsidRPr="00A264EB">
          <w:rPr>
            <w:rFonts w:ascii="David" w:eastAsia="Calibri" w:hAnsi="David"/>
            <w:color w:val="0000FF"/>
            <w:u w:val="single"/>
            <w:rtl/>
          </w:rPr>
          <w:t>חוק העונשין</w:t>
        </w:r>
      </w:hyperlink>
      <w:r w:rsidRPr="001A5350">
        <w:rPr>
          <w:rFonts w:ascii="David" w:eastAsia="Calibri" w:hAnsi="David"/>
          <w:rtl/>
        </w:rPr>
        <w:t>, אשר קובע עונשי מינימום בגין עבירות אלה</w:t>
      </w:r>
      <w:r w:rsidRPr="001A5350">
        <w:rPr>
          <w:rFonts w:ascii="David" w:eastAsia="Calibri" w:hAnsi="David"/>
        </w:rPr>
        <w:t>;</w:t>
      </w:r>
      <w:r w:rsidRPr="001A5350">
        <w:rPr>
          <w:rFonts w:ascii="David" w:eastAsia="Calibri" w:hAnsi="David"/>
          <w:rtl/>
        </w:rPr>
        <w:t xml:space="preserve"> בבחינת סוג הנשק, הדגישה כי מדובר בנשק דמוי תת-מקלע אוטומטי, אשר מידת הסכנה הצפויה ממנו גבוהה ביחס לכלי נשק אחרים. עוד צוין כי הנשק נמצא כשהוא טעון בכדור בקנה ובמחסנית שהכילה 3 כדורים, כלומר היה מצוי במוכנות לירי מיידי</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הודגש כי עלולים היו להיגרם נזקים חמורים לגוף ולרכוש ואף אבדן חיים</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הנאשם בחר להימלט מהשוטרים</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העבירות בוצעו באופן בלעדי על-ידי הנאשם</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הנאשם הינו בגיר, היה מודע היטב למעשיו, לחומרתם, ולהשלכותיהם</w:t>
      </w:r>
      <w:r w:rsidRPr="001A5350">
        <w:rPr>
          <w:rFonts w:ascii="David" w:eastAsia="Calibri" w:hAnsi="David"/>
        </w:rPr>
        <w:t>;</w:t>
      </w:r>
      <w:r w:rsidRPr="001A5350">
        <w:rPr>
          <w:rFonts w:ascii="David" w:eastAsia="Calibri" w:hAnsi="David"/>
          <w:rtl/>
        </w:rPr>
        <w:t xml:space="preserve"> הנאשם יכול היה להימנע ממעשיו.</w:t>
      </w:r>
    </w:p>
    <w:p w14:paraId="6254AE70"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המאשימה בטיעוניה, עמדה על פסיקה המתאימה לשיטתה לנסיבות המקרה, ועתרה למתחם עונש הולם שנע בין 36 – 60 חודשי מאסר בפועל, לצד ענישה נלווית.</w:t>
      </w:r>
    </w:p>
    <w:p w14:paraId="65B4DAD9" w14:textId="77777777" w:rsidR="0019435A" w:rsidRPr="001A5350" w:rsidRDefault="0019435A" w:rsidP="0019435A">
      <w:pPr>
        <w:spacing w:after="120" w:line="360" w:lineRule="auto"/>
        <w:jc w:val="both"/>
        <w:rPr>
          <w:rFonts w:ascii="David" w:eastAsia="Calibri" w:hAnsi="David"/>
        </w:rPr>
      </w:pPr>
      <w:r w:rsidRPr="001A5350">
        <w:rPr>
          <w:rFonts w:ascii="David" w:eastAsia="Calibri" w:hAnsi="David"/>
          <w:rtl/>
        </w:rPr>
        <w:lastRenderedPageBreak/>
        <w:t>באשר לנסיבות שאינן קשורות בביצוע העבירה, ציינה המאשימה כי הנאשם הודה בכתב-אישום מתוקן ובכך חסך בזמן שיפוטי יקר</w:t>
      </w:r>
      <w:r w:rsidRPr="001A5350">
        <w:rPr>
          <w:rFonts w:ascii="David" w:eastAsia="Calibri" w:hAnsi="David"/>
        </w:rPr>
        <w:t>;</w:t>
      </w:r>
      <w:r w:rsidRPr="001A5350">
        <w:rPr>
          <w:rFonts w:ascii="David" w:eastAsia="Calibri" w:hAnsi="David"/>
          <w:rtl/>
        </w:rPr>
        <w:t xml:space="preserve"> הנאשם אינו קטין, אינו סובל מלקויות כלשהן ואינו קרוב לשום סייג לאחריות פלילית</w:t>
      </w:r>
      <w:r w:rsidRPr="001A5350">
        <w:rPr>
          <w:rFonts w:ascii="David" w:eastAsia="Calibri" w:hAnsi="David"/>
        </w:rPr>
        <w:t>;</w:t>
      </w:r>
      <w:r w:rsidRPr="001A5350">
        <w:rPr>
          <w:rFonts w:ascii="David" w:eastAsia="Calibri" w:hAnsi="David"/>
          <w:rtl/>
        </w:rPr>
        <w:t xml:space="preserve"> הנאשם לא היה נתון במצוקה נפשית ולא קדמה למעשיו התגרות כזו או אחרת</w:t>
      </w:r>
      <w:r w:rsidRPr="001A5350">
        <w:rPr>
          <w:rFonts w:ascii="David" w:eastAsia="Calibri" w:hAnsi="David"/>
        </w:rPr>
        <w:t>;</w:t>
      </w:r>
      <w:r w:rsidRPr="001A5350">
        <w:rPr>
          <w:rFonts w:ascii="David" w:eastAsia="Calibri" w:hAnsi="David"/>
          <w:rtl/>
        </w:rPr>
        <w:t xml:space="preserve"> עוד הפנתה המאשימה, למסקנותיו ולהמלצותיו של שירות המבחן אשר פורטו בתסקיר שנערך לנאשם, והדגישה כי לא ניתנה לגביו המלצה טיפולית</w:t>
      </w:r>
      <w:r w:rsidRPr="001A5350">
        <w:rPr>
          <w:rFonts w:ascii="David" w:eastAsia="Calibri" w:hAnsi="David"/>
        </w:rPr>
        <w:t>;</w:t>
      </w:r>
      <w:r w:rsidRPr="001A5350">
        <w:rPr>
          <w:rFonts w:ascii="David" w:eastAsia="Calibri" w:hAnsi="David"/>
          <w:rtl/>
        </w:rPr>
        <w:t xml:space="preserve"> בנוסף, ציינה כי לנאשם עבר פלילי קודם</w:t>
      </w:r>
      <w:r w:rsidRPr="001A5350">
        <w:rPr>
          <w:rFonts w:ascii="David" w:eastAsia="Calibri" w:hAnsi="David"/>
        </w:rPr>
        <w:t>;</w:t>
      </w:r>
      <w:r w:rsidRPr="001A5350">
        <w:rPr>
          <w:rFonts w:ascii="David" w:eastAsia="Calibri" w:hAnsi="David"/>
          <w:rtl/>
        </w:rPr>
        <w:t xml:space="preserve"> לסיכום, עמדה על כך, שביצוען של עבירות מסוג זה מחייב התחשבות בשיקול שעניינו הרתעת הרבים.</w:t>
      </w:r>
    </w:p>
    <w:p w14:paraId="663CA0B4"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לאור המפורט לעיל, ביקשה המאשימה לגזור את עונשו של הנאשם ברף האמצעי של המתחם המוצע על-ידה. בנוסף, ביקשה להטיל על הנאשם עונש מאסר מותנה מרתיע וקנס כספי.</w:t>
      </w:r>
    </w:p>
    <w:p w14:paraId="3EEE0C7B" w14:textId="77777777" w:rsidR="0019435A" w:rsidRPr="001A5350" w:rsidRDefault="0019435A" w:rsidP="0019435A">
      <w:pPr>
        <w:spacing w:line="360" w:lineRule="auto"/>
        <w:jc w:val="both"/>
        <w:rPr>
          <w:rFonts w:ascii="David" w:eastAsia="Calibri" w:hAnsi="David"/>
          <w:u w:val="single"/>
        </w:rPr>
      </w:pPr>
      <w:r w:rsidRPr="001A5350">
        <w:rPr>
          <w:rFonts w:ascii="David" w:eastAsia="Calibri" w:hAnsi="David"/>
          <w:u w:val="single"/>
          <w:rtl/>
        </w:rPr>
        <w:t>ההגנה</w:t>
      </w:r>
    </w:p>
    <w:p w14:paraId="4D61A486" w14:textId="77777777" w:rsidR="0019435A" w:rsidRPr="001A5350" w:rsidRDefault="0019435A" w:rsidP="0019435A">
      <w:pPr>
        <w:spacing w:after="160" w:line="360" w:lineRule="auto"/>
        <w:jc w:val="both"/>
        <w:rPr>
          <w:rFonts w:ascii="David" w:eastAsia="Calibri" w:hAnsi="David"/>
          <w:rtl/>
        </w:rPr>
      </w:pPr>
      <w:r w:rsidRPr="001A5350">
        <w:rPr>
          <w:rFonts w:ascii="David" w:eastAsia="Calibri" w:hAnsi="David"/>
          <w:rtl/>
        </w:rPr>
        <w:t>בא-כוחו המלומד של הנאשם, עו"ד עאדל בויראת, השמיע את טיעוני ההגנה לעניין העונש בעל-פה, במסגרת הדיון. צוין, כי הנאשם הודה במעשים בהזדמנות הראשונה, וכן הודה בעובדות כתב-האישום המתוקן בפני בית-המשפט. בכך, חסך הנאשם בזמן שיפוטי יקר, וחסך גם מזמנם של העדים</w:t>
      </w:r>
      <w:r w:rsidRPr="001A5350">
        <w:rPr>
          <w:rFonts w:ascii="David" w:eastAsia="Calibri" w:hAnsi="David"/>
        </w:rPr>
        <w:t>;</w:t>
      </w:r>
      <w:r w:rsidRPr="001A5350">
        <w:rPr>
          <w:rFonts w:ascii="David" w:eastAsia="Calibri" w:hAnsi="David"/>
          <w:rtl/>
        </w:rPr>
        <w:t xml:space="preserve"> עוד צוין, התסקיר שנערך לנאשם, לפיו הוא מביע חרטה על מעשיו ומכיר בחומרתם [הופניתי לעמוד 2, שורה 1], ולפיו גם הומלץ על שילובו בהליך טיפולי במסגרת מאסרו.</w:t>
      </w:r>
    </w:p>
    <w:p w14:paraId="35F17A5A"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ההגנה בטיעוניה ציינה פסיקה המתאימה לשיטתה לנסיבות המקרה, ובמסגרתה, הצביעה על פסיקה נוהגת קלה מזו אשר הציגה המאשימה, הנעה בין 18 חודשים לבין 25 חודשי מאסר לריצוי בפועל.</w:t>
      </w:r>
    </w:p>
    <w:p w14:paraId="0BEFA817" w14:textId="77777777" w:rsidR="0019435A" w:rsidRPr="001A5350" w:rsidRDefault="0019435A" w:rsidP="0019435A">
      <w:pPr>
        <w:spacing w:line="360" w:lineRule="auto"/>
        <w:jc w:val="both"/>
        <w:rPr>
          <w:rFonts w:ascii="David" w:eastAsia="Calibri" w:hAnsi="David"/>
          <w:u w:val="single"/>
          <w:rtl/>
        </w:rPr>
      </w:pPr>
      <w:r w:rsidRPr="001A5350">
        <w:rPr>
          <w:rFonts w:ascii="David" w:eastAsia="Calibri" w:hAnsi="David"/>
          <w:u w:val="single"/>
          <w:rtl/>
        </w:rPr>
        <w:t>דברו של הנאשם</w:t>
      </w:r>
    </w:p>
    <w:p w14:paraId="04102239"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במסגרת הדיון, פנה הנאשם לבית-המשפט – הביע חרטה על מעשיו והתנצל עליהם. כמו כן, הגדיר הנאשם את מעשיו כ"טעות" והביע רצונו לשוב לעבודתו במסעדה בקיסריה.</w:t>
      </w:r>
    </w:p>
    <w:p w14:paraId="79FD8A18" w14:textId="77777777" w:rsidR="0019435A" w:rsidRPr="001A5350" w:rsidRDefault="0019435A" w:rsidP="0019435A">
      <w:pPr>
        <w:spacing w:line="360" w:lineRule="auto"/>
        <w:jc w:val="both"/>
        <w:rPr>
          <w:rFonts w:ascii="David" w:eastAsia="Calibri" w:hAnsi="David"/>
          <w:b/>
          <w:bCs/>
          <w:u w:val="single"/>
          <w:rtl/>
        </w:rPr>
      </w:pPr>
      <w:r w:rsidRPr="001A5350">
        <w:rPr>
          <w:rFonts w:ascii="David" w:eastAsia="Calibri" w:hAnsi="David"/>
          <w:b/>
          <w:bCs/>
          <w:u w:val="single"/>
          <w:rtl/>
        </w:rPr>
        <w:t>דיון והכרעה</w:t>
      </w:r>
    </w:p>
    <w:p w14:paraId="0EA7AD10"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מעשיו של הנאשם מבטאים פגיעה חמורה בשלום הציבור, בשגרת חייו ובביטחונו. נשיאת נשק בכלל, ונשיאתו במרחב הציבורי בפרט, מחייבים את בתי-המשפט לתגובה עונשית הולמת, לנוכח אותו אינטרס עליון למנוע, או לכל הפחות לצמצם, ככל הניתן, את ביצוען של עבירות חמורות אלה.</w:t>
      </w:r>
    </w:p>
    <w:p w14:paraId="51A6F97B"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יובהר כי כל כלי נשק באשר הוא, בין אם הוא מאולתר ובין אם לאו, עשוי לגרום לשימוש לרעה ולהטלת מורא בציבור. משכך, על בית-המשפט להרתיע את אותם עבריינים המבקשים לפגוע בביטחון הציבור או לאיים עליו. בעניין זה יפים הם הדברים של כבוד השופטת ע' ארבל ב</w:t>
      </w:r>
      <w:hyperlink r:id="rId20" w:history="1">
        <w:r w:rsidR="00A264EB" w:rsidRPr="00A264EB">
          <w:rPr>
            <w:rFonts w:ascii="David" w:eastAsia="Calibri" w:hAnsi="David"/>
            <w:color w:val="0000FF"/>
            <w:u w:val="single"/>
            <w:rtl/>
          </w:rPr>
          <w:t>ע"פ 4945/13</w:t>
        </w:r>
      </w:hyperlink>
      <w:r w:rsidRPr="001A5350">
        <w:rPr>
          <w:rFonts w:ascii="David" w:eastAsia="Calibri" w:hAnsi="David"/>
          <w:rtl/>
        </w:rPr>
        <w:t xml:space="preserve"> </w:t>
      </w:r>
      <w:r w:rsidRPr="001A5350">
        <w:rPr>
          <w:rFonts w:ascii="David" w:eastAsia="Calibri" w:hAnsi="David"/>
          <w:b/>
          <w:bCs/>
          <w:rtl/>
        </w:rPr>
        <w:t>מדינת ישראל נ' סלימאן</w:t>
      </w:r>
      <w:r w:rsidRPr="001A5350">
        <w:rPr>
          <w:rFonts w:ascii="David" w:eastAsia="Calibri" w:hAnsi="David"/>
          <w:rtl/>
        </w:rPr>
        <w:t xml:space="preserve"> (ניתן ביום 19.1.14):</w:t>
      </w:r>
    </w:p>
    <w:p w14:paraId="0DBDC625" w14:textId="77777777" w:rsidR="0019435A" w:rsidRPr="001A5350" w:rsidRDefault="0019435A" w:rsidP="0019435A">
      <w:pPr>
        <w:spacing w:after="360"/>
        <w:ind w:left="794" w:right="794"/>
        <w:jc w:val="both"/>
        <w:rPr>
          <w:rFonts w:ascii="Calibri Light" w:eastAsia="Calibri" w:hAnsi="Calibri Light" w:cs="Calibri Light"/>
          <w:rtl/>
        </w:rPr>
      </w:pPr>
      <w:r w:rsidRPr="001A5350">
        <w:rPr>
          <w:rFonts w:ascii="Calibri Light" w:eastAsia="Calibri" w:hAnsi="Calibri Light" w:cs="Calibri Light"/>
          <w:rtl/>
        </w:rPr>
        <w:t>"..</w:t>
      </w:r>
      <w:r w:rsidRPr="001A5350">
        <w:rPr>
          <w:rFonts w:ascii="Calibri Light" w:eastAsia="Calibri" w:hAnsi="Calibri Light" w:cs="Times New Roman"/>
          <w:rtl/>
        </w:rPr>
        <w:t xml:space="preserve">עבירות המבוצעות בנשק </w:t>
      </w:r>
      <w:r w:rsidRPr="001A5350">
        <w:rPr>
          <w:rFonts w:ascii="Calibri Light" w:eastAsia="Calibri" w:hAnsi="Calibri Light" w:cs="Calibri Light"/>
          <w:rtl/>
        </w:rPr>
        <w:t xml:space="preserve">– </w:t>
      </w:r>
      <w:r w:rsidRPr="001A5350">
        <w:rPr>
          <w:rFonts w:ascii="Calibri Light" w:eastAsia="Calibri" w:hAnsi="Calibri Light" w:cs="Times New Roman"/>
          <w:rtl/>
        </w:rPr>
        <w:t>לרבות רכישה</w:t>
      </w:r>
      <w:r w:rsidRPr="001A5350">
        <w:rPr>
          <w:rFonts w:ascii="Calibri Light" w:eastAsia="Calibri" w:hAnsi="Calibri Light" w:cs="Calibri Light"/>
          <w:rtl/>
        </w:rPr>
        <w:t xml:space="preserve">, </w:t>
      </w:r>
      <w:r w:rsidRPr="001A5350">
        <w:rPr>
          <w:rFonts w:ascii="Calibri Light" w:eastAsia="Calibri" w:hAnsi="Calibri Light" w:cs="Times New Roman"/>
          <w:rtl/>
        </w:rPr>
        <w:t xml:space="preserve">החזקה ונשיאת נשק </w:t>
      </w:r>
      <w:r w:rsidRPr="001A5350">
        <w:rPr>
          <w:rFonts w:ascii="Calibri Light" w:eastAsia="Calibri" w:hAnsi="Calibri Light" w:cs="Calibri Light"/>
          <w:rtl/>
        </w:rPr>
        <w:t xml:space="preserve">– </w:t>
      </w:r>
      <w:r w:rsidRPr="001A5350">
        <w:rPr>
          <w:rFonts w:ascii="Calibri Light" w:eastAsia="Calibri" w:hAnsi="Calibri Light" w:cs="Times New Roman"/>
          <w:rtl/>
        </w:rPr>
        <w:t>טומנות בחובן פוטנציאל סיכון הרסני לפגיעה בשלום הציבור וביטחונו</w:t>
      </w:r>
      <w:r w:rsidRPr="001A5350">
        <w:rPr>
          <w:rFonts w:ascii="Calibri Light" w:eastAsia="Calibri" w:hAnsi="Calibri Light" w:cs="Calibri Light"/>
          <w:rtl/>
        </w:rPr>
        <w:t xml:space="preserve">. </w:t>
      </w:r>
      <w:r w:rsidRPr="001A5350">
        <w:rPr>
          <w:rFonts w:ascii="Calibri Light" w:eastAsia="Calibri" w:hAnsi="Calibri Light" w:cs="Times New Roman"/>
          <w:rtl/>
        </w:rPr>
        <w:t>החשש הוא כי נשק המוחזק שלא כדין ישמש לפעילות עבריינית העלולה להביא לפגיעה ואף לקיפוח חייהם של אזרחים תמימים</w:t>
      </w:r>
      <w:r w:rsidRPr="001A5350">
        <w:rPr>
          <w:rFonts w:ascii="Calibri Light" w:eastAsia="Calibri" w:hAnsi="Calibri Light" w:cs="Calibri Light"/>
          <w:rtl/>
        </w:rPr>
        <w:t xml:space="preserve">. </w:t>
      </w:r>
      <w:r w:rsidRPr="001A5350">
        <w:rPr>
          <w:rFonts w:ascii="Calibri Light" w:eastAsia="Calibri" w:hAnsi="Calibri Light" w:cs="Times New Roman"/>
          <w:rtl/>
        </w:rPr>
        <w:t>אכן</w:t>
      </w:r>
      <w:r w:rsidRPr="001A5350">
        <w:rPr>
          <w:rFonts w:ascii="Calibri Light" w:eastAsia="Calibri" w:hAnsi="Calibri Light" w:cs="Calibri Light"/>
          <w:rtl/>
        </w:rPr>
        <w:t>, "</w:t>
      </w:r>
      <w:r w:rsidRPr="001A5350">
        <w:rPr>
          <w:rFonts w:ascii="Calibri Light" w:eastAsia="Calibri" w:hAnsi="Calibri Light" w:cs="Times New Roman"/>
          <w:rtl/>
        </w:rPr>
        <w:t>התגלגלותם</w:t>
      </w:r>
      <w:r w:rsidRPr="001A5350">
        <w:rPr>
          <w:rFonts w:ascii="Calibri Light" w:eastAsia="Calibri" w:hAnsi="Calibri Light" w:cs="Calibri Light"/>
          <w:rtl/>
        </w:rPr>
        <w:t xml:space="preserve">" </w:t>
      </w:r>
      <w:r w:rsidRPr="001A5350">
        <w:rPr>
          <w:rFonts w:ascii="Calibri Light" w:eastAsia="Calibri" w:hAnsi="Calibri Light" w:cs="Times New Roman"/>
          <w:rtl/>
        </w:rPr>
        <w:t>של כלי נשק מיד ליד ללא פיקוח עלול להוביל להגעתם בדרך לא דרך לגורמים פליליים ועוינים</w:t>
      </w:r>
      <w:r w:rsidRPr="001A5350">
        <w:rPr>
          <w:rFonts w:ascii="Calibri Light" w:eastAsia="Calibri" w:hAnsi="Calibri Light" w:cs="Calibri Light"/>
          <w:rtl/>
        </w:rPr>
        <w:t xml:space="preserve">. </w:t>
      </w:r>
      <w:r w:rsidRPr="001A5350">
        <w:rPr>
          <w:rFonts w:ascii="Calibri Light" w:eastAsia="Calibri" w:hAnsi="Calibri Light" w:cs="Times New Roman"/>
          <w:rtl/>
        </w:rPr>
        <w:t>אין לדעת מה יעלה בגורלם של כלי נשק אלה ולאילו תוצאות הרסניות יובילו</w:t>
      </w:r>
      <w:r w:rsidRPr="001A5350">
        <w:rPr>
          <w:rFonts w:ascii="Calibri Light" w:eastAsia="Calibri" w:hAnsi="Calibri Light" w:cs="Calibri Light"/>
          <w:rtl/>
        </w:rPr>
        <w:t>.</w:t>
      </w:r>
      <w:r w:rsidRPr="001A5350">
        <w:rPr>
          <w:rFonts w:ascii="Calibri Light" w:eastAsia="Calibri" w:hAnsi="Calibri Light" w:cs="Calibri Light"/>
          <w:sz w:val="22"/>
          <w:szCs w:val="22"/>
          <w:rtl/>
        </w:rPr>
        <w:t xml:space="preserve"> </w:t>
      </w:r>
      <w:r w:rsidRPr="001A5350">
        <w:rPr>
          <w:rFonts w:ascii="Calibri Light" w:eastAsia="Calibri" w:hAnsi="Calibri Light" w:cs="Times New Roman"/>
          <w:rtl/>
        </w:rPr>
        <w:t>ודוק</w:t>
      </w:r>
      <w:r w:rsidRPr="001A5350">
        <w:rPr>
          <w:rFonts w:ascii="Calibri Light" w:eastAsia="Calibri" w:hAnsi="Calibri Light" w:cs="Calibri Light"/>
          <w:rtl/>
        </w:rPr>
        <w:t xml:space="preserve">: </w:t>
      </w:r>
      <w:r w:rsidRPr="001A5350">
        <w:rPr>
          <w:rFonts w:ascii="Calibri Light" w:eastAsia="Calibri" w:hAnsi="Calibri Light" w:cs="Times New Roman"/>
          <w:b/>
          <w:bCs/>
          <w:rtl/>
        </w:rPr>
        <w:t>הסיכון שנשקף לשלום הציבור צריך להילקח בחשבון על</w:t>
      </w:r>
      <w:r w:rsidRPr="001A5350">
        <w:rPr>
          <w:rFonts w:ascii="Calibri Light" w:eastAsia="Calibri" w:hAnsi="Calibri Light" w:cs="Calibri Light"/>
          <w:b/>
          <w:bCs/>
          <w:rtl/>
        </w:rPr>
        <w:t>-</w:t>
      </w:r>
      <w:r w:rsidRPr="001A5350">
        <w:rPr>
          <w:rFonts w:ascii="Calibri Light" w:eastAsia="Calibri" w:hAnsi="Calibri Light" w:cs="Times New Roman"/>
          <w:b/>
          <w:bCs/>
          <w:rtl/>
        </w:rPr>
        <w:t xml:space="preserve">ידי כל מי שמחזיק בידו נשק שלא כדין </w:t>
      </w:r>
      <w:r w:rsidRPr="001A5350">
        <w:rPr>
          <w:rFonts w:ascii="Calibri Light" w:eastAsia="Calibri" w:hAnsi="Calibri Light" w:cs="Calibri Light"/>
          <w:b/>
          <w:bCs/>
          <w:rtl/>
        </w:rPr>
        <w:t xml:space="preserve">– </w:t>
      </w:r>
      <w:r w:rsidRPr="001A5350">
        <w:rPr>
          <w:rFonts w:ascii="Calibri Light" w:eastAsia="Calibri" w:hAnsi="Calibri Light" w:cs="Times New Roman"/>
          <w:b/>
          <w:bCs/>
          <w:rtl/>
        </w:rPr>
        <w:t>גם אם אינו מחזיק בו למטרת ביצוען של עבירות אחרות</w:t>
      </w:r>
      <w:r w:rsidRPr="001A5350">
        <w:rPr>
          <w:rFonts w:ascii="Calibri Light" w:eastAsia="Calibri" w:hAnsi="Calibri Light" w:cs="Calibri Light"/>
          <w:b/>
          <w:bCs/>
          <w:rtl/>
        </w:rPr>
        <w:t xml:space="preserve">. </w:t>
      </w:r>
      <w:r w:rsidRPr="001A5350">
        <w:rPr>
          <w:rFonts w:ascii="Calibri Light" w:eastAsia="Calibri" w:hAnsi="Calibri Light" w:cs="Times New Roman"/>
          <w:b/>
          <w:bCs/>
          <w:rtl/>
        </w:rPr>
        <w:t>עצם החזקת נשק בעל פוטנציאל קטילה מבלי שיש עליו ועל בעליו פיקוח מוסדר של הרשויות טומן בחובו סיכון</w:t>
      </w:r>
      <w:r w:rsidRPr="001A5350">
        <w:rPr>
          <w:rFonts w:ascii="Calibri Light" w:eastAsia="Calibri" w:hAnsi="Calibri Light" w:cs="Calibri Light"/>
          <w:b/>
          <w:bCs/>
          <w:rtl/>
        </w:rPr>
        <w:t xml:space="preserve">, </w:t>
      </w:r>
      <w:r w:rsidRPr="001A5350">
        <w:rPr>
          <w:rFonts w:ascii="Calibri Light" w:eastAsia="Calibri" w:hAnsi="Calibri Light" w:cs="Times New Roman"/>
          <w:b/>
          <w:bCs/>
          <w:rtl/>
        </w:rPr>
        <w:t>באשר המחזיק בו נתון תמיד לחשש שיתפתה לעשות בו שימוש</w:t>
      </w:r>
      <w:r w:rsidRPr="001A5350">
        <w:rPr>
          <w:rFonts w:ascii="Calibri Light" w:eastAsia="Calibri" w:hAnsi="Calibri Light" w:cs="Calibri Light"/>
          <w:b/>
          <w:bCs/>
          <w:rtl/>
        </w:rPr>
        <w:t xml:space="preserve">, </w:t>
      </w:r>
      <w:r w:rsidRPr="001A5350">
        <w:rPr>
          <w:rFonts w:ascii="Calibri Light" w:eastAsia="Calibri" w:hAnsi="Calibri Light" w:cs="Times New Roman"/>
          <w:b/>
          <w:bCs/>
          <w:rtl/>
        </w:rPr>
        <w:t>ולו ברגעי לחץ ופחד</w:t>
      </w:r>
      <w:r w:rsidRPr="001A5350">
        <w:rPr>
          <w:rFonts w:ascii="Calibri Light" w:eastAsia="Calibri" w:hAnsi="Calibri Light" w:cs="Calibri Light"/>
          <w:rtl/>
        </w:rPr>
        <w:t>...".</w:t>
      </w:r>
    </w:p>
    <w:p w14:paraId="4467207B" w14:textId="77777777" w:rsidR="0019435A" w:rsidRPr="001A5350" w:rsidRDefault="0019435A" w:rsidP="0019435A">
      <w:pPr>
        <w:spacing w:after="120" w:line="360" w:lineRule="auto"/>
        <w:jc w:val="both"/>
        <w:rPr>
          <w:rFonts w:ascii="David" w:eastAsia="Calibri" w:hAnsi="David"/>
          <w:b/>
          <w:bCs/>
          <w:u w:val="single"/>
          <w:rtl/>
        </w:rPr>
      </w:pPr>
      <w:r w:rsidRPr="001A5350">
        <w:rPr>
          <w:rFonts w:ascii="David" w:eastAsia="Calibri" w:hAnsi="David"/>
          <w:rtl/>
        </w:rPr>
        <w:t xml:space="preserve">ככלל, בעת ביצוע מלאכת הענישה, העיקרון המנחה שנקבע במסגרת תורת הבניית שיקול-הדעת השיפוטי, הוא עקרון ההלימה: משמע, </w:t>
      </w:r>
      <w:r w:rsidRPr="001A5350">
        <w:rPr>
          <w:rFonts w:ascii="David" w:eastAsia="Calibri" w:hAnsi="David"/>
          <w:u w:val="single"/>
          <w:rtl/>
        </w:rPr>
        <w:t>שימור יחס הולם בין חומרת מעשה העבירה בנסיבותיו ומידת אשמו של הנאשם - ובין סוג העונש המוטל עליו ומידתו</w:t>
      </w:r>
      <w:r w:rsidRPr="001A5350">
        <w:rPr>
          <w:rFonts w:ascii="David" w:eastAsia="Calibri" w:hAnsi="David"/>
          <w:rtl/>
        </w:rPr>
        <w:t>. על מנת לשמר יחס זה, עובר לקביעת העונש יש לשרטט מתחם עונש הולם, 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שאינם קשורים בביצוע העבירות.</w:t>
      </w:r>
    </w:p>
    <w:p w14:paraId="4355DA83" w14:textId="77777777" w:rsidR="0019435A" w:rsidRPr="001A5350" w:rsidRDefault="0019435A" w:rsidP="0019435A">
      <w:pPr>
        <w:spacing w:after="160" w:line="360" w:lineRule="auto"/>
        <w:jc w:val="both"/>
        <w:rPr>
          <w:rFonts w:ascii="David" w:eastAsia="Calibri" w:hAnsi="David"/>
          <w:rtl/>
        </w:rPr>
      </w:pPr>
      <w:r w:rsidRPr="001A5350">
        <w:rPr>
          <w:rFonts w:ascii="David" w:eastAsia="Calibri" w:hAnsi="David"/>
          <w:rtl/>
        </w:rPr>
        <w:t>העבירות החמורות אותן ביצע הנאשם מהוות "</w:t>
      </w:r>
      <w:r w:rsidRPr="001A5350">
        <w:rPr>
          <w:rFonts w:ascii="David" w:eastAsia="Calibri" w:hAnsi="David"/>
          <w:b/>
          <w:bCs/>
          <w:rtl/>
        </w:rPr>
        <w:t>אירוע אחד</w:t>
      </w:r>
      <w:r w:rsidRPr="001A5350">
        <w:rPr>
          <w:rFonts w:ascii="David" w:eastAsia="Calibri" w:hAnsi="David"/>
          <w:rtl/>
        </w:rPr>
        <w:t xml:space="preserve">", שכן קיים ביניהן קשר הדוק – כולן התרחשו באותו היום, כחלק מפעילות עבריינית שתכליתה לשאת ולהוביל נשק במרחב הציבורי, אשר כללה גם מנוסה מהשוטרים והפרעה למילוי תפקידם, כמתואר לעיל בכתב-האישום המתוקן (ראו לעניין זה: </w:t>
      </w:r>
      <w:hyperlink r:id="rId21" w:history="1">
        <w:r w:rsidR="00A264EB" w:rsidRPr="00A264EB">
          <w:rPr>
            <w:rFonts w:ascii="David" w:eastAsia="Calibri" w:hAnsi="David"/>
            <w:color w:val="0000FF"/>
            <w:u w:val="single"/>
            <w:rtl/>
          </w:rPr>
          <w:t>ע"פ 4910/13</w:t>
        </w:r>
      </w:hyperlink>
      <w:r w:rsidRPr="001A5350">
        <w:rPr>
          <w:rFonts w:ascii="David" w:eastAsia="Calibri" w:hAnsi="David"/>
          <w:rtl/>
        </w:rPr>
        <w:t xml:space="preserve"> </w:t>
      </w:r>
      <w:r w:rsidRPr="001A5350">
        <w:rPr>
          <w:rFonts w:ascii="David" w:eastAsia="Calibri" w:hAnsi="David"/>
          <w:b/>
          <w:bCs/>
          <w:rtl/>
        </w:rPr>
        <w:t>ג'אבר נ' מדינת ישראל</w:t>
      </w:r>
      <w:r w:rsidRPr="001A5350">
        <w:rPr>
          <w:rFonts w:ascii="David" w:eastAsia="Calibri" w:hAnsi="David"/>
          <w:rtl/>
        </w:rPr>
        <w:t xml:space="preserve">, מפי כב' השופטת ברק-ארז, ניתן ביום 29.10.14; </w:t>
      </w:r>
      <w:hyperlink r:id="rId22" w:history="1">
        <w:r w:rsidR="00A264EB" w:rsidRPr="00A264EB">
          <w:rPr>
            <w:rFonts w:ascii="David" w:eastAsia="Calibri" w:hAnsi="David"/>
            <w:color w:val="0000FF"/>
            <w:u w:val="single"/>
            <w:rtl/>
          </w:rPr>
          <w:t>ע"פ 9308/12</w:t>
        </w:r>
      </w:hyperlink>
      <w:r w:rsidRPr="001A5350">
        <w:rPr>
          <w:rFonts w:ascii="David" w:eastAsia="Calibri" w:hAnsi="David"/>
          <w:rtl/>
        </w:rPr>
        <w:t xml:space="preserve"> </w:t>
      </w:r>
      <w:r w:rsidRPr="001A5350">
        <w:rPr>
          <w:rFonts w:ascii="David" w:eastAsia="Calibri" w:hAnsi="David"/>
          <w:b/>
          <w:bCs/>
          <w:rtl/>
        </w:rPr>
        <w:t>עיסא נ' מדינת ישראל</w:t>
      </w:r>
      <w:r w:rsidRPr="001A5350">
        <w:rPr>
          <w:rFonts w:ascii="David" w:eastAsia="Calibri" w:hAnsi="David"/>
          <w:rtl/>
        </w:rPr>
        <w:t xml:space="preserve">, ניתן ביום 30.7.15). משכך, ייקבע מתחם עונש אחד הולם לכלל המעשים, זאת לפי </w:t>
      </w:r>
      <w:hyperlink r:id="rId23" w:history="1">
        <w:r w:rsidR="00346F4C" w:rsidRPr="00346F4C">
          <w:rPr>
            <w:rStyle w:val="Hyperlink"/>
            <w:rFonts w:ascii="David" w:eastAsia="Calibri" w:hAnsi="David"/>
            <w:color w:val="0000FF"/>
            <w:rtl/>
          </w:rPr>
          <w:t>סעיף 40יג(א)</w:t>
        </w:r>
      </w:hyperlink>
      <w:r w:rsidRPr="001A5350">
        <w:rPr>
          <w:rFonts w:ascii="David" w:eastAsia="Calibri" w:hAnsi="David"/>
          <w:rtl/>
        </w:rPr>
        <w:t xml:space="preserve"> ל</w:t>
      </w:r>
      <w:hyperlink r:id="rId24" w:history="1">
        <w:r w:rsidR="00A264EB" w:rsidRPr="00A264EB">
          <w:rPr>
            <w:rFonts w:ascii="David" w:eastAsia="Calibri" w:hAnsi="David"/>
            <w:color w:val="0000FF"/>
            <w:u w:val="single"/>
            <w:rtl/>
          </w:rPr>
          <w:t>חוק העונשין</w:t>
        </w:r>
      </w:hyperlink>
      <w:r w:rsidRPr="001A5350">
        <w:rPr>
          <w:rFonts w:ascii="David" w:eastAsia="Calibri" w:hAnsi="David"/>
          <w:rtl/>
        </w:rPr>
        <w:t xml:space="preserve">. יודגש, כי בגזירת העונש יישמר היחס ההולם בין חומרת מכלול המעשים ומידת אשמו של הנאשם, לבין תקופת המאסר שיהא עליו לרצות וזאת לפי </w:t>
      </w:r>
      <w:hyperlink r:id="rId25" w:history="1">
        <w:r w:rsidR="00346F4C" w:rsidRPr="00346F4C">
          <w:rPr>
            <w:rStyle w:val="Hyperlink"/>
            <w:rFonts w:ascii="David" w:eastAsia="Calibri" w:hAnsi="David"/>
            <w:color w:val="0000FF"/>
            <w:rtl/>
          </w:rPr>
          <w:t>סעיף 40יג(ג)</w:t>
        </w:r>
      </w:hyperlink>
      <w:r w:rsidRPr="001A5350">
        <w:rPr>
          <w:rFonts w:ascii="David" w:eastAsia="Calibri" w:hAnsi="David"/>
          <w:rtl/>
        </w:rPr>
        <w:t xml:space="preserve"> לחוק.</w:t>
      </w:r>
    </w:p>
    <w:p w14:paraId="4FACA689"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בכל הנוגע </w:t>
      </w:r>
      <w:r w:rsidRPr="001A5350">
        <w:rPr>
          <w:rFonts w:ascii="David" w:eastAsia="Calibri" w:hAnsi="David"/>
          <w:b/>
          <w:bCs/>
          <w:rtl/>
        </w:rPr>
        <w:t>לערכים החברתיים המוגנים</w:t>
      </w:r>
      <w:r w:rsidRPr="001A5350">
        <w:rPr>
          <w:rFonts w:ascii="David" w:eastAsia="Calibri" w:hAnsi="David"/>
          <w:rtl/>
        </w:rPr>
        <w:t xml:space="preserve"> שנפגעו ממעשיו של נאשם זה, הרי שהדברים מובנים מאליהם: הנושא ומוביל נשק בלא רשות על-פי דין, פוגע בראש ובראשונה </w:t>
      </w:r>
      <w:r w:rsidRPr="001A5350">
        <w:rPr>
          <w:rFonts w:ascii="David" w:eastAsia="Calibri" w:hAnsi="David"/>
          <w:b/>
          <w:bCs/>
          <w:rtl/>
        </w:rPr>
        <w:t>בביטחון המדינה, במנגנוני שלטונה</w:t>
      </w:r>
      <w:r w:rsidRPr="001A5350">
        <w:rPr>
          <w:rFonts w:ascii="David" w:eastAsia="Calibri" w:hAnsi="David"/>
          <w:rtl/>
        </w:rPr>
        <w:t xml:space="preserve"> </w:t>
      </w:r>
      <w:r w:rsidRPr="001A5350">
        <w:rPr>
          <w:rFonts w:ascii="David" w:eastAsia="Calibri" w:hAnsi="David"/>
          <w:b/>
          <w:bCs/>
          <w:rtl/>
        </w:rPr>
        <w:t>ובביטחון הציבור</w:t>
      </w:r>
      <w:r w:rsidRPr="001A5350">
        <w:rPr>
          <w:rFonts w:ascii="David" w:eastAsia="Calibri" w:hAnsi="David"/>
          <w:rtl/>
        </w:rPr>
        <w:t>,</w:t>
      </w:r>
      <w:r w:rsidRPr="001A5350">
        <w:rPr>
          <w:rFonts w:ascii="David" w:eastAsia="Calibri" w:hAnsi="David"/>
          <w:b/>
          <w:bCs/>
          <w:rtl/>
        </w:rPr>
        <w:t xml:space="preserve"> </w:t>
      </w:r>
      <w:r w:rsidRPr="001A5350">
        <w:rPr>
          <w:rFonts w:ascii="David" w:eastAsia="Calibri" w:hAnsi="David"/>
          <w:rtl/>
        </w:rPr>
        <w:t xml:space="preserve">הנחשף לסכנה לשלמות גופו ונפשו. </w:t>
      </w:r>
      <w:r w:rsidRPr="001A5350">
        <w:rPr>
          <w:rFonts w:ascii="Calibri" w:eastAsia="Calibri" w:hAnsi="Calibri"/>
          <w:rtl/>
        </w:rPr>
        <w:t xml:space="preserve">במקרה שלפנינו, נשא הנאשם נשק מסוג תת-מקלע מאולתר עם מחסנית טעונה בכדורים, כשכדור נמצא בקנה הנשק; המדובר בכלי-נשק בעל פוטנציאל לגרום נזק לאדם בעת הפעלתו. לפיכך, ראוי לקבוע, </w:t>
      </w:r>
      <w:r w:rsidRPr="001A5350">
        <w:rPr>
          <w:rFonts w:ascii="Calibri" w:eastAsia="Calibri" w:hAnsi="Calibri"/>
          <w:b/>
          <w:bCs/>
          <w:rtl/>
        </w:rPr>
        <w:t>שמידת פגיעת המעשה בערכים המוגנים הינה גבוהה</w:t>
      </w:r>
      <w:r w:rsidRPr="001A5350">
        <w:rPr>
          <w:rFonts w:ascii="Calibri" w:eastAsia="Calibri" w:hAnsi="Calibri"/>
          <w:rtl/>
        </w:rPr>
        <w:t>.</w:t>
      </w:r>
      <w:r w:rsidRPr="001A5350">
        <w:rPr>
          <w:rFonts w:ascii="David" w:eastAsia="Calibri" w:hAnsi="David"/>
          <w:rtl/>
        </w:rPr>
        <w:t xml:space="preserve"> כמו כן, הפרעה לשוטרים בעת מילוי תפקידם - </w:t>
      </w:r>
      <w:r w:rsidRPr="001A5350">
        <w:rPr>
          <w:rFonts w:ascii="David" w:eastAsia="Calibri" w:hAnsi="David"/>
          <w:b/>
          <w:bCs/>
          <w:rtl/>
        </w:rPr>
        <w:t>פוגעת בסדר הציבורי התקין</w:t>
      </w:r>
      <w:r w:rsidRPr="001A5350">
        <w:rPr>
          <w:rFonts w:ascii="David" w:eastAsia="Calibri" w:hAnsi="David"/>
          <w:rtl/>
        </w:rPr>
        <w:t>.</w:t>
      </w:r>
    </w:p>
    <w:p w14:paraId="2D7DB288" w14:textId="77777777" w:rsidR="0019435A" w:rsidRPr="001A5350" w:rsidRDefault="0019435A" w:rsidP="0019435A">
      <w:pPr>
        <w:spacing w:line="360" w:lineRule="auto"/>
        <w:jc w:val="both"/>
        <w:rPr>
          <w:rFonts w:ascii="David" w:eastAsia="Calibri" w:hAnsi="David"/>
          <w:rtl/>
        </w:rPr>
      </w:pPr>
      <w:r w:rsidRPr="001A5350">
        <w:rPr>
          <w:rFonts w:ascii="Calibri" w:eastAsia="Calibri" w:hAnsi="Calibri"/>
          <w:rtl/>
        </w:rPr>
        <w:t xml:space="preserve">על אודות הצורך בהחמרת הענישה, בכל הנוגע לעבירות שעניינן נשיאה והובלת כלי נשק, מתאימים הדברים שנכתבו במסגרת </w:t>
      </w:r>
      <w:hyperlink r:id="rId26" w:history="1">
        <w:r w:rsidR="00A264EB" w:rsidRPr="00A264EB">
          <w:rPr>
            <w:rFonts w:ascii="Calibri" w:eastAsia="Calibri" w:hAnsi="Calibri" w:hint="cs"/>
            <w:color w:val="0000FF"/>
            <w:u w:val="single"/>
            <w:rtl/>
          </w:rPr>
          <w:t>ע</w:t>
        </w:r>
        <w:r w:rsidR="00A264EB" w:rsidRPr="00A264EB">
          <w:rPr>
            <w:rFonts w:ascii="Calibri" w:eastAsia="Calibri" w:hAnsi="Calibri"/>
            <w:color w:val="0000FF"/>
            <w:u w:val="single"/>
            <w:rtl/>
          </w:rPr>
          <w:t>"</w:t>
        </w:r>
        <w:r w:rsidR="00A264EB" w:rsidRPr="00A264EB">
          <w:rPr>
            <w:rFonts w:ascii="Calibri" w:eastAsia="Calibri" w:hAnsi="Calibri" w:hint="cs"/>
            <w:color w:val="0000FF"/>
            <w:u w:val="single"/>
            <w:rtl/>
          </w:rPr>
          <w:t>פ</w:t>
        </w:r>
        <w:r w:rsidR="00A264EB" w:rsidRPr="00A264EB">
          <w:rPr>
            <w:rFonts w:ascii="Calibri" w:eastAsia="Calibri" w:hAnsi="Calibri"/>
            <w:color w:val="0000FF"/>
            <w:u w:val="single"/>
            <w:rtl/>
          </w:rPr>
          <w:t xml:space="preserve"> 5522/20</w:t>
        </w:r>
      </w:hyperlink>
      <w:r w:rsidRPr="001A5350">
        <w:rPr>
          <w:rFonts w:ascii="Calibri" w:eastAsia="Calibri" w:hAnsi="Calibri"/>
          <w:rtl/>
        </w:rPr>
        <w:t xml:space="preserve"> </w:t>
      </w:r>
      <w:r w:rsidRPr="001A5350">
        <w:rPr>
          <w:rFonts w:ascii="Calibri" w:eastAsia="Calibri" w:hAnsi="Calibri"/>
          <w:b/>
          <w:bCs/>
          <w:rtl/>
        </w:rPr>
        <w:t>חלייחל נ' מדינת ישראל</w:t>
      </w:r>
      <w:r w:rsidRPr="001A5350">
        <w:rPr>
          <w:rFonts w:ascii="Calibri" w:eastAsia="Calibri" w:hAnsi="Calibri"/>
          <w:rtl/>
        </w:rPr>
        <w:t>, בפסקאות 7-8 (ניתן ביום 24.2.21).</w:t>
      </w:r>
    </w:p>
    <w:p w14:paraId="4A36E04D"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על דברים אלו, יש להוסיף את עמדתו הבלתי מתפשרת של בית-המשפט העליון, עליה חזר פעם אחר פעם בשנים האחרונות, בציינו כי נשק בלתי-חוקי, המוחזק בידיים בלתי-מוסמכות, עלול בסופו להגיע לכלל שימוש מסוכן. </w:t>
      </w:r>
      <w:r w:rsidRPr="001A5350">
        <w:rPr>
          <w:rFonts w:ascii="Calibri" w:eastAsia="Calibri" w:hAnsi="Calibri"/>
          <w:rtl/>
        </w:rPr>
        <w:t>ראו בעניין זה, דבריו של כב' השופט י' עמית ב-</w:t>
      </w:r>
      <w:hyperlink r:id="rId27" w:history="1">
        <w:r w:rsidR="00A264EB" w:rsidRPr="00A264EB">
          <w:rPr>
            <w:color w:val="0000FF"/>
            <w:u w:val="single"/>
            <w:rtl/>
          </w:rPr>
          <w:t>ע"פ 2398/14</w:t>
        </w:r>
      </w:hyperlink>
      <w:r w:rsidRPr="001A5350">
        <w:rPr>
          <w:rtl/>
        </w:rPr>
        <w:t xml:space="preserve"> </w:t>
      </w:r>
      <w:r w:rsidRPr="001A5350">
        <w:rPr>
          <w:b/>
          <w:bCs/>
          <w:rtl/>
        </w:rPr>
        <w:t>אלהזייל נ' מדינת ישראל</w:t>
      </w:r>
      <w:r w:rsidRPr="001A5350">
        <w:rPr>
          <w:rtl/>
        </w:rPr>
        <w:t xml:space="preserve"> (ניתן ביום 8.7.14), בפסקה 4 לפסק-הדין.</w:t>
      </w:r>
    </w:p>
    <w:p w14:paraId="3647BC18" w14:textId="77777777" w:rsidR="0019435A" w:rsidRPr="001A5350" w:rsidRDefault="0019435A" w:rsidP="0019435A">
      <w:pPr>
        <w:spacing w:line="360" w:lineRule="auto"/>
        <w:jc w:val="both"/>
        <w:rPr>
          <w:rFonts w:ascii="David" w:eastAsia="Calibri" w:hAnsi="David"/>
          <w:rtl/>
        </w:rPr>
      </w:pPr>
      <w:r w:rsidRPr="001A5350">
        <w:rPr>
          <w:rFonts w:ascii="David" w:eastAsia="Calibri" w:hAnsi="David"/>
          <w:rtl/>
        </w:rPr>
        <w:t xml:space="preserve">בהקשרן של עבירות הנשק, אזכיר, כי במסגרתו של </w:t>
      </w:r>
      <w:r w:rsidRPr="001A5350">
        <w:rPr>
          <w:rFonts w:ascii="David" w:eastAsia="Calibri" w:hAnsi="David"/>
          <w:b/>
          <w:bCs/>
          <w:rtl/>
        </w:rPr>
        <w:t>תיקון מס' 140 ל</w:t>
      </w:r>
      <w:hyperlink r:id="rId28" w:history="1">
        <w:r w:rsidR="00A264EB" w:rsidRPr="00A264EB">
          <w:rPr>
            <w:rFonts w:ascii="David" w:eastAsia="Calibri" w:hAnsi="David"/>
            <w:b/>
            <w:bCs/>
            <w:color w:val="0000FF"/>
            <w:u w:val="single"/>
            <w:rtl/>
          </w:rPr>
          <w:t>חוק העונשין</w:t>
        </w:r>
      </w:hyperlink>
      <w:r w:rsidRPr="001A5350">
        <w:rPr>
          <w:rFonts w:ascii="David" w:eastAsia="Calibri" w:hAnsi="David"/>
          <w:rtl/>
        </w:rPr>
        <w:t xml:space="preserve"> [(תיקון מס' 140 - הוראת שעה), התשפ"ב-2021, ס"ח 2938] הבא לידי ביטוי </w:t>
      </w:r>
      <w:hyperlink r:id="rId29" w:history="1">
        <w:r w:rsidR="00346F4C" w:rsidRPr="00346F4C">
          <w:rPr>
            <w:rStyle w:val="Hyperlink"/>
            <w:rFonts w:ascii="David" w:eastAsia="Calibri" w:hAnsi="David"/>
            <w:color w:val="0000FF"/>
            <w:rtl/>
          </w:rPr>
          <w:t>בסעיף 144(ז)</w:t>
        </w:r>
      </w:hyperlink>
      <w:r w:rsidRPr="001A5350">
        <w:rPr>
          <w:rFonts w:ascii="David" w:eastAsia="Calibri" w:hAnsi="David"/>
          <w:rtl/>
        </w:rPr>
        <w:t xml:space="preserve"> לחוק, עוגנו </w:t>
      </w:r>
      <w:r w:rsidRPr="001A5350">
        <w:rPr>
          <w:rFonts w:ascii="David" w:eastAsia="Calibri" w:hAnsi="David"/>
          <w:b/>
          <w:bCs/>
          <w:rtl/>
        </w:rPr>
        <w:t xml:space="preserve">עונשים מזעריים </w:t>
      </w:r>
      <w:r w:rsidRPr="001A5350">
        <w:rPr>
          <w:rFonts w:ascii="David" w:eastAsia="Calibri" w:hAnsi="David"/>
          <w:rtl/>
        </w:rPr>
        <w:t>בכל הנוגע לעבירות שעניינן החזקה, הובלה או סחר בנשק שלא-כדין. בתיקון נקבע, כי העונש שיוטל על העבריין במקרים אלו "</w:t>
      </w:r>
      <w:r w:rsidRPr="001A5350">
        <w:rPr>
          <w:rFonts w:ascii="David" w:eastAsia="Calibri" w:hAnsi="David"/>
          <w:u w:val="single"/>
          <w:rtl/>
        </w:rPr>
        <w:t>לא יפחת עונשו מרבע העונש המרבי שנקבע לאותה עבירה, אלא אם כן החליט בית-המשפט, מטעמים מיוחדים שיירשמו, להקל בעונשו; ..</w:t>
      </w:r>
      <w:r w:rsidRPr="001A5350">
        <w:rPr>
          <w:rFonts w:ascii="David" w:eastAsia="Calibri" w:hAnsi="David"/>
          <w:rtl/>
        </w:rPr>
        <w:t>.".</w:t>
      </w:r>
    </w:p>
    <w:p w14:paraId="7907C18D"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קרי הוראה זו נכנסה לתוקפה טרם ביצוען של העבירות מושא כתב-האישום דכאן, וביצוען של העבירות על-ידי הנאשם נעשה בתקופה בה הוראה זו חלה. עוד יצוין, כי </w:t>
      </w:r>
      <w:r w:rsidRPr="001A5350">
        <w:rPr>
          <w:rFonts w:ascii="David" w:eastAsia="Calibri" w:hAnsi="David"/>
          <w:u w:val="single"/>
          <w:rtl/>
        </w:rPr>
        <w:t>ביום 9.1.25 הוארך תוקפה של הוראה זו עד ליום 31.12.26</w:t>
      </w:r>
      <w:r w:rsidRPr="001A5350">
        <w:rPr>
          <w:rFonts w:ascii="David" w:eastAsia="Calibri" w:hAnsi="David"/>
          <w:rtl/>
        </w:rPr>
        <w:t xml:space="preserve">, ולפיכך - </w:t>
      </w:r>
      <w:r w:rsidRPr="001A5350">
        <w:rPr>
          <w:rFonts w:ascii="David" w:eastAsia="Calibri" w:hAnsi="David"/>
          <w:b/>
          <w:bCs/>
          <w:rtl/>
        </w:rPr>
        <w:t>הוראה זו חלה על עניינו של הנאשם דכאן</w:t>
      </w:r>
      <w:r w:rsidRPr="001A5350">
        <w:rPr>
          <w:rFonts w:ascii="David" w:eastAsia="Calibri" w:hAnsi="David"/>
          <w:rtl/>
        </w:rPr>
        <w:t>.</w:t>
      </w:r>
    </w:p>
    <w:p w14:paraId="39994073" w14:textId="77777777" w:rsidR="0019435A" w:rsidRPr="001A5350" w:rsidRDefault="0019435A" w:rsidP="0019435A">
      <w:pPr>
        <w:spacing w:after="120" w:line="360" w:lineRule="auto"/>
        <w:jc w:val="both"/>
        <w:rPr>
          <w:rFonts w:ascii="David" w:eastAsia="Calibri" w:hAnsi="David"/>
          <w:color w:val="FF0000"/>
          <w:rtl/>
        </w:rPr>
      </w:pPr>
      <w:r w:rsidRPr="001A5350">
        <w:rPr>
          <w:rFonts w:ascii="Calibri" w:eastAsia="Calibri" w:hAnsi="Calibri"/>
          <w:rtl/>
        </w:rPr>
        <w:t xml:space="preserve">יחד עם זאת, משקל ניכר בקביעת העונש יש לייחס </w:t>
      </w:r>
      <w:r w:rsidRPr="001A5350">
        <w:rPr>
          <w:rFonts w:ascii="Calibri" w:eastAsia="Calibri" w:hAnsi="Calibri"/>
          <w:b/>
          <w:bCs/>
          <w:u w:val="single"/>
          <w:rtl/>
        </w:rPr>
        <w:t>לאופי הנשק</w:t>
      </w:r>
      <w:r w:rsidRPr="001A5350">
        <w:rPr>
          <w:rFonts w:ascii="Calibri" w:eastAsia="Calibri" w:hAnsi="Calibri"/>
          <w:u w:val="single"/>
          <w:rtl/>
        </w:rPr>
        <w:t xml:space="preserve">, </w:t>
      </w:r>
      <w:r w:rsidRPr="001A5350">
        <w:rPr>
          <w:rFonts w:ascii="Calibri" w:eastAsia="Calibri" w:hAnsi="Calibri"/>
          <w:b/>
          <w:bCs/>
          <w:u w:val="single"/>
          <w:rtl/>
        </w:rPr>
        <w:t>למידת קטלניותו</w:t>
      </w:r>
      <w:r w:rsidRPr="001A5350">
        <w:rPr>
          <w:rFonts w:ascii="Calibri" w:eastAsia="Calibri" w:hAnsi="Calibri"/>
          <w:u w:val="single"/>
          <w:rtl/>
        </w:rPr>
        <w:t xml:space="preserve"> </w:t>
      </w:r>
      <w:r w:rsidRPr="001A5350">
        <w:rPr>
          <w:rFonts w:ascii="Calibri" w:eastAsia="Calibri" w:hAnsi="Calibri"/>
          <w:b/>
          <w:bCs/>
          <w:u w:val="single"/>
          <w:rtl/>
        </w:rPr>
        <w:t>ולכמותו</w:t>
      </w:r>
      <w:r w:rsidRPr="001A5350">
        <w:rPr>
          <w:rFonts w:ascii="Calibri" w:eastAsia="Calibri" w:hAnsi="Calibri"/>
          <w:rtl/>
        </w:rPr>
        <w:t xml:space="preserve">. כמו כן, מיוחס משקל ממשי לתכלית הנשיאה של הנשק. </w:t>
      </w:r>
      <w:r w:rsidRPr="001A5350">
        <w:rPr>
          <w:rFonts w:ascii="David" w:eastAsia="Calibri" w:hAnsi="David"/>
          <w:rtl/>
        </w:rPr>
        <w:t>בעניין זה, יפים הם הדברים שנכתבו ב-</w:t>
      </w:r>
      <w:hyperlink r:id="rId30" w:history="1">
        <w:r w:rsidR="00A264EB" w:rsidRPr="00A264EB">
          <w:rPr>
            <w:rFonts w:ascii="Calibri" w:eastAsia="Calibri" w:hAnsi="Calibri" w:hint="cs"/>
            <w:color w:val="0000FF"/>
            <w:u w:val="single"/>
            <w:rtl/>
          </w:rPr>
          <w:t>ע</w:t>
        </w:r>
        <w:r w:rsidR="00A264EB" w:rsidRPr="00A264EB">
          <w:rPr>
            <w:rFonts w:ascii="Calibri" w:eastAsia="Calibri" w:hAnsi="Calibri"/>
            <w:color w:val="0000FF"/>
            <w:u w:val="single"/>
            <w:rtl/>
          </w:rPr>
          <w:t>"</w:t>
        </w:r>
        <w:r w:rsidR="00A264EB" w:rsidRPr="00A264EB">
          <w:rPr>
            <w:rFonts w:ascii="Calibri" w:eastAsia="Calibri" w:hAnsi="Calibri" w:hint="cs"/>
            <w:color w:val="0000FF"/>
            <w:u w:val="single"/>
            <w:rtl/>
          </w:rPr>
          <w:t>פ</w:t>
        </w:r>
        <w:r w:rsidR="00A264EB" w:rsidRPr="00A264EB">
          <w:rPr>
            <w:rFonts w:ascii="Calibri" w:eastAsia="Calibri" w:hAnsi="Calibri"/>
            <w:color w:val="0000FF"/>
            <w:u w:val="single"/>
            <w:rtl/>
          </w:rPr>
          <w:t xml:space="preserve"> 9702/16</w:t>
        </w:r>
      </w:hyperlink>
      <w:r w:rsidRPr="001A5350">
        <w:rPr>
          <w:rFonts w:ascii="Calibri" w:eastAsia="Calibri" w:hAnsi="Calibri"/>
          <w:rtl/>
        </w:rPr>
        <w:t xml:space="preserve"> </w:t>
      </w:r>
      <w:r w:rsidRPr="001A5350">
        <w:rPr>
          <w:rFonts w:ascii="Calibri" w:eastAsia="Calibri" w:hAnsi="Calibri"/>
          <w:b/>
          <w:bCs/>
          <w:rtl/>
        </w:rPr>
        <w:t>אלוליאיה נ' מדינת ישראל</w:t>
      </w:r>
      <w:r w:rsidRPr="001A5350">
        <w:rPr>
          <w:rFonts w:ascii="Calibri" w:eastAsia="Calibri" w:hAnsi="Calibri"/>
          <w:rtl/>
        </w:rPr>
        <w:t>, פסקה 8 (מיום 13.9.17)</w:t>
      </w:r>
      <w:r w:rsidRPr="001A5350">
        <w:rPr>
          <w:rFonts w:ascii="David" w:eastAsia="Calibri" w:hAnsi="David"/>
          <w:rtl/>
        </w:rPr>
        <w:t xml:space="preserve">: </w:t>
      </w:r>
      <w:r w:rsidRPr="001A5350">
        <w:rPr>
          <w:rFonts w:ascii="Calibri" w:eastAsia="Calibri" w:hAnsi="Calibri"/>
          <w:rtl/>
        </w:rPr>
        <w:t>"</w:t>
      </w:r>
      <w:r w:rsidRPr="001A5350">
        <w:rPr>
          <w:rFonts w:ascii="Calibri" w:eastAsia="Calibri" w:hAnsi="Calibri" w:cs="Miriam"/>
          <w:rtl/>
        </w:rPr>
        <w:t>...גם בעבירות נשק קיים מדרג של חומרה, ושומה על בית המשפט להביאו בחשבון בבואו לקבוע את מתחם העונש ההולם"</w:t>
      </w:r>
      <w:r w:rsidRPr="001A5350">
        <w:rPr>
          <w:rFonts w:ascii="David" w:eastAsia="Calibri" w:hAnsi="David"/>
          <w:rtl/>
        </w:rPr>
        <w:t>.</w:t>
      </w:r>
    </w:p>
    <w:p w14:paraId="474A49ED" w14:textId="77777777" w:rsidR="0019435A" w:rsidRPr="001A5350" w:rsidRDefault="0019435A" w:rsidP="0019435A">
      <w:pPr>
        <w:spacing w:after="120" w:line="360" w:lineRule="auto"/>
        <w:jc w:val="both"/>
        <w:rPr>
          <w:rFonts w:ascii="David" w:eastAsia="Calibri" w:hAnsi="David"/>
          <w:color w:val="FF0000"/>
          <w:rtl/>
        </w:rPr>
      </w:pPr>
      <w:r w:rsidRPr="001A5350">
        <w:rPr>
          <w:rFonts w:ascii="Calibri" w:eastAsia="Calibri" w:hAnsi="Calibri"/>
          <w:rtl/>
        </w:rPr>
        <w:t xml:space="preserve">על מנת לשרטט את מתחם העונש ההולם לאירוע זה, עיינתי בפסיקה רחבה העוסקת בעבירות של נשיאה והובלת נשק וחלקיו. </w:t>
      </w:r>
      <w:r w:rsidRPr="001A5350">
        <w:rPr>
          <w:rFonts w:ascii="David" w:eastAsia="Calibri" w:hAnsi="David"/>
          <w:rtl/>
        </w:rPr>
        <w:t>נמצאתי למד, כי חלה בעת האחרונה החמרה ברמת הענישה, הבאה לידי ביטוי בפסיקת הערכאות השונות.</w:t>
      </w:r>
    </w:p>
    <w:p w14:paraId="0802F440"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 xml:space="preserve">ככלל, מדיניות הענישה הנוהגת בעבירות שעניינן נשיאה והובלה של נשק שלא-כדין באה לידי ביטוי במסגרתו של </w:t>
      </w:r>
      <w:hyperlink r:id="rId31" w:history="1">
        <w:r w:rsidR="00A264EB" w:rsidRPr="00A264EB">
          <w:rPr>
            <w:rFonts w:ascii="David" w:eastAsia="Calibri" w:hAnsi="David"/>
            <w:color w:val="0000FF"/>
            <w:u w:val="single"/>
            <w:rtl/>
          </w:rPr>
          <w:t>ע"פ 5602/22</w:t>
        </w:r>
      </w:hyperlink>
      <w:r w:rsidRPr="001A5350">
        <w:rPr>
          <w:rFonts w:ascii="David" w:eastAsia="Calibri" w:hAnsi="David"/>
          <w:rtl/>
        </w:rPr>
        <w:t xml:space="preserve"> </w:t>
      </w:r>
      <w:r w:rsidRPr="001A5350">
        <w:rPr>
          <w:rFonts w:ascii="David" w:eastAsia="Calibri" w:hAnsi="David"/>
          <w:b/>
          <w:bCs/>
          <w:rtl/>
        </w:rPr>
        <w:t>מדינת ישראל נ' פלוני</w:t>
      </w:r>
      <w:r w:rsidRPr="001A5350">
        <w:rPr>
          <w:rFonts w:ascii="David" w:eastAsia="Calibri" w:hAnsi="David"/>
          <w:rtl/>
        </w:rPr>
        <w:t xml:space="preserve"> (מיום  </w:t>
      </w:r>
      <w:r w:rsidRPr="001A5350">
        <w:rPr>
          <w:rFonts w:ascii="Calibri" w:eastAsia="Calibri" w:hAnsi="Calibri"/>
          <w:rtl/>
        </w:rPr>
        <w:t xml:space="preserve">14.9.22), </w:t>
      </w:r>
      <w:r w:rsidRPr="001A5350">
        <w:rPr>
          <w:rFonts w:ascii="David" w:eastAsia="Calibri" w:hAnsi="David"/>
          <w:rtl/>
        </w:rPr>
        <w:t>בו דובר על נאשם שהיה שוהה בלתי-חוקי, צעיר ללא עבר פלילי, אשר הורשע בעבירות של נשיאת נשק מסוג אקדח, הפרעה לשוטר במילוי תפקידו וכניסה ושהייה בישראל בניגוד לחוק. בערכאה הראשונה נגזרו על הנאשם 18 חודשי מאסר בפועל, ובמסגרת הערעור הוחמר עונשו ל-28 חודשים.</w:t>
      </w:r>
      <w:r w:rsidRPr="001A5350">
        <w:rPr>
          <w:rFonts w:ascii="Calibri" w:eastAsia="Calibri" w:hAnsi="Calibri"/>
          <w:rtl/>
        </w:rPr>
        <w:t xml:space="preserve"> כמו כן, </w:t>
      </w:r>
      <w:r w:rsidRPr="001A5350">
        <w:rPr>
          <w:rFonts w:ascii="Calibri" w:eastAsia="Calibri" w:hAnsi="Calibri"/>
          <w:u w:val="single"/>
          <w:rtl/>
        </w:rPr>
        <w:t xml:space="preserve">נקבעה התוויה כללית, ולפיה </w:t>
      </w:r>
      <w:r w:rsidRPr="001A5350">
        <w:rPr>
          <w:rFonts w:ascii="David" w:eastAsia="Calibri" w:hAnsi="David"/>
          <w:u w:val="single"/>
          <w:rtl/>
        </w:rPr>
        <w:t>מתחם הענישה הרגיל שראוי לקבוע לנאשם בגיר בגין נשיאה בלתי-חוקית של נשק חם במרחב הציבורי</w:t>
      </w:r>
      <w:r w:rsidRPr="001A5350">
        <w:rPr>
          <w:rFonts w:ascii="David" w:eastAsia="Calibri" w:hAnsi="David"/>
          <w:rtl/>
        </w:rPr>
        <w:t xml:space="preserve">, </w:t>
      </w:r>
      <w:r w:rsidRPr="001A5350">
        <w:rPr>
          <w:rFonts w:ascii="David" w:eastAsia="Calibri" w:hAnsi="David"/>
          <w:b/>
          <w:bCs/>
          <w:rtl/>
        </w:rPr>
        <w:t>נע בין 30 ל-42 חודשי מאסר בין סורג ובריח</w:t>
      </w:r>
      <w:r w:rsidRPr="001A5350">
        <w:rPr>
          <w:rFonts w:ascii="David" w:eastAsia="Calibri" w:hAnsi="David"/>
          <w:rtl/>
        </w:rPr>
        <w:t xml:space="preserve"> </w:t>
      </w:r>
      <w:r w:rsidRPr="001A5350">
        <w:rPr>
          <w:rFonts w:ascii="Calibri" w:eastAsia="Calibri" w:hAnsi="Calibri"/>
          <w:rtl/>
        </w:rPr>
        <w:t xml:space="preserve">[בעניין זה ראו גם: </w:t>
      </w:r>
      <w:hyperlink r:id="rId32" w:history="1">
        <w:r w:rsidR="00A264EB" w:rsidRPr="00A264EB">
          <w:rPr>
            <w:rFonts w:ascii="Calibri" w:eastAsia="Calibri" w:hAnsi="Calibri" w:hint="cs"/>
            <w:color w:val="0000FF"/>
            <w:u w:val="single"/>
            <w:rtl/>
          </w:rPr>
          <w:t>ע</w:t>
        </w:r>
        <w:r w:rsidR="00A264EB" w:rsidRPr="00A264EB">
          <w:rPr>
            <w:rFonts w:ascii="Calibri" w:eastAsia="Calibri" w:hAnsi="Calibri"/>
            <w:color w:val="0000FF"/>
            <w:u w:val="single"/>
            <w:rtl/>
          </w:rPr>
          <w:t>"</w:t>
        </w:r>
        <w:r w:rsidR="00A264EB" w:rsidRPr="00A264EB">
          <w:rPr>
            <w:rFonts w:ascii="Calibri" w:eastAsia="Calibri" w:hAnsi="Calibri" w:hint="cs"/>
            <w:color w:val="0000FF"/>
            <w:u w:val="single"/>
            <w:rtl/>
          </w:rPr>
          <w:t>פ</w:t>
        </w:r>
        <w:r w:rsidR="00A264EB" w:rsidRPr="00A264EB">
          <w:rPr>
            <w:rFonts w:ascii="Calibri" w:eastAsia="Calibri" w:hAnsi="Calibri"/>
            <w:color w:val="0000FF"/>
            <w:u w:val="single"/>
            <w:rtl/>
          </w:rPr>
          <w:t xml:space="preserve"> 4077/22</w:t>
        </w:r>
      </w:hyperlink>
      <w:r w:rsidRPr="001A5350">
        <w:rPr>
          <w:rFonts w:ascii="Calibri" w:eastAsia="Calibri" w:hAnsi="Calibri"/>
          <w:rtl/>
        </w:rPr>
        <w:t xml:space="preserve"> </w:t>
      </w:r>
      <w:r w:rsidRPr="001A5350">
        <w:rPr>
          <w:rFonts w:ascii="Calibri" w:eastAsia="Calibri" w:hAnsi="Calibri"/>
          <w:b/>
          <w:bCs/>
          <w:rtl/>
        </w:rPr>
        <w:t>מדינת ישראל נ' פלוני</w:t>
      </w:r>
      <w:r w:rsidRPr="001A5350">
        <w:rPr>
          <w:rFonts w:ascii="Calibri" w:eastAsia="Calibri" w:hAnsi="Calibri"/>
          <w:rtl/>
        </w:rPr>
        <w:t xml:space="preserve"> (ניתן ביום 28.7.22); </w:t>
      </w:r>
      <w:hyperlink r:id="rId33" w:history="1">
        <w:r w:rsidR="00A264EB" w:rsidRPr="00A264EB">
          <w:rPr>
            <w:rFonts w:ascii="Calibri" w:eastAsia="Calibri" w:hAnsi="Calibri" w:hint="cs"/>
            <w:color w:val="0000FF"/>
            <w:u w:val="single"/>
            <w:rtl/>
          </w:rPr>
          <w:t>ע</w:t>
        </w:r>
        <w:r w:rsidR="00A264EB" w:rsidRPr="00A264EB">
          <w:rPr>
            <w:rFonts w:ascii="Calibri" w:eastAsia="Calibri" w:hAnsi="Calibri"/>
            <w:color w:val="0000FF"/>
            <w:u w:val="single"/>
            <w:rtl/>
          </w:rPr>
          <w:t>"</w:t>
        </w:r>
        <w:r w:rsidR="00A264EB" w:rsidRPr="00A264EB">
          <w:rPr>
            <w:rFonts w:ascii="Calibri" w:eastAsia="Calibri" w:hAnsi="Calibri" w:hint="cs"/>
            <w:color w:val="0000FF"/>
            <w:u w:val="single"/>
            <w:rtl/>
          </w:rPr>
          <w:t>פ</w:t>
        </w:r>
        <w:r w:rsidR="00A264EB" w:rsidRPr="00A264EB">
          <w:rPr>
            <w:rFonts w:ascii="Calibri" w:eastAsia="Calibri" w:hAnsi="Calibri"/>
            <w:color w:val="0000FF"/>
            <w:u w:val="single"/>
            <w:rtl/>
          </w:rPr>
          <w:t xml:space="preserve"> 7971/23</w:t>
        </w:r>
      </w:hyperlink>
      <w:r w:rsidRPr="001A5350">
        <w:rPr>
          <w:rFonts w:ascii="Calibri" w:eastAsia="Calibri" w:hAnsi="Calibri"/>
          <w:rtl/>
        </w:rPr>
        <w:t xml:space="preserve"> ו-9228/23 </w:t>
      </w:r>
      <w:r w:rsidRPr="001A5350">
        <w:rPr>
          <w:rFonts w:ascii="Calibri" w:eastAsia="Calibri" w:hAnsi="Calibri"/>
          <w:b/>
          <w:bCs/>
          <w:rtl/>
        </w:rPr>
        <w:t>אגבאריה נ' מדינת ישראל</w:t>
      </w:r>
      <w:r w:rsidRPr="001A5350">
        <w:rPr>
          <w:rFonts w:ascii="Calibri" w:eastAsia="Calibri" w:hAnsi="Calibri"/>
          <w:rtl/>
        </w:rPr>
        <w:t xml:space="preserve"> (ניתן ביום 26.5.24)].</w:t>
      </w:r>
    </w:p>
    <w:p w14:paraId="7460E4FB"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עוד יצוין, כי העבירה שעניינה הפרעה לשוטר בשעת מילוי תפקידו – נלקחת גם היא בחשבון בסקירת הפסיקה הנוהגת, ובקביעת מתחם העונש ההולם.</w:t>
      </w:r>
    </w:p>
    <w:p w14:paraId="443D780E"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ב</w:t>
      </w:r>
      <w:r w:rsidRPr="001A5350">
        <w:rPr>
          <w:rFonts w:ascii="Calibri" w:eastAsia="Calibri" w:hAnsi="Calibri"/>
          <w:rtl/>
        </w:rPr>
        <w:t>-</w:t>
      </w:r>
      <w:hyperlink r:id="rId34" w:history="1">
        <w:r w:rsidR="00A264EB" w:rsidRPr="00A264EB">
          <w:rPr>
            <w:rFonts w:ascii="Calibri" w:eastAsia="Calibri" w:hAnsi="Calibri" w:hint="cs"/>
            <w:color w:val="0000FF"/>
            <w:u w:val="single"/>
            <w:rtl/>
          </w:rPr>
          <w:t>ע</w:t>
        </w:r>
        <w:r w:rsidR="00A264EB" w:rsidRPr="00A264EB">
          <w:rPr>
            <w:rFonts w:ascii="Calibri" w:eastAsia="Calibri" w:hAnsi="Calibri"/>
            <w:color w:val="0000FF"/>
            <w:u w:val="single"/>
            <w:rtl/>
          </w:rPr>
          <w:t>"</w:t>
        </w:r>
        <w:r w:rsidR="00A264EB" w:rsidRPr="00A264EB">
          <w:rPr>
            <w:rFonts w:ascii="Calibri" w:eastAsia="Calibri" w:hAnsi="Calibri" w:hint="cs"/>
            <w:color w:val="0000FF"/>
            <w:u w:val="single"/>
            <w:rtl/>
          </w:rPr>
          <w:t>פ</w:t>
        </w:r>
        <w:r w:rsidR="00A264EB" w:rsidRPr="00A264EB">
          <w:rPr>
            <w:rFonts w:ascii="Calibri" w:eastAsia="Calibri" w:hAnsi="Calibri"/>
            <w:color w:val="0000FF"/>
            <w:u w:val="single"/>
            <w:rtl/>
          </w:rPr>
          <w:t xml:space="preserve"> 7971/23</w:t>
        </w:r>
      </w:hyperlink>
      <w:r w:rsidRPr="001A5350">
        <w:rPr>
          <w:rFonts w:ascii="Calibri" w:eastAsia="Calibri" w:hAnsi="Calibri"/>
          <w:rtl/>
        </w:rPr>
        <w:t xml:space="preserve"> ו-9228/23 </w:t>
      </w:r>
      <w:r w:rsidRPr="001A5350">
        <w:rPr>
          <w:rFonts w:ascii="Calibri" w:eastAsia="Calibri" w:hAnsi="Calibri"/>
          <w:b/>
          <w:bCs/>
          <w:rtl/>
        </w:rPr>
        <w:t>אגבאריה נ' מדינת ישראל</w:t>
      </w:r>
      <w:r w:rsidRPr="001A5350">
        <w:rPr>
          <w:rFonts w:ascii="Calibri" w:eastAsia="Calibri" w:hAnsi="Calibri"/>
          <w:rtl/>
        </w:rPr>
        <w:t xml:space="preserve"> (26.5.24)</w:t>
      </w:r>
      <w:r w:rsidRPr="001A5350">
        <w:rPr>
          <w:rFonts w:ascii="David" w:eastAsia="Calibri" w:hAnsi="David"/>
          <w:rtl/>
        </w:rPr>
        <w:t xml:space="preserve"> אשר צוין לעיל, דובר על שני נאשמים שהורשעו בשל ביצוע בצוותא של נשיאה והובלה של נשק, לפי </w:t>
      </w:r>
      <w:hyperlink r:id="rId35" w:history="1">
        <w:r w:rsidR="00346F4C" w:rsidRPr="00346F4C">
          <w:rPr>
            <w:rStyle w:val="Hyperlink"/>
            <w:rFonts w:ascii="David" w:eastAsia="Calibri" w:hAnsi="David"/>
            <w:color w:val="0000FF"/>
            <w:rtl/>
          </w:rPr>
          <w:t>סעיפים 144(ב)</w:t>
        </w:r>
      </w:hyperlink>
      <w:r w:rsidRPr="001A5350">
        <w:rPr>
          <w:rFonts w:ascii="David" w:eastAsia="Calibri" w:hAnsi="David"/>
          <w:rtl/>
        </w:rPr>
        <w:t xml:space="preserve"> רישא וסיפא, ו-29 לחוק. הנשק ששימש לביצוע העבירות היה מסוג תת-מקלע מאולתר, נמצא עם כדור בבית הבליעה, וביחד עם תחמושת רבה, כפפה שחורה וכובע גרב שחור (מקור הנשק ומטרת נסיעתם של הנאשמים לא הובררו עד תום). בית-משפט קמא ביצע הבחנה בין הנאשמים וקבע לכל אחד מהם מתחם ענישה שונה וכן גזר עליהם עונשי מאסר בפועל שונים האחד מהשני, לצד עונשים נלווים. </w:t>
      </w:r>
      <w:r w:rsidRPr="001A5350">
        <w:rPr>
          <w:rFonts w:ascii="David" w:eastAsia="Calibri" w:hAnsi="David"/>
          <w:b/>
          <w:bCs/>
          <w:rtl/>
        </w:rPr>
        <w:t>ערעורם של הנאשמים לבית-המשפט העליון נדחה, וערעורה של המדינה התקבל</w:t>
      </w:r>
      <w:r w:rsidRPr="001A5350">
        <w:rPr>
          <w:rFonts w:ascii="David" w:eastAsia="Calibri" w:hAnsi="David"/>
          <w:rtl/>
        </w:rPr>
        <w:t xml:space="preserve">. </w:t>
      </w:r>
      <w:r w:rsidRPr="001A5350">
        <w:rPr>
          <w:rFonts w:ascii="David" w:eastAsia="Calibri" w:hAnsi="David"/>
          <w:b/>
          <w:bCs/>
          <w:rtl/>
        </w:rPr>
        <w:t>בסיכומו של דבר, עונשם של שני הנאשמים הועמד על 32 חודשי מאסר בפועל</w:t>
      </w:r>
      <w:r w:rsidRPr="001A5350">
        <w:rPr>
          <w:rFonts w:ascii="David" w:eastAsia="Calibri" w:hAnsi="David"/>
          <w:rtl/>
        </w:rPr>
        <w:t>.</w:t>
      </w:r>
    </w:p>
    <w:p w14:paraId="05338921"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ב-</w:t>
      </w:r>
      <w:hyperlink r:id="rId36" w:history="1">
        <w:r w:rsidR="00A264EB" w:rsidRPr="00A264EB">
          <w:rPr>
            <w:rFonts w:ascii="David" w:eastAsia="Calibri" w:hAnsi="David"/>
            <w:color w:val="0000FF"/>
            <w:u w:val="single"/>
            <w:rtl/>
          </w:rPr>
          <w:t>ע"פ 6021/21</w:t>
        </w:r>
      </w:hyperlink>
      <w:r w:rsidRPr="001A5350">
        <w:rPr>
          <w:rFonts w:ascii="David" w:eastAsia="Calibri" w:hAnsi="David"/>
          <w:b/>
          <w:bCs/>
          <w:rtl/>
        </w:rPr>
        <w:t xml:space="preserve"> עבוד נ' מדינת ישראל</w:t>
      </w:r>
      <w:r w:rsidRPr="001A5350">
        <w:rPr>
          <w:rFonts w:ascii="David" w:eastAsia="Calibri" w:hAnsi="David"/>
          <w:rtl/>
        </w:rPr>
        <w:t xml:space="preserve"> (מיום 19.12.21) הורשע המערער על סמך הודאתו במסגרת הסדר טיעון בכתב-אישום מתוקן, בעבירות של נשיאה והובלת נשק, והפרעה לשוטר בשעת מילוי תפקידו. באותו מקרה, דובר בנשיאה והובלה של נשק מסוג רובה </w:t>
      </w:r>
      <w:r w:rsidRPr="001A5350">
        <w:rPr>
          <w:rFonts w:ascii="David" w:eastAsia="Calibri" w:hAnsi="David"/>
        </w:rPr>
        <w:t>M-16</w:t>
      </w:r>
      <w:r w:rsidRPr="001A5350">
        <w:rPr>
          <w:rFonts w:ascii="David" w:eastAsia="Calibri" w:hAnsi="David"/>
          <w:rtl/>
        </w:rPr>
        <w:t xml:space="preserve">, לפרק זמן קצר. </w:t>
      </w:r>
      <w:r w:rsidRPr="001A5350">
        <w:rPr>
          <w:rFonts w:ascii="David" w:eastAsia="Calibri" w:hAnsi="David"/>
          <w:b/>
          <w:bCs/>
          <w:rtl/>
        </w:rPr>
        <w:t>בית-משפט קמא השית על המערער 30 חודשי מאסר בפועל. הערעור על חומרת העונש נדחה</w:t>
      </w:r>
      <w:r w:rsidRPr="001A5350">
        <w:rPr>
          <w:rFonts w:ascii="David" w:eastAsia="Calibri" w:hAnsi="David"/>
          <w:rtl/>
        </w:rPr>
        <w:t>, תוך שצוין בפסק-הדין כי צו השעה הינו להחמיר בענישה בגין עבירות הנשק.</w:t>
      </w:r>
    </w:p>
    <w:p w14:paraId="25207AE0" w14:textId="77777777" w:rsidR="0019435A" w:rsidRPr="001A5350" w:rsidRDefault="0019435A" w:rsidP="0019435A">
      <w:pPr>
        <w:spacing w:after="240" w:line="360" w:lineRule="auto"/>
        <w:jc w:val="both"/>
        <w:rPr>
          <w:rFonts w:ascii="David" w:eastAsia="Calibri" w:hAnsi="David"/>
          <w:rtl/>
        </w:rPr>
      </w:pPr>
      <w:r w:rsidRPr="001A5350">
        <w:rPr>
          <w:rFonts w:ascii="David" w:eastAsia="Calibri" w:hAnsi="David"/>
          <w:rtl/>
        </w:rPr>
        <w:t>ב</w:t>
      </w:r>
      <w:hyperlink r:id="rId37" w:history="1">
        <w:r w:rsidR="00A264EB" w:rsidRPr="00A264EB">
          <w:rPr>
            <w:rFonts w:ascii="David" w:eastAsia="Calibri" w:hAnsi="David"/>
            <w:color w:val="0000FF"/>
            <w:u w:val="single"/>
            <w:rtl/>
          </w:rPr>
          <w:t>ע"פ 5856/22</w:t>
        </w:r>
      </w:hyperlink>
      <w:r w:rsidRPr="001A5350">
        <w:rPr>
          <w:rFonts w:ascii="David" w:eastAsia="Calibri" w:hAnsi="David"/>
          <w:rtl/>
        </w:rPr>
        <w:t xml:space="preserve"> </w:t>
      </w:r>
      <w:r w:rsidRPr="001A5350">
        <w:rPr>
          <w:rFonts w:ascii="David" w:eastAsia="Calibri" w:hAnsi="David"/>
          <w:b/>
          <w:bCs/>
          <w:rtl/>
        </w:rPr>
        <w:t>סויטאת נ' מדינת ישראל</w:t>
      </w:r>
      <w:r w:rsidRPr="001A5350">
        <w:rPr>
          <w:rFonts w:ascii="David" w:eastAsia="Calibri" w:hAnsi="David"/>
          <w:rtl/>
        </w:rPr>
        <w:t xml:space="preserve"> (מיום 21.3.23) דובר על מערער שהורשע בעבירות של נשיאה והובלה של נשק ואביזר לנשק, והפרעה לשוטר בעת מילוי תפקידו. באותו מקרה, נסע המערער עם אדם אחר, כשהוא נושא אקדח ובו מחסנית ריקה. בהגיעו למחסום משטרתי, יצא מהרכב והחל להימלט מהמקום תוך מרדף קצר, שבמהלכו השליך את האקדח ובסוף המרדף הוא נתפס. </w:t>
      </w:r>
      <w:r w:rsidRPr="001A5350">
        <w:rPr>
          <w:rFonts w:ascii="David" w:eastAsia="Calibri" w:hAnsi="David"/>
          <w:b/>
          <w:bCs/>
          <w:rtl/>
        </w:rPr>
        <w:t>בית-המשפט קמא הטיל על הנאשם 28 חודשי מאסר בפועל</w:t>
      </w:r>
      <w:r w:rsidRPr="001A5350">
        <w:rPr>
          <w:rFonts w:ascii="David" w:eastAsia="Calibri" w:hAnsi="David"/>
          <w:rtl/>
        </w:rPr>
        <w:t xml:space="preserve">. </w:t>
      </w:r>
      <w:r w:rsidRPr="001A5350">
        <w:rPr>
          <w:rFonts w:ascii="David" w:eastAsia="Calibri" w:hAnsi="David"/>
          <w:b/>
          <w:bCs/>
          <w:rtl/>
        </w:rPr>
        <w:t>הערעור לבית-המשפט העליון נדחה</w:t>
      </w:r>
      <w:r w:rsidRPr="001A5350">
        <w:rPr>
          <w:rFonts w:ascii="David" w:eastAsia="Calibri" w:hAnsi="David"/>
          <w:rtl/>
        </w:rPr>
        <w:t>.</w:t>
      </w:r>
    </w:p>
    <w:p w14:paraId="6A16AC94" w14:textId="77777777" w:rsidR="0019435A" w:rsidRPr="001A5350" w:rsidRDefault="0019435A" w:rsidP="0019435A">
      <w:pPr>
        <w:spacing w:after="120" w:line="360" w:lineRule="auto"/>
        <w:jc w:val="both"/>
        <w:rPr>
          <w:rFonts w:ascii="David" w:eastAsia="Calibri" w:hAnsi="David"/>
          <w:rtl/>
        </w:rPr>
      </w:pPr>
      <w:r w:rsidRPr="001A5350">
        <w:rPr>
          <w:rFonts w:ascii="Calibri" w:eastAsia="Calibri" w:hAnsi="Calibri"/>
          <w:rtl/>
        </w:rPr>
        <w:t xml:space="preserve">בבואנו לגבש את מתחם העונש ההולם יש לתת את הדעת לאותן </w:t>
      </w:r>
      <w:r w:rsidRPr="001A5350">
        <w:rPr>
          <w:rFonts w:ascii="Calibri" w:eastAsia="Calibri" w:hAnsi="Calibri"/>
          <w:b/>
          <w:bCs/>
          <w:rtl/>
        </w:rPr>
        <w:t>הנסיבות הקשורות בביצוע העבירות</w:t>
      </w:r>
      <w:r w:rsidRPr="001A5350">
        <w:rPr>
          <w:rFonts w:ascii="Calibri" w:eastAsia="Calibri" w:hAnsi="Calibri"/>
          <w:rtl/>
        </w:rPr>
        <w:t xml:space="preserve">, וזאת בהתאם </w:t>
      </w:r>
      <w:hyperlink r:id="rId38" w:history="1">
        <w:r w:rsidR="00346F4C" w:rsidRPr="00346F4C">
          <w:rPr>
            <w:rStyle w:val="Hyperlink"/>
            <w:rFonts w:ascii="Calibri" w:eastAsia="Calibri" w:hAnsi="Calibri"/>
            <w:b/>
            <w:bCs/>
            <w:color w:val="0000FF"/>
            <w:rtl/>
          </w:rPr>
          <w:t>לסעיף 40ט(א)</w:t>
        </w:r>
      </w:hyperlink>
      <w:r w:rsidRPr="001A5350">
        <w:rPr>
          <w:rFonts w:ascii="Calibri" w:eastAsia="Calibri" w:hAnsi="Calibri"/>
          <w:b/>
          <w:bCs/>
          <w:rtl/>
        </w:rPr>
        <w:t xml:space="preserve"> ל</w:t>
      </w:r>
      <w:hyperlink r:id="rId39" w:history="1">
        <w:r w:rsidR="00A264EB" w:rsidRPr="00A264EB">
          <w:rPr>
            <w:rFonts w:ascii="Calibri" w:eastAsia="Calibri" w:hAnsi="Calibri" w:hint="cs"/>
            <w:b/>
            <w:bCs/>
            <w:color w:val="0000FF"/>
            <w:u w:val="single"/>
            <w:rtl/>
          </w:rPr>
          <w:t>חוק</w:t>
        </w:r>
        <w:r w:rsidR="00A264EB" w:rsidRPr="00A264EB">
          <w:rPr>
            <w:rFonts w:ascii="Calibri" w:eastAsia="Calibri" w:hAnsi="Calibri"/>
            <w:b/>
            <w:bCs/>
            <w:color w:val="0000FF"/>
            <w:u w:val="single"/>
            <w:rtl/>
          </w:rPr>
          <w:t xml:space="preserve"> </w:t>
        </w:r>
        <w:r w:rsidR="00A264EB" w:rsidRPr="00A264EB">
          <w:rPr>
            <w:rFonts w:ascii="Calibri" w:eastAsia="Calibri" w:hAnsi="Calibri" w:hint="cs"/>
            <w:b/>
            <w:bCs/>
            <w:color w:val="0000FF"/>
            <w:u w:val="single"/>
            <w:rtl/>
          </w:rPr>
          <w:t>העונשין</w:t>
        </w:r>
      </w:hyperlink>
      <w:r w:rsidRPr="001A5350">
        <w:rPr>
          <w:rFonts w:ascii="Calibri" w:eastAsia="Calibri" w:hAnsi="Calibri"/>
          <w:rtl/>
        </w:rPr>
        <w:t xml:space="preserve">. </w:t>
      </w:r>
      <w:r w:rsidRPr="001A5350">
        <w:rPr>
          <w:rFonts w:ascii="David" w:eastAsia="Calibri" w:hAnsi="David"/>
          <w:rtl/>
        </w:rPr>
        <w:t>אפרט להלן את הנסיבות אשר יש להתחשב בקיומן:</w:t>
      </w:r>
    </w:p>
    <w:p w14:paraId="02E7955E" w14:textId="77777777" w:rsidR="0019435A" w:rsidRPr="001A5350" w:rsidRDefault="0019435A" w:rsidP="0019435A">
      <w:pPr>
        <w:spacing w:after="120" w:line="360" w:lineRule="auto"/>
        <w:jc w:val="both"/>
        <w:rPr>
          <w:rFonts w:ascii="Calibri" w:eastAsia="Calibri" w:hAnsi="Calibri"/>
          <w:rtl/>
        </w:rPr>
      </w:pPr>
      <w:r w:rsidRPr="001A5350">
        <w:rPr>
          <w:rFonts w:ascii="David" w:eastAsia="Calibri" w:hAnsi="David"/>
          <w:rtl/>
        </w:rPr>
        <w:t>הנאשם היה מודע לכך שהוא נושא את הנשק בלא רישיון, העבירות בוצעו ביוזמתו</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פוטנציאל הנזק הצפוי היה גדול לאור סוג הנשק הקטלני (תת-מקלע)</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הנשק היה טעון בכדור בקנה, וכן בשלושה כדורים נוספים שנמצאו במחסנית המוכנסת בנשק</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יכולתו של הנאשם להבין את מעשיו ואת הפסול שבהם</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העובדה כי היה בגיר ביום ביצוע העבירות, וכי אין סייג לאחריות פלילית בעניינו</w:t>
      </w:r>
      <w:r w:rsidRPr="001A5350">
        <w:rPr>
          <w:rFonts w:ascii="David" w:eastAsia="Calibri" w:hAnsi="David"/>
        </w:rPr>
        <w:t>;</w:t>
      </w:r>
      <w:r w:rsidRPr="001A5350">
        <w:rPr>
          <w:rFonts w:ascii="David" w:eastAsia="Calibri" w:hAnsi="David"/>
          <w:rtl/>
        </w:rPr>
        <w:t xml:space="preserve"> הנאשם היה מודע לטיב מעשיו, כשהראיה לכך היא העובדה שהחל במנוסה כשראה את השוטרים, שהבחינו בו וקראו לו לעצור</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הנאשם נמלט מידי המשטרה ונעצר רק בחלוף מספר ימים.</w:t>
      </w:r>
    </w:p>
    <w:p w14:paraId="0959E455" w14:textId="77777777" w:rsidR="0019435A" w:rsidRPr="001A5350" w:rsidRDefault="0019435A" w:rsidP="0019435A">
      <w:pPr>
        <w:spacing w:after="120" w:line="360" w:lineRule="auto"/>
        <w:jc w:val="both"/>
        <w:rPr>
          <w:rFonts w:ascii="David" w:eastAsia="Calibri" w:hAnsi="David"/>
        </w:rPr>
      </w:pPr>
      <w:r w:rsidRPr="001A5350">
        <w:rPr>
          <w:rFonts w:ascii="David" w:eastAsia="Calibri" w:hAnsi="David"/>
          <w:rtl/>
        </w:rPr>
        <w:t xml:space="preserve">אדגיש, תוארה בכתב-האישום </w:t>
      </w:r>
      <w:r w:rsidRPr="001A5350">
        <w:rPr>
          <w:rFonts w:ascii="David" w:eastAsia="Calibri" w:hAnsi="David"/>
          <w:u w:val="single"/>
          <w:rtl/>
        </w:rPr>
        <w:t>נשיאה קצרה של הנשק</w:t>
      </w:r>
      <w:r w:rsidRPr="001A5350">
        <w:rPr>
          <w:rFonts w:ascii="David" w:eastAsia="Calibri" w:hAnsi="David"/>
          <w:rtl/>
        </w:rPr>
        <w:t>, והשלכתו תוך כדי המרדף, ובכך למעשה הפסקת נשיאתו.</w:t>
      </w:r>
    </w:p>
    <w:p w14:paraId="589958A9" w14:textId="77777777" w:rsidR="0019435A" w:rsidRPr="001A5350" w:rsidRDefault="0019435A" w:rsidP="0019435A">
      <w:pPr>
        <w:spacing w:after="120" w:line="360" w:lineRule="auto"/>
        <w:jc w:val="both"/>
        <w:rPr>
          <w:rFonts w:ascii="Calibri" w:eastAsia="Calibri" w:hAnsi="Calibri"/>
          <w:rtl/>
        </w:rPr>
      </w:pPr>
      <w:r w:rsidRPr="001A5350">
        <w:rPr>
          <w:rFonts w:ascii="Calibri" w:eastAsia="Calibri" w:hAnsi="Calibri"/>
          <w:b/>
          <w:bCs/>
          <w:rtl/>
        </w:rPr>
        <w:t>לאור המקובץ, סבור אני כי יש לקבוע מתחם עונש הנע בין 26 – 38 חודשי מאסר בפועל, זאת לצד עונשים נלווים</w:t>
      </w:r>
      <w:r w:rsidRPr="001A5350">
        <w:rPr>
          <w:rFonts w:ascii="Calibri" w:eastAsia="Calibri" w:hAnsi="Calibri"/>
          <w:rtl/>
        </w:rPr>
        <w:t>.</w:t>
      </w:r>
    </w:p>
    <w:p w14:paraId="0DEB3CAE" w14:textId="77777777" w:rsidR="0019435A" w:rsidRPr="001A5350" w:rsidRDefault="0019435A" w:rsidP="0019435A">
      <w:pPr>
        <w:spacing w:after="120" w:line="360" w:lineRule="auto"/>
        <w:jc w:val="both"/>
        <w:rPr>
          <w:rFonts w:ascii="Calibri" w:eastAsia="Calibri" w:hAnsi="Calibri"/>
          <w:rtl/>
        </w:rPr>
      </w:pPr>
      <w:r w:rsidRPr="001A5350">
        <w:rPr>
          <w:rFonts w:ascii="Calibri" w:eastAsia="Calibri" w:hAnsi="Calibri"/>
          <w:rtl/>
        </w:rPr>
        <w:t>משנקבע מתחם הענישה, בשלה השעה להגדיר את העונש המדויק שיוצב בתוככי מתחם הענישה, תוך התחשבות ב</w:t>
      </w:r>
      <w:r w:rsidRPr="001A5350">
        <w:rPr>
          <w:rFonts w:ascii="Calibri" w:eastAsia="Calibri" w:hAnsi="Calibri"/>
          <w:b/>
          <w:bCs/>
          <w:rtl/>
        </w:rPr>
        <w:t>נסיבות שאינן קשורות בביצוע העבירה</w:t>
      </w:r>
      <w:r w:rsidRPr="001A5350">
        <w:rPr>
          <w:rFonts w:ascii="Calibri" w:eastAsia="Calibri" w:hAnsi="Calibri"/>
          <w:rtl/>
        </w:rPr>
        <w:t xml:space="preserve">, לפי </w:t>
      </w:r>
      <w:r w:rsidRPr="001A5350">
        <w:rPr>
          <w:rFonts w:ascii="Calibri" w:eastAsia="Calibri" w:hAnsi="Calibri"/>
          <w:b/>
          <w:bCs/>
          <w:rtl/>
        </w:rPr>
        <w:t xml:space="preserve">סעיף </w:t>
      </w:r>
      <w:hyperlink r:id="rId40" w:history="1">
        <w:r w:rsidR="00346F4C" w:rsidRPr="00346F4C">
          <w:rPr>
            <w:rStyle w:val="Hyperlink"/>
            <w:rFonts w:ascii="Calibri" w:eastAsia="Calibri" w:hAnsi="Calibri"/>
            <w:b/>
            <w:bCs/>
            <w:color w:val="0000FF"/>
            <w:rtl/>
          </w:rPr>
          <w:t>40 יא</w:t>
        </w:r>
      </w:hyperlink>
      <w:r w:rsidRPr="001A5350">
        <w:rPr>
          <w:rFonts w:ascii="Calibri" w:eastAsia="Calibri" w:hAnsi="Calibri"/>
          <w:b/>
          <w:bCs/>
          <w:rtl/>
        </w:rPr>
        <w:t xml:space="preserve"> ל</w:t>
      </w:r>
      <w:hyperlink r:id="rId41" w:history="1">
        <w:r w:rsidR="00A264EB" w:rsidRPr="00A264EB">
          <w:rPr>
            <w:rFonts w:ascii="Calibri" w:eastAsia="Calibri" w:hAnsi="Calibri" w:hint="cs"/>
            <w:b/>
            <w:bCs/>
            <w:color w:val="0000FF"/>
            <w:u w:val="single"/>
            <w:rtl/>
          </w:rPr>
          <w:t>חוק</w:t>
        </w:r>
        <w:r w:rsidR="00A264EB" w:rsidRPr="00A264EB">
          <w:rPr>
            <w:rFonts w:ascii="Calibri" w:eastAsia="Calibri" w:hAnsi="Calibri"/>
            <w:b/>
            <w:bCs/>
            <w:color w:val="0000FF"/>
            <w:u w:val="single"/>
            <w:rtl/>
          </w:rPr>
          <w:t xml:space="preserve"> </w:t>
        </w:r>
        <w:r w:rsidR="00A264EB" w:rsidRPr="00A264EB">
          <w:rPr>
            <w:rFonts w:ascii="Calibri" w:eastAsia="Calibri" w:hAnsi="Calibri" w:hint="cs"/>
            <w:b/>
            <w:bCs/>
            <w:color w:val="0000FF"/>
            <w:u w:val="single"/>
            <w:rtl/>
          </w:rPr>
          <w:t>העונשין</w:t>
        </w:r>
      </w:hyperlink>
      <w:r w:rsidRPr="001A5350">
        <w:rPr>
          <w:rFonts w:ascii="Calibri" w:eastAsia="Calibri" w:hAnsi="Calibri"/>
          <w:rtl/>
        </w:rPr>
        <w:t>:</w:t>
      </w:r>
    </w:p>
    <w:p w14:paraId="14839BFB" w14:textId="77777777" w:rsidR="0019435A" w:rsidRPr="001A5350" w:rsidRDefault="0019435A" w:rsidP="0019435A">
      <w:pPr>
        <w:spacing w:after="120" w:line="360" w:lineRule="auto"/>
        <w:jc w:val="both"/>
        <w:rPr>
          <w:rFonts w:ascii="David" w:eastAsia="Calibri" w:hAnsi="David"/>
          <w:rtl/>
        </w:rPr>
      </w:pPr>
      <w:r w:rsidRPr="001A5350">
        <w:rPr>
          <w:rFonts w:ascii="David" w:eastAsia="Calibri" w:hAnsi="David"/>
          <w:rtl/>
        </w:rPr>
        <w:t>הנאשם הוא אדם צעיר, בן 21, שעברו הפלילי איננו מכביד. ראוי לציין בהקשר זה כי הנאשם לא הורשע בתיק הפלילי הקודם בעניינו (בגין עבירת היזק במזיד לרכוש). הנאשם נטל אחריות על מעשיו, הודה בביצוע העבירות המיוחסות לו ובכך חסך בזמן שיפוטי יקר</w:t>
      </w:r>
      <w:r w:rsidRPr="001A5350">
        <w:rPr>
          <w:rFonts w:ascii="David" w:eastAsia="Calibri" w:hAnsi="David"/>
        </w:rPr>
        <w:t>;</w:t>
      </w:r>
      <w:r w:rsidRPr="001A5350">
        <w:rPr>
          <w:rFonts w:ascii="David" w:eastAsia="Calibri" w:hAnsi="David"/>
          <w:rtl/>
        </w:rPr>
        <w:t xml:space="preserve"> </w:t>
      </w:r>
      <w:r w:rsidRPr="001A5350">
        <w:rPr>
          <w:rFonts w:ascii="David" w:eastAsia="Calibri" w:hAnsi="David" w:hint="cs"/>
          <w:rtl/>
        </w:rPr>
        <w:t>הנאשם פנה לבית-המשפט, התנצל והביע חרטה על מעשיו. אולם, נוכח ממצאי שירות המבחן כפי שאלו תוארו לעיל, ובהיעדר המלצה שיקומית בעניינו – נראה כי אין זה מקרה מתאים לחריגה ממתחם הענישה שנקבע.</w:t>
      </w:r>
    </w:p>
    <w:p w14:paraId="1803AB93" w14:textId="77777777" w:rsidR="0019435A" w:rsidRDefault="0019435A" w:rsidP="0019435A">
      <w:pPr>
        <w:spacing w:after="160" w:line="360" w:lineRule="auto"/>
        <w:jc w:val="both"/>
        <w:rPr>
          <w:rFonts w:ascii="Calibri" w:eastAsia="Calibri" w:hAnsi="Calibri"/>
          <w:rtl/>
        </w:rPr>
      </w:pPr>
      <w:r w:rsidRPr="001A5350">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1A5350">
        <w:rPr>
          <w:rFonts w:ascii="David" w:eastAsia="Calibri" w:hAnsi="David"/>
          <w:b/>
          <w:bCs/>
          <w:rtl/>
        </w:rPr>
        <w:t>בהרתעת הרבים</w:t>
      </w:r>
      <w:r w:rsidRPr="001A5350">
        <w:rPr>
          <w:rFonts w:ascii="David" w:eastAsia="Calibri" w:hAnsi="David"/>
          <w:rtl/>
        </w:rPr>
        <w:t xml:space="preserve"> (בהתאם </w:t>
      </w:r>
      <w:hyperlink r:id="rId42" w:history="1">
        <w:r w:rsidR="00346F4C" w:rsidRPr="00346F4C">
          <w:rPr>
            <w:rStyle w:val="Hyperlink"/>
            <w:rFonts w:ascii="David" w:eastAsia="Calibri" w:hAnsi="David"/>
            <w:color w:val="0000FF"/>
            <w:rtl/>
          </w:rPr>
          <w:t>לסעיף 40ז</w:t>
        </w:r>
      </w:hyperlink>
      <w:r w:rsidRPr="001A5350">
        <w:rPr>
          <w:rFonts w:ascii="David" w:eastAsia="Calibri" w:hAnsi="David"/>
          <w:rtl/>
        </w:rPr>
        <w:t xml:space="preserve"> לחוק);</w:t>
      </w:r>
      <w:r w:rsidRPr="001A5350">
        <w:rPr>
          <w:rFonts w:ascii="David" w:eastAsia="Calibri" w:hAnsi="David"/>
        </w:rPr>
        <w:t xml:space="preserve"> </w:t>
      </w:r>
      <w:r w:rsidRPr="001A5350">
        <w:rPr>
          <w:rFonts w:ascii="David" w:eastAsia="Calibri" w:hAnsi="David"/>
          <w:rtl/>
        </w:rPr>
        <w:t>תוך העברת מסר לציבור הרחב שהתנהגות דומה שכזו אינה מקובלת במחוזותינו.</w:t>
      </w:r>
    </w:p>
    <w:p w14:paraId="5FD9F380" w14:textId="77777777" w:rsidR="0019435A" w:rsidRDefault="0019435A" w:rsidP="0019435A">
      <w:pPr>
        <w:spacing w:after="160" w:line="360" w:lineRule="auto"/>
        <w:jc w:val="both"/>
        <w:rPr>
          <w:rFonts w:ascii="Calibri" w:eastAsia="Calibri" w:hAnsi="Calibri"/>
          <w:rtl/>
        </w:rPr>
      </w:pPr>
    </w:p>
    <w:p w14:paraId="475F722E" w14:textId="77777777" w:rsidR="0019435A" w:rsidRDefault="0019435A" w:rsidP="0019435A">
      <w:pPr>
        <w:spacing w:after="160" w:line="360" w:lineRule="auto"/>
        <w:jc w:val="both"/>
        <w:rPr>
          <w:rFonts w:ascii="Calibri" w:eastAsia="Calibri" w:hAnsi="Calibri"/>
          <w:rtl/>
        </w:rPr>
      </w:pPr>
    </w:p>
    <w:p w14:paraId="33AC3224" w14:textId="77777777" w:rsidR="0019435A" w:rsidRDefault="0019435A" w:rsidP="0019435A">
      <w:pPr>
        <w:spacing w:after="160" w:line="360" w:lineRule="auto"/>
        <w:jc w:val="both"/>
        <w:rPr>
          <w:rFonts w:ascii="Calibri" w:eastAsia="Calibri" w:hAnsi="Calibri"/>
          <w:rtl/>
        </w:rPr>
      </w:pPr>
    </w:p>
    <w:p w14:paraId="700C6A57" w14:textId="77777777" w:rsidR="0019435A" w:rsidRPr="001A5350" w:rsidRDefault="0019435A" w:rsidP="0019435A">
      <w:pPr>
        <w:spacing w:after="160" w:line="360" w:lineRule="auto"/>
        <w:jc w:val="both"/>
        <w:rPr>
          <w:rFonts w:ascii="Calibri" w:eastAsia="Calibri" w:hAnsi="Calibri"/>
          <w:rtl/>
        </w:rPr>
      </w:pPr>
    </w:p>
    <w:p w14:paraId="27586E96" w14:textId="77777777" w:rsidR="0019435A" w:rsidRPr="001A5350" w:rsidRDefault="0019435A" w:rsidP="0019435A">
      <w:pPr>
        <w:spacing w:after="160"/>
        <w:jc w:val="both"/>
        <w:rPr>
          <w:rFonts w:ascii="Calibri" w:eastAsia="Calibri" w:hAnsi="Calibri"/>
          <w:b/>
          <w:bCs/>
          <w:u w:val="single"/>
        </w:rPr>
      </w:pPr>
      <w:r w:rsidRPr="001A5350">
        <w:rPr>
          <w:rFonts w:ascii="Calibri" w:eastAsia="Calibri" w:hAnsi="Calibri"/>
          <w:b/>
          <w:bCs/>
          <w:u w:val="single"/>
          <w:rtl/>
        </w:rPr>
        <w:t>סוף דבר</w:t>
      </w:r>
    </w:p>
    <w:p w14:paraId="06974863" w14:textId="77777777" w:rsidR="0019435A" w:rsidRPr="001A5350" w:rsidRDefault="0019435A" w:rsidP="0019435A">
      <w:pPr>
        <w:spacing w:after="240"/>
        <w:jc w:val="both"/>
        <w:rPr>
          <w:rFonts w:ascii="Calibri" w:eastAsia="Calibri" w:hAnsi="Calibri"/>
          <w:rtl/>
        </w:rPr>
      </w:pPr>
      <w:r w:rsidRPr="001A5350">
        <w:rPr>
          <w:rFonts w:ascii="Calibri" w:eastAsia="Calibri" w:hAnsi="Calibri"/>
          <w:rtl/>
        </w:rPr>
        <w:t xml:space="preserve">לאחר ששקלתי את מכלול השיקולים הרלוונטיים, מוטלים, אפוא, על הנאשם עונשים כדלקמן – </w:t>
      </w:r>
    </w:p>
    <w:p w14:paraId="74C0B3E9" w14:textId="77777777" w:rsidR="0019435A" w:rsidRPr="001A5350" w:rsidRDefault="0019435A" w:rsidP="0019435A">
      <w:pPr>
        <w:numPr>
          <w:ilvl w:val="0"/>
          <w:numId w:val="1"/>
        </w:numPr>
        <w:spacing w:after="200" w:line="360" w:lineRule="auto"/>
        <w:contextualSpacing/>
        <w:jc w:val="both"/>
        <w:rPr>
          <w:rFonts w:ascii="Calibri" w:eastAsia="Calibri" w:hAnsi="Calibri"/>
          <w:b/>
          <w:bCs/>
          <w:rtl/>
        </w:rPr>
      </w:pPr>
      <w:r w:rsidRPr="001A5350">
        <w:rPr>
          <w:rFonts w:ascii="Calibri" w:eastAsia="Calibri" w:hAnsi="Calibri"/>
          <w:b/>
          <w:bCs/>
          <w:rtl/>
        </w:rPr>
        <w:t>27 חודשי מאסר לריצוי בפועל, מיום מעצרו.</w:t>
      </w:r>
    </w:p>
    <w:p w14:paraId="1FC2E975" w14:textId="77777777" w:rsidR="0019435A" w:rsidRPr="001A5350" w:rsidRDefault="0019435A" w:rsidP="0019435A">
      <w:pPr>
        <w:numPr>
          <w:ilvl w:val="0"/>
          <w:numId w:val="1"/>
        </w:numPr>
        <w:spacing w:after="200" w:line="360" w:lineRule="auto"/>
        <w:contextualSpacing/>
        <w:jc w:val="both"/>
        <w:rPr>
          <w:rFonts w:ascii="Calibri" w:eastAsia="Calibri" w:hAnsi="Calibri"/>
          <w:b/>
          <w:bCs/>
          <w:rtl/>
        </w:rPr>
      </w:pPr>
      <w:r w:rsidRPr="001A5350">
        <w:rPr>
          <w:rFonts w:ascii="Calibri" w:eastAsia="Calibri" w:hAnsi="Calibri"/>
          <w:b/>
          <w:bCs/>
          <w:rtl/>
        </w:rPr>
        <w:t>12 חודשי מאסר על-תנאי שלא יעבור בתוך 3 שנים, עבירת נשק מסוג פשע.</w:t>
      </w:r>
    </w:p>
    <w:p w14:paraId="1382F211" w14:textId="77777777" w:rsidR="0019435A" w:rsidRPr="001A5350" w:rsidRDefault="0019435A" w:rsidP="0019435A">
      <w:pPr>
        <w:numPr>
          <w:ilvl w:val="0"/>
          <w:numId w:val="1"/>
        </w:numPr>
        <w:spacing w:after="200" w:line="360" w:lineRule="auto"/>
        <w:contextualSpacing/>
        <w:jc w:val="both"/>
        <w:rPr>
          <w:rFonts w:ascii="Calibri" w:eastAsia="Calibri" w:hAnsi="Calibri"/>
          <w:b/>
          <w:bCs/>
        </w:rPr>
      </w:pPr>
      <w:r w:rsidRPr="001A5350">
        <w:rPr>
          <w:rFonts w:ascii="Calibri" w:eastAsia="Calibri" w:hAnsi="Calibri"/>
          <w:b/>
          <w:bCs/>
          <w:rtl/>
        </w:rPr>
        <w:t>6 חודשי מאסר על-תנאי שלא יעבור בתוך 3 שנים, עבירת נשק מסוג עוון או עבירה של הפרעה לשוטר בשעת מילוי תפקידו.</w:t>
      </w:r>
    </w:p>
    <w:p w14:paraId="218D315F" w14:textId="77777777" w:rsidR="0019435A" w:rsidRPr="001A5350" w:rsidRDefault="0019435A" w:rsidP="0019435A">
      <w:pPr>
        <w:numPr>
          <w:ilvl w:val="0"/>
          <w:numId w:val="1"/>
        </w:numPr>
        <w:spacing w:after="200" w:line="360" w:lineRule="auto"/>
        <w:contextualSpacing/>
        <w:jc w:val="both"/>
        <w:rPr>
          <w:rFonts w:ascii="Calibri" w:eastAsia="Calibri" w:hAnsi="Calibri"/>
          <w:b/>
          <w:bCs/>
          <w:rtl/>
        </w:rPr>
      </w:pPr>
      <w:r w:rsidRPr="001A5350">
        <w:rPr>
          <w:rFonts w:ascii="Calibri" w:eastAsia="Calibri" w:hAnsi="Calibri"/>
          <w:b/>
          <w:bCs/>
          <w:rtl/>
        </w:rPr>
        <w:t>קנס בסך 5,000 ₪ או 25 ימי מאסר תמורתו. הקנס ישולם עד יום 1.6.25.</w:t>
      </w:r>
    </w:p>
    <w:p w14:paraId="40ABD005" w14:textId="77777777" w:rsidR="0019435A" w:rsidRPr="001A5350" w:rsidRDefault="0019435A" w:rsidP="0019435A">
      <w:pPr>
        <w:spacing w:after="200" w:line="360" w:lineRule="auto"/>
        <w:ind w:left="720"/>
        <w:contextualSpacing/>
        <w:jc w:val="both"/>
        <w:rPr>
          <w:rFonts w:ascii="David" w:eastAsia="Calibri" w:hAnsi="David"/>
        </w:rPr>
      </w:pPr>
      <w:r w:rsidRPr="001A5350">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גזר-הדין, באחת הדרכים הבאות:</w:t>
      </w:r>
    </w:p>
    <w:p w14:paraId="1A5826BC" w14:textId="77777777" w:rsidR="0019435A" w:rsidRPr="001A5350" w:rsidRDefault="0019435A" w:rsidP="0019435A">
      <w:pPr>
        <w:numPr>
          <w:ilvl w:val="0"/>
          <w:numId w:val="2"/>
        </w:numPr>
        <w:spacing w:after="200" w:line="360" w:lineRule="auto"/>
        <w:contextualSpacing/>
        <w:jc w:val="both"/>
        <w:rPr>
          <w:rFonts w:ascii="David" w:eastAsia="Calibri" w:hAnsi="David"/>
          <w:rtl/>
        </w:rPr>
      </w:pPr>
      <w:r w:rsidRPr="001A5350">
        <w:rPr>
          <w:rFonts w:ascii="David" w:eastAsia="Calibri" w:hAnsi="David"/>
          <w:rtl/>
        </w:rPr>
        <w:t xml:space="preserve">בכרטיס אשראי – באתר המקוון של רשות האכיפה והגבייה - </w:t>
      </w:r>
      <w:hyperlink r:id="rId43" w:history="1">
        <w:r w:rsidRPr="001A5350">
          <w:rPr>
            <w:rFonts w:ascii="David" w:eastAsia="Calibri" w:hAnsi="David"/>
            <w:color w:val="0563C1"/>
            <w:u w:val="single"/>
          </w:rPr>
          <w:t>WWW.ECA.GOV.IL</w:t>
        </w:r>
      </w:hyperlink>
      <w:r w:rsidRPr="001A5350">
        <w:rPr>
          <w:rFonts w:ascii="David" w:eastAsia="Calibri" w:hAnsi="David"/>
          <w:rtl/>
        </w:rPr>
        <w:t>;</w:t>
      </w:r>
    </w:p>
    <w:p w14:paraId="42D2C8BF" w14:textId="77777777" w:rsidR="0019435A" w:rsidRPr="001A5350" w:rsidRDefault="0019435A" w:rsidP="0019435A">
      <w:pPr>
        <w:numPr>
          <w:ilvl w:val="0"/>
          <w:numId w:val="2"/>
        </w:numPr>
        <w:spacing w:after="200" w:line="360" w:lineRule="auto"/>
        <w:contextualSpacing/>
        <w:jc w:val="both"/>
        <w:rPr>
          <w:rFonts w:ascii="David" w:eastAsia="Calibri" w:hAnsi="David"/>
          <w:rtl/>
        </w:rPr>
      </w:pPr>
      <w:r w:rsidRPr="001A5350">
        <w:rPr>
          <w:rFonts w:ascii="David" w:eastAsia="Calibri" w:hAnsi="David"/>
          <w:rtl/>
        </w:rPr>
        <w:t>אמצעות מוקד שירות טלפוני בשירות עצמי (מרכז גבייה) במספר הטלפון +35592 או 073-2055000.</w:t>
      </w:r>
    </w:p>
    <w:p w14:paraId="2B6C280C" w14:textId="77777777" w:rsidR="0019435A" w:rsidRPr="001A5350" w:rsidRDefault="0019435A" w:rsidP="0019435A">
      <w:pPr>
        <w:numPr>
          <w:ilvl w:val="0"/>
          <w:numId w:val="2"/>
        </w:numPr>
        <w:spacing w:after="240" w:line="360" w:lineRule="auto"/>
        <w:contextualSpacing/>
        <w:jc w:val="both"/>
        <w:rPr>
          <w:rFonts w:ascii="David" w:eastAsia="Calibri" w:hAnsi="David"/>
          <w:rtl/>
        </w:rPr>
      </w:pPr>
      <w:r w:rsidRPr="001A5350">
        <w:rPr>
          <w:rFonts w:ascii="David" w:eastAsia="Calibri" w:hAnsi="David"/>
          <w:rtl/>
        </w:rPr>
        <w:t>במזומן בכל סניף של בנק הדואר – בהצגת תעודת זהות בלבד (אין צורך בשוברי תשלום).</w:t>
      </w:r>
    </w:p>
    <w:p w14:paraId="6F4913F9" w14:textId="77777777" w:rsidR="0019435A" w:rsidRPr="001A5350" w:rsidRDefault="0019435A" w:rsidP="0019435A">
      <w:pPr>
        <w:spacing w:after="160" w:line="360" w:lineRule="auto"/>
        <w:jc w:val="both"/>
        <w:rPr>
          <w:rFonts w:ascii="Calibri" w:eastAsia="Calibri" w:hAnsi="Calibri"/>
          <w:b/>
          <w:bCs/>
          <w:rtl/>
        </w:rPr>
      </w:pPr>
      <w:r w:rsidRPr="001A5350">
        <w:rPr>
          <w:rFonts w:ascii="Calibri" w:eastAsia="Calibri" w:hAnsi="Calibri"/>
          <w:b/>
          <w:bCs/>
          <w:rtl/>
        </w:rPr>
        <w:t>כפי שהומלץ במסגרתו של תסקיר שירות המבחן, אבקש משירות בתי-הסוהר לבחון את התאמתו של הנאשם לטיפול במסגרת בית המאסר.</w:t>
      </w:r>
    </w:p>
    <w:p w14:paraId="61901976" w14:textId="77777777" w:rsidR="0019435A" w:rsidRPr="001A5350" w:rsidRDefault="0019435A" w:rsidP="0019435A">
      <w:pPr>
        <w:spacing w:after="160" w:line="360" w:lineRule="auto"/>
        <w:jc w:val="both"/>
        <w:rPr>
          <w:rFonts w:ascii="Calibri" w:eastAsia="Calibri" w:hAnsi="Calibri"/>
          <w:b/>
          <w:bCs/>
          <w:rtl/>
        </w:rPr>
      </w:pPr>
      <w:r w:rsidRPr="001A5350">
        <w:rPr>
          <w:rFonts w:ascii="Calibri" w:eastAsia="Calibri" w:hAnsi="Calibri"/>
          <w:b/>
          <w:bCs/>
          <w:rtl/>
        </w:rPr>
        <w:t>זכות ערעור כחוק.</w:t>
      </w:r>
    </w:p>
    <w:p w14:paraId="702DB42F" w14:textId="77777777" w:rsidR="0019435A" w:rsidRPr="00A264EB" w:rsidRDefault="00A264EB" w:rsidP="0019435A">
      <w:pPr>
        <w:spacing w:line="360" w:lineRule="auto"/>
        <w:jc w:val="both"/>
        <w:rPr>
          <w:color w:val="FFFFFF"/>
          <w:sz w:val="2"/>
          <w:szCs w:val="2"/>
          <w:rtl/>
        </w:rPr>
      </w:pPr>
      <w:r w:rsidRPr="00A264EB">
        <w:rPr>
          <w:color w:val="FFFFFF"/>
          <w:sz w:val="2"/>
          <w:szCs w:val="2"/>
          <w:rtl/>
        </w:rPr>
        <w:t>5129371</w:t>
      </w:r>
    </w:p>
    <w:p w14:paraId="246653A1" w14:textId="77777777" w:rsidR="0019435A" w:rsidRDefault="00A264EB" w:rsidP="0019435A">
      <w:pPr>
        <w:rPr>
          <w:rFonts w:cs="FrankRuehl"/>
          <w:sz w:val="28"/>
          <w:szCs w:val="28"/>
          <w:rtl/>
        </w:rPr>
      </w:pPr>
      <w:bookmarkStart w:id="7" w:name="Nitan"/>
      <w:r w:rsidRPr="00A264EB">
        <w:rPr>
          <w:rFonts w:ascii="Arial" w:hAnsi="Arial"/>
          <w:color w:val="FFFFFF"/>
          <w:sz w:val="2"/>
          <w:szCs w:val="2"/>
          <w:rtl/>
        </w:rPr>
        <w:t>54678313</w:t>
      </w:r>
      <w:r>
        <w:rPr>
          <w:rFonts w:ascii="Arial" w:hAnsi="Arial"/>
          <w:rtl/>
        </w:rPr>
        <w:t xml:space="preserve">ניתן היום,  י"ג אדר תשפ"ה, 13 מרץ 2025, במעמד הצדדים. </w:t>
      </w:r>
      <w:bookmarkEnd w:id="7"/>
    </w:p>
    <w:p w14:paraId="04A31857" w14:textId="77777777" w:rsidR="0019435A" w:rsidRDefault="0019435A" w:rsidP="00A264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E974B4" w14:textId="77777777" w:rsidR="00A264EB" w:rsidRDefault="00A264EB" w:rsidP="00A264EB">
      <w:pPr>
        <w:rPr>
          <w:rtl/>
        </w:rPr>
      </w:pPr>
    </w:p>
    <w:p w14:paraId="3A2F18F3" w14:textId="77777777" w:rsidR="00A264EB" w:rsidRDefault="00A264EB" w:rsidP="00A264E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BDCE9FC" w14:textId="77777777" w:rsidR="00346F4C" w:rsidRPr="00346F4C" w:rsidRDefault="00346F4C" w:rsidP="00346F4C">
      <w:pPr>
        <w:keepNext/>
        <w:rPr>
          <w:rFonts w:ascii="David" w:hAnsi="David"/>
          <w:color w:val="000000"/>
          <w:sz w:val="22"/>
          <w:szCs w:val="22"/>
          <w:rtl/>
        </w:rPr>
      </w:pPr>
    </w:p>
    <w:p w14:paraId="25093BDE" w14:textId="77777777" w:rsidR="00346F4C" w:rsidRPr="00346F4C" w:rsidRDefault="00346F4C" w:rsidP="00346F4C">
      <w:pPr>
        <w:keepNext/>
        <w:rPr>
          <w:rFonts w:ascii="David" w:hAnsi="David"/>
          <w:color w:val="000000"/>
          <w:sz w:val="22"/>
          <w:szCs w:val="22"/>
          <w:rtl/>
        </w:rPr>
      </w:pPr>
      <w:r w:rsidRPr="00346F4C">
        <w:rPr>
          <w:rFonts w:ascii="David" w:hAnsi="David"/>
          <w:color w:val="000000"/>
          <w:sz w:val="22"/>
          <w:szCs w:val="22"/>
          <w:rtl/>
        </w:rPr>
        <w:t>אבי לוי 54678313-/</w:t>
      </w:r>
    </w:p>
    <w:p w14:paraId="6E4A8CE3" w14:textId="77777777" w:rsidR="00A264EB" w:rsidRPr="00A264EB" w:rsidRDefault="00346F4C" w:rsidP="00346F4C">
      <w:pPr>
        <w:rPr>
          <w:color w:val="0000FF"/>
          <w:u w:val="single"/>
        </w:rPr>
      </w:pPr>
      <w:r w:rsidRPr="00346F4C">
        <w:rPr>
          <w:color w:val="000000"/>
          <w:u w:val="single"/>
          <w:rtl/>
        </w:rPr>
        <w:t>נוסח מסמך זה כפוף לשינויי ניסוח ועריכה</w:t>
      </w:r>
    </w:p>
    <w:sectPr w:rsidR="00A264EB" w:rsidRPr="00A264EB" w:rsidSect="00346F4C">
      <w:headerReference w:type="even" r:id="rId45"/>
      <w:headerReference w:type="default" r:id="rId46"/>
      <w:footerReference w:type="even" r:id="rId47"/>
      <w:footerReference w:type="default" r:id="rId48"/>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D16F4" w14:textId="77777777" w:rsidR="00CF7206" w:rsidRDefault="00CF7206" w:rsidP="00326B01">
      <w:r>
        <w:separator/>
      </w:r>
    </w:p>
  </w:endnote>
  <w:endnote w:type="continuationSeparator" w:id="0">
    <w:p w14:paraId="390689F7" w14:textId="77777777" w:rsidR="00CF7206" w:rsidRDefault="00CF7206" w:rsidP="0032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8716D" w14:textId="77777777" w:rsidR="00346F4C" w:rsidRDefault="00346F4C" w:rsidP="00346F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2C43446" w14:textId="77777777" w:rsidR="002660A0" w:rsidRPr="00346F4C" w:rsidRDefault="00346F4C" w:rsidP="00346F4C">
    <w:pPr>
      <w:pStyle w:val="a5"/>
      <w:pBdr>
        <w:top w:val="single" w:sz="4" w:space="1" w:color="auto"/>
        <w:between w:val="single" w:sz="4" w:space="0" w:color="auto"/>
      </w:pBdr>
      <w:spacing w:after="60"/>
      <w:jc w:val="center"/>
      <w:rPr>
        <w:rFonts w:ascii="FrankRuehl" w:hAnsi="FrankRuehl" w:cs="FrankRuehl"/>
        <w:color w:val="000000"/>
      </w:rPr>
    </w:pPr>
    <w:r w:rsidRPr="00346F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B9ABB" w14:textId="77777777" w:rsidR="00346F4C" w:rsidRDefault="00346F4C" w:rsidP="00346F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793A">
      <w:rPr>
        <w:rFonts w:ascii="FrankRuehl" w:hAnsi="FrankRuehl" w:cs="FrankRuehl"/>
        <w:noProof/>
        <w:rtl/>
      </w:rPr>
      <w:t>1</w:t>
    </w:r>
    <w:r>
      <w:rPr>
        <w:rFonts w:ascii="FrankRuehl" w:hAnsi="FrankRuehl" w:cs="FrankRuehl"/>
        <w:rtl/>
      </w:rPr>
      <w:fldChar w:fldCharType="end"/>
    </w:r>
  </w:p>
  <w:p w14:paraId="5C0BDAB0" w14:textId="77777777" w:rsidR="002660A0" w:rsidRPr="00346F4C" w:rsidRDefault="00346F4C" w:rsidP="00346F4C">
    <w:pPr>
      <w:pStyle w:val="a5"/>
      <w:pBdr>
        <w:top w:val="single" w:sz="4" w:space="1" w:color="auto"/>
        <w:between w:val="single" w:sz="4" w:space="0" w:color="auto"/>
      </w:pBdr>
      <w:spacing w:after="60"/>
      <w:jc w:val="center"/>
      <w:rPr>
        <w:rFonts w:ascii="FrankRuehl" w:hAnsi="FrankRuehl" w:cs="FrankRuehl"/>
        <w:color w:val="000000"/>
      </w:rPr>
    </w:pPr>
    <w:r w:rsidRPr="00346F4C">
      <w:rPr>
        <w:rFonts w:ascii="FrankRuehl" w:hAnsi="FrankRuehl" w:cs="FrankRuehl"/>
        <w:color w:val="000000"/>
      </w:rPr>
      <w:pict w14:anchorId="14F64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29E0C" w14:textId="77777777" w:rsidR="00CF7206" w:rsidRDefault="00CF7206" w:rsidP="00326B01">
      <w:r>
        <w:separator/>
      </w:r>
    </w:p>
  </w:footnote>
  <w:footnote w:type="continuationSeparator" w:id="0">
    <w:p w14:paraId="77C53593" w14:textId="77777777" w:rsidR="00CF7206" w:rsidRDefault="00CF7206" w:rsidP="00326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BFDA7" w14:textId="77777777" w:rsidR="00A264EB" w:rsidRPr="00346F4C" w:rsidRDefault="00346F4C" w:rsidP="00346F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25075-07-24</w:t>
    </w:r>
    <w:r>
      <w:rPr>
        <w:rFonts w:ascii="David" w:hAnsi="David"/>
        <w:color w:val="000000"/>
        <w:sz w:val="22"/>
        <w:szCs w:val="22"/>
        <w:rtl/>
      </w:rPr>
      <w:tab/>
      <w:t xml:space="preserve"> מדינת ישראל נ' איהם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E6DE3" w14:textId="77777777" w:rsidR="00A264EB" w:rsidRPr="00346F4C" w:rsidRDefault="00346F4C" w:rsidP="00346F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25075-07-24</w:t>
    </w:r>
    <w:r>
      <w:rPr>
        <w:rFonts w:ascii="David" w:hAnsi="David"/>
        <w:color w:val="000000"/>
        <w:sz w:val="22"/>
        <w:szCs w:val="22"/>
        <w:rtl/>
      </w:rPr>
      <w:tab/>
      <w:t xml:space="preserve"> מדינת ישראל נ' איהם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33D0"/>
    <w:multiLevelType w:val="hybridMultilevel"/>
    <w:tmpl w:val="CBD648B0"/>
    <w:lvl w:ilvl="0" w:tplc="570CFC68">
      <w:start w:val="1"/>
      <w:numFmt w:val="hebrew1"/>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B724374"/>
    <w:multiLevelType w:val="hybridMultilevel"/>
    <w:tmpl w:val="E91C685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num w:numId="1" w16cid:durableId="271131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660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435A"/>
    <w:rsid w:val="0019435A"/>
    <w:rsid w:val="002660A0"/>
    <w:rsid w:val="00326B01"/>
    <w:rsid w:val="00346F4C"/>
    <w:rsid w:val="007915E5"/>
    <w:rsid w:val="00A264EB"/>
    <w:rsid w:val="00B2089C"/>
    <w:rsid w:val="00B92735"/>
    <w:rsid w:val="00BB793A"/>
    <w:rsid w:val="00CF7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7A8B0C"/>
  <w15:chartTrackingRefBased/>
  <w15:docId w15:val="{4F4985FC-8BC3-4E40-8615-BDA52FF5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43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435A"/>
    <w:pPr>
      <w:tabs>
        <w:tab w:val="center" w:pos="4153"/>
        <w:tab w:val="right" w:pos="8306"/>
      </w:tabs>
    </w:pPr>
  </w:style>
  <w:style w:type="character" w:customStyle="1" w:styleId="a4">
    <w:name w:val="כותרת עליונה תו"/>
    <w:link w:val="a3"/>
    <w:rsid w:val="0019435A"/>
    <w:rPr>
      <w:rFonts w:ascii="Times New Roman" w:eastAsia="Times New Roman" w:hAnsi="Times New Roman" w:cs="David"/>
      <w:sz w:val="24"/>
      <w:szCs w:val="24"/>
    </w:rPr>
  </w:style>
  <w:style w:type="paragraph" w:styleId="a5">
    <w:name w:val="footer"/>
    <w:basedOn w:val="a"/>
    <w:link w:val="a6"/>
    <w:rsid w:val="0019435A"/>
    <w:pPr>
      <w:tabs>
        <w:tab w:val="center" w:pos="4153"/>
        <w:tab w:val="right" w:pos="8306"/>
      </w:tabs>
    </w:pPr>
  </w:style>
  <w:style w:type="character" w:customStyle="1" w:styleId="a6">
    <w:name w:val="כותרת תחתונה תו"/>
    <w:link w:val="a5"/>
    <w:rsid w:val="0019435A"/>
    <w:rPr>
      <w:rFonts w:ascii="Times New Roman" w:eastAsia="Times New Roman" w:hAnsi="Times New Roman" w:cs="David"/>
      <w:sz w:val="24"/>
      <w:szCs w:val="24"/>
    </w:rPr>
  </w:style>
  <w:style w:type="table" w:styleId="a7">
    <w:name w:val="Table Grid"/>
    <w:basedOn w:val="a1"/>
    <w:rsid w:val="001943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435A"/>
  </w:style>
  <w:style w:type="character" w:styleId="Hyperlink">
    <w:name w:val="Hyperlink"/>
    <w:rsid w:val="00A264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0592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30168342" TargetMode="External"/><Relationship Id="rId42" Type="http://schemas.openxmlformats.org/officeDocument/2006/relationships/hyperlink" Target="http://www.nevo.co.il/law/70301/40g"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144.g"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697227" TargetMode="External"/><Relationship Id="rId37" Type="http://schemas.openxmlformats.org/officeDocument/2006/relationships/hyperlink" Target="http://www.nevo.co.il/case/28916087" TargetMode="External"/><Relationship Id="rId40" Type="http://schemas.openxmlformats.org/officeDocument/2006/relationships/hyperlink" Target="http://www.nevo.co.il/law/70301/40ja"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c.c" TargetMode="External"/><Relationship Id="rId23" Type="http://schemas.openxmlformats.org/officeDocument/2006/relationships/hyperlink" Target="http://www.nevo.co.il/law/70301/40jc.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911655"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883087"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case/5576587"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1771409" TargetMode="External"/><Relationship Id="rId35" Type="http://schemas.openxmlformats.org/officeDocument/2006/relationships/hyperlink" Target="http://www.nevo.co.il/law/70301/144.b" TargetMode="External"/><Relationship Id="rId43" Type="http://schemas.openxmlformats.org/officeDocument/2006/relationships/hyperlink" Target="http://WWW.ECA.GOV.IL" TargetMode="External"/><Relationship Id="rId48" Type="http://schemas.openxmlformats.org/officeDocument/2006/relationships/footer" Target="footer2.xml"/><Relationship Id="rId8" Type="http://schemas.openxmlformats.org/officeDocument/2006/relationships/hyperlink" Target="http://www.nevo.co.il/law/70301/40g"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40jc.c" TargetMode="External"/><Relationship Id="rId33" Type="http://schemas.openxmlformats.org/officeDocument/2006/relationships/hyperlink" Target="http://www.nevo.co.il/case/30168342" TargetMode="External"/><Relationship Id="rId38" Type="http://schemas.openxmlformats.org/officeDocument/2006/relationships/hyperlink" Target="http://www.nevo.co.il/law/70301/40i.a" TargetMode="External"/><Relationship Id="rId46" Type="http://schemas.openxmlformats.org/officeDocument/2006/relationships/header" Target="header2.xml"/><Relationship Id="rId20" Type="http://schemas.openxmlformats.org/officeDocument/2006/relationships/hyperlink" Target="http://www.nevo.co.il/case/779149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2843</Words>
  <Characters>14217</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17026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4915208</vt:i4>
      </vt:variant>
      <vt:variant>
        <vt:i4>93</vt:i4>
      </vt:variant>
      <vt:variant>
        <vt:i4>0</vt:i4>
      </vt:variant>
      <vt:variant>
        <vt:i4>5</vt:i4>
      </vt:variant>
      <vt:variant>
        <vt:lpwstr>http://www.nevo.co.il/law/70301/40i.a</vt:lpwstr>
      </vt:variant>
      <vt:variant>
        <vt:lpwstr/>
      </vt:variant>
      <vt:variant>
        <vt:i4>3473533</vt:i4>
      </vt:variant>
      <vt:variant>
        <vt:i4>90</vt:i4>
      </vt:variant>
      <vt:variant>
        <vt:i4>0</vt:i4>
      </vt:variant>
      <vt:variant>
        <vt:i4>5</vt:i4>
      </vt:variant>
      <vt:variant>
        <vt:lpwstr>http://www.nevo.co.il/case/28916087</vt:lpwstr>
      </vt:variant>
      <vt:variant>
        <vt:lpwstr/>
      </vt:variant>
      <vt:variant>
        <vt:i4>4128884</vt:i4>
      </vt:variant>
      <vt:variant>
        <vt:i4>87</vt:i4>
      </vt:variant>
      <vt:variant>
        <vt:i4>0</vt:i4>
      </vt:variant>
      <vt:variant>
        <vt:i4>5</vt:i4>
      </vt:variant>
      <vt:variant>
        <vt:lpwstr>http://www.nevo.co.il/case/27911655</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4063345</vt:i4>
      </vt:variant>
      <vt:variant>
        <vt:i4>81</vt:i4>
      </vt:variant>
      <vt:variant>
        <vt:i4>0</vt:i4>
      </vt:variant>
      <vt:variant>
        <vt:i4>5</vt:i4>
      </vt:variant>
      <vt:variant>
        <vt:lpwstr>http://www.nevo.co.il/case/30168342</vt:lpwstr>
      </vt:variant>
      <vt:variant>
        <vt:lpwstr/>
      </vt:variant>
      <vt:variant>
        <vt:i4>4063345</vt:i4>
      </vt:variant>
      <vt:variant>
        <vt:i4>78</vt:i4>
      </vt:variant>
      <vt:variant>
        <vt:i4>0</vt:i4>
      </vt:variant>
      <vt:variant>
        <vt:i4>5</vt:i4>
      </vt:variant>
      <vt:variant>
        <vt:lpwstr>http://www.nevo.co.il/case/30168342</vt:lpwstr>
      </vt:variant>
      <vt:variant>
        <vt:lpwstr/>
      </vt:variant>
      <vt:variant>
        <vt:i4>3211383</vt:i4>
      </vt:variant>
      <vt:variant>
        <vt:i4>75</vt:i4>
      </vt:variant>
      <vt:variant>
        <vt:i4>0</vt:i4>
      </vt:variant>
      <vt:variant>
        <vt:i4>5</vt:i4>
      </vt:variant>
      <vt:variant>
        <vt:lpwstr>http://www.nevo.co.il/case/28697227</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3407990</vt:i4>
      </vt:variant>
      <vt:variant>
        <vt:i4>69</vt:i4>
      </vt:variant>
      <vt:variant>
        <vt:i4>0</vt:i4>
      </vt:variant>
      <vt:variant>
        <vt:i4>5</vt:i4>
      </vt:variant>
      <vt:variant>
        <vt:lpwstr>http://www.nevo.co.il/case/21771409</vt:lpwstr>
      </vt:variant>
      <vt:variant>
        <vt:lpwstr/>
      </vt:variant>
      <vt:variant>
        <vt:i4>5177424</vt:i4>
      </vt:variant>
      <vt:variant>
        <vt:i4>66</vt:i4>
      </vt:variant>
      <vt:variant>
        <vt:i4>0</vt:i4>
      </vt:variant>
      <vt:variant>
        <vt:i4>5</vt:i4>
      </vt:variant>
      <vt:variant>
        <vt:lpwstr>http://www.nevo.co.il/law/70301/144.g</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3932283</vt:i4>
      </vt:variant>
      <vt:variant>
        <vt:i4>57</vt:i4>
      </vt:variant>
      <vt:variant>
        <vt:i4>0</vt:i4>
      </vt:variant>
      <vt:variant>
        <vt:i4>5</vt:i4>
      </vt:variant>
      <vt:variant>
        <vt:lpwstr>http://www.nevo.co.il/case/26905927</vt:lpwstr>
      </vt:variant>
      <vt:variant>
        <vt:lpwstr/>
      </vt:variant>
      <vt:variant>
        <vt:i4>6619173</vt:i4>
      </vt:variant>
      <vt:variant>
        <vt:i4>54</vt:i4>
      </vt:variant>
      <vt:variant>
        <vt:i4>0</vt:i4>
      </vt:variant>
      <vt:variant>
        <vt:i4>5</vt:i4>
      </vt:variant>
      <vt:variant>
        <vt:lpwstr>http://www.nevo.co.il/law/70301/40jc.c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3145855</vt:i4>
      </vt:variant>
      <vt:variant>
        <vt:i4>45</vt:i4>
      </vt:variant>
      <vt:variant>
        <vt:i4>0</vt:i4>
      </vt:variant>
      <vt:variant>
        <vt:i4>5</vt:i4>
      </vt:variant>
      <vt:variant>
        <vt:lpwstr>http://www.nevo.co.il/case/5576587</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6619173</vt:i4>
      </vt:variant>
      <vt:variant>
        <vt:i4>24</vt:i4>
      </vt:variant>
      <vt:variant>
        <vt:i4>0</vt:i4>
      </vt:variant>
      <vt:variant>
        <vt:i4>5</vt:i4>
      </vt:variant>
      <vt:variant>
        <vt:lpwstr>http://www.nevo.co.il/law/70301/40jc.c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25075</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איהם עמאש</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20250313</vt:lpwstr>
  </property>
  <property fmtid="{D5CDD505-2E9C-101B-9397-08002B2CF9AE}" pid="13" name="TYPE_N_DATE">
    <vt:lpwstr>39020250313</vt:lpwstr>
  </property>
  <property fmtid="{D5CDD505-2E9C-101B-9397-08002B2CF9AE}" pid="14" name="CASESLISTTMP1">
    <vt:lpwstr>7791493;13093721;5576587;26905927;13093744;21771409;28883087;28697227;30168342:2;27911655;28916087</vt:lpwstr>
  </property>
  <property fmtid="{D5CDD505-2E9C-101B-9397-08002B2CF9AE}" pid="15" name="WORDNUMPAGES">
    <vt:lpwstr>7</vt:lpwstr>
  </property>
  <property fmtid="{D5CDD505-2E9C-101B-9397-08002B2CF9AE}" pid="16" name="TYPE_ABS_DATE">
    <vt:lpwstr>390020250313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70301/144.b:2;275;40jc.a;40jc.c;144.g;040i.a;40ja;040g</vt:lpwstr>
  </property>
  <property fmtid="{D5CDD505-2E9C-101B-9397-08002B2CF9AE}" pid="36" name="ISABSTRACT">
    <vt:lpwstr>Y</vt:lpwstr>
  </property>
</Properties>
</file>