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C74530" w:rsidRPr="00893184" w14:paraId="72F74AD7" w14:textId="77777777" w:rsidTr="0050469E">
        <w:trPr>
          <w:trHeight w:hRule="exact" w:val="418"/>
          <w:jc w:val="center"/>
        </w:trPr>
        <w:tc>
          <w:tcPr>
            <w:tcW w:w="8721" w:type="dxa"/>
            <w:gridSpan w:val="2"/>
          </w:tcPr>
          <w:p w14:paraId="7D564DE5" w14:textId="77777777" w:rsidR="00C74530" w:rsidRPr="00893184" w:rsidRDefault="00C74530" w:rsidP="001C25A5">
            <w:pPr>
              <w:pStyle w:val="a3"/>
              <w:jc w:val="center"/>
              <w:rPr>
                <w:rFonts w:ascii="Tahoma" w:hAnsi="Tahoma" w:cs="Tahoma"/>
                <w:color w:val="000080"/>
                <w:rtl/>
              </w:rPr>
            </w:pPr>
            <w:r w:rsidRPr="00893184">
              <w:rPr>
                <w:rFonts w:ascii="Tahoma" w:hAnsi="Tahoma" w:cs="Tahoma"/>
                <w:b/>
                <w:bCs/>
                <w:color w:val="000080"/>
                <w:rtl/>
              </w:rPr>
              <w:t>בית המשפט המחוזי בחיפה</w:t>
            </w:r>
          </w:p>
        </w:tc>
      </w:tr>
      <w:tr w:rsidR="00C74530" w:rsidRPr="00893184" w14:paraId="0B9E7477" w14:textId="77777777" w:rsidTr="0050469E">
        <w:trPr>
          <w:trHeight w:val="337"/>
          <w:jc w:val="center"/>
        </w:trPr>
        <w:tc>
          <w:tcPr>
            <w:tcW w:w="5055" w:type="dxa"/>
          </w:tcPr>
          <w:p w14:paraId="13FF15AA" w14:textId="77777777" w:rsidR="00C74530" w:rsidRPr="00893184" w:rsidRDefault="00C74530" w:rsidP="001C25A5">
            <w:pPr>
              <w:rPr>
                <w:rFonts w:cs="FrankRuehl"/>
                <w:sz w:val="28"/>
                <w:szCs w:val="28"/>
                <w:rtl/>
              </w:rPr>
            </w:pPr>
            <w:r w:rsidRPr="00893184">
              <w:rPr>
                <w:b/>
                <w:bCs/>
                <w:sz w:val="26"/>
                <w:szCs w:val="26"/>
                <w:rtl/>
              </w:rPr>
              <w:t>ת"פ</w:t>
            </w:r>
            <w:r w:rsidRPr="00893184">
              <w:rPr>
                <w:rFonts w:cs="FrankRuehl" w:hint="cs"/>
                <w:sz w:val="28"/>
                <w:szCs w:val="28"/>
                <w:rtl/>
              </w:rPr>
              <w:t xml:space="preserve"> </w:t>
            </w:r>
            <w:r w:rsidRPr="00893184">
              <w:rPr>
                <w:b/>
                <w:bCs/>
                <w:sz w:val="26"/>
                <w:szCs w:val="26"/>
                <w:rtl/>
              </w:rPr>
              <w:t>4029-07-24</w:t>
            </w:r>
            <w:r w:rsidRPr="00893184">
              <w:rPr>
                <w:rFonts w:cs="FrankRuehl" w:hint="cs"/>
                <w:sz w:val="28"/>
                <w:szCs w:val="28"/>
                <w:rtl/>
              </w:rPr>
              <w:t xml:space="preserve"> </w:t>
            </w:r>
            <w:r w:rsidRPr="00893184">
              <w:rPr>
                <w:b/>
                <w:bCs/>
                <w:sz w:val="26"/>
                <w:szCs w:val="26"/>
                <w:rtl/>
              </w:rPr>
              <w:t>מדינת ישראל נ' מוסטפא</w:t>
            </w:r>
          </w:p>
          <w:p w14:paraId="3BEEE277" w14:textId="77777777" w:rsidR="00C74530" w:rsidRPr="00893184" w:rsidRDefault="00C74530" w:rsidP="001C25A5">
            <w:pPr>
              <w:pStyle w:val="a3"/>
              <w:rPr>
                <w:rFonts w:cs="FrankRuehl"/>
                <w:sz w:val="28"/>
                <w:szCs w:val="28"/>
                <w:rtl/>
              </w:rPr>
            </w:pPr>
          </w:p>
        </w:tc>
        <w:tc>
          <w:tcPr>
            <w:tcW w:w="3666" w:type="dxa"/>
          </w:tcPr>
          <w:p w14:paraId="5672C28D" w14:textId="77777777" w:rsidR="00C74530" w:rsidRPr="00893184" w:rsidRDefault="00C74530" w:rsidP="001C25A5">
            <w:pPr>
              <w:pStyle w:val="a3"/>
              <w:jc w:val="right"/>
              <w:rPr>
                <w:rFonts w:cs="FrankRuehl"/>
                <w:sz w:val="28"/>
                <w:szCs w:val="28"/>
                <w:rtl/>
              </w:rPr>
            </w:pPr>
          </w:p>
        </w:tc>
      </w:tr>
    </w:tbl>
    <w:p w14:paraId="58E6B985" w14:textId="77777777" w:rsidR="00C74530" w:rsidRPr="00893184" w:rsidRDefault="00C74530" w:rsidP="0050469E">
      <w:pPr>
        <w:pStyle w:val="a3"/>
      </w:pPr>
      <w:r w:rsidRPr="00893184">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C74530" w:rsidRPr="00893184" w14:paraId="52C495CF" w14:textId="77777777" w:rsidTr="00C74530">
        <w:trPr>
          <w:trHeight w:val="295"/>
          <w:jc w:val="center"/>
        </w:trPr>
        <w:tc>
          <w:tcPr>
            <w:tcW w:w="923" w:type="dxa"/>
            <w:tcBorders>
              <w:top w:val="nil"/>
              <w:left w:val="nil"/>
              <w:bottom w:val="nil"/>
              <w:right w:val="nil"/>
            </w:tcBorders>
            <w:shd w:val="clear" w:color="auto" w:fill="auto"/>
          </w:tcPr>
          <w:p w14:paraId="2667F750" w14:textId="77777777" w:rsidR="00C74530" w:rsidRPr="00893184" w:rsidRDefault="00C74530" w:rsidP="00C74530">
            <w:pPr>
              <w:jc w:val="both"/>
              <w:rPr>
                <w:rFonts w:ascii="David" w:hAnsi="David"/>
                <w:b/>
                <w:bCs/>
                <w:sz w:val="26"/>
                <w:szCs w:val="26"/>
              </w:rPr>
            </w:pPr>
            <w:r w:rsidRPr="00893184">
              <w:rPr>
                <w:rFonts w:ascii="David" w:hAnsi="David"/>
                <w:b/>
                <w:bCs/>
                <w:sz w:val="26"/>
                <w:szCs w:val="26"/>
                <w:rtl/>
              </w:rPr>
              <w:t>לפני</w:t>
            </w:r>
          </w:p>
        </w:tc>
        <w:tc>
          <w:tcPr>
            <w:tcW w:w="7897" w:type="dxa"/>
            <w:gridSpan w:val="2"/>
            <w:tcBorders>
              <w:top w:val="nil"/>
              <w:left w:val="nil"/>
              <w:bottom w:val="nil"/>
              <w:right w:val="nil"/>
            </w:tcBorders>
            <w:shd w:val="clear" w:color="auto" w:fill="auto"/>
          </w:tcPr>
          <w:p w14:paraId="7D878349" w14:textId="77777777" w:rsidR="00C74530" w:rsidRPr="00893184" w:rsidRDefault="00C74530" w:rsidP="00C74530">
            <w:pPr>
              <w:jc w:val="both"/>
              <w:rPr>
                <w:rFonts w:ascii="David" w:hAnsi="David"/>
                <w:b/>
                <w:bCs/>
                <w:sz w:val="26"/>
                <w:szCs w:val="26"/>
              </w:rPr>
            </w:pPr>
            <w:r w:rsidRPr="00893184">
              <w:rPr>
                <w:rFonts w:ascii="David" w:hAnsi="David"/>
                <w:b/>
                <w:bCs/>
                <w:sz w:val="26"/>
                <w:szCs w:val="26"/>
                <w:rtl/>
              </w:rPr>
              <w:t>כב' הנשיא, השופט אבי לוי</w:t>
            </w:r>
          </w:p>
        </w:tc>
      </w:tr>
      <w:tr w:rsidR="00C74530" w:rsidRPr="00893184" w14:paraId="526D054E" w14:textId="77777777" w:rsidTr="00C74530">
        <w:trPr>
          <w:trHeight w:val="355"/>
          <w:jc w:val="center"/>
        </w:trPr>
        <w:tc>
          <w:tcPr>
            <w:tcW w:w="923" w:type="dxa"/>
            <w:tcBorders>
              <w:top w:val="nil"/>
              <w:left w:val="nil"/>
              <w:bottom w:val="nil"/>
              <w:right w:val="nil"/>
            </w:tcBorders>
            <w:shd w:val="clear" w:color="auto" w:fill="auto"/>
          </w:tcPr>
          <w:p w14:paraId="5AB3FDA4" w14:textId="77777777" w:rsidR="00C74530" w:rsidRPr="00893184" w:rsidRDefault="00C74530" w:rsidP="00C74530">
            <w:pPr>
              <w:jc w:val="both"/>
              <w:rPr>
                <w:rFonts w:ascii="David" w:hAnsi="David"/>
                <w:b/>
                <w:bCs/>
                <w:sz w:val="26"/>
                <w:szCs w:val="26"/>
              </w:rPr>
            </w:pPr>
            <w:bookmarkStart w:id="0" w:name="FirstAppellant"/>
            <w:bookmarkStart w:id="1" w:name="LastJudge"/>
            <w:bookmarkEnd w:id="1"/>
            <w:r w:rsidRPr="00893184">
              <w:rPr>
                <w:rFonts w:ascii="David" w:hAnsi="David" w:hint="cs"/>
                <w:b/>
                <w:bCs/>
                <w:sz w:val="26"/>
                <w:szCs w:val="26"/>
                <w:rtl/>
              </w:rPr>
              <w:t>בעניין:</w:t>
            </w:r>
          </w:p>
        </w:tc>
        <w:tc>
          <w:tcPr>
            <w:tcW w:w="4126" w:type="dxa"/>
            <w:tcBorders>
              <w:top w:val="nil"/>
              <w:left w:val="nil"/>
              <w:bottom w:val="nil"/>
              <w:right w:val="nil"/>
            </w:tcBorders>
            <w:shd w:val="clear" w:color="auto" w:fill="auto"/>
          </w:tcPr>
          <w:p w14:paraId="46165571" w14:textId="77777777" w:rsidR="00C74530" w:rsidRPr="00893184" w:rsidRDefault="00C74530" w:rsidP="001C25A5">
            <w:pPr>
              <w:rPr>
                <w:rFonts w:ascii="David" w:hAnsi="David"/>
                <w:b/>
                <w:bCs/>
                <w:sz w:val="26"/>
                <w:szCs w:val="26"/>
              </w:rPr>
            </w:pPr>
            <w:r w:rsidRPr="00893184">
              <w:rPr>
                <w:rFonts w:ascii="David" w:hAnsi="David" w:hint="cs"/>
                <w:b/>
                <w:bCs/>
                <w:sz w:val="26"/>
                <w:szCs w:val="26"/>
                <w:rtl/>
              </w:rPr>
              <w:t xml:space="preserve">המאשימה </w:t>
            </w:r>
          </w:p>
        </w:tc>
        <w:tc>
          <w:tcPr>
            <w:tcW w:w="3771" w:type="dxa"/>
            <w:tcBorders>
              <w:top w:val="nil"/>
              <w:left w:val="nil"/>
              <w:bottom w:val="nil"/>
              <w:right w:val="nil"/>
            </w:tcBorders>
            <w:shd w:val="clear" w:color="auto" w:fill="auto"/>
          </w:tcPr>
          <w:p w14:paraId="61D8BA39" w14:textId="77777777" w:rsidR="00C74530" w:rsidRPr="00893184" w:rsidRDefault="00C74530" w:rsidP="00C74530">
            <w:pPr>
              <w:jc w:val="both"/>
              <w:rPr>
                <w:rFonts w:ascii="David" w:hAnsi="David"/>
                <w:b/>
                <w:bCs/>
                <w:sz w:val="26"/>
                <w:szCs w:val="26"/>
              </w:rPr>
            </w:pPr>
            <w:r w:rsidRPr="00893184">
              <w:rPr>
                <w:rFonts w:ascii="David" w:hAnsi="David" w:hint="cs"/>
                <w:b/>
                <w:bCs/>
                <w:sz w:val="26"/>
                <w:szCs w:val="26"/>
                <w:rtl/>
              </w:rPr>
              <w:t xml:space="preserve">מדינת ישראל </w:t>
            </w:r>
          </w:p>
        </w:tc>
      </w:tr>
      <w:bookmarkEnd w:id="0"/>
      <w:tr w:rsidR="00C74530" w:rsidRPr="00893184" w14:paraId="07248130" w14:textId="77777777" w:rsidTr="00C74530">
        <w:trPr>
          <w:trHeight w:val="355"/>
          <w:jc w:val="center"/>
        </w:trPr>
        <w:tc>
          <w:tcPr>
            <w:tcW w:w="923" w:type="dxa"/>
            <w:tcBorders>
              <w:top w:val="nil"/>
              <w:left w:val="nil"/>
              <w:bottom w:val="nil"/>
              <w:right w:val="nil"/>
            </w:tcBorders>
            <w:shd w:val="clear" w:color="auto" w:fill="auto"/>
          </w:tcPr>
          <w:p w14:paraId="3B71710E" w14:textId="77777777" w:rsidR="00C74530" w:rsidRPr="00893184" w:rsidRDefault="00C74530" w:rsidP="00C74530">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0A0AF943" w14:textId="77777777" w:rsidR="00C74530" w:rsidRPr="00893184" w:rsidRDefault="00C74530" w:rsidP="00C74530">
            <w:pPr>
              <w:jc w:val="center"/>
              <w:rPr>
                <w:rFonts w:ascii="David" w:hAnsi="David"/>
                <w:b/>
                <w:bCs/>
                <w:sz w:val="26"/>
                <w:szCs w:val="26"/>
                <w:rtl/>
              </w:rPr>
            </w:pPr>
          </w:p>
          <w:p w14:paraId="62092447" w14:textId="77777777" w:rsidR="00C74530" w:rsidRPr="00893184" w:rsidRDefault="00C74530" w:rsidP="00C74530">
            <w:pPr>
              <w:jc w:val="center"/>
              <w:rPr>
                <w:rFonts w:ascii="David" w:hAnsi="David"/>
                <w:b/>
                <w:bCs/>
                <w:sz w:val="26"/>
                <w:szCs w:val="26"/>
                <w:rtl/>
              </w:rPr>
            </w:pPr>
            <w:r w:rsidRPr="00893184">
              <w:rPr>
                <w:rFonts w:ascii="David" w:hAnsi="David"/>
                <w:b/>
                <w:bCs/>
                <w:sz w:val="26"/>
                <w:szCs w:val="26"/>
                <w:rtl/>
              </w:rPr>
              <w:t>נגד</w:t>
            </w:r>
          </w:p>
          <w:p w14:paraId="13C1A6B1" w14:textId="77777777" w:rsidR="00C74530" w:rsidRPr="00893184" w:rsidRDefault="00C74530" w:rsidP="00C74530">
            <w:pPr>
              <w:jc w:val="both"/>
              <w:rPr>
                <w:rFonts w:ascii="David" w:hAnsi="David"/>
                <w:b/>
                <w:bCs/>
                <w:sz w:val="26"/>
                <w:szCs w:val="26"/>
              </w:rPr>
            </w:pPr>
          </w:p>
        </w:tc>
      </w:tr>
      <w:tr w:rsidR="00C74530" w:rsidRPr="00893184" w14:paraId="64DE30B0" w14:textId="77777777" w:rsidTr="00C74530">
        <w:trPr>
          <w:trHeight w:val="355"/>
          <w:jc w:val="center"/>
        </w:trPr>
        <w:tc>
          <w:tcPr>
            <w:tcW w:w="923" w:type="dxa"/>
            <w:tcBorders>
              <w:top w:val="nil"/>
              <w:left w:val="nil"/>
              <w:bottom w:val="nil"/>
              <w:right w:val="nil"/>
            </w:tcBorders>
            <w:shd w:val="clear" w:color="auto" w:fill="auto"/>
          </w:tcPr>
          <w:p w14:paraId="1E7CBA59" w14:textId="77777777" w:rsidR="00C74530" w:rsidRPr="00893184" w:rsidRDefault="00C74530" w:rsidP="00C74530">
            <w:pPr>
              <w:jc w:val="both"/>
              <w:rPr>
                <w:rFonts w:ascii="David" w:hAnsi="David"/>
                <w:b/>
                <w:bCs/>
                <w:sz w:val="26"/>
                <w:szCs w:val="26"/>
                <w:rtl/>
              </w:rPr>
            </w:pPr>
          </w:p>
        </w:tc>
        <w:tc>
          <w:tcPr>
            <w:tcW w:w="4126" w:type="dxa"/>
            <w:tcBorders>
              <w:top w:val="nil"/>
              <w:left w:val="nil"/>
              <w:bottom w:val="nil"/>
              <w:right w:val="nil"/>
            </w:tcBorders>
            <w:shd w:val="clear" w:color="auto" w:fill="auto"/>
          </w:tcPr>
          <w:p w14:paraId="3205ACBE" w14:textId="77777777" w:rsidR="00C74530" w:rsidRPr="00893184" w:rsidRDefault="00C74530" w:rsidP="00C74530">
            <w:pPr>
              <w:jc w:val="both"/>
              <w:rPr>
                <w:rFonts w:ascii="David" w:hAnsi="David"/>
                <w:b/>
                <w:bCs/>
                <w:sz w:val="26"/>
                <w:szCs w:val="26"/>
                <w:rtl/>
              </w:rPr>
            </w:pPr>
            <w:r w:rsidRPr="00893184">
              <w:rPr>
                <w:rFonts w:ascii="David" w:hAnsi="David" w:hint="cs"/>
                <w:b/>
                <w:bCs/>
                <w:sz w:val="26"/>
                <w:szCs w:val="26"/>
                <w:rtl/>
              </w:rPr>
              <w:t xml:space="preserve">הנאשם </w:t>
            </w:r>
          </w:p>
        </w:tc>
        <w:tc>
          <w:tcPr>
            <w:tcW w:w="3771" w:type="dxa"/>
            <w:tcBorders>
              <w:top w:val="nil"/>
              <w:left w:val="nil"/>
              <w:bottom w:val="nil"/>
              <w:right w:val="nil"/>
            </w:tcBorders>
            <w:shd w:val="clear" w:color="auto" w:fill="auto"/>
          </w:tcPr>
          <w:p w14:paraId="1EC0C8A5" w14:textId="77777777" w:rsidR="00C74530" w:rsidRPr="00893184" w:rsidRDefault="00C74530" w:rsidP="00C74530">
            <w:pPr>
              <w:jc w:val="both"/>
              <w:rPr>
                <w:rFonts w:ascii="David" w:hAnsi="David"/>
                <w:b/>
                <w:bCs/>
                <w:sz w:val="26"/>
                <w:szCs w:val="26"/>
              </w:rPr>
            </w:pPr>
            <w:r w:rsidRPr="00893184">
              <w:rPr>
                <w:rFonts w:ascii="David" w:hAnsi="David"/>
                <w:b/>
                <w:bCs/>
                <w:sz w:val="26"/>
                <w:szCs w:val="26"/>
                <w:rtl/>
              </w:rPr>
              <w:t>חליל מוסטפא</w:t>
            </w:r>
          </w:p>
        </w:tc>
      </w:tr>
    </w:tbl>
    <w:p w14:paraId="3AFECC78" w14:textId="77777777" w:rsidR="00893184" w:rsidRPr="00893184" w:rsidRDefault="00893184" w:rsidP="00893184">
      <w:pPr>
        <w:spacing w:before="120" w:after="120" w:line="240" w:lineRule="exact"/>
        <w:ind w:left="283" w:hanging="283"/>
        <w:jc w:val="both"/>
        <w:rPr>
          <w:rFonts w:ascii="FrankRuehl" w:hAnsi="FrankRuehl" w:cs="FrankRuehl"/>
          <w:rtl/>
        </w:rPr>
      </w:pPr>
    </w:p>
    <w:p w14:paraId="5BF6ED16" w14:textId="77777777" w:rsidR="00893184" w:rsidRPr="00893184" w:rsidRDefault="00893184" w:rsidP="00893184">
      <w:pPr>
        <w:rPr>
          <w:rtl/>
        </w:rPr>
      </w:pPr>
    </w:p>
    <w:p w14:paraId="2AF24880" w14:textId="77777777" w:rsidR="0050469E" w:rsidRPr="0050469E" w:rsidRDefault="0050469E" w:rsidP="0050469E">
      <w:pPr>
        <w:spacing w:before="120" w:after="120" w:line="240" w:lineRule="exact"/>
        <w:ind w:left="283" w:hanging="283"/>
        <w:jc w:val="both"/>
        <w:rPr>
          <w:rFonts w:ascii="FrankRuehl" w:hAnsi="FrankRuehl" w:cs="FrankRuehl"/>
          <w:rtl/>
        </w:rPr>
      </w:pPr>
      <w:bookmarkStart w:id="2" w:name="LawTable"/>
      <w:bookmarkEnd w:id="2"/>
    </w:p>
    <w:p w14:paraId="2BD4125F" w14:textId="77777777" w:rsidR="0050469E" w:rsidRPr="0050469E" w:rsidRDefault="0050469E" w:rsidP="0050469E">
      <w:pPr>
        <w:spacing w:before="120" w:after="120" w:line="240" w:lineRule="exact"/>
        <w:ind w:left="283" w:hanging="283"/>
        <w:jc w:val="both"/>
        <w:rPr>
          <w:rFonts w:ascii="FrankRuehl" w:hAnsi="FrankRuehl" w:cs="FrankRuehl"/>
          <w:rtl/>
        </w:rPr>
      </w:pPr>
      <w:r w:rsidRPr="0050469E">
        <w:rPr>
          <w:rFonts w:ascii="FrankRuehl" w:hAnsi="FrankRuehl" w:cs="FrankRuehl"/>
          <w:rtl/>
        </w:rPr>
        <w:t xml:space="preserve">חקיקה שאוזכרה: </w:t>
      </w:r>
    </w:p>
    <w:p w14:paraId="01D17F03" w14:textId="77777777" w:rsidR="0050469E" w:rsidRPr="0050469E" w:rsidRDefault="0050469E" w:rsidP="0050469E">
      <w:pPr>
        <w:spacing w:before="120" w:after="120" w:line="240" w:lineRule="exact"/>
        <w:ind w:left="283" w:hanging="283"/>
        <w:jc w:val="both"/>
        <w:rPr>
          <w:rFonts w:ascii="FrankRuehl" w:hAnsi="FrankRuehl" w:cs="FrankRuehl"/>
          <w:color w:val="0000FF"/>
          <w:rtl/>
        </w:rPr>
      </w:pPr>
      <w:hyperlink r:id="rId7" w:history="1">
        <w:r w:rsidRPr="0050469E">
          <w:rPr>
            <w:rStyle w:val="Hyperlink"/>
            <w:rFonts w:ascii="FrankRuehl" w:hAnsi="FrankRuehl" w:cs="FrankRuehl"/>
            <w:u w:val="none"/>
            <w:rtl/>
          </w:rPr>
          <w:t>חוק העונשין, תשל"ז-1977</w:t>
        </w:r>
      </w:hyperlink>
      <w:r w:rsidRPr="0050469E">
        <w:rPr>
          <w:rFonts w:ascii="FrankRuehl" w:hAnsi="FrankRuehl" w:cs="FrankRuehl"/>
          <w:color w:val="0000FF"/>
          <w:rtl/>
        </w:rPr>
        <w:t xml:space="preserve">: סע'  </w:t>
      </w:r>
      <w:hyperlink r:id="rId8" w:history="1">
        <w:r w:rsidRPr="0050469E">
          <w:rPr>
            <w:rStyle w:val="Hyperlink"/>
            <w:rFonts w:ascii="FrankRuehl" w:hAnsi="FrankRuehl" w:cs="FrankRuehl"/>
            <w:u w:val="none"/>
          </w:rPr>
          <w:t>29</w:t>
        </w:r>
      </w:hyperlink>
      <w:r w:rsidRPr="0050469E">
        <w:rPr>
          <w:rFonts w:ascii="FrankRuehl" w:hAnsi="FrankRuehl" w:cs="FrankRuehl"/>
          <w:color w:val="0000FF"/>
          <w:rtl/>
        </w:rPr>
        <w:t xml:space="preserve">, </w:t>
      </w:r>
      <w:hyperlink r:id="rId9" w:history="1">
        <w:r w:rsidRPr="0050469E">
          <w:rPr>
            <w:rStyle w:val="Hyperlink"/>
            <w:rFonts w:ascii="FrankRuehl" w:hAnsi="FrankRuehl" w:cs="FrankRuehl"/>
            <w:u w:val="none"/>
          </w:rPr>
          <w:t>40</w:t>
        </w:r>
        <w:r w:rsidRPr="0050469E">
          <w:rPr>
            <w:rStyle w:val="Hyperlink"/>
            <w:rFonts w:ascii="FrankRuehl" w:hAnsi="FrankRuehl" w:cs="FrankRuehl"/>
            <w:u w:val="none"/>
            <w:rtl/>
          </w:rPr>
          <w:t>ד</w:t>
        </w:r>
      </w:hyperlink>
      <w:r w:rsidRPr="0050469E">
        <w:rPr>
          <w:rFonts w:ascii="FrankRuehl" w:hAnsi="FrankRuehl" w:cs="FrankRuehl"/>
          <w:color w:val="0000FF"/>
          <w:rtl/>
        </w:rPr>
        <w:t xml:space="preserve">(א), </w:t>
      </w:r>
      <w:hyperlink r:id="rId10" w:history="1">
        <w:r w:rsidRPr="0050469E">
          <w:rPr>
            <w:rStyle w:val="Hyperlink"/>
            <w:rFonts w:ascii="FrankRuehl" w:hAnsi="FrankRuehl" w:cs="FrankRuehl"/>
            <w:u w:val="none"/>
          </w:rPr>
          <w:t>40</w:t>
        </w:r>
        <w:r w:rsidRPr="0050469E">
          <w:rPr>
            <w:rStyle w:val="Hyperlink"/>
            <w:rFonts w:ascii="FrankRuehl" w:hAnsi="FrankRuehl" w:cs="FrankRuehl"/>
            <w:u w:val="none"/>
            <w:rtl/>
          </w:rPr>
          <w:t>ט</w:t>
        </w:r>
      </w:hyperlink>
      <w:r w:rsidRPr="0050469E">
        <w:rPr>
          <w:rFonts w:ascii="FrankRuehl" w:hAnsi="FrankRuehl" w:cs="FrankRuehl"/>
          <w:color w:val="0000FF"/>
          <w:rtl/>
        </w:rPr>
        <w:t xml:space="preserve">, </w:t>
      </w:r>
      <w:hyperlink r:id="rId11" w:history="1">
        <w:r w:rsidRPr="0050469E">
          <w:rPr>
            <w:rStyle w:val="Hyperlink"/>
            <w:rFonts w:ascii="FrankRuehl" w:hAnsi="FrankRuehl" w:cs="FrankRuehl"/>
            <w:u w:val="none"/>
          </w:rPr>
          <w:t>144</w:t>
        </w:r>
      </w:hyperlink>
      <w:r w:rsidRPr="0050469E">
        <w:rPr>
          <w:rFonts w:ascii="FrankRuehl" w:hAnsi="FrankRuehl" w:cs="FrankRuehl"/>
          <w:color w:val="0000FF"/>
          <w:rtl/>
        </w:rPr>
        <w:t xml:space="preserve">, </w:t>
      </w:r>
      <w:hyperlink r:id="rId12" w:history="1">
        <w:r w:rsidRPr="0050469E">
          <w:rPr>
            <w:rStyle w:val="Hyperlink"/>
            <w:rFonts w:ascii="FrankRuehl" w:hAnsi="FrankRuehl" w:cs="FrankRuehl"/>
            <w:u w:val="none"/>
          </w:rPr>
          <w:t>144</w:t>
        </w:r>
      </w:hyperlink>
      <w:r w:rsidRPr="0050469E">
        <w:rPr>
          <w:rFonts w:ascii="FrankRuehl" w:hAnsi="FrankRuehl" w:cs="FrankRuehl"/>
          <w:color w:val="0000FF"/>
          <w:rtl/>
        </w:rPr>
        <w:t xml:space="preserve">(א), </w:t>
      </w:r>
      <w:hyperlink r:id="rId13" w:history="1">
        <w:r w:rsidRPr="0050469E">
          <w:rPr>
            <w:rStyle w:val="Hyperlink"/>
            <w:rFonts w:ascii="FrankRuehl" w:hAnsi="FrankRuehl" w:cs="FrankRuehl"/>
            <w:u w:val="none"/>
          </w:rPr>
          <w:t>144</w:t>
        </w:r>
      </w:hyperlink>
      <w:r w:rsidRPr="0050469E">
        <w:rPr>
          <w:rFonts w:ascii="FrankRuehl" w:hAnsi="FrankRuehl" w:cs="FrankRuehl"/>
          <w:color w:val="0000FF"/>
          <w:rtl/>
        </w:rPr>
        <w:t xml:space="preserve">(ב), </w:t>
      </w:r>
      <w:hyperlink r:id="rId14" w:history="1">
        <w:r w:rsidRPr="0050469E">
          <w:rPr>
            <w:rStyle w:val="Hyperlink"/>
            <w:rFonts w:ascii="FrankRuehl" w:hAnsi="FrankRuehl" w:cs="FrankRuehl"/>
            <w:u w:val="none"/>
          </w:rPr>
          <w:t>186</w:t>
        </w:r>
      </w:hyperlink>
      <w:r w:rsidRPr="0050469E">
        <w:rPr>
          <w:rFonts w:ascii="FrankRuehl" w:hAnsi="FrankRuehl" w:cs="FrankRuehl"/>
          <w:color w:val="0000FF"/>
          <w:rtl/>
        </w:rPr>
        <w:t xml:space="preserve">(א), </w:t>
      </w:r>
      <w:hyperlink r:id="rId15" w:history="1">
        <w:r w:rsidRPr="0050469E">
          <w:rPr>
            <w:rStyle w:val="Hyperlink"/>
            <w:rFonts w:ascii="FrankRuehl" w:hAnsi="FrankRuehl" w:cs="FrankRuehl"/>
            <w:u w:val="none"/>
          </w:rPr>
          <w:t xml:space="preserve">40 </w:t>
        </w:r>
        <w:r w:rsidRPr="0050469E">
          <w:rPr>
            <w:rStyle w:val="Hyperlink"/>
            <w:rFonts w:ascii="FrankRuehl" w:hAnsi="FrankRuehl" w:cs="FrankRuehl"/>
            <w:u w:val="none"/>
            <w:rtl/>
          </w:rPr>
          <w:t>יא</w:t>
        </w:r>
      </w:hyperlink>
      <w:r w:rsidRPr="0050469E">
        <w:rPr>
          <w:rFonts w:ascii="FrankRuehl" w:hAnsi="FrankRuehl" w:cs="FrankRuehl"/>
          <w:color w:val="0000FF"/>
          <w:rtl/>
        </w:rPr>
        <w:t xml:space="preserve">, </w:t>
      </w:r>
      <w:hyperlink r:id="rId16" w:history="1">
        <w:r w:rsidRPr="0050469E">
          <w:rPr>
            <w:rStyle w:val="Hyperlink"/>
            <w:rFonts w:ascii="FrankRuehl" w:hAnsi="FrankRuehl" w:cs="FrankRuehl"/>
            <w:u w:val="none"/>
            <w:rtl/>
          </w:rPr>
          <w:t>א'1 שבפרק ו</w:t>
        </w:r>
        <w:r w:rsidRPr="0050469E">
          <w:rPr>
            <w:rStyle w:val="Hyperlink"/>
            <w:rFonts w:ascii="FrankRuehl" w:hAnsi="FrankRuehl" w:cs="FrankRuehl"/>
            <w:u w:val="none"/>
          </w:rPr>
          <w:t>'</w:t>
        </w:r>
      </w:hyperlink>
    </w:p>
    <w:p w14:paraId="5D0247EA" w14:textId="77777777" w:rsidR="00C74530" w:rsidRDefault="00C74530" w:rsidP="0050469E">
      <w:pPr>
        <w:rPr>
          <w:rFonts w:hint="cs"/>
          <w:rtl/>
        </w:rPr>
      </w:pPr>
      <w:bookmarkStart w:id="3" w:name="LawTable_End"/>
      <w:bookmarkEnd w:id="3"/>
    </w:p>
    <w:p w14:paraId="3B8DD432" w14:textId="77777777" w:rsidR="0050469E" w:rsidRDefault="0050469E" w:rsidP="0050469E">
      <w:pPr>
        <w:rPr>
          <w:rFonts w:hint="cs"/>
          <w:rtl/>
        </w:rPr>
      </w:pPr>
    </w:p>
    <w:p w14:paraId="4B125A21" w14:textId="77777777" w:rsidR="0050469E" w:rsidRPr="0050469E" w:rsidRDefault="0050469E" w:rsidP="0050469E">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74530" w14:paraId="33C8FA8D" w14:textId="77777777" w:rsidTr="00C74530">
        <w:trPr>
          <w:trHeight w:val="355"/>
          <w:jc w:val="center"/>
        </w:trPr>
        <w:tc>
          <w:tcPr>
            <w:tcW w:w="8820" w:type="dxa"/>
            <w:tcBorders>
              <w:top w:val="nil"/>
              <w:left w:val="nil"/>
              <w:bottom w:val="nil"/>
              <w:right w:val="nil"/>
            </w:tcBorders>
            <w:shd w:val="clear" w:color="auto" w:fill="auto"/>
          </w:tcPr>
          <w:p w14:paraId="1A188745" w14:textId="77777777" w:rsidR="00893184" w:rsidRPr="00893184" w:rsidRDefault="00893184" w:rsidP="00893184">
            <w:pPr>
              <w:jc w:val="center"/>
              <w:rPr>
                <w:rFonts w:ascii="Arial" w:hAnsi="Arial"/>
                <w:b/>
                <w:bCs/>
                <w:sz w:val="28"/>
                <w:szCs w:val="28"/>
                <w:u w:val="single"/>
                <w:rtl/>
              </w:rPr>
            </w:pPr>
            <w:bookmarkStart w:id="4" w:name="PsakDin" w:colFirst="0" w:colLast="0"/>
            <w:r w:rsidRPr="00893184">
              <w:rPr>
                <w:rFonts w:ascii="Arial" w:hAnsi="Arial"/>
                <w:b/>
                <w:bCs/>
                <w:sz w:val="28"/>
                <w:szCs w:val="28"/>
                <w:u w:val="single"/>
                <w:rtl/>
              </w:rPr>
              <w:t>גזר דין</w:t>
            </w:r>
          </w:p>
          <w:p w14:paraId="3A0A2F65" w14:textId="77777777" w:rsidR="00C74530" w:rsidRPr="00893184" w:rsidRDefault="00C74530" w:rsidP="00893184">
            <w:pPr>
              <w:jc w:val="center"/>
              <w:rPr>
                <w:rFonts w:ascii="Arial" w:hAnsi="Arial"/>
                <w:bCs/>
                <w:sz w:val="28"/>
                <w:szCs w:val="28"/>
                <w:u w:val="single"/>
                <w:rtl/>
              </w:rPr>
            </w:pPr>
          </w:p>
        </w:tc>
      </w:tr>
      <w:bookmarkEnd w:id="4"/>
    </w:tbl>
    <w:p w14:paraId="4040CA4A" w14:textId="77777777" w:rsidR="00C74530" w:rsidRPr="00B05847" w:rsidRDefault="00C74530" w:rsidP="00C74530">
      <w:pPr>
        <w:spacing w:line="360" w:lineRule="auto"/>
        <w:jc w:val="both"/>
        <w:rPr>
          <w:rFonts w:ascii="Arial" w:hAnsi="Arial"/>
          <w:rtl/>
        </w:rPr>
      </w:pPr>
    </w:p>
    <w:p w14:paraId="109D5546" w14:textId="77777777" w:rsidR="00C74530" w:rsidRPr="00C703CE" w:rsidRDefault="00C74530" w:rsidP="00C74530">
      <w:pPr>
        <w:spacing w:after="160" w:line="360" w:lineRule="auto"/>
        <w:jc w:val="both"/>
        <w:rPr>
          <w:rFonts w:ascii="David" w:eastAsia="Calibri" w:hAnsi="David"/>
        </w:rPr>
      </w:pPr>
      <w:bookmarkStart w:id="5" w:name="ABSTRACT_START"/>
      <w:bookmarkEnd w:id="5"/>
      <w:r w:rsidRPr="00C703CE">
        <w:rPr>
          <w:rFonts w:ascii="David" w:eastAsia="Calibri" w:hAnsi="David"/>
          <w:rtl/>
        </w:rPr>
        <w:t xml:space="preserve">הנאשם, חליל מוסטפא, הורשע ביום 19.9.24 על-סמך הודאתו, במסגרת הסדר טיעון, בעבירות שנכללו בכתב אישום מתוקן שהוגש נגדו ואשר עניינן </w:t>
      </w:r>
      <w:r w:rsidRPr="00C703CE">
        <w:rPr>
          <w:rFonts w:ascii="David" w:eastAsia="Calibri" w:hAnsi="David"/>
          <w:b/>
          <w:bCs/>
          <w:rtl/>
        </w:rPr>
        <w:t xml:space="preserve">עבירות בנשק (החזקה) </w:t>
      </w:r>
      <w:r w:rsidRPr="00C703CE">
        <w:rPr>
          <w:rFonts w:ascii="David" w:eastAsia="Calibri" w:hAnsi="David"/>
          <w:rtl/>
        </w:rPr>
        <w:t xml:space="preserve">לפי </w:t>
      </w:r>
      <w:hyperlink r:id="rId17" w:history="1">
        <w:r w:rsidR="0050469E" w:rsidRPr="0050469E">
          <w:rPr>
            <w:rStyle w:val="Hyperlink"/>
            <w:rFonts w:ascii="David" w:eastAsia="Calibri" w:hAnsi="David"/>
            <w:color w:val="0000FF"/>
            <w:rtl/>
          </w:rPr>
          <w:t>סעיף 144(א)</w:t>
        </w:r>
      </w:hyperlink>
      <w:r w:rsidRPr="00C703CE">
        <w:rPr>
          <w:rFonts w:ascii="David" w:eastAsia="Calibri" w:hAnsi="David"/>
          <w:rtl/>
        </w:rPr>
        <w:t xml:space="preserve"> רישא בצירוף </w:t>
      </w:r>
      <w:hyperlink r:id="rId18" w:history="1">
        <w:r w:rsidR="0050469E" w:rsidRPr="0050469E">
          <w:rPr>
            <w:rStyle w:val="Hyperlink"/>
            <w:rFonts w:ascii="David" w:eastAsia="Calibri" w:hAnsi="David"/>
            <w:color w:val="0000FF"/>
            <w:rtl/>
          </w:rPr>
          <w:t>סעיף 29</w:t>
        </w:r>
      </w:hyperlink>
      <w:r w:rsidRPr="00C703CE">
        <w:rPr>
          <w:rFonts w:ascii="David" w:eastAsia="Calibri" w:hAnsi="David"/>
          <w:rtl/>
        </w:rPr>
        <w:t xml:space="preserve"> ל</w:t>
      </w:r>
      <w:hyperlink r:id="rId19" w:history="1">
        <w:r w:rsidR="00893184" w:rsidRPr="00893184">
          <w:rPr>
            <w:rFonts w:ascii="David" w:eastAsia="Calibri" w:hAnsi="David"/>
            <w:color w:val="0000FF"/>
            <w:u w:val="single"/>
            <w:rtl/>
          </w:rPr>
          <w:t>חוק העונשין</w:t>
        </w:r>
      </w:hyperlink>
      <w:r w:rsidRPr="00C703CE">
        <w:rPr>
          <w:rFonts w:ascii="David" w:eastAsia="Calibri" w:hAnsi="David"/>
          <w:rtl/>
        </w:rPr>
        <w:t>, התשל"ז-1977 (להלן: "</w:t>
      </w:r>
      <w:r w:rsidRPr="00C703CE">
        <w:rPr>
          <w:rFonts w:ascii="David" w:eastAsia="Calibri" w:hAnsi="David"/>
          <w:b/>
          <w:bCs/>
          <w:rtl/>
        </w:rPr>
        <w:t>חוק העונשין</w:t>
      </w:r>
      <w:r w:rsidRPr="00C703CE">
        <w:rPr>
          <w:rFonts w:ascii="David" w:eastAsia="Calibri" w:hAnsi="David"/>
          <w:rtl/>
        </w:rPr>
        <w:t>" או "</w:t>
      </w:r>
      <w:r w:rsidRPr="00C703CE">
        <w:rPr>
          <w:rFonts w:ascii="David" w:eastAsia="Calibri" w:hAnsi="David"/>
          <w:b/>
          <w:bCs/>
          <w:rtl/>
        </w:rPr>
        <w:t>החוק</w:t>
      </w:r>
      <w:r w:rsidRPr="00C703CE">
        <w:rPr>
          <w:rFonts w:ascii="David" w:eastAsia="Calibri" w:hAnsi="David"/>
          <w:rtl/>
        </w:rPr>
        <w:t>").</w:t>
      </w:r>
    </w:p>
    <w:p w14:paraId="7EDD107A" w14:textId="77777777" w:rsidR="00C74530" w:rsidRPr="00C703CE" w:rsidRDefault="00C74530" w:rsidP="00C74530">
      <w:pPr>
        <w:spacing w:after="160" w:line="360" w:lineRule="auto"/>
        <w:jc w:val="both"/>
        <w:rPr>
          <w:rFonts w:ascii="David" w:eastAsia="Calibri" w:hAnsi="David"/>
          <w:rtl/>
        </w:rPr>
      </w:pPr>
      <w:bookmarkStart w:id="6" w:name="ABSTRACT_END"/>
      <w:bookmarkEnd w:id="6"/>
      <w:r w:rsidRPr="00C703CE">
        <w:rPr>
          <w:rFonts w:ascii="David" w:eastAsia="Calibri" w:hAnsi="David"/>
          <w:rtl/>
        </w:rPr>
        <w:t>הסדר הטיעון לא כלל הסכמה בדבר העונש שיוטל על הנאשם.</w:t>
      </w:r>
    </w:p>
    <w:p w14:paraId="01CE256A" w14:textId="77777777" w:rsidR="00C74530" w:rsidRPr="00C703CE" w:rsidRDefault="00C74530" w:rsidP="00C74530">
      <w:pPr>
        <w:spacing w:after="160" w:line="360" w:lineRule="auto"/>
        <w:jc w:val="both"/>
        <w:rPr>
          <w:rFonts w:ascii="David" w:eastAsia="Calibri" w:hAnsi="David"/>
          <w:rtl/>
        </w:rPr>
      </w:pPr>
      <w:r w:rsidRPr="00C703CE">
        <w:rPr>
          <w:rFonts w:ascii="David" w:eastAsia="Calibri" w:hAnsi="David"/>
          <w:u w:val="single"/>
          <w:rtl/>
        </w:rPr>
        <w:t>עובדות ההרשעה</w:t>
      </w:r>
      <w:r w:rsidRPr="00C703CE">
        <w:rPr>
          <w:rFonts w:ascii="David" w:eastAsia="Calibri" w:hAnsi="David"/>
          <w:rtl/>
        </w:rPr>
        <w:t>:</w:t>
      </w:r>
    </w:p>
    <w:p w14:paraId="5C7E082E" w14:textId="77777777" w:rsidR="00C74530" w:rsidRPr="00C703CE" w:rsidRDefault="00C74530" w:rsidP="00C74530">
      <w:pPr>
        <w:spacing w:after="160" w:line="360" w:lineRule="auto"/>
        <w:jc w:val="both"/>
        <w:rPr>
          <w:rFonts w:ascii="David" w:eastAsia="Calibri" w:hAnsi="David"/>
          <w:rtl/>
        </w:rPr>
      </w:pPr>
      <w:r w:rsidRPr="00C703CE">
        <w:rPr>
          <w:rFonts w:ascii="David" w:eastAsia="Calibri" w:hAnsi="David"/>
          <w:rtl/>
        </w:rPr>
        <w:t>הנאשם והקטין א' יליד 4.6.08 בני דודים.</w:t>
      </w:r>
    </w:p>
    <w:p w14:paraId="6A0CC126" w14:textId="77777777" w:rsidR="00C74530" w:rsidRPr="00C703CE" w:rsidRDefault="00C74530" w:rsidP="00C74530">
      <w:pPr>
        <w:spacing w:after="160" w:line="360" w:lineRule="auto"/>
        <w:jc w:val="both"/>
        <w:rPr>
          <w:rFonts w:ascii="David" w:eastAsia="Calibri" w:hAnsi="David"/>
          <w:rtl/>
        </w:rPr>
      </w:pPr>
      <w:r w:rsidRPr="00C703CE">
        <w:rPr>
          <w:rFonts w:ascii="David" w:eastAsia="Calibri" w:hAnsi="David"/>
          <w:rtl/>
        </w:rPr>
        <w:t xml:space="preserve">בין הנאשם והקטין א' לבין הקטין ב', יליד 20.2.11 יש היכרות מוקדמת. במועד הרלוונטי לכתב האישום התגורר הקטין ב' בביתו בטמרה. </w:t>
      </w:r>
    </w:p>
    <w:p w14:paraId="065AC9FE" w14:textId="77777777" w:rsidR="00C74530" w:rsidRPr="00C703CE" w:rsidRDefault="00C74530" w:rsidP="00C74530">
      <w:pPr>
        <w:spacing w:after="160" w:line="360" w:lineRule="auto"/>
        <w:jc w:val="both"/>
        <w:rPr>
          <w:rFonts w:ascii="David" w:eastAsia="Calibri" w:hAnsi="David"/>
          <w:rtl/>
        </w:rPr>
      </w:pPr>
      <w:r w:rsidRPr="00C703CE">
        <w:rPr>
          <w:rFonts w:ascii="David" w:eastAsia="Calibri" w:hAnsi="David"/>
          <w:rtl/>
        </w:rPr>
        <w:t xml:space="preserve">במועד הרלוונטי לכתב האישום החזיק הנאשם בבעלותו רכב פרטי מסוג סובארו מספר רישוי 3016363. </w:t>
      </w:r>
    </w:p>
    <w:p w14:paraId="6403BA10" w14:textId="77777777" w:rsidR="00C74530" w:rsidRPr="00C703CE" w:rsidRDefault="00C74530" w:rsidP="00C74530">
      <w:pPr>
        <w:spacing w:after="160" w:line="360" w:lineRule="auto"/>
        <w:jc w:val="both"/>
        <w:rPr>
          <w:rFonts w:ascii="David" w:eastAsia="Calibri" w:hAnsi="David"/>
          <w:rtl/>
        </w:rPr>
      </w:pPr>
      <w:r w:rsidRPr="00C703CE">
        <w:rPr>
          <w:rFonts w:ascii="David" w:eastAsia="Calibri" w:hAnsi="David"/>
          <w:rtl/>
        </w:rPr>
        <w:t>עובר ליום 19.6.24 במועד שאינו ידוע במדויק למאשימה, גמלה בליבו של הקטין א' החלטה להצטייד בנשק מסוג רימון.</w:t>
      </w:r>
    </w:p>
    <w:p w14:paraId="7E05D8C4" w14:textId="77777777" w:rsidR="00C74530" w:rsidRPr="00C703CE" w:rsidRDefault="00C74530" w:rsidP="00C74530">
      <w:pPr>
        <w:spacing w:after="160" w:line="360" w:lineRule="auto"/>
        <w:jc w:val="both"/>
        <w:rPr>
          <w:rFonts w:ascii="David" w:eastAsia="Calibri" w:hAnsi="David"/>
          <w:rtl/>
        </w:rPr>
      </w:pPr>
      <w:r w:rsidRPr="00C703CE">
        <w:rPr>
          <w:rFonts w:ascii="David" w:eastAsia="Calibri" w:hAnsi="David"/>
          <w:rtl/>
        </w:rPr>
        <w:t>בהמשך להחלטה, ביום 19.6.24 בין השעות 12:54-12:57 פנה הקטין א', בנוכחות הנאשם לקטין ב', וביקש לרכוש ממנו רימון.</w:t>
      </w:r>
    </w:p>
    <w:p w14:paraId="4159D90E" w14:textId="77777777" w:rsidR="00C74530" w:rsidRPr="00C703CE" w:rsidRDefault="00C74530" w:rsidP="00C74530">
      <w:pPr>
        <w:spacing w:after="160" w:line="360" w:lineRule="auto"/>
        <w:jc w:val="both"/>
        <w:rPr>
          <w:rFonts w:ascii="David" w:eastAsia="Calibri" w:hAnsi="David"/>
          <w:rtl/>
        </w:rPr>
      </w:pPr>
      <w:r w:rsidRPr="00C703CE">
        <w:rPr>
          <w:rFonts w:ascii="David" w:eastAsia="Calibri" w:hAnsi="David"/>
          <w:rtl/>
        </w:rPr>
        <w:t xml:space="preserve">בעקבות בקשתו של הקטין א', פנה הקטין ב' לאדם אחר, שזהותו אינו ידועה במדויק למאשימה, ורכש רימון הלם סנוור </w:t>
      </w:r>
      <w:r w:rsidRPr="00C703CE">
        <w:rPr>
          <w:rFonts w:ascii="David" w:eastAsia="Calibri" w:hAnsi="David"/>
        </w:rPr>
        <w:t>M7290</w:t>
      </w:r>
      <w:r w:rsidRPr="00C703CE">
        <w:rPr>
          <w:rFonts w:ascii="David" w:eastAsia="Calibri" w:hAnsi="David"/>
          <w:rtl/>
        </w:rPr>
        <w:t xml:space="preserve"> בתמורה ל-1,000 ₪. </w:t>
      </w:r>
    </w:p>
    <w:p w14:paraId="2EE8BFAF" w14:textId="77777777" w:rsidR="00C74530" w:rsidRPr="00C703CE" w:rsidRDefault="00C74530" w:rsidP="00C74530">
      <w:pPr>
        <w:spacing w:after="160" w:line="360" w:lineRule="auto"/>
        <w:jc w:val="both"/>
        <w:rPr>
          <w:rFonts w:ascii="David" w:eastAsia="Calibri" w:hAnsi="David"/>
          <w:rtl/>
        </w:rPr>
      </w:pPr>
      <w:r w:rsidRPr="00C703CE">
        <w:rPr>
          <w:rFonts w:ascii="David" w:eastAsia="Calibri" w:hAnsi="David"/>
          <w:rtl/>
        </w:rPr>
        <w:lastRenderedPageBreak/>
        <w:t>הרימון הוא כלי נשק שבכוחו להזיק לאדם בעת התפוצצותו.</w:t>
      </w:r>
    </w:p>
    <w:p w14:paraId="320E6EFF" w14:textId="77777777" w:rsidR="00C74530" w:rsidRPr="00C703CE" w:rsidRDefault="00C74530" w:rsidP="00C74530">
      <w:pPr>
        <w:spacing w:after="160" w:line="360" w:lineRule="auto"/>
        <w:jc w:val="both"/>
        <w:rPr>
          <w:rFonts w:ascii="David" w:eastAsia="Calibri" w:hAnsi="David"/>
          <w:rtl/>
        </w:rPr>
      </w:pPr>
      <w:r w:rsidRPr="00C703CE">
        <w:rPr>
          <w:rFonts w:ascii="David" w:eastAsia="Calibri" w:hAnsi="David"/>
          <w:rtl/>
        </w:rPr>
        <w:t>עוד באותו יום סמוך לשעה 02:00 הודיע הקטין ב' לקטין א' כי השיג עבורם רימון וקבע להיפגש איתם בסמוך לביתו.</w:t>
      </w:r>
    </w:p>
    <w:p w14:paraId="6EC4FEFB" w14:textId="77777777" w:rsidR="00C74530" w:rsidRPr="00C703CE" w:rsidRDefault="00C74530" w:rsidP="00C74530">
      <w:pPr>
        <w:spacing w:after="160" w:line="360" w:lineRule="auto"/>
        <w:jc w:val="both"/>
        <w:rPr>
          <w:rFonts w:ascii="David" w:eastAsia="Calibri" w:hAnsi="David"/>
          <w:rtl/>
        </w:rPr>
      </w:pPr>
      <w:r w:rsidRPr="00C703CE">
        <w:rPr>
          <w:rFonts w:ascii="David" w:eastAsia="Calibri" w:hAnsi="David"/>
          <w:rtl/>
        </w:rPr>
        <w:t xml:space="preserve">כעבור מספר דקות, הגיעו הנאשם, הקטין א' ואדם נוסף לביתו של הקטין ב', כשהנאשם נוהג ברכב, ושם פגשו את הקטין ב' שהחזיק, נשא והוביל באותו זמן את הרימון. </w:t>
      </w:r>
    </w:p>
    <w:p w14:paraId="1676D4ED" w14:textId="77777777" w:rsidR="00C74530" w:rsidRPr="00C703CE" w:rsidRDefault="00C74530" w:rsidP="00C74530">
      <w:pPr>
        <w:spacing w:after="160" w:line="360" w:lineRule="auto"/>
        <w:jc w:val="both"/>
        <w:rPr>
          <w:rFonts w:ascii="David" w:eastAsia="Calibri" w:hAnsi="David"/>
          <w:rtl/>
        </w:rPr>
      </w:pPr>
      <w:r w:rsidRPr="00C703CE">
        <w:rPr>
          <w:rFonts w:ascii="David" w:eastAsia="Calibri" w:hAnsi="David"/>
          <w:rtl/>
        </w:rPr>
        <w:t>הקטין ב' מסר לידי הנאשם והקטין א' את הרימון לאחר שעטף אותו במעיל אותו לבש קטין א'. הנאשם והקטין א' בצוותא חדא, החזיקו את הרימון והניחו אותו, כשהוא עטוף במעיל, בתא המטען של הרכב. בתמורה לרימון שילם קטין א' לקטין ב' סך של 1,000 ₪.</w:t>
      </w:r>
    </w:p>
    <w:p w14:paraId="67D357BF" w14:textId="77777777" w:rsidR="00C74530" w:rsidRPr="00C703CE" w:rsidRDefault="00C74530" w:rsidP="00C74530">
      <w:pPr>
        <w:spacing w:after="160" w:line="360" w:lineRule="auto"/>
        <w:jc w:val="both"/>
        <w:rPr>
          <w:rFonts w:ascii="David" w:eastAsia="Calibri" w:hAnsi="David"/>
          <w:rtl/>
        </w:rPr>
      </w:pPr>
      <w:r w:rsidRPr="00C703CE">
        <w:rPr>
          <w:rFonts w:ascii="David" w:eastAsia="Calibri" w:hAnsi="David"/>
          <w:rtl/>
        </w:rPr>
        <w:t>במעשיו המתוארים לעיל, כך נכתב בכתב-האישום המתוקן, החזיק הנאשם, בצוותא חדא עם אחר, רימון בלא רשות על-פי דין לעשות כן.</w:t>
      </w:r>
    </w:p>
    <w:p w14:paraId="31DA1773" w14:textId="77777777" w:rsidR="00C74530" w:rsidRPr="00C703CE" w:rsidRDefault="00C74530" w:rsidP="00C74530">
      <w:pPr>
        <w:spacing w:after="160" w:line="360" w:lineRule="auto"/>
        <w:jc w:val="both"/>
        <w:rPr>
          <w:rFonts w:ascii="David" w:eastAsia="Calibri" w:hAnsi="David"/>
          <w:rtl/>
        </w:rPr>
      </w:pPr>
    </w:p>
    <w:p w14:paraId="16C2612F" w14:textId="77777777" w:rsidR="00C74530" w:rsidRPr="00C703CE" w:rsidRDefault="00C74530" w:rsidP="00C74530">
      <w:pPr>
        <w:spacing w:after="160" w:line="360" w:lineRule="auto"/>
        <w:jc w:val="both"/>
        <w:rPr>
          <w:rFonts w:ascii="David" w:eastAsia="Calibri" w:hAnsi="David"/>
          <w:u w:val="single"/>
          <w:rtl/>
        </w:rPr>
      </w:pPr>
      <w:r w:rsidRPr="00C703CE">
        <w:rPr>
          <w:rFonts w:ascii="David" w:eastAsia="Calibri" w:hAnsi="David"/>
          <w:u w:val="single"/>
          <w:rtl/>
        </w:rPr>
        <w:t>תסקיר שירות המבחן</w:t>
      </w:r>
    </w:p>
    <w:p w14:paraId="3A1709B6" w14:textId="77777777" w:rsidR="00C74530" w:rsidRPr="00C703CE" w:rsidRDefault="00C74530" w:rsidP="00C74530">
      <w:pPr>
        <w:spacing w:after="160" w:line="360" w:lineRule="auto"/>
        <w:jc w:val="both"/>
        <w:rPr>
          <w:rFonts w:ascii="David" w:eastAsia="Calibri" w:hAnsi="David"/>
          <w:rtl/>
        </w:rPr>
      </w:pPr>
      <w:r w:rsidRPr="00C703CE">
        <w:rPr>
          <w:rFonts w:ascii="David" w:eastAsia="Calibri" w:hAnsi="David"/>
          <w:rtl/>
        </w:rPr>
        <w:t>מתסקיר שירות-המבחן עולה – הנאשם בן 21, רווק, מתגורר בבית הוריו בשפרעם ובוגר תשע שנות לימוד. מזה כשנתיים עובד במפעל בקרית ביאליק, ונכון למועד כתיבת התסקיר הנאשם שוהה בתנאים מגבילים של "מעצר בית לילי".</w:t>
      </w:r>
    </w:p>
    <w:p w14:paraId="20DC6974" w14:textId="77777777" w:rsidR="00C74530" w:rsidRPr="00C703CE" w:rsidRDefault="00C74530" w:rsidP="00C74530">
      <w:pPr>
        <w:spacing w:after="160" w:line="360" w:lineRule="auto"/>
        <w:jc w:val="both"/>
        <w:rPr>
          <w:rFonts w:ascii="David" w:eastAsia="Calibri" w:hAnsi="David"/>
          <w:rtl/>
        </w:rPr>
      </w:pPr>
      <w:r w:rsidRPr="00C703CE">
        <w:rPr>
          <w:rFonts w:ascii="David" w:eastAsia="Calibri" w:hAnsi="David"/>
          <w:rtl/>
        </w:rPr>
        <w:t xml:space="preserve">הנאשם גדל בסביבה משפחתית מורכבת, בה היה חשוף להתמכרות פעילה לסמים קשים. בשל המצב הכלכלי של משפחתו נאלץ לעבוד מגיל צעיר, וכיום הוא מסייע לאמו בתשלום ההוצאות השוטפות בהתאם ליכולותיו. בגיל ההתבגרות הנאשם היה מוכר לגורמי הרווחה סביב צרכים סוציאליים והתמכרות, שבעקבותיה החל קשר טיפולי ביחידה לטיפול בהתמכרות. </w:t>
      </w:r>
    </w:p>
    <w:p w14:paraId="42C654EB" w14:textId="77777777" w:rsidR="00C74530" w:rsidRPr="00C703CE" w:rsidRDefault="00C74530" w:rsidP="00C74530">
      <w:pPr>
        <w:spacing w:after="160" w:line="360" w:lineRule="auto"/>
        <w:jc w:val="both"/>
        <w:rPr>
          <w:rFonts w:ascii="David" w:eastAsia="Calibri" w:hAnsi="David"/>
          <w:rtl/>
        </w:rPr>
      </w:pPr>
      <w:r w:rsidRPr="00C703CE">
        <w:rPr>
          <w:rFonts w:ascii="David" w:eastAsia="Calibri" w:hAnsi="David"/>
          <w:rtl/>
        </w:rPr>
        <w:t xml:space="preserve">שירות-המבחן ציין כי הנאשם הודה במיוחס לו בכתב-האישום משיקולים משפטיים. לצד זאת, כן ביטא חרטה על התנהלותו ועל הפגיעה שגרם למשפחתו ולעצמו. הנאשם מסר כי לא ידע על תכנון רכישת הרימון ושהה במקום רק בשל שהייתו עם בן דודו הקטין, ולטענתו נחשף למעשים רק לאחר רכישת הרימון. </w:t>
      </w:r>
    </w:p>
    <w:p w14:paraId="4DB483AD" w14:textId="77777777" w:rsidR="00C74530" w:rsidRPr="00C703CE" w:rsidRDefault="00C74530" w:rsidP="00C74530">
      <w:pPr>
        <w:spacing w:after="160" w:line="360" w:lineRule="auto"/>
        <w:jc w:val="both"/>
        <w:rPr>
          <w:rFonts w:ascii="David" w:eastAsia="Calibri" w:hAnsi="David"/>
          <w:rtl/>
        </w:rPr>
      </w:pPr>
      <w:r w:rsidRPr="00C703CE">
        <w:rPr>
          <w:rFonts w:ascii="David" w:eastAsia="Calibri" w:hAnsi="David"/>
          <w:rtl/>
        </w:rPr>
        <w:t xml:space="preserve">עוד צוין כי הנאשם נטה להתייחס לסוגי התשאול שהופנו אליו בצורה שטחית, תוך נטייה להשליך את התנהלותו באירוע כנובעת מנסיבות שהן חיצוניות לו. הנאשם תיאר כי משפחתו הגיבה קשה למעשיו ואל מעורבותו עוברת החוק וכן כי נתגלע קונפליקט בין המשפחות; כיום יש נתק ביניהן. בנוסף, תואר כי ניכר שהנאשם חרד מהמשך ההליך המשפטי ומגזר-הדין בתיק זה. </w:t>
      </w:r>
    </w:p>
    <w:p w14:paraId="212C688E" w14:textId="77777777" w:rsidR="00C74530" w:rsidRPr="00C703CE" w:rsidRDefault="00C74530" w:rsidP="00C74530">
      <w:pPr>
        <w:spacing w:after="160" w:line="360" w:lineRule="auto"/>
        <w:jc w:val="both"/>
        <w:rPr>
          <w:rFonts w:ascii="David" w:eastAsia="Calibri" w:hAnsi="David"/>
          <w:rtl/>
        </w:rPr>
      </w:pPr>
      <w:r w:rsidRPr="00C703CE">
        <w:rPr>
          <w:rFonts w:ascii="David" w:eastAsia="Calibri" w:hAnsi="David"/>
          <w:rtl/>
        </w:rPr>
        <w:t xml:space="preserve">שירות-המבחן ציין כי הנאשם עושה מאמצים לקיים שיח פתוח, אך עם זאת התקשה להעמיק ולפשט את תשובותיו סביב תכנים רגשיים. כמו כן, הנאשם נטה לתאר את התנהלותו עוברת החוק כלא מתוכננת וביטא עמדות מצמצמות והשלכתיות. </w:t>
      </w:r>
    </w:p>
    <w:p w14:paraId="3FB3C7DC" w14:textId="77777777" w:rsidR="00C74530" w:rsidRPr="00C703CE" w:rsidRDefault="00C74530" w:rsidP="00C74530">
      <w:pPr>
        <w:spacing w:after="160" w:line="360" w:lineRule="auto"/>
        <w:jc w:val="both"/>
        <w:rPr>
          <w:rFonts w:ascii="David" w:eastAsia="Calibri" w:hAnsi="David"/>
          <w:rtl/>
        </w:rPr>
      </w:pPr>
      <w:r w:rsidRPr="00C703CE">
        <w:rPr>
          <w:rFonts w:ascii="David" w:eastAsia="Calibri" w:hAnsi="David"/>
          <w:rtl/>
        </w:rPr>
        <w:t>שירות המבחן מנה את גורמי הסיכון להישנות עבירות דומות על-ידי הנאשם כגון גילו הצעיר וקשייו לזהות מצבי קיצון. עוד נלקחה בחשבון נטייתו להתייחס לעבירות באופן מצמצם וממזער; שירות-המבחן התרשם מקיומו של סיכון להישנות עבירות.</w:t>
      </w:r>
    </w:p>
    <w:p w14:paraId="6F070634" w14:textId="77777777" w:rsidR="00C74530" w:rsidRPr="00C703CE" w:rsidRDefault="00C74530" w:rsidP="00C74530">
      <w:pPr>
        <w:spacing w:after="160" w:line="360" w:lineRule="auto"/>
        <w:jc w:val="both"/>
        <w:rPr>
          <w:rFonts w:ascii="David" w:eastAsia="Calibri" w:hAnsi="David"/>
          <w:rtl/>
        </w:rPr>
      </w:pPr>
      <w:r w:rsidRPr="00C703CE">
        <w:rPr>
          <w:rFonts w:ascii="David" w:eastAsia="Calibri" w:hAnsi="David"/>
          <w:rtl/>
        </w:rPr>
        <w:lastRenderedPageBreak/>
        <w:t xml:space="preserve">כגורמי סיכוי, התייחס שירות-המבחן לכך שזו מעורבותו הראשונה של הנאשם בפלילים, לרגשות הבושה אשר מלוות אותו מאז מעצרו, הימנעותו מקשרים חברתיים שוליים ותיאור חווית המעצר כמטלטלת וכזו המהווה גורם הרתעתי. עוד שקל שירות-המבחן את תפקודו המיטיב בתעסוקה. צוין, כי אמנם הנאשם התקשה לזהות דפוסים מכשילים באישיותו, המצריכים התייחסות טיפולית, אך בהחלט הביע נכונות להשתלב בטיפול על-מנת לשקם את עצמו, לקבל כלים להתמודדות מקדמת בחייו במצבי דחק וחוסר אונים. צוין כי הנאשם מחזיק בעמדה חיובית לגבי המשך חייו, רצונו לחזור לתפקוד מיטיב, לצד גילוי מחויבות ואחריות למשפחתו. </w:t>
      </w:r>
    </w:p>
    <w:p w14:paraId="7B85FD6F" w14:textId="77777777" w:rsidR="00C74530" w:rsidRPr="00C703CE" w:rsidRDefault="00C74530" w:rsidP="00C74530">
      <w:pPr>
        <w:spacing w:after="160" w:line="360" w:lineRule="auto"/>
        <w:jc w:val="both"/>
        <w:rPr>
          <w:rFonts w:ascii="David" w:eastAsia="Calibri" w:hAnsi="David"/>
          <w:rtl/>
        </w:rPr>
      </w:pPr>
      <w:r w:rsidRPr="00C703CE">
        <w:rPr>
          <w:rFonts w:ascii="David" w:eastAsia="Calibri" w:hAnsi="David"/>
          <w:rtl/>
        </w:rPr>
        <w:t>לדידו של שירות-המבחן, השתלבותו של הנאשם בטיפול תהווה עבורו הזדמנות "לגעת" במעשי העבירה, לצד פיתוח של יכולת העמקה והתבוננות בדפוסיו האישיותיים.</w:t>
      </w:r>
    </w:p>
    <w:p w14:paraId="5E5897F7" w14:textId="77777777" w:rsidR="00C74530" w:rsidRPr="00C703CE" w:rsidRDefault="00C74530" w:rsidP="00C74530">
      <w:pPr>
        <w:spacing w:after="160" w:line="360" w:lineRule="auto"/>
        <w:jc w:val="both"/>
        <w:rPr>
          <w:rFonts w:ascii="David" w:eastAsia="Calibri" w:hAnsi="David"/>
          <w:rtl/>
        </w:rPr>
      </w:pPr>
      <w:r w:rsidRPr="00C703CE">
        <w:rPr>
          <w:rFonts w:ascii="David" w:eastAsia="Calibri" w:hAnsi="David"/>
          <w:rtl/>
        </w:rPr>
        <w:t xml:space="preserve">לאור כל זאת, </w:t>
      </w:r>
      <w:r w:rsidRPr="00C703CE">
        <w:rPr>
          <w:rFonts w:ascii="David" w:eastAsia="Calibri" w:hAnsi="David"/>
          <w:b/>
          <w:bCs/>
          <w:rtl/>
        </w:rPr>
        <w:t>העריך שירות-המבחן כי ללא השתלבותו של הנאשם בטיפול מתאים קיים סיכון להישנות התנהלות פורצת גבולות</w:t>
      </w:r>
      <w:r w:rsidRPr="00C703CE">
        <w:rPr>
          <w:rFonts w:ascii="David" w:eastAsia="Calibri" w:hAnsi="David"/>
          <w:rtl/>
        </w:rPr>
        <w:t>.</w:t>
      </w:r>
    </w:p>
    <w:p w14:paraId="07CAB653" w14:textId="77777777" w:rsidR="00C74530" w:rsidRPr="00C703CE" w:rsidRDefault="00C74530" w:rsidP="00C74530">
      <w:pPr>
        <w:spacing w:after="160" w:line="360" w:lineRule="auto"/>
        <w:jc w:val="both"/>
        <w:rPr>
          <w:rFonts w:ascii="David" w:eastAsia="Calibri" w:hAnsi="David"/>
          <w:rtl/>
        </w:rPr>
      </w:pPr>
      <w:r w:rsidRPr="00C703CE">
        <w:rPr>
          <w:rFonts w:ascii="David" w:eastAsia="Calibri" w:hAnsi="David"/>
          <w:rtl/>
        </w:rPr>
        <w:t xml:space="preserve">עם זאת, ונוכח הבעת נכונות מצד הנאשם להשתלב בטיפול במסגרת שירות-המבחן, המליץ שירות-המבחן בסופו של יום על הטלת צו מבחן על הנאשם למשך שנה וחצי. במסגרת הצו, כך נכתב, הנאשם יחל טיפול פרטני ביחידה להתמכרויות בשפרעם. עוד הומלץ על הטלת מאסר אשר ירוצה על דרך של עבודות שירות וכן מאסר מותנה כענישה הרתעתית. </w:t>
      </w:r>
    </w:p>
    <w:p w14:paraId="06C14E98" w14:textId="77777777" w:rsidR="00C74530" w:rsidRPr="00C703CE" w:rsidRDefault="00C74530" w:rsidP="00C74530">
      <w:pPr>
        <w:spacing w:after="160" w:line="360" w:lineRule="auto"/>
        <w:jc w:val="both"/>
        <w:rPr>
          <w:rFonts w:ascii="David" w:eastAsia="Calibri" w:hAnsi="David"/>
          <w:u w:val="single"/>
          <w:rtl/>
        </w:rPr>
      </w:pPr>
      <w:r w:rsidRPr="00C703CE">
        <w:rPr>
          <w:rFonts w:ascii="David" w:eastAsia="Calibri" w:hAnsi="David"/>
          <w:u w:val="single"/>
          <w:rtl/>
        </w:rPr>
        <w:t>ראיות לעניין העונש</w:t>
      </w:r>
    </w:p>
    <w:p w14:paraId="40F0D8C9" w14:textId="77777777" w:rsidR="00C74530" w:rsidRPr="00C703CE" w:rsidRDefault="00C74530" w:rsidP="00C74530">
      <w:pPr>
        <w:spacing w:after="160" w:line="360" w:lineRule="auto"/>
        <w:jc w:val="both"/>
        <w:rPr>
          <w:rFonts w:ascii="David" w:eastAsia="Calibri" w:hAnsi="David"/>
          <w:i/>
          <w:iCs/>
          <w:rtl/>
        </w:rPr>
      </w:pPr>
      <w:r w:rsidRPr="00C703CE">
        <w:rPr>
          <w:rFonts w:ascii="David" w:eastAsia="Calibri" w:hAnsi="David"/>
          <w:i/>
          <w:iCs/>
          <w:rtl/>
        </w:rPr>
        <w:t>ההגנה</w:t>
      </w:r>
    </w:p>
    <w:p w14:paraId="72B9805E" w14:textId="77777777" w:rsidR="00C74530" w:rsidRPr="00C703CE" w:rsidRDefault="00C74530" w:rsidP="00C74530">
      <w:pPr>
        <w:spacing w:after="160" w:line="360" w:lineRule="auto"/>
        <w:jc w:val="both"/>
        <w:rPr>
          <w:rFonts w:ascii="David" w:eastAsia="Calibri" w:hAnsi="David"/>
          <w:rtl/>
        </w:rPr>
      </w:pPr>
      <w:r w:rsidRPr="00C703CE">
        <w:rPr>
          <w:rFonts w:ascii="David" w:eastAsia="Calibri" w:hAnsi="David"/>
          <w:rtl/>
        </w:rPr>
        <w:t>ב"כ המלומד של הנאשם, עו"ד מאהר תלחמי, הגיש לעיוני מכתב מטעם מעסיקו של הנאשם (</w:t>
      </w:r>
      <w:r w:rsidRPr="00C703CE">
        <w:rPr>
          <w:rFonts w:ascii="David" w:eastAsia="Calibri" w:hAnsi="David"/>
          <w:b/>
          <w:bCs/>
          <w:rtl/>
        </w:rPr>
        <w:t>טעה/1</w:t>
      </w:r>
      <w:r w:rsidRPr="00C703CE">
        <w:rPr>
          <w:rFonts w:ascii="David" w:eastAsia="Calibri" w:hAnsi="David"/>
          <w:rtl/>
        </w:rPr>
        <w:t>), בו נכתב כי הוא מעוניין לסייע לנאשם וכן שהנאשם ימשיך את עבודתו במפעל.</w:t>
      </w:r>
    </w:p>
    <w:p w14:paraId="517E7ED3" w14:textId="77777777" w:rsidR="00C74530" w:rsidRPr="00C703CE" w:rsidRDefault="00C74530" w:rsidP="00C74530">
      <w:pPr>
        <w:spacing w:after="160" w:line="360" w:lineRule="auto"/>
        <w:jc w:val="both"/>
        <w:rPr>
          <w:rFonts w:ascii="David" w:eastAsia="Calibri" w:hAnsi="David"/>
          <w:rtl/>
        </w:rPr>
      </w:pPr>
    </w:p>
    <w:p w14:paraId="7CD4350C" w14:textId="77777777" w:rsidR="00C74530" w:rsidRPr="00C703CE" w:rsidRDefault="00C74530" w:rsidP="00C74530">
      <w:pPr>
        <w:spacing w:after="160" w:line="360" w:lineRule="auto"/>
        <w:jc w:val="both"/>
        <w:rPr>
          <w:rFonts w:ascii="David" w:eastAsia="Calibri" w:hAnsi="David"/>
          <w:rtl/>
        </w:rPr>
      </w:pPr>
      <w:r w:rsidRPr="00C703CE">
        <w:rPr>
          <w:rFonts w:ascii="David" w:eastAsia="Calibri" w:hAnsi="David"/>
          <w:u w:val="single"/>
          <w:rtl/>
        </w:rPr>
        <w:t>טיעוני הצדדים לעניין העונש</w:t>
      </w:r>
    </w:p>
    <w:p w14:paraId="740409BD" w14:textId="77777777" w:rsidR="00C74530" w:rsidRPr="00C703CE" w:rsidRDefault="00C74530" w:rsidP="00C74530">
      <w:pPr>
        <w:spacing w:after="160" w:line="360" w:lineRule="auto"/>
        <w:jc w:val="both"/>
        <w:rPr>
          <w:rFonts w:ascii="David" w:eastAsia="Calibri" w:hAnsi="David"/>
          <w:i/>
          <w:iCs/>
          <w:rtl/>
        </w:rPr>
      </w:pPr>
      <w:r w:rsidRPr="00C703CE">
        <w:rPr>
          <w:rFonts w:ascii="David" w:eastAsia="Calibri" w:hAnsi="David"/>
          <w:i/>
          <w:iCs/>
          <w:rtl/>
        </w:rPr>
        <w:t>המאשימה</w:t>
      </w:r>
    </w:p>
    <w:p w14:paraId="59F68594" w14:textId="77777777" w:rsidR="00C74530" w:rsidRPr="00C703CE" w:rsidRDefault="00C74530" w:rsidP="00C74530">
      <w:pPr>
        <w:spacing w:after="160" w:line="360" w:lineRule="auto"/>
        <w:jc w:val="both"/>
        <w:rPr>
          <w:rFonts w:ascii="David" w:eastAsia="Calibri" w:hAnsi="David"/>
          <w:rtl/>
        </w:rPr>
      </w:pPr>
      <w:r w:rsidRPr="00C703CE">
        <w:rPr>
          <w:rFonts w:ascii="David" w:eastAsia="Calibri" w:hAnsi="David"/>
          <w:color w:val="000000"/>
          <w:shd w:val="clear" w:color="auto" w:fill="FFFFFF"/>
          <w:rtl/>
        </w:rPr>
        <w:t>ב"כ המאשימה, עו"ד מיכאל יפרח, טען לעונש בעל-פה וכן הגיש טיעונים כתובים לעניין העונש (</w:t>
      </w:r>
      <w:r w:rsidRPr="00C703CE">
        <w:rPr>
          <w:rFonts w:ascii="David" w:eastAsia="Calibri" w:hAnsi="David"/>
          <w:b/>
          <w:bCs/>
          <w:color w:val="000000"/>
          <w:shd w:val="clear" w:color="auto" w:fill="FFFFFF"/>
          <w:rtl/>
        </w:rPr>
        <w:t>טעת/1</w:t>
      </w:r>
      <w:r w:rsidRPr="00C703CE">
        <w:rPr>
          <w:rFonts w:ascii="David" w:eastAsia="Calibri" w:hAnsi="David"/>
          <w:color w:val="000000"/>
          <w:shd w:val="clear" w:color="auto" w:fill="FFFFFF"/>
          <w:rtl/>
        </w:rPr>
        <w:t xml:space="preserve">). במסגרת טיעוניו עמד הפרקליט המלומד על </w:t>
      </w:r>
      <w:r w:rsidRPr="00C703CE">
        <w:rPr>
          <w:rFonts w:ascii="David" w:eastAsia="Calibri" w:hAnsi="David"/>
          <w:rtl/>
        </w:rPr>
        <w:t xml:space="preserve">הערכים החברתיים שנפגעו כתוצאה מביצועה של העבירה דכאן. כמו כן פירט את הנסיבות הקשורות בביצוע העבירה ואת מדיניות הענישה הנוהגת. נטען כי פסיקה רחבה מלמדת על ענישה מחמירה בעבירות נשק וביתר שאת בשנים האחרונות וכי על בית-המשפט לסייע במיגור תופעת החזקת הנשק ללא היתר. </w:t>
      </w:r>
    </w:p>
    <w:p w14:paraId="616F6A96" w14:textId="77777777" w:rsidR="00C74530" w:rsidRPr="00C703CE" w:rsidRDefault="00C74530" w:rsidP="00C74530">
      <w:pPr>
        <w:spacing w:after="160" w:line="360" w:lineRule="auto"/>
        <w:jc w:val="both"/>
        <w:rPr>
          <w:rFonts w:ascii="David" w:eastAsia="Calibri" w:hAnsi="David"/>
          <w:rtl/>
        </w:rPr>
      </w:pPr>
      <w:r w:rsidRPr="00C703CE">
        <w:rPr>
          <w:rFonts w:ascii="David" w:eastAsia="Calibri" w:hAnsi="David"/>
          <w:rtl/>
        </w:rPr>
        <w:t xml:space="preserve">לאור המקובץ, לשיטתה של המאשימה יש לקבוע את מתחם העונש ההולם כנע בין 9 ל-24 חודשי מאסר. הודגש כי המאשימה מודעת להמלצות שירות-המבחן אך אין לטעמה מקום בנסיבות אלו להטלת עונש מאסר לריצוי בדרך של עבודות שירות. עוד צוין כי אין לנכות את ימי מעצרו של הנאשם בפיקוח אלקטרוני מתקופת מאסרו, ככל שתיגזר עליו, וזאת בהתאם לפסק הדין בעניין </w:t>
      </w:r>
      <w:hyperlink r:id="rId20" w:history="1">
        <w:r w:rsidR="00893184" w:rsidRPr="00893184">
          <w:rPr>
            <w:rFonts w:ascii="David" w:eastAsia="Calibri" w:hAnsi="David"/>
            <w:color w:val="0000FF"/>
            <w:u w:val="single"/>
            <w:rtl/>
          </w:rPr>
          <w:t>ע"פ 7768/15</w:t>
        </w:r>
      </w:hyperlink>
      <w:r w:rsidRPr="00C703CE">
        <w:rPr>
          <w:rFonts w:ascii="David" w:eastAsia="Calibri" w:hAnsi="David"/>
          <w:rtl/>
        </w:rPr>
        <w:t xml:space="preserve"> </w:t>
      </w:r>
      <w:r w:rsidRPr="00C703CE">
        <w:rPr>
          <w:rFonts w:ascii="David" w:eastAsia="Calibri" w:hAnsi="David"/>
          <w:b/>
          <w:bCs/>
          <w:rtl/>
        </w:rPr>
        <w:t>פלוני נ' מדינת ישראל</w:t>
      </w:r>
      <w:r w:rsidRPr="00C703CE">
        <w:rPr>
          <w:rFonts w:ascii="David" w:eastAsia="Calibri" w:hAnsi="David"/>
          <w:rtl/>
        </w:rPr>
        <w:t xml:space="preserve">, ניתן ביום 20.4.16. בנוסף הודגש, כי לאור מועד ביצוע העבירה, תיקון 140 לחוק חל בעניינו של הנאשם ועל-כן, כי יש להשית עליו את העונש המזערי הקבוע בחוק. בהמשך לכך, הפנה הפרקליט המלומד להנחיית פרקליט המדינה לעניין מדיניות ענישה בעבירות נשק ומטעני חבלה. </w:t>
      </w:r>
    </w:p>
    <w:p w14:paraId="0A58E4F2" w14:textId="77777777" w:rsidR="00C74530" w:rsidRPr="00C703CE" w:rsidRDefault="00C74530" w:rsidP="00C74530">
      <w:pPr>
        <w:spacing w:after="160" w:line="360" w:lineRule="auto"/>
        <w:jc w:val="both"/>
        <w:rPr>
          <w:rFonts w:ascii="David" w:eastAsia="Calibri" w:hAnsi="David"/>
          <w:rtl/>
        </w:rPr>
      </w:pPr>
      <w:r w:rsidRPr="00C703CE">
        <w:rPr>
          <w:rFonts w:ascii="David" w:eastAsia="Calibri" w:hAnsi="David"/>
          <w:rtl/>
        </w:rPr>
        <w:t>בכל הנוגע לנסיבות שאינן קשורות בביצוע העבירה טענה המאשימה כי הנאשם הבין את מעשיו והשלכותיהם; הוא אינו קטין, אינו סובל מלקויות כלשהן ולא קרוב לשום סייג לאחריות פלילית; הנאשם לא היה במצוקה נפשית ולא קדמה למעשיו התגרות כזו או אחרת. עוד צוינו ממצאי תסקיר שירות-המבחן והמלצותיו. כן צוין כי הנאשם נעדר עבר פלילי.</w:t>
      </w:r>
    </w:p>
    <w:p w14:paraId="0F53D356" w14:textId="77777777" w:rsidR="00C74530" w:rsidRPr="00C703CE" w:rsidRDefault="00C74530" w:rsidP="00C74530">
      <w:pPr>
        <w:spacing w:after="160" w:line="360" w:lineRule="auto"/>
        <w:jc w:val="both"/>
        <w:rPr>
          <w:rFonts w:ascii="David" w:eastAsia="Calibri" w:hAnsi="David"/>
          <w:rtl/>
        </w:rPr>
      </w:pPr>
      <w:r w:rsidRPr="00C703CE">
        <w:rPr>
          <w:rFonts w:ascii="David" w:eastAsia="Calibri" w:hAnsi="David"/>
          <w:rtl/>
        </w:rPr>
        <w:t>לאור כל האמור, ונוכח היעדר עבר פלילי ותסקיר חיובי מחד גיסא, ומאידך גיסא השכיחות והחומרה שבעבירות הנשק, סברה המאשימה כי יש למקם את עונשו של הנאשם ברף הבינוני-תחתון של המתחם המוצע על ידיה, לצד עונש מאסר מותנה משמעותי וקנס.</w:t>
      </w:r>
    </w:p>
    <w:p w14:paraId="1DDF3F4B" w14:textId="77777777" w:rsidR="00C74530" w:rsidRPr="00C703CE" w:rsidRDefault="00C74530" w:rsidP="00C74530">
      <w:pPr>
        <w:spacing w:after="160" w:line="360" w:lineRule="auto"/>
        <w:jc w:val="both"/>
        <w:rPr>
          <w:rFonts w:ascii="David" w:eastAsia="Calibri" w:hAnsi="David"/>
          <w:i/>
          <w:iCs/>
          <w:rtl/>
        </w:rPr>
      </w:pPr>
      <w:r w:rsidRPr="00C703CE">
        <w:rPr>
          <w:rFonts w:ascii="David" w:eastAsia="Calibri" w:hAnsi="David"/>
          <w:i/>
          <w:iCs/>
          <w:rtl/>
        </w:rPr>
        <w:t>ההגנה</w:t>
      </w:r>
    </w:p>
    <w:p w14:paraId="188BEACD" w14:textId="77777777" w:rsidR="00C74530" w:rsidRPr="00C703CE" w:rsidRDefault="00C74530" w:rsidP="00C74530">
      <w:pPr>
        <w:spacing w:after="160" w:line="360" w:lineRule="auto"/>
        <w:jc w:val="both"/>
        <w:rPr>
          <w:rFonts w:ascii="David" w:eastAsia="Calibri" w:hAnsi="David"/>
          <w:rtl/>
        </w:rPr>
      </w:pPr>
      <w:r w:rsidRPr="00C703CE">
        <w:rPr>
          <w:rFonts w:ascii="David" w:eastAsia="Calibri" w:hAnsi="David"/>
          <w:rtl/>
        </w:rPr>
        <w:t>ב"כ של הנאשם ציין את גילו הצעיר של הנאשם, וכן כי הנאשם הודה בהזדמנות הראשונה לאחר תיקון כתב-האישום ומתחרט על ביצוע העבירה. לדידו, חומרת העבירה הנדונה כאן פחותה בהרבה מעבירות נשק אחרות היות ובכוחו של רימון הלם רק להזיק ולא להרוג. הנאשם נעדר עבר פלילי, נסיבות חייו קשות, הוא מסייע לפרנסת המשפחה וכן עולה מתסקיר שירות-המבחן כי המעצר טלטל והרתיע אותו. עוד ציין הסנגור המלומד כי מאז הסרת האיזוק האלקטרוני, הנאשם חזר לעבודתו ומעסיקו מרוצה ממנו; הוא מתפקד בחיי היום-יום ומשתתף בקבוצות טיפוליות.</w:t>
      </w:r>
    </w:p>
    <w:p w14:paraId="4ABB8A0C" w14:textId="77777777" w:rsidR="00C74530" w:rsidRPr="00C703CE" w:rsidRDefault="00C74530" w:rsidP="00C74530">
      <w:pPr>
        <w:spacing w:after="160" w:line="360" w:lineRule="auto"/>
        <w:jc w:val="both"/>
        <w:rPr>
          <w:rFonts w:ascii="David" w:eastAsia="Calibri" w:hAnsi="David"/>
          <w:rtl/>
        </w:rPr>
      </w:pPr>
      <w:r w:rsidRPr="00C703CE">
        <w:rPr>
          <w:rFonts w:ascii="David" w:eastAsia="Calibri" w:hAnsi="David"/>
          <w:rtl/>
        </w:rPr>
        <w:t>לדידו של הסנגור, מתחם העונש ההולם בגין המעשים בתיק דכאן נע בין ענישה טיפולית ועד ל-9 חודשי מאסר בעבודות שירות.</w:t>
      </w:r>
    </w:p>
    <w:p w14:paraId="17ABC474" w14:textId="77777777" w:rsidR="00C74530" w:rsidRPr="00C703CE" w:rsidRDefault="00C74530" w:rsidP="00C74530">
      <w:pPr>
        <w:spacing w:after="160" w:line="360" w:lineRule="auto"/>
        <w:jc w:val="both"/>
        <w:rPr>
          <w:rFonts w:ascii="David" w:eastAsia="Calibri" w:hAnsi="David"/>
          <w:rtl/>
        </w:rPr>
      </w:pPr>
    </w:p>
    <w:p w14:paraId="339C64AB" w14:textId="77777777" w:rsidR="00C74530" w:rsidRPr="00C703CE" w:rsidRDefault="00C74530" w:rsidP="00C74530">
      <w:pPr>
        <w:spacing w:after="160" w:line="360" w:lineRule="auto"/>
        <w:jc w:val="both"/>
        <w:rPr>
          <w:rFonts w:ascii="David" w:eastAsia="Calibri" w:hAnsi="David"/>
          <w:rtl/>
        </w:rPr>
      </w:pPr>
      <w:r w:rsidRPr="00C703CE">
        <w:rPr>
          <w:rFonts w:ascii="David" w:eastAsia="Calibri" w:hAnsi="David"/>
          <w:u w:val="single"/>
          <w:rtl/>
        </w:rPr>
        <w:t>דבריו של הנאשם</w:t>
      </w:r>
    </w:p>
    <w:p w14:paraId="11CEB563" w14:textId="77777777" w:rsidR="00C74530" w:rsidRPr="00C703CE" w:rsidRDefault="00C74530" w:rsidP="00C74530">
      <w:pPr>
        <w:spacing w:after="160" w:line="360" w:lineRule="auto"/>
        <w:jc w:val="both"/>
        <w:rPr>
          <w:rFonts w:ascii="David" w:eastAsia="Calibri" w:hAnsi="David"/>
          <w:rtl/>
        </w:rPr>
      </w:pPr>
      <w:r w:rsidRPr="00C703CE">
        <w:rPr>
          <w:rFonts w:ascii="David" w:eastAsia="Calibri" w:hAnsi="David"/>
          <w:rtl/>
        </w:rPr>
        <w:t xml:space="preserve">הנאשם ציין כי הוא מתחרט על מעשיו וברצונו לתקן אותם, הדגיש כי מוכן לבצע עבודות שירות, וכי מודע להשלכות התחייבותו לכך. </w:t>
      </w:r>
    </w:p>
    <w:p w14:paraId="42115275" w14:textId="77777777" w:rsidR="00C74530" w:rsidRPr="00C703CE" w:rsidRDefault="00C74530" w:rsidP="00C74530">
      <w:pPr>
        <w:spacing w:after="160" w:line="360" w:lineRule="auto"/>
        <w:jc w:val="both"/>
        <w:rPr>
          <w:rFonts w:ascii="David" w:eastAsia="Calibri" w:hAnsi="David"/>
          <w:rtl/>
        </w:rPr>
      </w:pPr>
    </w:p>
    <w:p w14:paraId="2D9534E3" w14:textId="77777777" w:rsidR="00C74530" w:rsidRPr="00C703CE" w:rsidRDefault="00C74530" w:rsidP="00C74530">
      <w:pPr>
        <w:spacing w:after="160" w:line="360" w:lineRule="auto"/>
        <w:jc w:val="both"/>
        <w:rPr>
          <w:rFonts w:ascii="David" w:eastAsia="Calibri" w:hAnsi="David"/>
          <w:b/>
          <w:bCs/>
          <w:u w:val="single"/>
          <w:rtl/>
        </w:rPr>
      </w:pPr>
      <w:r w:rsidRPr="00C703CE">
        <w:rPr>
          <w:rFonts w:ascii="David" w:eastAsia="Calibri" w:hAnsi="David"/>
          <w:b/>
          <w:bCs/>
          <w:u w:val="single"/>
          <w:rtl/>
        </w:rPr>
        <w:t>דיון והכרעה</w:t>
      </w:r>
    </w:p>
    <w:p w14:paraId="501AAEE6" w14:textId="77777777" w:rsidR="00C74530" w:rsidRPr="00C703CE" w:rsidRDefault="00C74530" w:rsidP="00C74530">
      <w:pPr>
        <w:spacing w:after="160" w:line="360" w:lineRule="auto"/>
        <w:jc w:val="both"/>
        <w:rPr>
          <w:rFonts w:ascii="David" w:eastAsia="Calibri" w:hAnsi="David"/>
          <w:color w:val="000000"/>
          <w:rtl/>
        </w:rPr>
      </w:pPr>
      <w:r w:rsidRPr="00C703CE">
        <w:rPr>
          <w:rFonts w:ascii="David" w:eastAsia="Calibri" w:hAnsi="David"/>
          <w:color w:val="000000"/>
          <w:rtl/>
        </w:rPr>
        <w:t>לנוכח הסיכון הרב הנשקף לשלום הציבור ולביטחונו כפועל יוצא משימוש בכלי-נשק חמים, קבע המחוקק איסור על החזקה של כלי-נשק בלא היתר. אמנם במקרה שלפנינו החזיק הנאשם רימון הלם, אך עם זאת האמור בכלי-נשק אשר לו פוטנציאל לגרום נזק לאדם בכפוף לקרבתו למוקד הפעלת הרימון.</w:t>
      </w:r>
    </w:p>
    <w:p w14:paraId="2AB47D81" w14:textId="77777777" w:rsidR="00C74530" w:rsidRPr="00C703CE" w:rsidRDefault="00C74530" w:rsidP="00C74530">
      <w:pPr>
        <w:spacing w:after="160" w:line="360" w:lineRule="auto"/>
        <w:jc w:val="both"/>
        <w:rPr>
          <w:rFonts w:ascii="Calibri" w:eastAsia="Calibri" w:hAnsi="Calibri"/>
          <w:b/>
          <w:bCs/>
          <w:rtl/>
        </w:rPr>
      </w:pPr>
      <w:r w:rsidRPr="00C703CE">
        <w:rPr>
          <w:rFonts w:ascii="Calibri" w:eastAsia="Calibri" w:hAnsi="Calibri"/>
          <w:rtl/>
        </w:rPr>
        <w:t xml:space="preserve">גזירת-הדין תיעשה להלן בהתאם לעקרונות שנקבעו בסימן </w:t>
      </w:r>
      <w:hyperlink r:id="rId21" w:history="1">
        <w:r w:rsidR="0050469E" w:rsidRPr="0050469E">
          <w:rPr>
            <w:rStyle w:val="Hyperlink"/>
            <w:rFonts w:ascii="Calibri" w:eastAsia="Calibri" w:hAnsi="Calibri"/>
            <w:color w:val="0000FF"/>
            <w:rtl/>
          </w:rPr>
          <w:t>א'1 שבפרק ו'</w:t>
        </w:r>
      </w:hyperlink>
      <w:r w:rsidRPr="00C703CE">
        <w:rPr>
          <w:rFonts w:ascii="Calibri" w:eastAsia="Calibri" w:hAnsi="Calibri"/>
          <w:rtl/>
        </w:rPr>
        <w:t xml:space="preserve"> ב</w:t>
      </w:r>
      <w:hyperlink r:id="rId22" w:history="1">
        <w:r w:rsidR="00893184" w:rsidRPr="00893184">
          <w:rPr>
            <w:rFonts w:ascii="Calibri" w:eastAsia="Calibri" w:hAnsi="Calibri" w:hint="cs"/>
            <w:color w:val="0000FF"/>
            <w:u w:val="single"/>
            <w:rtl/>
          </w:rPr>
          <w:t>חוק</w:t>
        </w:r>
        <w:r w:rsidR="00893184" w:rsidRPr="00893184">
          <w:rPr>
            <w:rFonts w:ascii="Calibri" w:eastAsia="Calibri" w:hAnsi="Calibri"/>
            <w:color w:val="0000FF"/>
            <w:u w:val="single"/>
            <w:rtl/>
          </w:rPr>
          <w:t xml:space="preserve"> </w:t>
        </w:r>
        <w:r w:rsidR="00893184" w:rsidRPr="00893184">
          <w:rPr>
            <w:rFonts w:ascii="Calibri" w:eastAsia="Calibri" w:hAnsi="Calibri" w:hint="cs"/>
            <w:color w:val="0000FF"/>
            <w:u w:val="single"/>
            <w:rtl/>
          </w:rPr>
          <w:t>העונשין</w:t>
        </w:r>
      </w:hyperlink>
      <w:r w:rsidRPr="00C703CE">
        <w:rPr>
          <w:rFonts w:ascii="Calibri" w:eastAsia="Calibri" w:hAnsi="Calibri"/>
          <w:rtl/>
        </w:rPr>
        <w:t xml:space="preserve"> שעניינו הבניית שיקול-הדעת השיפוטי בענישה. נקודת המוצא היא, כי העיקרון המנחה - עקרון ההלימה, הוא המתווה את תכלית הענישה. לאורו ייקבע מתחם העונש ההולם (תוך שימת לב </w:t>
      </w:r>
      <w:r w:rsidRPr="00C703CE">
        <w:rPr>
          <w:rFonts w:ascii="Calibri" w:eastAsia="Calibri" w:hAnsi="Calibri"/>
          <w:b/>
          <w:bCs/>
          <w:rtl/>
        </w:rPr>
        <w:t>לערכים החברתיים המוגנים</w:t>
      </w:r>
      <w:r w:rsidRPr="00C703CE">
        <w:rPr>
          <w:rFonts w:ascii="Calibri" w:eastAsia="Calibri" w:hAnsi="Calibri"/>
          <w:rtl/>
        </w:rPr>
        <w:t xml:space="preserve"> שבהם פגעו מעשיו של הנאשם, למידת הפגיעה בהם, </w:t>
      </w:r>
      <w:r w:rsidRPr="00C703CE">
        <w:rPr>
          <w:rFonts w:ascii="Calibri" w:eastAsia="Calibri" w:hAnsi="Calibri"/>
          <w:b/>
          <w:bCs/>
          <w:rtl/>
        </w:rPr>
        <w:t>למדיניות הענישה הנהוגה</w:t>
      </w:r>
      <w:r w:rsidRPr="00C703CE">
        <w:rPr>
          <w:rFonts w:ascii="Calibri" w:eastAsia="Calibri" w:hAnsi="Calibri"/>
          <w:rtl/>
        </w:rPr>
        <w:t xml:space="preserve"> </w:t>
      </w:r>
      <w:r w:rsidRPr="00C703CE">
        <w:rPr>
          <w:rFonts w:ascii="Calibri" w:eastAsia="Calibri" w:hAnsi="Calibri"/>
          <w:b/>
          <w:bCs/>
          <w:rtl/>
        </w:rPr>
        <w:t>ולנסיבות הקשורות בביצוע העבירות</w:t>
      </w:r>
      <w:r w:rsidRPr="00C703CE">
        <w:rPr>
          <w:rFonts w:ascii="Calibri" w:eastAsia="Calibri" w:hAnsi="Calibri"/>
          <w:rtl/>
        </w:rPr>
        <w:t xml:space="preserve">). לאחר מכן, בשים לב לאותו מתחם וככל שבית-המשפט לא מצא לנכון לסטות הימנו מטעמים של שיקום או של הגנה על הציבור, תישקל השאלה איזה עונש יש להתאים לנאשם מתוך התחשבות בנסיבותיו האישיות ונתונים נוספים, </w:t>
      </w:r>
      <w:r w:rsidRPr="00C703CE">
        <w:rPr>
          <w:rFonts w:ascii="Calibri" w:eastAsia="Calibri" w:hAnsi="Calibri"/>
          <w:b/>
          <w:bCs/>
          <w:rtl/>
        </w:rPr>
        <w:t>הנסיבות שאינן קשורות בביצוע העבירה</w:t>
      </w:r>
      <w:r w:rsidRPr="00C703CE">
        <w:rPr>
          <w:rFonts w:ascii="Calibri" w:eastAsia="Calibri" w:hAnsi="Calibri"/>
          <w:rtl/>
        </w:rPr>
        <w:t xml:space="preserve">. </w:t>
      </w:r>
    </w:p>
    <w:p w14:paraId="693F906F" w14:textId="77777777" w:rsidR="00C74530" w:rsidRPr="00C703CE" w:rsidRDefault="00C74530" w:rsidP="00C74530">
      <w:pPr>
        <w:spacing w:after="160" w:line="360" w:lineRule="auto"/>
        <w:jc w:val="both"/>
        <w:rPr>
          <w:rFonts w:ascii="David" w:eastAsia="Calibri" w:hAnsi="David"/>
          <w:color w:val="000000"/>
          <w:rtl/>
        </w:rPr>
      </w:pPr>
      <w:r w:rsidRPr="00C703CE">
        <w:rPr>
          <w:rFonts w:ascii="David" w:eastAsia="Calibri" w:hAnsi="David"/>
          <w:color w:val="000000"/>
          <w:rtl/>
        </w:rPr>
        <w:t>מתאימים לענייננו דבריו של כב' השופט ג' קרא ב</w:t>
      </w:r>
      <w:hyperlink r:id="rId23" w:history="1">
        <w:r w:rsidR="00893184" w:rsidRPr="00893184">
          <w:rPr>
            <w:rFonts w:ascii="David" w:eastAsia="Calibri" w:hAnsi="David"/>
            <w:color w:val="0000FF"/>
            <w:u w:val="single"/>
            <w:rtl/>
          </w:rPr>
          <w:t>ע"פ 6327/17</w:t>
        </w:r>
      </w:hyperlink>
      <w:r w:rsidRPr="00C703CE">
        <w:rPr>
          <w:rFonts w:ascii="David" w:eastAsia="Calibri" w:hAnsi="David"/>
          <w:color w:val="000000"/>
          <w:rtl/>
        </w:rPr>
        <w:t xml:space="preserve"> </w:t>
      </w:r>
      <w:r w:rsidRPr="00C703CE">
        <w:rPr>
          <w:rFonts w:ascii="David" w:eastAsia="Calibri" w:hAnsi="David"/>
          <w:b/>
          <w:bCs/>
          <w:color w:val="000000"/>
          <w:rtl/>
        </w:rPr>
        <w:t>יוסבאשוילי נ' מדינת ישראל</w:t>
      </w:r>
      <w:r w:rsidRPr="00C703CE">
        <w:rPr>
          <w:rFonts w:ascii="David" w:eastAsia="Calibri" w:hAnsi="David"/>
          <w:color w:val="000000"/>
          <w:rtl/>
        </w:rPr>
        <w:t>, ניתן ביום 28.3.18:</w:t>
      </w:r>
    </w:p>
    <w:p w14:paraId="4694D29B" w14:textId="77777777" w:rsidR="00C74530" w:rsidRPr="00C703CE" w:rsidRDefault="00C74530" w:rsidP="00C74530">
      <w:pPr>
        <w:spacing w:after="160" w:line="276" w:lineRule="auto"/>
        <w:ind w:left="850" w:right="935"/>
        <w:jc w:val="both"/>
        <w:rPr>
          <w:rFonts w:ascii="Calibri Light" w:eastAsia="Calibri" w:hAnsi="Calibri Light" w:cs="Calibri Light"/>
          <w:color w:val="000000"/>
          <w:rtl/>
        </w:rPr>
      </w:pPr>
      <w:r w:rsidRPr="00C703CE">
        <w:rPr>
          <w:rFonts w:ascii="Calibri Light" w:eastAsia="Calibri" w:hAnsi="Calibri Light" w:cs="Calibri Light"/>
          <w:color w:val="000000"/>
          <w:rtl/>
        </w:rPr>
        <w:t>"</w:t>
      </w:r>
      <w:r w:rsidRPr="00C703CE">
        <w:rPr>
          <w:rFonts w:ascii="Calibri Light" w:eastAsia="Calibri" w:hAnsi="Calibri Light" w:cs="Times New Roman"/>
          <w:b/>
          <w:bCs/>
          <w:color w:val="000000"/>
          <w:spacing w:val="10"/>
          <w:shd w:val="clear" w:color="auto" w:fill="FFFFFF"/>
          <w:rtl/>
        </w:rPr>
        <w:t>עבירות הנשק בהן הורשע המערער הן עבירות חמורות חרף העובדה שרימוני גז והלם אינם נחשבים ל</w:t>
      </w:r>
      <w:r w:rsidRPr="00C703CE">
        <w:rPr>
          <w:rFonts w:ascii="Calibri Light" w:eastAsia="Calibri" w:hAnsi="Calibri Light" w:cs="Calibri Light"/>
          <w:b/>
          <w:bCs/>
          <w:color w:val="000000"/>
          <w:spacing w:val="10"/>
          <w:shd w:val="clear" w:color="auto" w:fill="FFFFFF"/>
          <w:rtl/>
        </w:rPr>
        <w:t>"</w:t>
      </w:r>
      <w:r w:rsidRPr="00C703CE">
        <w:rPr>
          <w:rFonts w:ascii="Calibri Light" w:eastAsia="Calibri" w:hAnsi="Calibri Light" w:cs="Times New Roman"/>
          <w:b/>
          <w:bCs/>
          <w:color w:val="000000"/>
          <w:spacing w:val="10"/>
          <w:shd w:val="clear" w:color="auto" w:fill="FFFFFF"/>
          <w:rtl/>
        </w:rPr>
        <w:t>נשק קטלני</w:t>
      </w:r>
      <w:r w:rsidRPr="00C703CE">
        <w:rPr>
          <w:rFonts w:ascii="Calibri Light" w:eastAsia="Calibri" w:hAnsi="Calibri Light" w:cs="Calibri Light"/>
          <w:b/>
          <w:bCs/>
          <w:color w:val="000000"/>
          <w:spacing w:val="10"/>
          <w:shd w:val="clear" w:color="auto" w:fill="FFFFFF"/>
          <w:rtl/>
        </w:rPr>
        <w:t>"</w:t>
      </w:r>
      <w:r w:rsidRPr="00C703CE">
        <w:rPr>
          <w:rFonts w:ascii="Calibri Light" w:eastAsia="Calibri" w:hAnsi="Calibri Light" w:cs="Calibri Light"/>
          <w:color w:val="000000"/>
          <w:spacing w:val="10"/>
          <w:shd w:val="clear" w:color="auto" w:fill="FFFFFF"/>
          <w:rtl/>
        </w:rPr>
        <w:t xml:space="preserve">. </w:t>
      </w:r>
      <w:r w:rsidRPr="00C703CE">
        <w:rPr>
          <w:rFonts w:ascii="Calibri Light" w:eastAsia="Calibri" w:hAnsi="Calibri Light" w:cs="Times New Roman"/>
          <w:color w:val="000000"/>
          <w:spacing w:val="10"/>
          <w:shd w:val="clear" w:color="auto" w:fill="FFFFFF"/>
          <w:rtl/>
        </w:rPr>
        <w:t>הרי הם עונים להגדרת נשק</w:t>
      </w:r>
      <w:r w:rsidRPr="00C703CE">
        <w:rPr>
          <w:rFonts w:ascii="Calibri Light" w:eastAsia="Calibri" w:hAnsi="Calibri Light" w:cs="Calibri Light"/>
          <w:color w:val="000000"/>
          <w:spacing w:val="10"/>
          <w:shd w:val="clear" w:color="auto" w:fill="FFFFFF"/>
          <w:rtl/>
        </w:rPr>
        <w:t xml:space="preserve">, </w:t>
      </w:r>
      <w:r w:rsidRPr="00C703CE">
        <w:rPr>
          <w:rFonts w:ascii="Calibri Light" w:eastAsia="Calibri" w:hAnsi="Calibri Light" w:cs="Times New Roman"/>
          <w:color w:val="000000"/>
          <w:spacing w:val="10"/>
          <w:shd w:val="clear" w:color="auto" w:fill="FFFFFF"/>
          <w:rtl/>
        </w:rPr>
        <w:t>ולהם פוטנציאל לגרימת נזק</w:t>
      </w:r>
      <w:r w:rsidRPr="00C703CE">
        <w:rPr>
          <w:rFonts w:ascii="Calibri Light" w:eastAsia="Calibri" w:hAnsi="Calibri Light" w:cs="Calibri Light"/>
          <w:color w:val="000000"/>
          <w:spacing w:val="10"/>
          <w:shd w:val="clear" w:color="auto" w:fill="FFFFFF"/>
          <w:rtl/>
        </w:rPr>
        <w:t xml:space="preserve">. </w:t>
      </w:r>
      <w:r w:rsidRPr="00C703CE">
        <w:rPr>
          <w:rFonts w:ascii="Calibri Light" w:eastAsia="Calibri" w:hAnsi="Calibri Light" w:cs="Times New Roman"/>
          <w:b/>
          <w:bCs/>
          <w:color w:val="000000"/>
          <w:spacing w:val="10"/>
          <w:shd w:val="clear" w:color="auto" w:fill="FFFFFF"/>
          <w:rtl/>
        </w:rPr>
        <w:t>עדיין</w:t>
      </w:r>
      <w:r w:rsidRPr="00C703CE">
        <w:rPr>
          <w:rFonts w:ascii="Calibri Light" w:eastAsia="Calibri" w:hAnsi="Calibri Light" w:cs="Calibri Light"/>
          <w:b/>
          <w:bCs/>
          <w:color w:val="000000"/>
          <w:spacing w:val="10"/>
          <w:shd w:val="clear" w:color="auto" w:fill="FFFFFF"/>
          <w:rtl/>
        </w:rPr>
        <w:t>,</w:t>
      </w:r>
      <w:r w:rsidRPr="00C703CE">
        <w:rPr>
          <w:rFonts w:ascii="Calibri Light" w:eastAsia="Calibri" w:hAnsi="Calibri Light" w:cs="Calibri Light"/>
          <w:color w:val="000000"/>
          <w:spacing w:val="10"/>
          <w:shd w:val="clear" w:color="auto" w:fill="FFFFFF"/>
          <w:rtl/>
        </w:rPr>
        <w:t xml:space="preserve"> </w:t>
      </w:r>
      <w:r w:rsidRPr="00C703CE">
        <w:rPr>
          <w:rFonts w:ascii="Calibri Light" w:eastAsia="Calibri" w:hAnsi="Calibri Light" w:cs="Times New Roman"/>
          <w:b/>
          <w:bCs/>
          <w:color w:val="000000"/>
          <w:spacing w:val="10"/>
          <w:shd w:val="clear" w:color="auto" w:fill="FFFFFF"/>
          <w:rtl/>
        </w:rPr>
        <w:t>הבחינה הפסיקה בכל הנוגע למידת הענישה בין החזקת נשק קטלני</w:t>
      </w:r>
      <w:r w:rsidRPr="00C703CE">
        <w:rPr>
          <w:rFonts w:ascii="Calibri Light" w:eastAsia="Calibri" w:hAnsi="Calibri Light" w:cs="Calibri Light"/>
          <w:b/>
          <w:bCs/>
          <w:color w:val="000000"/>
          <w:spacing w:val="10"/>
          <w:shd w:val="clear" w:color="auto" w:fill="FFFFFF"/>
          <w:rtl/>
        </w:rPr>
        <w:t xml:space="preserve">, </w:t>
      </w:r>
      <w:r w:rsidRPr="00C703CE">
        <w:rPr>
          <w:rFonts w:ascii="Calibri Light" w:eastAsia="Calibri" w:hAnsi="Calibri Light" w:cs="Times New Roman"/>
          <w:b/>
          <w:bCs/>
          <w:color w:val="000000"/>
          <w:spacing w:val="10"/>
          <w:shd w:val="clear" w:color="auto" w:fill="FFFFFF"/>
          <w:rtl/>
        </w:rPr>
        <w:t>רימוני רסס</w:t>
      </w:r>
      <w:r w:rsidRPr="00C703CE">
        <w:rPr>
          <w:rFonts w:ascii="Calibri Light" w:eastAsia="Calibri" w:hAnsi="Calibri Light" w:cs="Calibri Light"/>
          <w:b/>
          <w:bCs/>
          <w:color w:val="000000"/>
          <w:spacing w:val="10"/>
          <w:shd w:val="clear" w:color="auto" w:fill="FFFFFF"/>
          <w:rtl/>
        </w:rPr>
        <w:t xml:space="preserve">, </w:t>
      </w:r>
      <w:r w:rsidRPr="00C703CE">
        <w:rPr>
          <w:rFonts w:ascii="Calibri Light" w:eastAsia="Calibri" w:hAnsi="Calibri Light" w:cs="Times New Roman"/>
          <w:b/>
          <w:bCs/>
          <w:color w:val="000000"/>
          <w:spacing w:val="10"/>
          <w:shd w:val="clear" w:color="auto" w:fill="FFFFFF"/>
          <w:rtl/>
        </w:rPr>
        <w:t xml:space="preserve">לבין החזקת רימונים </w:t>
      </w:r>
      <w:r w:rsidRPr="00C703CE">
        <w:rPr>
          <w:rFonts w:ascii="Calibri Light" w:eastAsia="Calibri" w:hAnsi="Calibri Light" w:cs="Calibri Light"/>
          <w:b/>
          <w:bCs/>
          <w:color w:val="000000"/>
          <w:spacing w:val="10"/>
          <w:shd w:val="clear" w:color="auto" w:fill="FFFFFF"/>
          <w:rtl/>
        </w:rPr>
        <w:t>"</w:t>
      </w:r>
      <w:r w:rsidRPr="00C703CE">
        <w:rPr>
          <w:rFonts w:ascii="Calibri Light" w:eastAsia="Calibri" w:hAnsi="Calibri Light" w:cs="Times New Roman"/>
          <w:b/>
          <w:bCs/>
          <w:color w:val="000000"/>
          <w:spacing w:val="10"/>
          <w:shd w:val="clear" w:color="auto" w:fill="FFFFFF"/>
          <w:rtl/>
        </w:rPr>
        <w:t>רגילים</w:t>
      </w:r>
      <w:r w:rsidRPr="00C703CE">
        <w:rPr>
          <w:rFonts w:ascii="Calibri Light" w:eastAsia="Calibri" w:hAnsi="Calibri Light" w:cs="Calibri Light"/>
          <w:b/>
          <w:bCs/>
          <w:color w:val="000000"/>
          <w:spacing w:val="10"/>
          <w:shd w:val="clear" w:color="auto" w:fill="FFFFFF"/>
          <w:rtl/>
        </w:rPr>
        <w:t>". "</w:t>
      </w:r>
      <w:r w:rsidRPr="00C703CE">
        <w:rPr>
          <w:rFonts w:ascii="Calibri Light" w:eastAsia="Calibri" w:hAnsi="Calibri Light" w:cs="Times New Roman"/>
          <w:b/>
          <w:bCs/>
          <w:color w:val="000000"/>
          <w:spacing w:val="10"/>
          <w:shd w:val="clear" w:color="auto" w:fill="FFFFFF"/>
          <w:rtl/>
        </w:rPr>
        <w:t xml:space="preserve">דרגת החומרה הנעוצה בהחזקת רימונים כאלה פחותה מדרגת החומרה שבהחזקת רימונים </w:t>
      </w:r>
      <w:r w:rsidRPr="00C703CE">
        <w:rPr>
          <w:rFonts w:ascii="Calibri Light" w:eastAsia="Calibri" w:hAnsi="Calibri Light" w:cs="Calibri Light"/>
          <w:b/>
          <w:bCs/>
          <w:color w:val="000000"/>
          <w:spacing w:val="10"/>
          <w:shd w:val="clear" w:color="auto" w:fill="FFFFFF"/>
          <w:rtl/>
        </w:rPr>
        <w:t>'</w:t>
      </w:r>
      <w:r w:rsidRPr="00C703CE">
        <w:rPr>
          <w:rFonts w:ascii="Calibri Light" w:eastAsia="Calibri" w:hAnsi="Calibri Light" w:cs="Times New Roman"/>
          <w:b/>
          <w:bCs/>
          <w:color w:val="000000"/>
          <w:spacing w:val="10"/>
          <w:shd w:val="clear" w:color="auto" w:fill="FFFFFF"/>
          <w:rtl/>
        </w:rPr>
        <w:t>רגילים</w:t>
      </w:r>
      <w:r w:rsidRPr="00C703CE">
        <w:rPr>
          <w:rFonts w:ascii="Calibri Light" w:eastAsia="Calibri" w:hAnsi="Calibri Light" w:cs="Calibri Light"/>
          <w:b/>
          <w:bCs/>
          <w:color w:val="000000"/>
          <w:spacing w:val="10"/>
          <w:shd w:val="clear" w:color="auto" w:fill="FFFFFF"/>
          <w:rtl/>
        </w:rPr>
        <w:t>'</w:t>
      </w:r>
      <w:r w:rsidRPr="00C703CE">
        <w:rPr>
          <w:rFonts w:ascii="Calibri Light" w:eastAsia="Calibri" w:hAnsi="Calibri Light" w:cs="Calibri Light"/>
          <w:color w:val="000000"/>
          <w:spacing w:val="10"/>
          <w:shd w:val="clear" w:color="auto" w:fill="FFFFFF"/>
          <w:rtl/>
        </w:rPr>
        <w:t xml:space="preserve">. </w:t>
      </w:r>
      <w:r w:rsidRPr="00C703CE">
        <w:rPr>
          <w:rFonts w:ascii="Calibri Light" w:eastAsia="Calibri" w:hAnsi="Calibri Light" w:cs="Times New Roman"/>
          <w:color w:val="000000"/>
          <w:spacing w:val="10"/>
          <w:shd w:val="clear" w:color="auto" w:fill="FFFFFF"/>
          <w:rtl/>
        </w:rPr>
        <w:t>ענין זה נוגע לענין העונש ולא להרשעה</w:t>
      </w:r>
      <w:r w:rsidRPr="00C703CE">
        <w:rPr>
          <w:rFonts w:ascii="Calibri Light" w:eastAsia="Calibri" w:hAnsi="Calibri Light" w:cs="Calibri Light"/>
          <w:color w:val="000000"/>
          <w:spacing w:val="10"/>
          <w:shd w:val="clear" w:color="auto" w:fill="FFFFFF"/>
        </w:rPr>
        <w:t>"</w:t>
      </w:r>
      <w:r w:rsidRPr="00C703CE">
        <w:rPr>
          <w:rFonts w:ascii="Calibri Light" w:eastAsia="Calibri" w:hAnsi="Calibri Light" w:cs="Calibri Light"/>
          <w:color w:val="000000"/>
          <w:rtl/>
        </w:rPr>
        <w:t xml:space="preserve"> (</w:t>
      </w:r>
      <w:r w:rsidRPr="00C703CE">
        <w:rPr>
          <w:rFonts w:ascii="Calibri Light" w:eastAsia="Calibri" w:hAnsi="Calibri Light" w:cs="Times New Roman"/>
          <w:b/>
          <w:bCs/>
          <w:color w:val="000000"/>
          <w:rtl/>
        </w:rPr>
        <w:t>ההדגשה אינה במקור</w:t>
      </w:r>
      <w:r w:rsidRPr="00C703CE">
        <w:rPr>
          <w:rFonts w:ascii="Calibri Light" w:eastAsia="Calibri" w:hAnsi="Calibri Light" w:cs="Calibri Light"/>
          <w:color w:val="000000"/>
          <w:rtl/>
        </w:rPr>
        <w:t>).</w:t>
      </w:r>
    </w:p>
    <w:p w14:paraId="56606DCE" w14:textId="77777777" w:rsidR="00C74530" w:rsidRPr="00C703CE" w:rsidRDefault="00C74530" w:rsidP="00C74530">
      <w:pPr>
        <w:spacing w:after="160" w:line="360" w:lineRule="auto"/>
        <w:jc w:val="both"/>
        <w:rPr>
          <w:rFonts w:ascii="David" w:eastAsia="Calibri" w:hAnsi="David"/>
          <w:color w:val="000000"/>
          <w:rtl/>
        </w:rPr>
      </w:pPr>
      <w:r w:rsidRPr="00C703CE">
        <w:rPr>
          <w:rFonts w:ascii="David" w:eastAsia="Calibri" w:hAnsi="David"/>
          <w:color w:val="000000"/>
          <w:rtl/>
        </w:rPr>
        <w:t xml:space="preserve">עוד יפים לענייננו דבריו של השופט א' שהם שנכתבו במסגרתו של </w:t>
      </w:r>
      <w:hyperlink r:id="rId24" w:history="1">
        <w:r w:rsidR="00893184" w:rsidRPr="00893184">
          <w:rPr>
            <w:rFonts w:ascii="David" w:eastAsia="Calibri" w:hAnsi="David"/>
            <w:color w:val="0000FF"/>
            <w:u w:val="single"/>
            <w:rtl/>
          </w:rPr>
          <w:t>ע"פ 7386/13</w:t>
        </w:r>
      </w:hyperlink>
      <w:r w:rsidRPr="00C703CE">
        <w:rPr>
          <w:rFonts w:ascii="David" w:eastAsia="Calibri" w:hAnsi="David"/>
          <w:color w:val="000000"/>
          <w:rtl/>
        </w:rPr>
        <w:t xml:space="preserve"> </w:t>
      </w:r>
      <w:r w:rsidRPr="00C703CE">
        <w:rPr>
          <w:rFonts w:ascii="David" w:eastAsia="Calibri" w:hAnsi="David"/>
          <w:b/>
          <w:bCs/>
          <w:color w:val="000000"/>
          <w:rtl/>
        </w:rPr>
        <w:t>עווד נ' מדינת ישראל</w:t>
      </w:r>
      <w:r w:rsidRPr="00C703CE">
        <w:rPr>
          <w:rFonts w:ascii="David" w:eastAsia="Calibri" w:hAnsi="David"/>
          <w:color w:val="000000"/>
          <w:rtl/>
        </w:rPr>
        <w:t>, ניתן יום 23.3.14:</w:t>
      </w:r>
    </w:p>
    <w:p w14:paraId="4C616E72" w14:textId="77777777" w:rsidR="00C74530" w:rsidRPr="00C703CE" w:rsidRDefault="00C74530" w:rsidP="00C74530">
      <w:pPr>
        <w:shd w:val="clear" w:color="auto" w:fill="FFFFFF"/>
        <w:spacing w:line="276" w:lineRule="auto"/>
        <w:ind w:left="850" w:right="935"/>
        <w:jc w:val="both"/>
        <w:rPr>
          <w:rFonts w:ascii="Calibri Light" w:hAnsi="Calibri Light" w:cs="Calibri Light"/>
          <w:color w:val="000000"/>
          <w:spacing w:val="10"/>
          <w:rtl/>
        </w:rPr>
      </w:pPr>
      <w:r w:rsidRPr="00C703CE">
        <w:rPr>
          <w:rFonts w:ascii="Calibri Light" w:hAnsi="Calibri Light" w:cs="Calibri Light"/>
          <w:color w:val="000000"/>
          <w:spacing w:val="10"/>
          <w:rtl/>
        </w:rPr>
        <w:t>"</w:t>
      </w:r>
      <w:r w:rsidRPr="00C703CE">
        <w:rPr>
          <w:rFonts w:ascii="Calibri Light" w:hAnsi="Calibri Light" w:cs="Times New Roman"/>
          <w:color w:val="000000"/>
          <w:spacing w:val="10"/>
          <w:rtl/>
        </w:rPr>
        <w:t>אשר לטענה</w:t>
      </w:r>
      <w:r w:rsidRPr="00C703CE">
        <w:rPr>
          <w:rFonts w:ascii="Calibri Light" w:hAnsi="Calibri Light" w:cs="Calibri Light"/>
          <w:color w:val="000000"/>
          <w:spacing w:val="10"/>
          <w:rtl/>
        </w:rPr>
        <w:t xml:space="preserve">, </w:t>
      </w:r>
      <w:r w:rsidRPr="00C703CE">
        <w:rPr>
          <w:rFonts w:ascii="Calibri Light" w:hAnsi="Calibri Light" w:cs="Times New Roman"/>
          <w:color w:val="000000"/>
          <w:spacing w:val="10"/>
          <w:rtl/>
        </w:rPr>
        <w:t>לפיה מדובר ברימון הלם שאינו מסוכן כמו כלי נשק אחרים</w:t>
      </w:r>
      <w:r w:rsidRPr="00C703CE">
        <w:rPr>
          <w:rFonts w:ascii="Calibri Light" w:hAnsi="Calibri Light" w:cs="Calibri Light"/>
          <w:color w:val="000000"/>
          <w:spacing w:val="10"/>
          <w:rtl/>
        </w:rPr>
        <w:t xml:space="preserve">, </w:t>
      </w:r>
      <w:r w:rsidRPr="00C703CE">
        <w:rPr>
          <w:rFonts w:ascii="Calibri Light" w:hAnsi="Calibri Light" w:cs="Times New Roman"/>
          <w:color w:val="000000"/>
          <w:spacing w:val="10"/>
          <w:rtl/>
        </w:rPr>
        <w:t xml:space="preserve">יש להפנות לכתב האישום שבו נאמר כי מדובר ברימון </w:t>
      </w:r>
      <w:r w:rsidRPr="00C703CE">
        <w:rPr>
          <w:rFonts w:ascii="Calibri Light" w:hAnsi="Calibri Light" w:cs="Calibri Light"/>
          <w:color w:val="000000"/>
          <w:spacing w:val="10"/>
          <w:rtl/>
        </w:rPr>
        <w:t>"</w:t>
      </w:r>
      <w:r w:rsidRPr="00C703CE">
        <w:rPr>
          <w:rFonts w:ascii="Calibri Light" w:hAnsi="Calibri Light" w:cs="Times New Roman"/>
          <w:color w:val="000000"/>
          <w:rtl/>
        </w:rPr>
        <w:t>שבכוחו לגרום לפגיעה גופנית</w:t>
      </w:r>
      <w:r w:rsidRPr="00C703CE">
        <w:rPr>
          <w:rFonts w:ascii="Calibri Light" w:hAnsi="Calibri Light" w:cs="Calibri Light"/>
          <w:color w:val="000000"/>
          <w:spacing w:val="10"/>
          <w:rtl/>
        </w:rPr>
        <w:t>".</w:t>
      </w:r>
    </w:p>
    <w:p w14:paraId="50D6F9DC" w14:textId="77777777" w:rsidR="00C74530" w:rsidRPr="00C703CE" w:rsidRDefault="00C74530" w:rsidP="00C74530">
      <w:pPr>
        <w:shd w:val="clear" w:color="auto" w:fill="FFFFFF"/>
        <w:spacing w:line="276" w:lineRule="auto"/>
        <w:ind w:left="850" w:right="935"/>
        <w:jc w:val="both"/>
        <w:rPr>
          <w:rFonts w:ascii="Calibri Light" w:hAnsi="Calibri Light" w:cs="Calibri Light"/>
          <w:color w:val="000000"/>
          <w:spacing w:val="10"/>
        </w:rPr>
      </w:pPr>
      <w:r w:rsidRPr="00C703CE">
        <w:rPr>
          <w:rFonts w:ascii="Calibri Light" w:hAnsi="Calibri Light" w:cs="Times New Roman"/>
          <w:color w:val="000000"/>
          <w:spacing w:val="10"/>
          <w:rtl/>
        </w:rPr>
        <w:t>כפי שנקבע בעניין</w:t>
      </w:r>
      <w:r w:rsidR="00893184">
        <w:rPr>
          <w:rFonts w:ascii="Calibri Light" w:hAnsi="Calibri Light" w:cs="Times New Roman"/>
          <w:color w:val="000000"/>
          <w:spacing w:val="10"/>
          <w:rtl/>
        </w:rPr>
        <w:t xml:space="preserve"> </w:t>
      </w:r>
      <w:r w:rsidRPr="00C703CE">
        <w:rPr>
          <w:rFonts w:ascii="Calibri Light" w:hAnsi="Calibri Light" w:cs="Times New Roman"/>
          <w:color w:val="000000"/>
          <w:rtl/>
        </w:rPr>
        <w:t>חסן</w:t>
      </w:r>
      <w:r w:rsidRPr="00C703CE">
        <w:rPr>
          <w:rFonts w:ascii="Calibri Light" w:hAnsi="Calibri Light" w:cs="Calibri Light"/>
          <w:color w:val="000000"/>
          <w:spacing w:val="10"/>
          <w:rtl/>
        </w:rPr>
        <w:t xml:space="preserve">, </w:t>
      </w:r>
      <w:r w:rsidRPr="00C703CE">
        <w:rPr>
          <w:rFonts w:ascii="Calibri Light" w:hAnsi="Calibri Light" w:cs="Times New Roman"/>
          <w:b/>
          <w:bCs/>
          <w:color w:val="000000"/>
          <w:spacing w:val="10"/>
          <w:rtl/>
        </w:rPr>
        <w:t xml:space="preserve">גם אם סכנתו של רימון ההלם פחותה משל רימון רסס </w:t>
      </w:r>
      <w:r w:rsidRPr="00C703CE">
        <w:rPr>
          <w:rFonts w:ascii="Calibri Light" w:hAnsi="Calibri Light" w:cs="Calibri Light"/>
          <w:b/>
          <w:bCs/>
          <w:color w:val="000000"/>
          <w:spacing w:val="10"/>
          <w:rtl/>
        </w:rPr>
        <w:t>"</w:t>
      </w:r>
      <w:r w:rsidRPr="00C703CE">
        <w:rPr>
          <w:rFonts w:ascii="Calibri Light" w:hAnsi="Calibri Light" w:cs="Times New Roman"/>
          <w:b/>
          <w:bCs/>
          <w:color w:val="000000"/>
          <w:rtl/>
        </w:rPr>
        <w:t>עדיין מדובר בנשק שבכוחו לגרום פציעה לאדם</w:t>
      </w:r>
      <w:r w:rsidRPr="00C703CE">
        <w:rPr>
          <w:rFonts w:ascii="Calibri Light" w:hAnsi="Calibri Light" w:cs="Calibri Light"/>
          <w:b/>
          <w:bCs/>
          <w:color w:val="000000"/>
          <w:rtl/>
        </w:rPr>
        <w:t xml:space="preserve">, </w:t>
      </w:r>
      <w:r w:rsidRPr="00C703CE">
        <w:rPr>
          <w:rFonts w:ascii="Calibri Light" w:hAnsi="Calibri Light" w:cs="Times New Roman"/>
          <w:b/>
          <w:bCs/>
          <w:color w:val="000000"/>
          <w:rtl/>
        </w:rPr>
        <w:t>בכפוף לקרבתו למוקד הפעלתו</w:t>
      </w:r>
      <w:r w:rsidRPr="00C703CE">
        <w:rPr>
          <w:rFonts w:ascii="Calibri Light" w:hAnsi="Calibri Light" w:cs="Calibri Light"/>
          <w:color w:val="000000"/>
          <w:spacing w:val="10"/>
          <w:rtl/>
        </w:rPr>
        <w:t xml:space="preserve">"" </w:t>
      </w:r>
      <w:r w:rsidRPr="00C703CE">
        <w:rPr>
          <w:rFonts w:ascii="Calibri Light" w:hAnsi="Calibri Light" w:cs="Calibri Light"/>
          <w:color w:val="000000"/>
          <w:rtl/>
        </w:rPr>
        <w:t>(</w:t>
      </w:r>
      <w:r w:rsidRPr="00C703CE">
        <w:rPr>
          <w:rFonts w:ascii="Calibri Light" w:hAnsi="Calibri Light" w:cs="Times New Roman"/>
          <w:b/>
          <w:bCs/>
          <w:color w:val="000000"/>
          <w:rtl/>
        </w:rPr>
        <w:t>ההדגשה אינה במקור</w:t>
      </w:r>
      <w:r w:rsidRPr="00C703CE">
        <w:rPr>
          <w:rFonts w:ascii="Calibri Light" w:hAnsi="Calibri Light" w:cs="Calibri Light"/>
          <w:color w:val="000000"/>
          <w:rtl/>
        </w:rPr>
        <w:t>)</w:t>
      </w:r>
      <w:r w:rsidRPr="00C703CE">
        <w:rPr>
          <w:rFonts w:ascii="Calibri Light" w:hAnsi="Calibri Light" w:cs="Calibri Light"/>
          <w:color w:val="000000"/>
          <w:spacing w:val="10"/>
          <w:rtl/>
        </w:rPr>
        <w:t>.</w:t>
      </w:r>
    </w:p>
    <w:p w14:paraId="623C3CB8" w14:textId="77777777" w:rsidR="00C74530" w:rsidRPr="00C703CE" w:rsidRDefault="00C74530" w:rsidP="00C74530">
      <w:pPr>
        <w:shd w:val="clear" w:color="auto" w:fill="FFFFFF"/>
        <w:spacing w:line="276" w:lineRule="auto"/>
        <w:ind w:right="935"/>
        <w:jc w:val="both"/>
        <w:rPr>
          <w:rFonts w:ascii="Calibri Light" w:hAnsi="Calibri Light" w:cs="Calibri Light"/>
          <w:color w:val="000000"/>
          <w:spacing w:val="10"/>
          <w:rtl/>
        </w:rPr>
      </w:pPr>
    </w:p>
    <w:p w14:paraId="3BF249D8" w14:textId="77777777" w:rsidR="00C74530" w:rsidRPr="00C703CE" w:rsidRDefault="00C74530" w:rsidP="00C74530">
      <w:pPr>
        <w:spacing w:after="160" w:line="360" w:lineRule="auto"/>
        <w:jc w:val="both"/>
        <w:rPr>
          <w:rFonts w:ascii="David" w:eastAsia="Calibri" w:hAnsi="David"/>
          <w:rtl/>
        </w:rPr>
      </w:pPr>
      <w:r w:rsidRPr="00C703CE">
        <w:rPr>
          <w:rFonts w:ascii="David" w:eastAsia="Calibri" w:hAnsi="David"/>
          <w:rtl/>
        </w:rPr>
        <w:t xml:space="preserve">מעשיו של הנאשם דכאן מבטאים פגיעה חמורה בשלום הציבור ובביטחונו. ראוי כי על מעשים מסוג זה תוטל תגובה עונשית הולמת, כנגזרת מן האינטרס הציבורי למנוע, או לכל הפחות לצמצם ככל הניתן, את תופעת ההחזקה הבלתי-חוקית בנשק. </w:t>
      </w:r>
    </w:p>
    <w:p w14:paraId="5907A5A1" w14:textId="77777777" w:rsidR="00C74530" w:rsidRPr="00C703CE" w:rsidRDefault="00C74530" w:rsidP="00C74530">
      <w:pPr>
        <w:spacing w:after="160" w:line="360" w:lineRule="auto"/>
        <w:jc w:val="both"/>
        <w:rPr>
          <w:rFonts w:ascii="David" w:eastAsia="Calibri" w:hAnsi="David"/>
          <w:rtl/>
        </w:rPr>
      </w:pPr>
      <w:r w:rsidRPr="00C703CE">
        <w:rPr>
          <w:rFonts w:ascii="David" w:eastAsia="Calibri" w:hAnsi="David"/>
          <w:rtl/>
        </w:rPr>
        <w:t xml:space="preserve">בכל הנוגע לערכים החברתיים המוגנים שנפגעו כפועל יוצא ממעשיו של נאשם זה, הרי שהדברים מובנים מאליהם: המחזיק נשק בלא רשות על-פי דין פוגע בראש ובראשונה </w:t>
      </w:r>
      <w:r w:rsidRPr="00C703CE">
        <w:rPr>
          <w:rFonts w:ascii="David" w:eastAsia="Calibri" w:hAnsi="David"/>
          <w:b/>
          <w:bCs/>
          <w:rtl/>
        </w:rPr>
        <w:t>במנגנוני השלטון</w:t>
      </w:r>
      <w:r w:rsidRPr="00C703CE">
        <w:rPr>
          <w:rFonts w:ascii="David" w:eastAsia="Calibri" w:hAnsi="David"/>
          <w:rtl/>
        </w:rPr>
        <w:t xml:space="preserve"> </w:t>
      </w:r>
      <w:r w:rsidRPr="00C703CE">
        <w:rPr>
          <w:rFonts w:ascii="David" w:eastAsia="Calibri" w:hAnsi="David"/>
          <w:b/>
          <w:bCs/>
          <w:rtl/>
        </w:rPr>
        <w:t>ובצורך להגן על שלום הציבור</w:t>
      </w:r>
      <w:r w:rsidRPr="00C703CE">
        <w:rPr>
          <w:rFonts w:ascii="David" w:eastAsia="Calibri" w:hAnsi="David"/>
          <w:rtl/>
        </w:rPr>
        <w:t xml:space="preserve">, וכן יוצר </w:t>
      </w:r>
      <w:r w:rsidRPr="00C703CE">
        <w:rPr>
          <w:rFonts w:ascii="David" w:eastAsia="Calibri" w:hAnsi="David"/>
          <w:b/>
          <w:bCs/>
          <w:rtl/>
        </w:rPr>
        <w:t>סיכון לביטחון הציבור ולחיי אדם</w:t>
      </w:r>
      <w:r w:rsidRPr="00C703CE">
        <w:rPr>
          <w:rFonts w:ascii="David" w:eastAsia="Calibri" w:hAnsi="David"/>
          <w:rtl/>
        </w:rPr>
        <w:t xml:space="preserve"> כתוצאה מהתגלגלות כלי קטלני לידיהן של ידיים חבלניות או פליליות. פגיעת מעשיו של הנאשם בערכים אלו ממשית, אך נוכח אופיו של כלי-הנשק ברור כי פחותה מהפגיעה הקיימת בהחזקת כלי-נשק אחרים, דוגמת רימון רסס.</w:t>
      </w:r>
    </w:p>
    <w:p w14:paraId="1569FA3E" w14:textId="77777777" w:rsidR="00C74530" w:rsidRPr="00C703CE" w:rsidRDefault="00C74530" w:rsidP="00C74530">
      <w:pPr>
        <w:spacing w:after="160" w:line="360" w:lineRule="auto"/>
        <w:jc w:val="both"/>
        <w:rPr>
          <w:rFonts w:ascii="David" w:eastAsia="Calibri" w:hAnsi="David"/>
          <w:rtl/>
        </w:rPr>
      </w:pPr>
      <w:r w:rsidRPr="00C703CE">
        <w:rPr>
          <w:rFonts w:ascii="David" w:eastAsia="Calibri" w:hAnsi="David"/>
          <w:rtl/>
        </w:rPr>
        <w:t xml:space="preserve">על מנת לשרטט כדבעי את מתחם העונש ההולם בעניינו של הנאשם, עיינתי בפסיקה רחבה העוסקת בעבירה שעניינה החזקת נשק לפי </w:t>
      </w:r>
      <w:hyperlink r:id="rId25" w:history="1">
        <w:r w:rsidR="0050469E" w:rsidRPr="0050469E">
          <w:rPr>
            <w:rStyle w:val="Hyperlink"/>
            <w:rFonts w:ascii="David" w:eastAsia="Calibri" w:hAnsi="David"/>
            <w:color w:val="0000FF"/>
            <w:rtl/>
          </w:rPr>
          <w:t>סעיף 144(א)</w:t>
        </w:r>
      </w:hyperlink>
      <w:r w:rsidRPr="00C703CE">
        <w:rPr>
          <w:rFonts w:ascii="David" w:eastAsia="Calibri" w:hAnsi="David"/>
          <w:rtl/>
        </w:rPr>
        <w:t xml:space="preserve"> רישא וסיפא לחוק. נמצאתי למד, כי בשנים האחרונות חלה אט-אט מגמת החמרה בענישה, הבאה לידי ביטוי בפסיקת הערכאות השונות הנוגעת לעבירות אלו. כאן המקום לציין, כי מדיניות הענישה הנהוגה במקרים אלו הינה מגוונת. ברי, כי תלויה היא בנסיבותיו של כל מקרה ומקרה. </w:t>
      </w:r>
    </w:p>
    <w:p w14:paraId="1DB1CD74" w14:textId="77777777" w:rsidR="00C74530" w:rsidRPr="00C703CE" w:rsidRDefault="00C74530" w:rsidP="00C74530">
      <w:pPr>
        <w:spacing w:after="160" w:line="360" w:lineRule="auto"/>
        <w:jc w:val="both"/>
        <w:rPr>
          <w:rFonts w:ascii="David" w:eastAsia="Calibri" w:hAnsi="David"/>
          <w:rtl/>
        </w:rPr>
      </w:pPr>
      <w:r w:rsidRPr="00C703CE">
        <w:rPr>
          <w:rFonts w:ascii="David" w:eastAsia="Calibri" w:hAnsi="David"/>
          <w:rtl/>
        </w:rPr>
        <w:t xml:space="preserve">עם זאת, אזכיר כי בקביעת העונש בעבירות החזקת נשק יש לתלות משקל ניכר באופי הנשק, במידת קטלניותו ובכמותו. כמו כן, מיוחס משקל ממשי לתכלית ההחזקה. כבכל עבירה, גם בעבירות נשק קיים מדרג של חומרה, ושומה על בית-המשפט להביאו בחשבון בבואו לקבוע את מתחם העונש ההולם (ראו לעניין זה: </w:t>
      </w:r>
      <w:hyperlink r:id="rId26" w:history="1">
        <w:r w:rsidR="00893184" w:rsidRPr="00893184">
          <w:rPr>
            <w:rFonts w:ascii="David" w:eastAsia="Calibri" w:hAnsi="David"/>
            <w:color w:val="0000FF"/>
            <w:u w:val="single"/>
            <w:rtl/>
          </w:rPr>
          <w:t>ע"פ 9702/16</w:t>
        </w:r>
      </w:hyperlink>
      <w:r w:rsidRPr="00C703CE">
        <w:rPr>
          <w:rFonts w:ascii="David" w:eastAsia="Calibri" w:hAnsi="David"/>
          <w:rtl/>
        </w:rPr>
        <w:t xml:space="preserve"> </w:t>
      </w:r>
      <w:r w:rsidRPr="00C703CE">
        <w:rPr>
          <w:rFonts w:ascii="David" w:eastAsia="Calibri" w:hAnsi="David"/>
          <w:b/>
          <w:bCs/>
          <w:rtl/>
        </w:rPr>
        <w:t>אלוליאיה נ' מדינת ישראל</w:t>
      </w:r>
      <w:r w:rsidRPr="00C703CE">
        <w:rPr>
          <w:rFonts w:ascii="David" w:eastAsia="Calibri" w:hAnsi="David"/>
          <w:rtl/>
        </w:rPr>
        <w:t xml:space="preserve">, ניתן ביום 13.9.17, בפסקה 8; </w:t>
      </w:r>
      <w:hyperlink r:id="rId27" w:history="1">
        <w:r w:rsidR="00893184" w:rsidRPr="00893184">
          <w:rPr>
            <w:rFonts w:ascii="David" w:eastAsia="Calibri" w:hAnsi="David"/>
            <w:color w:val="0000FF"/>
            <w:u w:val="single"/>
            <w:rtl/>
          </w:rPr>
          <w:t>ע"פ 4059/17</w:t>
        </w:r>
      </w:hyperlink>
      <w:r w:rsidRPr="00C703CE">
        <w:rPr>
          <w:rFonts w:ascii="David" w:eastAsia="Calibri" w:hAnsi="David"/>
          <w:rtl/>
        </w:rPr>
        <w:t xml:space="preserve"> </w:t>
      </w:r>
      <w:r w:rsidRPr="00C703CE">
        <w:rPr>
          <w:rFonts w:ascii="David" w:eastAsia="Calibri" w:hAnsi="David"/>
          <w:b/>
          <w:bCs/>
          <w:rtl/>
        </w:rPr>
        <w:t>סלמה נ' מדינת ישראל</w:t>
      </w:r>
      <w:r w:rsidRPr="00C703CE">
        <w:rPr>
          <w:rFonts w:ascii="David" w:eastAsia="Calibri" w:hAnsi="David"/>
          <w:rtl/>
        </w:rPr>
        <w:t>, ניתן ביום 24.4.18, בפסקה 5).</w:t>
      </w:r>
    </w:p>
    <w:p w14:paraId="4923A612" w14:textId="77777777" w:rsidR="00C74530" w:rsidRPr="00C703CE" w:rsidRDefault="00C74530" w:rsidP="00C74530">
      <w:pPr>
        <w:spacing w:after="160" w:line="360" w:lineRule="auto"/>
        <w:jc w:val="both"/>
        <w:rPr>
          <w:rFonts w:ascii="David" w:eastAsia="Calibri" w:hAnsi="David"/>
          <w:rtl/>
        </w:rPr>
      </w:pPr>
      <w:r w:rsidRPr="00C703CE">
        <w:rPr>
          <w:rFonts w:ascii="David" w:eastAsia="Calibri" w:hAnsi="David"/>
          <w:rtl/>
        </w:rPr>
        <w:t xml:space="preserve">בפרשה שנדונה במסגרתו של </w:t>
      </w:r>
      <w:hyperlink r:id="rId28" w:history="1">
        <w:r w:rsidR="00893184" w:rsidRPr="00893184">
          <w:rPr>
            <w:rFonts w:ascii="David" w:eastAsia="Calibri" w:hAnsi="David"/>
            <w:color w:val="0000FF"/>
            <w:u w:val="single"/>
            <w:rtl/>
          </w:rPr>
          <w:t>ע"פ 1462/12</w:t>
        </w:r>
      </w:hyperlink>
      <w:r w:rsidRPr="00C703CE">
        <w:rPr>
          <w:rFonts w:ascii="David" w:eastAsia="Calibri" w:hAnsi="David"/>
          <w:rtl/>
        </w:rPr>
        <w:t xml:space="preserve"> </w:t>
      </w:r>
      <w:r w:rsidRPr="00C703CE">
        <w:rPr>
          <w:rFonts w:ascii="David" w:eastAsia="Calibri" w:hAnsi="David"/>
          <w:b/>
          <w:bCs/>
          <w:rtl/>
        </w:rPr>
        <w:t>שוקרון נ' מדינת ישראל</w:t>
      </w:r>
      <w:r w:rsidRPr="00C703CE">
        <w:rPr>
          <w:rFonts w:ascii="David" w:eastAsia="Calibri" w:hAnsi="David"/>
          <w:rtl/>
        </w:rPr>
        <w:t xml:space="preserve">, ניתן ביום 7.6.12 –  בית המשפט העליון הותיר על כנו את העונש שהוטל על המערער, </w:t>
      </w:r>
      <w:r w:rsidRPr="00C703CE">
        <w:rPr>
          <w:rFonts w:ascii="David" w:eastAsia="Calibri" w:hAnsi="David"/>
          <w:u w:val="single"/>
          <w:rtl/>
        </w:rPr>
        <w:t>5 חודשי מאסר שירוצו בעבודות שירות, מאסר מותנה וקנס</w:t>
      </w:r>
      <w:r w:rsidRPr="00C703CE">
        <w:rPr>
          <w:rFonts w:ascii="David" w:eastAsia="Calibri" w:hAnsi="David"/>
          <w:rtl/>
        </w:rPr>
        <w:t xml:space="preserve">, בגין ביצוען של עבירות שעניינן החזקת נשק לפי </w:t>
      </w:r>
      <w:hyperlink r:id="rId29" w:history="1">
        <w:r w:rsidR="0050469E" w:rsidRPr="0050469E">
          <w:rPr>
            <w:rStyle w:val="Hyperlink"/>
            <w:rFonts w:ascii="David" w:eastAsia="Calibri" w:hAnsi="David"/>
            <w:color w:val="0000FF"/>
            <w:rtl/>
          </w:rPr>
          <w:t>סעיף 144(א)</w:t>
        </w:r>
      </w:hyperlink>
      <w:r w:rsidRPr="00C703CE">
        <w:rPr>
          <w:rFonts w:ascii="David" w:eastAsia="Calibri" w:hAnsi="David"/>
          <w:rtl/>
        </w:rPr>
        <w:t xml:space="preserve"> רישא לחוק, נשיאת נשק לפי </w:t>
      </w:r>
      <w:hyperlink r:id="rId30" w:history="1">
        <w:r w:rsidR="0050469E" w:rsidRPr="0050469E">
          <w:rPr>
            <w:rStyle w:val="Hyperlink"/>
            <w:rFonts w:ascii="David" w:eastAsia="Calibri" w:hAnsi="David"/>
            <w:color w:val="0000FF"/>
            <w:rtl/>
          </w:rPr>
          <w:t>סעיף 144(ב)</w:t>
        </w:r>
      </w:hyperlink>
      <w:r w:rsidRPr="00C703CE">
        <w:rPr>
          <w:rFonts w:ascii="David" w:eastAsia="Calibri" w:hAnsi="David"/>
          <w:rtl/>
        </w:rPr>
        <w:t xml:space="preserve"> רישא לחוק והחזקת סכין שלא כדין לפי </w:t>
      </w:r>
      <w:hyperlink r:id="rId31" w:history="1">
        <w:r w:rsidR="0050469E" w:rsidRPr="0050469E">
          <w:rPr>
            <w:rStyle w:val="Hyperlink"/>
            <w:rFonts w:ascii="David" w:eastAsia="Calibri" w:hAnsi="David"/>
            <w:color w:val="0000FF"/>
            <w:rtl/>
          </w:rPr>
          <w:t>סעיף 186(א)</w:t>
        </w:r>
      </w:hyperlink>
      <w:r w:rsidRPr="00C703CE">
        <w:rPr>
          <w:rFonts w:ascii="David" w:eastAsia="Calibri" w:hAnsi="David"/>
          <w:rtl/>
        </w:rPr>
        <w:t xml:space="preserve"> לחוק. עובדות המקרה מלמדות כי המערער נשא והחזיק </w:t>
      </w:r>
      <w:r w:rsidRPr="00C703CE">
        <w:rPr>
          <w:rFonts w:ascii="David" w:eastAsia="Calibri" w:hAnsi="David"/>
          <w:b/>
          <w:bCs/>
          <w:u w:val="single"/>
          <w:rtl/>
        </w:rPr>
        <w:t>רימון הלם</w:t>
      </w:r>
      <w:r w:rsidRPr="00C703CE">
        <w:rPr>
          <w:rFonts w:ascii="David" w:eastAsia="Calibri" w:hAnsi="David"/>
          <w:rtl/>
        </w:rPr>
        <w:t xml:space="preserve"> וסכין, שלא כדין. בית-המשפט העליון לא מצא מקום להיעתר לערעור על אף נסיבותיו האישיות הקשות של המערער. זאת בציינו, בין היתר, את החומרה הרבה שיש לייחס לביצוען של עבירות נשק והחזקת סכין וכן כי המערער לא הצליח להסביר את מעשיו בצורה מספקת. </w:t>
      </w:r>
    </w:p>
    <w:p w14:paraId="77A6CC97" w14:textId="77777777" w:rsidR="00C74530" w:rsidRPr="00C703CE" w:rsidRDefault="00C74530" w:rsidP="00C74530">
      <w:pPr>
        <w:spacing w:after="160" w:line="360" w:lineRule="auto"/>
        <w:jc w:val="both"/>
        <w:rPr>
          <w:rFonts w:ascii="David" w:eastAsia="Calibri" w:hAnsi="David"/>
          <w:rtl/>
        </w:rPr>
      </w:pPr>
      <w:r w:rsidRPr="00C703CE">
        <w:rPr>
          <w:rFonts w:ascii="David" w:eastAsia="Calibri" w:hAnsi="David"/>
          <w:rtl/>
        </w:rPr>
        <w:t xml:space="preserve">ראו בנוסף: </w:t>
      </w:r>
      <w:hyperlink r:id="rId32" w:history="1">
        <w:r w:rsidR="00893184" w:rsidRPr="00893184">
          <w:rPr>
            <w:rFonts w:ascii="David" w:eastAsia="Calibri" w:hAnsi="David"/>
            <w:color w:val="0000FF"/>
            <w:u w:val="single"/>
            <w:rtl/>
          </w:rPr>
          <w:t>ת"פ (מחוזי חי') 22642-11-23</w:t>
        </w:r>
      </w:hyperlink>
      <w:r w:rsidRPr="00C703CE">
        <w:rPr>
          <w:rFonts w:ascii="David" w:eastAsia="Calibri" w:hAnsi="David"/>
          <w:rtl/>
        </w:rPr>
        <w:t xml:space="preserve"> </w:t>
      </w:r>
      <w:r w:rsidRPr="00C703CE">
        <w:rPr>
          <w:rFonts w:ascii="David" w:eastAsia="Calibri" w:hAnsi="David"/>
          <w:b/>
          <w:bCs/>
          <w:rtl/>
        </w:rPr>
        <w:t>מדינת ישראל נ' טאהא</w:t>
      </w:r>
      <w:r w:rsidRPr="00C703CE">
        <w:rPr>
          <w:rFonts w:ascii="David" w:eastAsia="Calibri" w:hAnsi="David"/>
          <w:rtl/>
        </w:rPr>
        <w:t xml:space="preserve">, ניתן ביום 17.12.24 – במסגרתו הורשע הנאשם בעבירות בנשק (החזקה) לפי </w:t>
      </w:r>
      <w:hyperlink r:id="rId33" w:history="1">
        <w:r w:rsidR="0050469E" w:rsidRPr="0050469E">
          <w:rPr>
            <w:rStyle w:val="Hyperlink"/>
            <w:rFonts w:ascii="David" w:eastAsia="Calibri" w:hAnsi="David"/>
            <w:color w:val="0000FF"/>
            <w:rtl/>
          </w:rPr>
          <w:t>סעיף 144(א)</w:t>
        </w:r>
      </w:hyperlink>
      <w:r w:rsidRPr="00C703CE">
        <w:rPr>
          <w:rFonts w:ascii="David" w:eastAsia="Calibri" w:hAnsi="David"/>
          <w:rtl/>
        </w:rPr>
        <w:t xml:space="preserve"> רישא לחוק. עובדות המקרה מלמדות כי הנאשם החזיק </w:t>
      </w:r>
      <w:r w:rsidRPr="00C703CE">
        <w:rPr>
          <w:rFonts w:ascii="David" w:eastAsia="Calibri" w:hAnsi="David"/>
          <w:b/>
          <w:bCs/>
          <w:u w:val="single"/>
          <w:rtl/>
        </w:rPr>
        <w:t>רימון הלם</w:t>
      </w:r>
      <w:r w:rsidRPr="00C703CE">
        <w:rPr>
          <w:rFonts w:ascii="David" w:eastAsia="Calibri" w:hAnsi="David"/>
          <w:rtl/>
        </w:rPr>
        <w:t xml:space="preserve"> עת נסע עם חברו ברכב; הנאשם החזיק הרימון על רצפת רכב סמוך לרגליו. על הנאשם הושתו </w:t>
      </w:r>
      <w:r w:rsidRPr="00C703CE">
        <w:rPr>
          <w:rFonts w:ascii="David" w:eastAsia="Calibri" w:hAnsi="David"/>
          <w:u w:val="single"/>
          <w:rtl/>
        </w:rPr>
        <w:t>שמונה חודשי מאסר בפועל, אותם ירצה בדרך של עבודות שירות</w:t>
      </w:r>
      <w:r w:rsidRPr="00C703CE">
        <w:rPr>
          <w:rFonts w:ascii="David" w:eastAsia="Calibri" w:hAnsi="David"/>
          <w:rtl/>
        </w:rPr>
        <w:t xml:space="preserve">, לצד עונשים נלווים; </w:t>
      </w:r>
      <w:hyperlink r:id="rId34" w:history="1">
        <w:r w:rsidR="00893184" w:rsidRPr="00893184">
          <w:rPr>
            <w:rFonts w:ascii="David" w:eastAsia="Calibri" w:hAnsi="David"/>
            <w:color w:val="0000FF"/>
            <w:u w:val="single"/>
            <w:rtl/>
          </w:rPr>
          <w:t>ת"פ (מחוזי חי') 6832-11-23</w:t>
        </w:r>
      </w:hyperlink>
      <w:r w:rsidRPr="00C703CE">
        <w:rPr>
          <w:rFonts w:ascii="David" w:eastAsia="Calibri" w:hAnsi="David"/>
          <w:rtl/>
        </w:rPr>
        <w:t xml:space="preserve"> </w:t>
      </w:r>
      <w:r w:rsidRPr="00C703CE">
        <w:rPr>
          <w:rFonts w:ascii="David" w:eastAsia="Calibri" w:hAnsi="David"/>
          <w:b/>
          <w:bCs/>
          <w:rtl/>
        </w:rPr>
        <w:t>מדינת ישראל נ' חמוד</w:t>
      </w:r>
      <w:r w:rsidRPr="00C703CE">
        <w:rPr>
          <w:rFonts w:ascii="David" w:eastAsia="Calibri" w:hAnsi="David"/>
          <w:rtl/>
        </w:rPr>
        <w:t xml:space="preserve">, ניתן ביום 5.12.24 – במסגרתו הורשע הנאשם, בין היתר, בביצוע עבירות בנשק (החזקה, נשיאה והובלה) בצוותא חדא, לפי </w:t>
      </w:r>
      <w:hyperlink r:id="rId35" w:history="1">
        <w:r w:rsidR="0050469E" w:rsidRPr="0050469E">
          <w:rPr>
            <w:rStyle w:val="Hyperlink"/>
            <w:rFonts w:ascii="David" w:eastAsia="Calibri" w:hAnsi="David"/>
            <w:color w:val="0000FF"/>
            <w:rtl/>
          </w:rPr>
          <w:t>סעיפים 144(א)</w:t>
        </w:r>
      </w:hyperlink>
      <w:r w:rsidRPr="00C703CE">
        <w:rPr>
          <w:rFonts w:ascii="David" w:eastAsia="Calibri" w:hAnsi="David"/>
          <w:rtl/>
        </w:rPr>
        <w:t xml:space="preserve"> ו-</w:t>
      </w:r>
      <w:hyperlink r:id="rId36" w:history="1">
        <w:r w:rsidR="0050469E" w:rsidRPr="0050469E">
          <w:rPr>
            <w:rStyle w:val="Hyperlink"/>
            <w:rFonts w:ascii="David" w:eastAsia="Calibri" w:hAnsi="David"/>
            <w:color w:val="0000FF"/>
            <w:rtl/>
          </w:rPr>
          <w:t>144(ב)</w:t>
        </w:r>
      </w:hyperlink>
      <w:r w:rsidRPr="00C703CE">
        <w:rPr>
          <w:rFonts w:ascii="David" w:eastAsia="Calibri" w:hAnsi="David"/>
          <w:rtl/>
        </w:rPr>
        <w:t xml:space="preserve"> רישא, בצירוף סעיף 29 לחוק. עובדות המקרה מלמדות, בקצירת האומר, כי הנאשם נסע יחד עם אחר כאשר הם החזיקו, נשאו והובילו ברכב רימון יד מסוג </w:t>
      </w:r>
      <w:r w:rsidRPr="00C703CE">
        <w:rPr>
          <w:rFonts w:ascii="David" w:eastAsia="Calibri" w:hAnsi="David"/>
          <w:b/>
          <w:bCs/>
          <w:u w:val="single"/>
          <w:rtl/>
        </w:rPr>
        <w:t>רימון הלם</w:t>
      </w:r>
      <w:r w:rsidRPr="00C703CE">
        <w:rPr>
          <w:rFonts w:ascii="David" w:eastAsia="Calibri" w:hAnsi="David"/>
          <w:rtl/>
        </w:rPr>
        <w:t xml:space="preserve">. כאשר השניים הגיעו סמוך למתחם חנויות, השליך האחר את הרימון מחלון הרכב לעבר חנות שהייתה סגורה באותה עת. הרימון התפוצץ אך לא נגרם נזק לרכוש או לאדם. במקרה זה, לחובת הנאשם הרשעות במישור התעבורתי, אך עברו הפלילי נקי, וכן שירות-המבחן בא בהמלצה לענישה בעלת אופי שיקומי בעניינו. על הנאשם הושתו </w:t>
      </w:r>
      <w:r w:rsidRPr="00C703CE">
        <w:rPr>
          <w:rFonts w:ascii="David" w:eastAsia="Calibri" w:hAnsi="David"/>
          <w:b/>
          <w:bCs/>
          <w:u w:val="single"/>
          <w:rtl/>
        </w:rPr>
        <w:t>24</w:t>
      </w:r>
      <w:r w:rsidRPr="00C703CE">
        <w:rPr>
          <w:rFonts w:ascii="David" w:eastAsia="Calibri" w:hAnsi="David"/>
          <w:u w:val="single"/>
          <w:rtl/>
        </w:rPr>
        <w:t xml:space="preserve"> חודשי מאסר לריצוי בפועל</w:t>
      </w:r>
      <w:r w:rsidRPr="00C703CE">
        <w:rPr>
          <w:rFonts w:ascii="David" w:eastAsia="Calibri" w:hAnsi="David"/>
          <w:rtl/>
        </w:rPr>
        <w:t xml:space="preserve">, לצד עונשים נלווים; </w:t>
      </w:r>
      <w:hyperlink r:id="rId37" w:history="1">
        <w:r w:rsidR="00893184" w:rsidRPr="00893184">
          <w:rPr>
            <w:rFonts w:ascii="David" w:eastAsia="Calibri" w:hAnsi="David"/>
            <w:color w:val="0000FF"/>
            <w:u w:val="single"/>
            <w:rtl/>
          </w:rPr>
          <w:t>ת"פ (מחוזי חי') 16779-09-22</w:t>
        </w:r>
      </w:hyperlink>
      <w:r w:rsidRPr="00C703CE">
        <w:rPr>
          <w:rFonts w:ascii="David" w:eastAsia="Calibri" w:hAnsi="David"/>
          <w:rtl/>
        </w:rPr>
        <w:t xml:space="preserve"> </w:t>
      </w:r>
      <w:r w:rsidRPr="00C703CE">
        <w:rPr>
          <w:rFonts w:ascii="David" w:eastAsia="Calibri" w:hAnsi="David"/>
          <w:b/>
          <w:bCs/>
          <w:rtl/>
        </w:rPr>
        <w:t>מדינת ישראל נ' אלבז</w:t>
      </w:r>
      <w:r w:rsidRPr="00C703CE">
        <w:rPr>
          <w:rFonts w:ascii="David" w:eastAsia="Calibri" w:hAnsi="David"/>
          <w:rtl/>
        </w:rPr>
        <w:t xml:space="preserve">, ניתן ביום 25.1.24 – עובדות מקרה זה, החמורות מענייננו, מלמדות כי הנאשם </w:t>
      </w:r>
      <w:r w:rsidRPr="00C703CE">
        <w:rPr>
          <w:rFonts w:ascii="David" w:eastAsia="Calibri" w:hAnsi="David"/>
          <w:u w:val="single"/>
          <w:rtl/>
        </w:rPr>
        <w:t xml:space="preserve">החזיק, נשא והוביל </w:t>
      </w:r>
      <w:r w:rsidRPr="00C703CE">
        <w:rPr>
          <w:rFonts w:ascii="David" w:eastAsia="Calibri" w:hAnsi="David"/>
          <w:b/>
          <w:bCs/>
          <w:u w:val="single"/>
          <w:rtl/>
        </w:rPr>
        <w:t>רימון הלם</w:t>
      </w:r>
      <w:r w:rsidRPr="00C703CE">
        <w:rPr>
          <w:rFonts w:ascii="David" w:eastAsia="Calibri" w:hAnsi="David"/>
          <w:rtl/>
        </w:rPr>
        <w:t xml:space="preserve">, ואף </w:t>
      </w:r>
      <w:r w:rsidRPr="00C703CE">
        <w:rPr>
          <w:rFonts w:ascii="David" w:eastAsia="Calibri" w:hAnsi="David"/>
          <w:u w:val="single"/>
          <w:rtl/>
        </w:rPr>
        <w:t>השליך את הרימון</w:t>
      </w:r>
      <w:r w:rsidRPr="00C703CE">
        <w:rPr>
          <w:rFonts w:ascii="David" w:eastAsia="Calibri" w:hAnsi="David"/>
          <w:rtl/>
        </w:rPr>
        <w:t xml:space="preserve"> לכיוון חצר הכניסה לביתו של המתלונן, כאשר זה היה בתוך ביתו. בגין מעשים אלה הורשע הנאשם בעבירות נשק (החזקה, נשיאה והובלה) לפי </w:t>
      </w:r>
      <w:hyperlink r:id="rId38" w:history="1">
        <w:r w:rsidR="0050469E" w:rsidRPr="0050469E">
          <w:rPr>
            <w:rStyle w:val="Hyperlink"/>
            <w:rFonts w:ascii="David" w:eastAsia="Calibri" w:hAnsi="David"/>
            <w:color w:val="0000FF"/>
            <w:rtl/>
          </w:rPr>
          <w:t>סעיף 144(א)</w:t>
        </w:r>
      </w:hyperlink>
      <w:r w:rsidRPr="00C703CE">
        <w:rPr>
          <w:rFonts w:ascii="David" w:eastAsia="Calibri" w:hAnsi="David"/>
          <w:rtl/>
        </w:rPr>
        <w:t xml:space="preserve"> רישא וסיפא, </w:t>
      </w:r>
      <w:hyperlink r:id="rId39" w:history="1">
        <w:r w:rsidR="0050469E" w:rsidRPr="0050469E">
          <w:rPr>
            <w:rStyle w:val="Hyperlink"/>
            <w:rFonts w:ascii="David" w:eastAsia="Calibri" w:hAnsi="David"/>
            <w:color w:val="0000FF"/>
            <w:rtl/>
          </w:rPr>
          <w:t>סעיף 144(ב)</w:t>
        </w:r>
      </w:hyperlink>
      <w:r w:rsidRPr="00C703CE">
        <w:rPr>
          <w:rFonts w:ascii="David" w:eastAsia="Calibri" w:hAnsi="David"/>
          <w:rtl/>
        </w:rPr>
        <w:t xml:space="preserve"> לחוק </w:t>
      </w:r>
      <w:hyperlink r:id="rId40" w:history="1">
        <w:r w:rsidR="0050469E" w:rsidRPr="0050469E">
          <w:rPr>
            <w:rStyle w:val="Hyperlink"/>
            <w:rFonts w:ascii="David" w:eastAsia="Calibri" w:hAnsi="David"/>
            <w:color w:val="0000FF"/>
            <w:rtl/>
          </w:rPr>
          <w:t>וסעיף 29</w:t>
        </w:r>
      </w:hyperlink>
      <w:r w:rsidRPr="00C703CE">
        <w:rPr>
          <w:rFonts w:ascii="David" w:eastAsia="Calibri" w:hAnsi="David"/>
          <w:rtl/>
        </w:rPr>
        <w:t xml:space="preserve"> לחוק. מתחם העונש ההולם נקבע כנע בין 14 ל-34 חודשי מאסר, לצד עונשים נלווים. עם זאת, בית-המשפט סבר כי בהתחשב בנסיבות המקרה יש מקום לעשות שימוש בסמכות הקבועה </w:t>
      </w:r>
      <w:hyperlink r:id="rId41" w:history="1">
        <w:r w:rsidR="0050469E" w:rsidRPr="0050469E">
          <w:rPr>
            <w:rStyle w:val="Hyperlink"/>
            <w:rFonts w:ascii="David" w:eastAsia="Calibri" w:hAnsi="David"/>
            <w:color w:val="0000FF"/>
            <w:rtl/>
          </w:rPr>
          <w:t>בסעיף 40ד(א)</w:t>
        </w:r>
      </w:hyperlink>
      <w:r w:rsidRPr="00C703CE">
        <w:rPr>
          <w:rFonts w:ascii="David" w:eastAsia="Calibri" w:hAnsi="David"/>
          <w:rtl/>
        </w:rPr>
        <w:t xml:space="preserve"> לחוק, ולסטות ממתחם העונש ההולם בשל שיקולי שיקום. לבסוף, השית בית-המשפט על הנאשם </w:t>
      </w:r>
      <w:r w:rsidRPr="00C703CE">
        <w:rPr>
          <w:rFonts w:ascii="David" w:eastAsia="Calibri" w:hAnsi="David"/>
          <w:u w:val="single"/>
          <w:rtl/>
        </w:rPr>
        <w:t>9 חודשי מאסר לריצוי בדרך של עבודות שירות</w:t>
      </w:r>
      <w:r w:rsidRPr="00C703CE">
        <w:rPr>
          <w:rFonts w:ascii="David" w:eastAsia="Calibri" w:hAnsi="David"/>
          <w:rtl/>
        </w:rPr>
        <w:t>, לצד עונשים נלווים.</w:t>
      </w:r>
    </w:p>
    <w:p w14:paraId="5503A4B5" w14:textId="77777777" w:rsidR="00C74530" w:rsidRPr="00C703CE" w:rsidRDefault="00C74530" w:rsidP="00C74530">
      <w:pPr>
        <w:spacing w:after="160" w:line="360" w:lineRule="auto"/>
        <w:jc w:val="both"/>
        <w:rPr>
          <w:rFonts w:ascii="David" w:eastAsia="Calibri" w:hAnsi="David"/>
          <w:rtl/>
        </w:rPr>
      </w:pPr>
      <w:r w:rsidRPr="00C703CE">
        <w:rPr>
          <w:rFonts w:ascii="David" w:eastAsia="Calibri" w:hAnsi="David"/>
          <w:rtl/>
        </w:rPr>
        <w:t xml:space="preserve">בפרשה נוספת שנדונה במסגרתו של </w:t>
      </w:r>
      <w:hyperlink r:id="rId42" w:history="1">
        <w:r w:rsidR="00893184" w:rsidRPr="00893184">
          <w:rPr>
            <w:rFonts w:ascii="David" w:eastAsia="Calibri" w:hAnsi="David"/>
            <w:color w:val="0000FF"/>
            <w:u w:val="single"/>
            <w:rtl/>
          </w:rPr>
          <w:t>ע"פ 2482/22</w:t>
        </w:r>
      </w:hyperlink>
      <w:r w:rsidRPr="00C703CE">
        <w:rPr>
          <w:rFonts w:ascii="David" w:eastAsia="Calibri" w:hAnsi="David"/>
          <w:rtl/>
        </w:rPr>
        <w:t xml:space="preserve"> </w:t>
      </w:r>
      <w:r w:rsidRPr="00C703CE">
        <w:rPr>
          <w:rFonts w:ascii="David" w:eastAsia="Calibri" w:hAnsi="David"/>
          <w:b/>
          <w:bCs/>
          <w:rtl/>
        </w:rPr>
        <w:t>מדינת ישראל נ' קדורה</w:t>
      </w:r>
      <w:r w:rsidRPr="00C703CE">
        <w:rPr>
          <w:rFonts w:ascii="David" w:eastAsia="Calibri" w:hAnsi="David"/>
          <w:rtl/>
        </w:rPr>
        <w:t xml:space="preserve">, ניתן ביום 14.4.22 – בית-המשפט העליון החמיר את העונש שהושת על המשיב בערכאה דלמטה והעמידו על </w:t>
      </w:r>
      <w:r w:rsidRPr="00C703CE">
        <w:rPr>
          <w:rFonts w:ascii="David" w:eastAsia="Calibri" w:hAnsi="David"/>
          <w:u w:val="single"/>
          <w:rtl/>
        </w:rPr>
        <w:t>18 חודשי מאסר בפועל</w:t>
      </w:r>
      <w:r w:rsidRPr="00C703CE">
        <w:rPr>
          <w:rFonts w:ascii="David" w:eastAsia="Calibri" w:hAnsi="David"/>
          <w:rtl/>
        </w:rPr>
        <w:t xml:space="preserve">, בעקבות הרשעתו בעבירה של החזקת נשק בצוותא עם אחר, עבירה לפי </w:t>
      </w:r>
      <w:hyperlink r:id="rId43" w:history="1">
        <w:r w:rsidR="0050469E" w:rsidRPr="0050469E">
          <w:rPr>
            <w:rStyle w:val="Hyperlink"/>
            <w:rFonts w:ascii="David" w:eastAsia="Calibri" w:hAnsi="David"/>
            <w:color w:val="0000FF"/>
            <w:rtl/>
          </w:rPr>
          <w:t>סעיף 144(א)</w:t>
        </w:r>
      </w:hyperlink>
      <w:r w:rsidRPr="00C703CE">
        <w:rPr>
          <w:rFonts w:ascii="David" w:eastAsia="Calibri" w:hAnsi="David"/>
          <w:rtl/>
        </w:rPr>
        <w:t xml:space="preserve"> רישא וסיפא לחוק בצירוף </w:t>
      </w:r>
      <w:hyperlink r:id="rId44" w:history="1">
        <w:r w:rsidR="0050469E" w:rsidRPr="0050469E">
          <w:rPr>
            <w:rStyle w:val="Hyperlink"/>
            <w:rFonts w:ascii="David" w:eastAsia="Calibri" w:hAnsi="David"/>
            <w:color w:val="0000FF"/>
            <w:rtl/>
          </w:rPr>
          <w:t>סעיף 29</w:t>
        </w:r>
      </w:hyperlink>
      <w:r w:rsidRPr="00C703CE">
        <w:rPr>
          <w:rFonts w:ascii="David" w:eastAsia="Calibri" w:hAnsi="David"/>
          <w:rtl/>
        </w:rPr>
        <w:t xml:space="preserve"> לחוק. עובדות המקרה (החמור מענייננו) מלמדות כי המשיב הסתיר על גג ביתו אקדח מסוג גלוק, מחסנית וכדורים ו</w:t>
      </w:r>
      <w:r w:rsidRPr="00C703CE">
        <w:rPr>
          <w:rFonts w:ascii="David" w:eastAsia="Calibri" w:hAnsi="David"/>
          <w:b/>
          <w:bCs/>
          <w:u w:val="single"/>
          <w:rtl/>
        </w:rPr>
        <w:t>רימון הלם</w:t>
      </w:r>
      <w:r w:rsidRPr="00C703CE">
        <w:rPr>
          <w:rFonts w:ascii="David" w:eastAsia="Calibri" w:hAnsi="David"/>
          <w:rtl/>
        </w:rPr>
        <w:t xml:space="preserve">. בהמשך לכך, העביר את המשיב את הכדורים והאקדח לידי אדם אחר, ובמסגרת חיפוש שנערך בביתו אותר הרימון על גג הבית והמשיב נעצר. במסגרת ההחלטה צוין כי אמנם הנאשם נעדר עבר פלילי, אך המציאות הקשה מחייבת נקיטת יד מחמירה כלפי מעורבים בעבירות נשק; גילו הצעיר והעדר המלצה מטעם שירות-המבחן והערכתו לסיכון בינוני להישנות עבירות דומות. </w:t>
      </w:r>
    </w:p>
    <w:p w14:paraId="07D2844E" w14:textId="77777777" w:rsidR="00C74530" w:rsidRPr="00C703CE" w:rsidRDefault="00C74530" w:rsidP="00C74530">
      <w:pPr>
        <w:spacing w:after="160" w:line="360" w:lineRule="auto"/>
        <w:jc w:val="both"/>
        <w:rPr>
          <w:rFonts w:ascii="David" w:eastAsia="Calibri" w:hAnsi="David"/>
          <w:rtl/>
        </w:rPr>
      </w:pPr>
      <w:r w:rsidRPr="00C703CE">
        <w:rPr>
          <w:rFonts w:ascii="David" w:eastAsia="Calibri" w:hAnsi="David"/>
          <w:rtl/>
        </w:rPr>
        <w:t>נסיבות הקשורות לביצוע העבירה (</w:t>
      </w:r>
      <w:hyperlink r:id="rId45" w:history="1">
        <w:r w:rsidR="0050469E" w:rsidRPr="0050469E">
          <w:rPr>
            <w:rStyle w:val="Hyperlink"/>
            <w:rFonts w:ascii="David" w:eastAsia="Calibri" w:hAnsi="David"/>
            <w:color w:val="0000FF"/>
            <w:rtl/>
          </w:rPr>
          <w:t>סעיף 40ט</w:t>
        </w:r>
      </w:hyperlink>
      <w:r w:rsidRPr="00C703CE">
        <w:rPr>
          <w:rFonts w:ascii="David" w:eastAsia="Calibri" w:hAnsi="David"/>
          <w:rtl/>
        </w:rPr>
        <w:t xml:space="preserve"> לחוק):</w:t>
      </w:r>
    </w:p>
    <w:p w14:paraId="322A61EE" w14:textId="77777777" w:rsidR="00C74530" w:rsidRPr="00C703CE" w:rsidRDefault="00C74530" w:rsidP="00C74530">
      <w:pPr>
        <w:spacing w:after="160" w:line="360" w:lineRule="auto"/>
        <w:jc w:val="both"/>
        <w:rPr>
          <w:rFonts w:ascii="David" w:eastAsia="Calibri" w:hAnsi="David"/>
          <w:rtl/>
        </w:rPr>
      </w:pPr>
      <w:r w:rsidRPr="00C703CE">
        <w:rPr>
          <w:rFonts w:ascii="David" w:eastAsia="Calibri" w:hAnsi="David"/>
          <w:rtl/>
        </w:rPr>
        <w:t xml:space="preserve">עובדות כתב-האישום המתוקן מלמדות, כי עסקינן בהחזקה, בצוותא חדא עם אחר, של </w:t>
      </w:r>
      <w:r w:rsidRPr="00C703CE">
        <w:rPr>
          <w:rFonts w:ascii="David" w:eastAsia="Calibri" w:hAnsi="David"/>
          <w:b/>
          <w:bCs/>
          <w:rtl/>
        </w:rPr>
        <w:t>רימון מסוג הלם</w:t>
      </w:r>
      <w:r w:rsidRPr="00C703CE">
        <w:rPr>
          <w:rFonts w:ascii="David" w:eastAsia="Calibri" w:hAnsi="David"/>
          <w:rtl/>
        </w:rPr>
        <w:t xml:space="preserve">, בלא רשות על-פי דין לעשות כן. חלקו של הנאשם אינו בלעדי אך עיקרי בביצוע העבירה, שכן ביצע את העבירה עם שני קטינים נוספים. אמנם עסקינן בתיק זה בהחזקת </w:t>
      </w:r>
      <w:r w:rsidRPr="00C703CE">
        <w:rPr>
          <w:rFonts w:ascii="David" w:eastAsia="Calibri" w:hAnsi="David"/>
          <w:b/>
          <w:bCs/>
          <w:rtl/>
        </w:rPr>
        <w:t>רימון הלם</w:t>
      </w:r>
      <w:r w:rsidRPr="00C703CE">
        <w:rPr>
          <w:rFonts w:ascii="David" w:eastAsia="Calibri" w:hAnsi="David"/>
          <w:rtl/>
        </w:rPr>
        <w:t>, אך ברור כי גם לרימון מסוג זה פוטנציאל נזק ממשי, כמתואר לעיל. הנאשם הבין את מעשיו והיה עליו להימנע מעשייתם ואין בנמצא סייג לאחריות פלילית בעניינו.</w:t>
      </w:r>
    </w:p>
    <w:p w14:paraId="1EFBA6C7" w14:textId="77777777" w:rsidR="00C74530" w:rsidRPr="00C703CE" w:rsidRDefault="00C74530" w:rsidP="00C74530">
      <w:pPr>
        <w:spacing w:after="160" w:line="360" w:lineRule="auto"/>
        <w:jc w:val="both"/>
        <w:rPr>
          <w:rFonts w:ascii="David" w:eastAsia="Calibri" w:hAnsi="David"/>
          <w:rtl/>
        </w:rPr>
      </w:pPr>
      <w:r w:rsidRPr="00C703CE">
        <w:rPr>
          <w:rFonts w:ascii="David" w:eastAsia="Calibri" w:hAnsi="David"/>
          <w:rtl/>
        </w:rPr>
        <w:t>לאחר ששקלתי את הערכים החברתיים בהם פגע הנאשם במעשיו, את מידת הפגיעה בהם, את סוג הנשק המוחזק (</w:t>
      </w:r>
      <w:r w:rsidRPr="00C703CE">
        <w:rPr>
          <w:rFonts w:ascii="David" w:eastAsia="Calibri" w:hAnsi="David"/>
          <w:b/>
          <w:bCs/>
          <w:u w:val="single"/>
          <w:rtl/>
        </w:rPr>
        <w:t>רימון הלם</w:t>
      </w:r>
      <w:r w:rsidRPr="00C703CE">
        <w:rPr>
          <w:rFonts w:ascii="David" w:eastAsia="Calibri" w:hAnsi="David"/>
          <w:rtl/>
        </w:rPr>
        <w:t xml:space="preserve">), את מדיניות הענישה הנוהגת במקרים דומים ואת הנסיבות הקשורות בביצוע העבירות שפורטו לעיל, הגעתי למסקנה לפיה מתחם העונש ההולם למעשים בהם הורשע הנאשם נע </w:t>
      </w:r>
      <w:r w:rsidRPr="00C703CE">
        <w:rPr>
          <w:rFonts w:ascii="David" w:eastAsia="Calibri" w:hAnsi="David"/>
          <w:b/>
          <w:bCs/>
          <w:rtl/>
        </w:rPr>
        <w:t>בין</w:t>
      </w:r>
      <w:r w:rsidRPr="00C703CE">
        <w:rPr>
          <w:rFonts w:ascii="David" w:eastAsia="Calibri" w:hAnsi="David"/>
          <w:rtl/>
        </w:rPr>
        <w:t xml:space="preserve"> </w:t>
      </w:r>
      <w:r w:rsidRPr="00C703CE">
        <w:rPr>
          <w:rFonts w:ascii="David" w:eastAsia="Calibri" w:hAnsi="David"/>
          <w:b/>
          <w:bCs/>
          <w:rtl/>
        </w:rPr>
        <w:t>9 חודשי מאסר שיכול וירוצו בעבודות שירות לבין 21 חודשי מאסר לריצוי בפועל, לצד עונשים נלווים</w:t>
      </w:r>
      <w:r w:rsidRPr="00C703CE">
        <w:rPr>
          <w:rFonts w:ascii="David" w:eastAsia="Calibri" w:hAnsi="David"/>
          <w:rtl/>
        </w:rPr>
        <w:t>.</w:t>
      </w:r>
    </w:p>
    <w:p w14:paraId="3739E66D" w14:textId="77777777" w:rsidR="00C74530" w:rsidRPr="00C703CE" w:rsidRDefault="00C74530" w:rsidP="00C74530">
      <w:pPr>
        <w:spacing w:after="160" w:line="360" w:lineRule="auto"/>
        <w:jc w:val="both"/>
        <w:rPr>
          <w:rFonts w:ascii="David" w:eastAsia="Calibri" w:hAnsi="David"/>
          <w:rtl/>
        </w:rPr>
      </w:pPr>
      <w:r w:rsidRPr="00C703CE">
        <w:rPr>
          <w:rFonts w:ascii="David" w:eastAsia="Calibri" w:hAnsi="David"/>
          <w:rtl/>
        </w:rPr>
        <w:t xml:space="preserve">נסיבות שאינן קשורות בביצוע העבירה (סעיף </w:t>
      </w:r>
      <w:hyperlink r:id="rId46" w:history="1">
        <w:r w:rsidR="0050469E" w:rsidRPr="0050469E">
          <w:rPr>
            <w:rStyle w:val="Hyperlink"/>
            <w:rFonts w:ascii="David" w:eastAsia="Calibri" w:hAnsi="David"/>
            <w:color w:val="0000FF"/>
            <w:rtl/>
          </w:rPr>
          <w:t>40 יא</w:t>
        </w:r>
      </w:hyperlink>
      <w:r w:rsidRPr="00C703CE">
        <w:rPr>
          <w:rFonts w:ascii="David" w:eastAsia="Calibri" w:hAnsi="David"/>
          <w:rtl/>
        </w:rPr>
        <w:t xml:space="preserve"> לחוק):</w:t>
      </w:r>
    </w:p>
    <w:p w14:paraId="4349BE09" w14:textId="77777777" w:rsidR="00C74530" w:rsidRPr="00C703CE" w:rsidRDefault="00C74530" w:rsidP="00C74530">
      <w:pPr>
        <w:spacing w:after="160" w:line="360" w:lineRule="auto"/>
        <w:jc w:val="both"/>
        <w:rPr>
          <w:rFonts w:ascii="David" w:eastAsia="Calibri" w:hAnsi="David"/>
          <w:rtl/>
        </w:rPr>
      </w:pPr>
      <w:r w:rsidRPr="00C703CE">
        <w:rPr>
          <w:rFonts w:ascii="David" w:eastAsia="Calibri" w:hAnsi="David"/>
          <w:rtl/>
        </w:rPr>
        <w:t xml:space="preserve">יש לזקוף לזכותו של הנאשם את החיסכון המשמעותי בזמן שיפוטי יקר, הנגזר מהודאתו ומנטילת האחריות. יש להתחשב בכך שעונש מאסר לריצוי בפועל בוודאי יפגע בנאשם ובמשפחתו. כמו כן, אין להתעלם מכך שהנאשם צעיר ונעדר הרשעות קודמות. עוד יש לזכור את ממצאי תסקיר שירות-המבחן, כפי שפורט בהרחבה – הומלץ על הטלת צו מבחן למשך שנה וחצי, לצד עונש מאסר לריצוי בדרך של עבודות שירות. זאת, נוכח מאמציו של הנאשם לקיים שיח פתוח, הבעת נכונות מצדו להשתלבות בטיפול על מנת להשתקם, רגשות הבושה המלווים אותו מאז מעצרו וכן תפקודו המיטיב בתעסוקה. </w:t>
      </w:r>
    </w:p>
    <w:p w14:paraId="7F0C4252" w14:textId="77777777" w:rsidR="00C74530" w:rsidRDefault="00C74530" w:rsidP="00C74530">
      <w:pPr>
        <w:spacing w:after="160" w:line="360" w:lineRule="auto"/>
        <w:jc w:val="both"/>
        <w:rPr>
          <w:rFonts w:ascii="David" w:eastAsia="Calibri" w:hAnsi="David"/>
          <w:rtl/>
        </w:rPr>
      </w:pPr>
      <w:r w:rsidRPr="00C703CE">
        <w:rPr>
          <w:rFonts w:ascii="David" w:eastAsia="Calibri" w:hAnsi="David"/>
          <w:rtl/>
        </w:rPr>
        <w:t xml:space="preserve">לאחר דברים אלה מצאתי לנכון, לאור נסיבות העניין וסוג הנשק, להפנות את הנאשם לקבלת חוות-דעת מטעם הממונה על עבודות השירות בכל הנוגע להתאמת ריצוי עונשו בדרך זו. זו אכן התקבלה ובמסגרתה נמצא הנאשם כשיר לריצוי עונשו בדרך של עבודות שירות, לצד מגבלות כפי שפורטו על-ידי הממונה על עבודות השירות. </w:t>
      </w:r>
    </w:p>
    <w:p w14:paraId="145948F1" w14:textId="77777777" w:rsidR="00C74530" w:rsidRDefault="00C74530" w:rsidP="00C74530">
      <w:pPr>
        <w:spacing w:after="160" w:line="360" w:lineRule="auto"/>
        <w:jc w:val="both"/>
        <w:rPr>
          <w:rFonts w:ascii="David" w:eastAsia="Calibri" w:hAnsi="David"/>
          <w:rtl/>
        </w:rPr>
      </w:pPr>
    </w:p>
    <w:p w14:paraId="404FF07C" w14:textId="77777777" w:rsidR="00C74530" w:rsidRPr="00C703CE" w:rsidRDefault="00C74530" w:rsidP="00C74530">
      <w:pPr>
        <w:spacing w:after="160" w:line="360" w:lineRule="auto"/>
        <w:jc w:val="both"/>
        <w:rPr>
          <w:rFonts w:ascii="David" w:eastAsia="Calibri" w:hAnsi="David"/>
          <w:rtl/>
        </w:rPr>
      </w:pPr>
    </w:p>
    <w:p w14:paraId="55C9A1F5" w14:textId="77777777" w:rsidR="00C74530" w:rsidRPr="00C703CE" w:rsidRDefault="00C74530" w:rsidP="00C74530">
      <w:pPr>
        <w:spacing w:after="160" w:line="360" w:lineRule="auto"/>
        <w:jc w:val="both"/>
        <w:rPr>
          <w:rFonts w:ascii="David" w:eastAsia="Calibri" w:hAnsi="David"/>
          <w:b/>
          <w:bCs/>
          <w:u w:val="single"/>
          <w:rtl/>
        </w:rPr>
      </w:pPr>
      <w:r w:rsidRPr="00C703CE">
        <w:rPr>
          <w:rFonts w:ascii="David" w:eastAsia="Calibri" w:hAnsi="David"/>
          <w:b/>
          <w:bCs/>
          <w:u w:val="single"/>
          <w:rtl/>
        </w:rPr>
        <w:t>סוף דבר</w:t>
      </w:r>
    </w:p>
    <w:p w14:paraId="335716D6" w14:textId="77777777" w:rsidR="00C74530" w:rsidRPr="00C703CE" w:rsidRDefault="00C74530" w:rsidP="00C74530">
      <w:pPr>
        <w:spacing w:after="160" w:line="360" w:lineRule="auto"/>
        <w:jc w:val="both"/>
        <w:rPr>
          <w:rFonts w:ascii="David" w:eastAsia="Calibri" w:hAnsi="David"/>
          <w:rtl/>
        </w:rPr>
      </w:pPr>
      <w:r w:rsidRPr="00C703CE">
        <w:rPr>
          <w:rFonts w:ascii="David" w:eastAsia="Calibri" w:hAnsi="David"/>
          <w:rtl/>
        </w:rPr>
        <w:t>לאחר ששקלתי את כל השיקולים הרלוונטיים לכך, הכוללים את תקופת שהייתו של הנאשם במעצר ימים וכן במעצר בפיקוח אלקטרוני, מצאתי להטיל על הנאשם עונשים כדלקמן:</w:t>
      </w:r>
    </w:p>
    <w:p w14:paraId="2F13D99F" w14:textId="77777777" w:rsidR="00C74530" w:rsidRPr="00C703CE" w:rsidRDefault="00C74530" w:rsidP="00C74530">
      <w:pPr>
        <w:numPr>
          <w:ilvl w:val="0"/>
          <w:numId w:val="1"/>
        </w:numPr>
        <w:spacing w:after="160" w:line="360" w:lineRule="auto"/>
        <w:contextualSpacing/>
        <w:jc w:val="both"/>
        <w:rPr>
          <w:rFonts w:ascii="David" w:eastAsia="Calibri" w:hAnsi="David"/>
          <w:rtl/>
        </w:rPr>
      </w:pPr>
      <w:r w:rsidRPr="00C703CE">
        <w:rPr>
          <w:rFonts w:ascii="David" w:eastAsia="Calibri" w:hAnsi="David"/>
          <w:b/>
          <w:bCs/>
          <w:rtl/>
        </w:rPr>
        <w:t>9 חודשי מאסר לריצוי בדרך של עבודות שירות</w:t>
      </w:r>
      <w:r w:rsidRPr="00C703CE">
        <w:rPr>
          <w:rFonts w:ascii="David" w:eastAsia="Calibri" w:hAnsi="David"/>
          <w:rtl/>
        </w:rPr>
        <w:t>, ללא ניכוי ימי מעצרו הממשיים.</w:t>
      </w:r>
    </w:p>
    <w:p w14:paraId="27908659" w14:textId="77777777" w:rsidR="00C74530" w:rsidRPr="00C703CE" w:rsidRDefault="00C74530" w:rsidP="00C74530">
      <w:pPr>
        <w:spacing w:after="160" w:line="360" w:lineRule="auto"/>
        <w:ind w:left="720"/>
        <w:contextualSpacing/>
        <w:jc w:val="both"/>
        <w:rPr>
          <w:rFonts w:ascii="David" w:eastAsia="Calibri" w:hAnsi="David"/>
        </w:rPr>
      </w:pPr>
      <w:r w:rsidRPr="00C703CE">
        <w:rPr>
          <w:rFonts w:ascii="David" w:eastAsia="Calibri" w:hAnsi="David"/>
          <w:rtl/>
        </w:rPr>
        <w:t xml:space="preserve">את עבודת השירות יבצע הנאשם בהתאם לחוות הדעת שהתקבלה מאת הממונה על עבודות השירות: במע"ש טמרה, בכתובת - טמרה. </w:t>
      </w:r>
      <w:r w:rsidRPr="00C703CE">
        <w:rPr>
          <w:rFonts w:ascii="David" w:eastAsia="Calibri" w:hAnsi="David"/>
          <w:b/>
          <w:bCs/>
          <w:rtl/>
        </w:rPr>
        <w:t>עליו להתייצב לריצוי עונשו ביום 14.5.25 עד השעה 08:00, ביחידת ברקאי – עבודות שירות – שלוחת צפון – סמוך לבית-סוהר מגידו</w:t>
      </w:r>
      <w:r w:rsidRPr="00C703CE">
        <w:rPr>
          <w:rFonts w:ascii="David" w:eastAsia="Calibri" w:hAnsi="David"/>
          <w:rtl/>
        </w:rPr>
        <w:t xml:space="preserve">. </w:t>
      </w:r>
    </w:p>
    <w:p w14:paraId="6E7ED926" w14:textId="77777777" w:rsidR="00C74530" w:rsidRPr="00C703CE" w:rsidRDefault="00C74530" w:rsidP="00C74530">
      <w:pPr>
        <w:spacing w:after="160" w:line="360" w:lineRule="auto"/>
        <w:ind w:left="720"/>
        <w:contextualSpacing/>
        <w:jc w:val="both"/>
        <w:rPr>
          <w:rFonts w:ascii="David" w:eastAsia="Calibri" w:hAnsi="David"/>
          <w:rtl/>
        </w:rPr>
      </w:pPr>
      <w:r w:rsidRPr="00C703CE">
        <w:rPr>
          <w:rFonts w:ascii="David" w:eastAsia="Calibri" w:hAnsi="David"/>
          <w:rtl/>
        </w:rPr>
        <w:t>הנאשם מוזהר בזאת שאי-ציות להוראות הממונה על עבודות השירות עלול להביאו להפסקת ריצוי עונשו בדרך של עבודות שירות וריצוי יתרת עונשו במאסר בפועל.</w:t>
      </w:r>
    </w:p>
    <w:p w14:paraId="135D7853" w14:textId="77777777" w:rsidR="00C74530" w:rsidRPr="00C703CE" w:rsidRDefault="00C74530" w:rsidP="00C74530">
      <w:pPr>
        <w:numPr>
          <w:ilvl w:val="0"/>
          <w:numId w:val="1"/>
        </w:numPr>
        <w:spacing w:after="160" w:line="360" w:lineRule="auto"/>
        <w:contextualSpacing/>
        <w:jc w:val="both"/>
        <w:rPr>
          <w:rFonts w:ascii="David" w:eastAsia="Calibri" w:hAnsi="David"/>
          <w:rtl/>
        </w:rPr>
      </w:pPr>
      <w:r w:rsidRPr="00C703CE">
        <w:rPr>
          <w:rFonts w:ascii="David" w:eastAsia="Calibri" w:hAnsi="David"/>
          <w:b/>
          <w:bCs/>
          <w:rtl/>
        </w:rPr>
        <w:t>הנאשם יושם תחת פיקוח שירות-המבחן למשך 18 חודשים מיום מתן גזר-דין זה</w:t>
      </w:r>
      <w:r w:rsidRPr="00C703CE">
        <w:rPr>
          <w:rFonts w:ascii="David" w:eastAsia="Calibri" w:hAnsi="David"/>
          <w:rtl/>
        </w:rPr>
        <w:t xml:space="preserve">. </w:t>
      </w:r>
    </w:p>
    <w:p w14:paraId="03DDC2D3" w14:textId="77777777" w:rsidR="00C74530" w:rsidRPr="00C703CE" w:rsidRDefault="00C74530" w:rsidP="00C74530">
      <w:pPr>
        <w:spacing w:after="160" w:line="360" w:lineRule="auto"/>
        <w:ind w:left="720"/>
        <w:contextualSpacing/>
        <w:jc w:val="both"/>
        <w:rPr>
          <w:rFonts w:ascii="David" w:eastAsia="Calibri" w:hAnsi="David"/>
        </w:rPr>
      </w:pPr>
      <w:r w:rsidRPr="00C703CE">
        <w:rPr>
          <w:rFonts w:ascii="David" w:eastAsia="Calibri" w:hAnsi="David"/>
          <w:color w:val="000000"/>
          <w:shd w:val="clear" w:color="auto" w:fill="FFFFFF"/>
          <w:rtl/>
        </w:rPr>
        <w:t>הנאשם מוזהר בזאת שאי-ציות להוראות שירות המבחן או הפרת הצו בכל דרך אחרת עלולה להביאו להידון מחדש בגין העבירה הנדונה כאן ולריצוי מאסר בפועל</w:t>
      </w:r>
      <w:r w:rsidRPr="00C703CE">
        <w:rPr>
          <w:rFonts w:ascii="David" w:eastAsia="Calibri" w:hAnsi="David"/>
          <w:color w:val="000000"/>
          <w:shd w:val="clear" w:color="auto" w:fill="FFFFFF"/>
        </w:rPr>
        <w:t>.</w:t>
      </w:r>
    </w:p>
    <w:p w14:paraId="6D87D4BE" w14:textId="77777777" w:rsidR="00C74530" w:rsidRPr="00C703CE" w:rsidRDefault="00C74530" w:rsidP="00C74530">
      <w:pPr>
        <w:numPr>
          <w:ilvl w:val="0"/>
          <w:numId w:val="1"/>
        </w:numPr>
        <w:spacing w:after="160" w:line="360" w:lineRule="auto"/>
        <w:contextualSpacing/>
        <w:jc w:val="both"/>
        <w:rPr>
          <w:rFonts w:ascii="David" w:eastAsia="Calibri" w:hAnsi="David"/>
        </w:rPr>
      </w:pPr>
      <w:r w:rsidRPr="00C703CE">
        <w:rPr>
          <w:rFonts w:ascii="David" w:eastAsia="Calibri" w:hAnsi="David"/>
          <w:rtl/>
        </w:rPr>
        <w:t xml:space="preserve">12 חודשי מאסר על תנאי שלא יעבור במשך שלוש שנים עבירות בנשק לפי </w:t>
      </w:r>
      <w:hyperlink r:id="rId47" w:history="1">
        <w:r w:rsidR="0050469E" w:rsidRPr="0050469E">
          <w:rPr>
            <w:rStyle w:val="Hyperlink"/>
            <w:rFonts w:ascii="David" w:eastAsia="Calibri" w:hAnsi="David"/>
            <w:color w:val="0000FF"/>
            <w:rtl/>
          </w:rPr>
          <w:t>סעיף 144</w:t>
        </w:r>
      </w:hyperlink>
      <w:r w:rsidRPr="00C703CE">
        <w:rPr>
          <w:rFonts w:ascii="David" w:eastAsia="Calibri" w:hAnsi="David"/>
          <w:rtl/>
        </w:rPr>
        <w:t xml:space="preserve"> לחוק.</w:t>
      </w:r>
    </w:p>
    <w:p w14:paraId="0EF970CA" w14:textId="77777777" w:rsidR="00C74530" w:rsidRPr="00C703CE" w:rsidRDefault="00C74530" w:rsidP="00C74530">
      <w:pPr>
        <w:numPr>
          <w:ilvl w:val="0"/>
          <w:numId w:val="1"/>
        </w:numPr>
        <w:spacing w:after="160" w:line="360" w:lineRule="auto"/>
        <w:contextualSpacing/>
        <w:jc w:val="both"/>
        <w:rPr>
          <w:rFonts w:ascii="David" w:eastAsia="Calibri" w:hAnsi="David"/>
        </w:rPr>
      </w:pPr>
      <w:r w:rsidRPr="00C703CE">
        <w:rPr>
          <w:rFonts w:ascii="David" w:eastAsia="Calibri" w:hAnsi="David"/>
          <w:b/>
          <w:bCs/>
          <w:rtl/>
        </w:rPr>
        <w:t>קנס בסך 1,000 ₪</w:t>
      </w:r>
      <w:r w:rsidRPr="00C703CE">
        <w:rPr>
          <w:rFonts w:ascii="David" w:eastAsia="Calibri" w:hAnsi="David"/>
          <w:rtl/>
        </w:rPr>
        <w:t xml:space="preserve"> אשר ישולם ב-4 תשלומים חודשיים שווים, החל מיום 1.5.25. </w:t>
      </w:r>
    </w:p>
    <w:p w14:paraId="1268C14A" w14:textId="77777777" w:rsidR="00C74530" w:rsidRPr="00C703CE" w:rsidRDefault="00C74530" w:rsidP="00C74530">
      <w:pPr>
        <w:spacing w:after="160" w:line="360" w:lineRule="auto"/>
        <w:ind w:left="720"/>
        <w:contextualSpacing/>
        <w:jc w:val="both"/>
        <w:rPr>
          <w:rFonts w:ascii="David" w:eastAsia="Calibri" w:hAnsi="David"/>
        </w:rPr>
      </w:pPr>
      <w:r w:rsidRPr="00C703CE">
        <w:rPr>
          <w:rFonts w:ascii="David" w:eastAsia="Calibri" w:hAnsi="David"/>
          <w:rtl/>
        </w:rPr>
        <w:t>תשומת לב הנאשם לכך שיש לשלם את הקנס לחשבון המרכז לגביית קנסות, אגרות והוצאות ברשות האכיפה והגבייה החל מחלוף 3 ימים מיום מתן גזר-הדין, באחת הדרכים הבאות:</w:t>
      </w:r>
    </w:p>
    <w:p w14:paraId="57CBE76F" w14:textId="77777777" w:rsidR="00C74530" w:rsidRPr="00C703CE" w:rsidRDefault="00C74530" w:rsidP="00C74530">
      <w:pPr>
        <w:spacing w:after="200" w:line="360" w:lineRule="auto"/>
        <w:ind w:left="720"/>
        <w:contextualSpacing/>
        <w:jc w:val="both"/>
        <w:rPr>
          <w:rFonts w:ascii="David" w:eastAsia="Calibri" w:hAnsi="David"/>
        </w:rPr>
      </w:pPr>
      <w:r w:rsidRPr="00C703CE">
        <w:rPr>
          <w:rFonts w:ascii="David" w:eastAsia="Calibri" w:hAnsi="David"/>
          <w:rtl/>
        </w:rPr>
        <w:t xml:space="preserve">בכרטיס אשראי – באתר המקוון של רשות האכיפה והגבייה - </w:t>
      </w:r>
      <w:hyperlink r:id="rId48" w:history="1">
        <w:r w:rsidRPr="00C703CE">
          <w:rPr>
            <w:rFonts w:ascii="David" w:eastAsia="Calibri" w:hAnsi="David"/>
            <w:color w:val="0000FF"/>
            <w:u w:val="single"/>
          </w:rPr>
          <w:t>WWW.ECA.GOV.IL</w:t>
        </w:r>
      </w:hyperlink>
      <w:r w:rsidRPr="00C703CE">
        <w:rPr>
          <w:rFonts w:ascii="David" w:eastAsia="Calibri" w:hAnsi="David"/>
          <w:rtl/>
        </w:rPr>
        <w:t>;</w:t>
      </w:r>
    </w:p>
    <w:p w14:paraId="447A65F7" w14:textId="77777777" w:rsidR="00C74530" w:rsidRPr="00C703CE" w:rsidRDefault="00C74530" w:rsidP="00C74530">
      <w:pPr>
        <w:spacing w:after="200" w:line="360" w:lineRule="auto"/>
        <w:ind w:left="720"/>
        <w:contextualSpacing/>
        <w:jc w:val="both"/>
        <w:rPr>
          <w:rFonts w:ascii="David" w:eastAsia="Calibri" w:hAnsi="David"/>
        </w:rPr>
      </w:pPr>
      <w:r w:rsidRPr="00C703CE">
        <w:rPr>
          <w:rFonts w:ascii="David" w:eastAsia="Calibri" w:hAnsi="David"/>
          <w:rtl/>
        </w:rPr>
        <w:t>באמצעות מוקד שירות טלפוני בשירות עצמי (מרכז גבייה) במספר הטלפון +35592 או 073-2055000.</w:t>
      </w:r>
    </w:p>
    <w:p w14:paraId="26A68A00" w14:textId="77777777" w:rsidR="00C74530" w:rsidRPr="00C703CE" w:rsidRDefault="00C74530" w:rsidP="00C74530">
      <w:pPr>
        <w:spacing w:after="240" w:line="360" w:lineRule="auto"/>
        <w:ind w:left="720"/>
        <w:contextualSpacing/>
        <w:jc w:val="both"/>
        <w:rPr>
          <w:rFonts w:ascii="David" w:eastAsia="Calibri" w:hAnsi="David"/>
        </w:rPr>
      </w:pPr>
      <w:r w:rsidRPr="00C703CE">
        <w:rPr>
          <w:rFonts w:ascii="David" w:eastAsia="Calibri" w:hAnsi="David"/>
          <w:rtl/>
        </w:rPr>
        <w:t>במזומן בכל סניף של בנק הדואר – בהצגת תעודת זהות בלבד (אין צורך בשוברי תשלום).</w:t>
      </w:r>
    </w:p>
    <w:p w14:paraId="5E08F099" w14:textId="77777777" w:rsidR="00C74530" w:rsidRPr="00C703CE" w:rsidRDefault="00C74530" w:rsidP="00C74530">
      <w:pPr>
        <w:spacing w:after="160" w:line="360" w:lineRule="auto"/>
        <w:jc w:val="both"/>
        <w:rPr>
          <w:rFonts w:ascii="David" w:eastAsia="Calibri" w:hAnsi="David"/>
          <w:rtl/>
        </w:rPr>
      </w:pPr>
      <w:r w:rsidRPr="00C703CE">
        <w:rPr>
          <w:rFonts w:ascii="David" w:eastAsia="Calibri" w:hAnsi="David"/>
          <w:b/>
          <w:bCs/>
          <w:rtl/>
        </w:rPr>
        <w:t>העתק גזר-הדין יועבר לעיונו של הממונה על עבודות השירות</w:t>
      </w:r>
    </w:p>
    <w:p w14:paraId="18030C2E" w14:textId="77777777" w:rsidR="00C74530" w:rsidRPr="00C703CE" w:rsidRDefault="00893184" w:rsidP="00C74530">
      <w:pPr>
        <w:spacing w:after="160" w:line="360" w:lineRule="auto"/>
        <w:jc w:val="both"/>
        <w:rPr>
          <w:rFonts w:ascii="David" w:eastAsia="Calibri" w:hAnsi="David"/>
          <w:b/>
          <w:bCs/>
          <w:rtl/>
        </w:rPr>
      </w:pPr>
      <w:r w:rsidRPr="00893184">
        <w:rPr>
          <w:rFonts w:ascii="David" w:eastAsia="Calibri" w:hAnsi="David"/>
          <w:b/>
          <w:bCs/>
          <w:color w:val="FFFFFF"/>
          <w:sz w:val="2"/>
          <w:szCs w:val="2"/>
          <w:rtl/>
        </w:rPr>
        <w:t>5129371</w:t>
      </w:r>
      <w:r w:rsidR="00C74530" w:rsidRPr="00C703CE">
        <w:rPr>
          <w:rFonts w:ascii="David" w:eastAsia="Calibri" w:hAnsi="David"/>
          <w:b/>
          <w:bCs/>
          <w:rtl/>
        </w:rPr>
        <w:t>זכות ערעור כחוק</w:t>
      </w:r>
    </w:p>
    <w:p w14:paraId="47F6F815" w14:textId="77777777" w:rsidR="00C74530" w:rsidRDefault="00893184" w:rsidP="00C74530">
      <w:pPr>
        <w:rPr>
          <w:rFonts w:cs="FrankRuehl"/>
          <w:sz w:val="28"/>
          <w:szCs w:val="28"/>
          <w:rtl/>
        </w:rPr>
      </w:pPr>
      <w:bookmarkStart w:id="7" w:name="Nitan"/>
      <w:r w:rsidRPr="00893184">
        <w:rPr>
          <w:rFonts w:ascii="Arial" w:hAnsi="Arial"/>
          <w:color w:val="FFFFFF"/>
          <w:sz w:val="2"/>
          <w:szCs w:val="2"/>
          <w:rtl/>
        </w:rPr>
        <w:t>54678313</w:t>
      </w:r>
      <w:r>
        <w:rPr>
          <w:rFonts w:ascii="Arial" w:hAnsi="Arial"/>
          <w:rtl/>
        </w:rPr>
        <w:t xml:space="preserve">ניתן היום,  י"ג אדר תשפ"ה, 13 מרץ 2025, במעמד הצדדים. </w:t>
      </w:r>
      <w:bookmarkEnd w:id="7"/>
    </w:p>
    <w:p w14:paraId="68982062" w14:textId="77777777" w:rsidR="00C74530" w:rsidRDefault="00C74530" w:rsidP="00893184">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F1F38E1" w14:textId="77777777" w:rsidR="00C74530" w:rsidRDefault="00C74530" w:rsidP="00C74530">
      <w:pPr>
        <w:jc w:val="center"/>
        <w:rPr>
          <w:rFonts w:ascii="Arial" w:hAnsi="Arial" w:cs="FrankRuehl"/>
          <w:sz w:val="28"/>
          <w:szCs w:val="28"/>
          <w:rtl/>
        </w:rPr>
      </w:pPr>
    </w:p>
    <w:p w14:paraId="5BD5CB15" w14:textId="77777777" w:rsidR="00893184" w:rsidRDefault="00893184" w:rsidP="00893184">
      <w:pPr>
        <w:rPr>
          <w:rtl/>
        </w:rPr>
      </w:pPr>
    </w:p>
    <w:p w14:paraId="33DCB913" w14:textId="77777777" w:rsidR="00893184" w:rsidRDefault="00893184" w:rsidP="00893184">
      <w:pPr>
        <w:jc w:val="center"/>
        <w:rPr>
          <w:color w:val="0000FF"/>
          <w:u w:val="single"/>
        </w:rPr>
      </w:pPr>
      <w:hyperlink r:id="rId49" w:history="1">
        <w:r>
          <w:rPr>
            <w:color w:val="0000FF"/>
            <w:u w:val="single"/>
            <w:rtl/>
          </w:rPr>
          <w:t>בעניין עריכה ושינויים במסמכי פסיקה, חקיקה ועוד באתר נבו – הקש כאן</w:t>
        </w:r>
      </w:hyperlink>
    </w:p>
    <w:p w14:paraId="35B4DC94" w14:textId="77777777" w:rsidR="0050469E" w:rsidRPr="0050469E" w:rsidRDefault="0050469E" w:rsidP="0050469E">
      <w:pPr>
        <w:keepNext/>
        <w:rPr>
          <w:rFonts w:ascii="David" w:hAnsi="David"/>
          <w:color w:val="000000"/>
          <w:sz w:val="22"/>
          <w:szCs w:val="22"/>
          <w:rtl/>
        </w:rPr>
      </w:pPr>
    </w:p>
    <w:p w14:paraId="767EE8F6" w14:textId="77777777" w:rsidR="0050469E" w:rsidRPr="0050469E" w:rsidRDefault="0050469E" w:rsidP="0050469E">
      <w:pPr>
        <w:keepNext/>
        <w:rPr>
          <w:rFonts w:ascii="David" w:hAnsi="David"/>
          <w:color w:val="000000"/>
          <w:sz w:val="22"/>
          <w:szCs w:val="22"/>
          <w:rtl/>
        </w:rPr>
      </w:pPr>
      <w:r w:rsidRPr="0050469E">
        <w:rPr>
          <w:rFonts w:ascii="David" w:hAnsi="David"/>
          <w:color w:val="000000"/>
          <w:sz w:val="22"/>
          <w:szCs w:val="22"/>
          <w:rtl/>
        </w:rPr>
        <w:t>אבי לוי 54678313-/</w:t>
      </w:r>
    </w:p>
    <w:p w14:paraId="7DBC2557" w14:textId="77777777" w:rsidR="00893184" w:rsidRPr="00893184" w:rsidRDefault="0050469E" w:rsidP="0050469E">
      <w:pPr>
        <w:rPr>
          <w:color w:val="0000FF"/>
          <w:u w:val="single"/>
        </w:rPr>
      </w:pPr>
      <w:r w:rsidRPr="0050469E">
        <w:rPr>
          <w:color w:val="000000"/>
          <w:u w:val="single"/>
          <w:rtl/>
        </w:rPr>
        <w:t>נוסח מסמך זה כפוף לשינויי ניסוח ועריכה</w:t>
      </w:r>
    </w:p>
    <w:sectPr w:rsidR="00893184" w:rsidRPr="00893184" w:rsidSect="0050469E">
      <w:headerReference w:type="even" r:id="rId50"/>
      <w:headerReference w:type="default" r:id="rId51"/>
      <w:footerReference w:type="even" r:id="rId52"/>
      <w:footerReference w:type="default" r:id="rId53"/>
      <w:pgSz w:w="11907" w:h="16840" w:code="9"/>
      <w:pgMar w:top="1701" w:right="1701" w:bottom="1134"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F5EA69" w14:textId="77777777" w:rsidR="008F4F62" w:rsidRDefault="008F4F62" w:rsidP="00195F92">
      <w:r>
        <w:separator/>
      </w:r>
    </w:p>
  </w:endnote>
  <w:endnote w:type="continuationSeparator" w:id="0">
    <w:p w14:paraId="30D1A402" w14:textId="77777777" w:rsidR="008F4F62" w:rsidRDefault="008F4F62" w:rsidP="00195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97600B" w14:textId="77777777" w:rsidR="0050469E" w:rsidRDefault="0050469E" w:rsidP="0050469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794C7A35" w14:textId="77777777" w:rsidR="001C25A5" w:rsidRPr="0050469E" w:rsidRDefault="0050469E" w:rsidP="0050469E">
    <w:pPr>
      <w:pStyle w:val="a5"/>
      <w:pBdr>
        <w:top w:val="single" w:sz="4" w:space="1" w:color="auto"/>
        <w:between w:val="single" w:sz="4" w:space="0" w:color="auto"/>
      </w:pBdr>
      <w:spacing w:after="60"/>
      <w:jc w:val="center"/>
      <w:rPr>
        <w:rFonts w:ascii="FrankRuehl" w:hAnsi="FrankRuehl" w:cs="FrankRuehl"/>
        <w:color w:val="000000"/>
      </w:rPr>
    </w:pPr>
    <w:r w:rsidRPr="0050469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B435B" w14:textId="77777777" w:rsidR="0050469E" w:rsidRDefault="0050469E" w:rsidP="0050469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52CDA">
      <w:rPr>
        <w:rFonts w:ascii="FrankRuehl" w:hAnsi="FrankRuehl" w:cs="FrankRuehl"/>
        <w:noProof/>
        <w:rtl/>
      </w:rPr>
      <w:t>1</w:t>
    </w:r>
    <w:r>
      <w:rPr>
        <w:rFonts w:ascii="FrankRuehl" w:hAnsi="FrankRuehl" w:cs="FrankRuehl"/>
        <w:rtl/>
      </w:rPr>
      <w:fldChar w:fldCharType="end"/>
    </w:r>
  </w:p>
  <w:p w14:paraId="5C23DBEA" w14:textId="77777777" w:rsidR="001C25A5" w:rsidRPr="0050469E" w:rsidRDefault="0050469E" w:rsidP="0050469E">
    <w:pPr>
      <w:pStyle w:val="a5"/>
      <w:pBdr>
        <w:top w:val="single" w:sz="4" w:space="1" w:color="auto"/>
        <w:between w:val="single" w:sz="4" w:space="0" w:color="auto"/>
      </w:pBdr>
      <w:spacing w:after="60"/>
      <w:jc w:val="center"/>
      <w:rPr>
        <w:rFonts w:ascii="FrankRuehl" w:hAnsi="FrankRuehl" w:cs="FrankRuehl"/>
        <w:color w:val="000000"/>
      </w:rPr>
    </w:pPr>
    <w:r w:rsidRPr="0050469E">
      <w:rPr>
        <w:rFonts w:ascii="FrankRuehl" w:hAnsi="FrankRuehl" w:cs="FrankRuehl"/>
        <w:color w:val="000000"/>
      </w:rPr>
      <w:pict w14:anchorId="6FE394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6598EA" w14:textId="77777777" w:rsidR="008F4F62" w:rsidRDefault="008F4F62" w:rsidP="00195F92">
      <w:r>
        <w:separator/>
      </w:r>
    </w:p>
  </w:footnote>
  <w:footnote w:type="continuationSeparator" w:id="0">
    <w:p w14:paraId="7FB09CAC" w14:textId="77777777" w:rsidR="008F4F62" w:rsidRDefault="008F4F62" w:rsidP="00195F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EB247F" w14:textId="77777777" w:rsidR="00893184" w:rsidRPr="0050469E" w:rsidRDefault="0050469E" w:rsidP="0050469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4029-07-24</w:t>
    </w:r>
    <w:r>
      <w:rPr>
        <w:rFonts w:ascii="David" w:hAnsi="David"/>
        <w:color w:val="000000"/>
        <w:sz w:val="22"/>
        <w:szCs w:val="22"/>
        <w:rtl/>
      </w:rPr>
      <w:tab/>
      <w:t xml:space="preserve"> מדינת ישראל נ' חליל מוסטפא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489C7D" w14:textId="77777777" w:rsidR="00893184" w:rsidRPr="0050469E" w:rsidRDefault="0050469E" w:rsidP="0050469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4029-07-24</w:t>
    </w:r>
    <w:r>
      <w:rPr>
        <w:rFonts w:ascii="David" w:hAnsi="David"/>
        <w:color w:val="000000"/>
        <w:sz w:val="22"/>
        <w:szCs w:val="22"/>
        <w:rtl/>
      </w:rPr>
      <w:tab/>
      <w:t xml:space="preserve"> מדינת ישראל נ' חליל מוסטפא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459A4"/>
    <w:multiLevelType w:val="hybridMultilevel"/>
    <w:tmpl w:val="8FAA1386"/>
    <w:lvl w:ilvl="0" w:tplc="D86A0A0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537845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74530"/>
    <w:rsid w:val="00195F92"/>
    <w:rsid w:val="001C25A5"/>
    <w:rsid w:val="00322869"/>
    <w:rsid w:val="0050469E"/>
    <w:rsid w:val="0052657C"/>
    <w:rsid w:val="00893184"/>
    <w:rsid w:val="008F4F62"/>
    <w:rsid w:val="00922040"/>
    <w:rsid w:val="00952CDA"/>
    <w:rsid w:val="00C7453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9360013"/>
  <w15:chartTrackingRefBased/>
  <w15:docId w15:val="{E735C942-D17A-4088-B26C-1234BF420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7453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74530"/>
    <w:pPr>
      <w:tabs>
        <w:tab w:val="center" w:pos="4153"/>
        <w:tab w:val="right" w:pos="8306"/>
      </w:tabs>
    </w:pPr>
  </w:style>
  <w:style w:type="character" w:customStyle="1" w:styleId="a4">
    <w:name w:val="כותרת עליונה תו"/>
    <w:link w:val="a3"/>
    <w:rsid w:val="00C74530"/>
    <w:rPr>
      <w:rFonts w:ascii="Times New Roman" w:eastAsia="Times New Roman" w:hAnsi="Times New Roman" w:cs="David"/>
      <w:sz w:val="24"/>
      <w:szCs w:val="24"/>
    </w:rPr>
  </w:style>
  <w:style w:type="paragraph" w:styleId="a5">
    <w:name w:val="footer"/>
    <w:basedOn w:val="a"/>
    <w:link w:val="a6"/>
    <w:rsid w:val="00C74530"/>
    <w:pPr>
      <w:tabs>
        <w:tab w:val="center" w:pos="4153"/>
        <w:tab w:val="right" w:pos="8306"/>
      </w:tabs>
    </w:pPr>
  </w:style>
  <w:style w:type="character" w:customStyle="1" w:styleId="a6">
    <w:name w:val="כותרת תחתונה תו"/>
    <w:link w:val="a5"/>
    <w:rsid w:val="00C74530"/>
    <w:rPr>
      <w:rFonts w:ascii="Times New Roman" w:eastAsia="Times New Roman" w:hAnsi="Times New Roman" w:cs="David"/>
      <w:sz w:val="24"/>
      <w:szCs w:val="24"/>
    </w:rPr>
  </w:style>
  <w:style w:type="table" w:styleId="a7">
    <w:name w:val="Table Grid"/>
    <w:basedOn w:val="a1"/>
    <w:rsid w:val="00C7453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74530"/>
  </w:style>
  <w:style w:type="character" w:styleId="Hyperlink">
    <w:name w:val="Hyperlink"/>
    <w:rsid w:val="0089318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law/70301/29" TargetMode="External"/><Relationship Id="rId26" Type="http://schemas.openxmlformats.org/officeDocument/2006/relationships/hyperlink" Target="http://www.nevo.co.il/case/21771409" TargetMode="External"/><Relationship Id="rId39" Type="http://schemas.openxmlformats.org/officeDocument/2006/relationships/hyperlink" Target="http://www.nevo.co.il/law/70301/144.b" TargetMode="External"/><Relationship Id="rId21" Type="http://schemas.openxmlformats.org/officeDocument/2006/relationships/hyperlink" Target="http://www.nevo.co.il/law/70301/fCa1S" TargetMode="External"/><Relationship Id="rId34" Type="http://schemas.openxmlformats.org/officeDocument/2006/relationships/hyperlink" Target="http://www.nevo.co.il/case/30165532" TargetMode="External"/><Relationship Id="rId42" Type="http://schemas.openxmlformats.org/officeDocument/2006/relationships/hyperlink" Target="http://www.nevo.co.il/case/28513828" TargetMode="External"/><Relationship Id="rId47" Type="http://schemas.openxmlformats.org/officeDocument/2006/relationships/hyperlink" Target="http://www.nevo.co.il/law/70301/144"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fCa1S" TargetMode="External"/><Relationship Id="rId29" Type="http://schemas.openxmlformats.org/officeDocument/2006/relationships/hyperlink" Target="http://www.nevo.co.il/law/70301/144.a" TargetMode="External"/><Relationship Id="rId11" Type="http://schemas.openxmlformats.org/officeDocument/2006/relationships/hyperlink" Target="http://www.nevo.co.il/law/70301/144" TargetMode="External"/><Relationship Id="rId24" Type="http://schemas.openxmlformats.org/officeDocument/2006/relationships/hyperlink" Target="http://www.nevo.co.il/case/10443017" TargetMode="External"/><Relationship Id="rId32" Type="http://schemas.openxmlformats.org/officeDocument/2006/relationships/hyperlink" Target="http://www.nevo.co.il/case/30185243" TargetMode="External"/><Relationship Id="rId37" Type="http://schemas.openxmlformats.org/officeDocument/2006/relationships/hyperlink" Target="http://www.nevo.co.il/case/28926209" TargetMode="External"/><Relationship Id="rId40" Type="http://schemas.openxmlformats.org/officeDocument/2006/relationships/hyperlink" Target="http://www.nevo.co.il/law/70301/29" TargetMode="External"/><Relationship Id="rId45" Type="http://schemas.openxmlformats.org/officeDocument/2006/relationships/hyperlink" Target="http://www.nevo.co.il/law/70301/40i" TargetMode="External"/><Relationship Id="rId53"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www.nevo.co.il/law/70301/40i" TargetMode="External"/><Relationship Id="rId19" Type="http://schemas.openxmlformats.org/officeDocument/2006/relationships/hyperlink" Target="http://www.nevo.co.il/law/70301" TargetMode="External"/><Relationship Id="rId31" Type="http://schemas.openxmlformats.org/officeDocument/2006/relationships/hyperlink" Target="http://www.nevo.co.il/law/70301/186.a" TargetMode="External"/><Relationship Id="rId44" Type="http://schemas.openxmlformats.org/officeDocument/2006/relationships/hyperlink" Target="http://www.nevo.co.il/law/70301/29"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40d.a" TargetMode="External"/><Relationship Id="rId14" Type="http://schemas.openxmlformats.org/officeDocument/2006/relationships/hyperlink" Target="http://www.nevo.co.il/law/70301/186.a"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2690203" TargetMode="External"/><Relationship Id="rId30" Type="http://schemas.openxmlformats.org/officeDocument/2006/relationships/hyperlink" Target="http://www.nevo.co.il/law/70301/144.b" TargetMode="External"/><Relationship Id="rId35" Type="http://schemas.openxmlformats.org/officeDocument/2006/relationships/hyperlink" Target="http://www.nevo.co.il/law/70301/144.a" TargetMode="External"/><Relationship Id="rId43" Type="http://schemas.openxmlformats.org/officeDocument/2006/relationships/hyperlink" Target="http://www.nevo.co.il/law/70301/144.a" TargetMode="External"/><Relationship Id="rId48" Type="http://schemas.openxmlformats.org/officeDocument/2006/relationships/hyperlink" Target="http://WWW.ECA.GOV.IL" TargetMode="External"/><Relationship Id="rId8" Type="http://schemas.openxmlformats.org/officeDocument/2006/relationships/hyperlink" Target="http://www.nevo.co.il/law/70301/29" TargetMode="External"/><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law/70301/144.a" TargetMode="External"/><Relationship Id="rId33" Type="http://schemas.openxmlformats.org/officeDocument/2006/relationships/hyperlink" Target="http://www.nevo.co.il/law/70301/144.a" TargetMode="External"/><Relationship Id="rId38" Type="http://schemas.openxmlformats.org/officeDocument/2006/relationships/hyperlink" Target="http://www.nevo.co.il/law/70301/144.a" TargetMode="External"/><Relationship Id="rId46" Type="http://schemas.openxmlformats.org/officeDocument/2006/relationships/hyperlink" Target="http://www.nevo.co.il/law/70301/40ja" TargetMode="External"/><Relationship Id="rId20" Type="http://schemas.openxmlformats.org/officeDocument/2006/relationships/hyperlink" Target="http://www.nevo.co.il/case/20832660" TargetMode="External"/><Relationship Id="rId41" Type="http://schemas.openxmlformats.org/officeDocument/2006/relationships/hyperlink" Target="http://www.nevo.co.il/law/70301/40d.a"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a" TargetMode="External"/><Relationship Id="rId23" Type="http://schemas.openxmlformats.org/officeDocument/2006/relationships/hyperlink" Target="http://www.nevo.co.il/case/22908758" TargetMode="External"/><Relationship Id="rId28" Type="http://schemas.openxmlformats.org/officeDocument/2006/relationships/hyperlink" Target="http://www.nevo.co.il/case/5576212" TargetMode="External"/><Relationship Id="rId36" Type="http://schemas.openxmlformats.org/officeDocument/2006/relationships/hyperlink" Target="http://www.nevo.co.il/law/70301/144.b" TargetMode="External"/><Relationship Id="rId49"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3112</Words>
  <Characters>15563</Characters>
  <Application>Microsoft Office Word</Application>
  <DocSecurity>0</DocSecurity>
  <Lines>129</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18638</CharactersWithSpaces>
  <SharedDoc>false</SharedDoc>
  <HLinks>
    <vt:vector size="258" baseType="variant">
      <vt:variant>
        <vt:i4>393283</vt:i4>
      </vt:variant>
      <vt:variant>
        <vt:i4>126</vt:i4>
      </vt:variant>
      <vt:variant>
        <vt:i4>0</vt:i4>
      </vt:variant>
      <vt:variant>
        <vt:i4>5</vt:i4>
      </vt:variant>
      <vt:variant>
        <vt:lpwstr>http://www.nevo.co.il/advertisements/nevo-100.doc</vt:lpwstr>
      </vt:variant>
      <vt:variant>
        <vt:lpwstr/>
      </vt:variant>
      <vt:variant>
        <vt:i4>7864368</vt:i4>
      </vt:variant>
      <vt:variant>
        <vt:i4>123</vt:i4>
      </vt:variant>
      <vt:variant>
        <vt:i4>0</vt:i4>
      </vt:variant>
      <vt:variant>
        <vt:i4>5</vt:i4>
      </vt:variant>
      <vt:variant>
        <vt:lpwstr>http://www.eca.gov.il/</vt:lpwstr>
      </vt:variant>
      <vt:variant>
        <vt:lpwstr/>
      </vt:variant>
      <vt:variant>
        <vt:i4>6357092</vt:i4>
      </vt:variant>
      <vt:variant>
        <vt:i4>120</vt:i4>
      </vt:variant>
      <vt:variant>
        <vt:i4>0</vt:i4>
      </vt:variant>
      <vt:variant>
        <vt:i4>5</vt:i4>
      </vt:variant>
      <vt:variant>
        <vt:lpwstr>http://www.nevo.co.il/law/70301/144</vt:lpwstr>
      </vt:variant>
      <vt:variant>
        <vt:lpwstr/>
      </vt:variant>
      <vt:variant>
        <vt:i4>262155</vt:i4>
      </vt:variant>
      <vt:variant>
        <vt:i4>117</vt:i4>
      </vt:variant>
      <vt:variant>
        <vt:i4>0</vt:i4>
      </vt:variant>
      <vt:variant>
        <vt:i4>5</vt:i4>
      </vt:variant>
      <vt:variant>
        <vt:lpwstr>http://www.nevo.co.il/law/70301/40ja</vt:lpwstr>
      </vt:variant>
      <vt:variant>
        <vt:lpwstr/>
      </vt:variant>
      <vt:variant>
        <vt:i4>6619233</vt:i4>
      </vt:variant>
      <vt:variant>
        <vt:i4>114</vt:i4>
      </vt:variant>
      <vt:variant>
        <vt:i4>0</vt:i4>
      </vt:variant>
      <vt:variant>
        <vt:i4>5</vt:i4>
      </vt:variant>
      <vt:variant>
        <vt:lpwstr>http://www.nevo.co.il/law/70301/40i</vt:lpwstr>
      </vt:variant>
      <vt:variant>
        <vt:lpwstr/>
      </vt:variant>
      <vt:variant>
        <vt:i4>7077991</vt:i4>
      </vt:variant>
      <vt:variant>
        <vt:i4>111</vt:i4>
      </vt:variant>
      <vt:variant>
        <vt:i4>0</vt:i4>
      </vt:variant>
      <vt:variant>
        <vt:i4>5</vt:i4>
      </vt:variant>
      <vt:variant>
        <vt:lpwstr>http://www.nevo.co.il/law/70301/29</vt:lpwstr>
      </vt:variant>
      <vt:variant>
        <vt:lpwstr/>
      </vt:variant>
      <vt:variant>
        <vt:i4>5177424</vt:i4>
      </vt:variant>
      <vt:variant>
        <vt:i4>108</vt:i4>
      </vt:variant>
      <vt:variant>
        <vt:i4>0</vt:i4>
      </vt:variant>
      <vt:variant>
        <vt:i4>5</vt:i4>
      </vt:variant>
      <vt:variant>
        <vt:lpwstr>http://www.nevo.co.il/law/70301/144.a</vt:lpwstr>
      </vt:variant>
      <vt:variant>
        <vt:lpwstr/>
      </vt:variant>
      <vt:variant>
        <vt:i4>3539061</vt:i4>
      </vt:variant>
      <vt:variant>
        <vt:i4>105</vt:i4>
      </vt:variant>
      <vt:variant>
        <vt:i4>0</vt:i4>
      </vt:variant>
      <vt:variant>
        <vt:i4>5</vt:i4>
      </vt:variant>
      <vt:variant>
        <vt:lpwstr>http://www.nevo.co.il/case/28513828</vt:lpwstr>
      </vt:variant>
      <vt:variant>
        <vt:lpwstr/>
      </vt:variant>
      <vt:variant>
        <vt:i4>4915205</vt:i4>
      </vt:variant>
      <vt:variant>
        <vt:i4>102</vt:i4>
      </vt:variant>
      <vt:variant>
        <vt:i4>0</vt:i4>
      </vt:variant>
      <vt:variant>
        <vt:i4>5</vt:i4>
      </vt:variant>
      <vt:variant>
        <vt:lpwstr>http://www.nevo.co.il/law/70301/40d.a</vt:lpwstr>
      </vt:variant>
      <vt:variant>
        <vt:lpwstr/>
      </vt:variant>
      <vt:variant>
        <vt:i4>7077991</vt:i4>
      </vt:variant>
      <vt:variant>
        <vt:i4>99</vt:i4>
      </vt:variant>
      <vt:variant>
        <vt:i4>0</vt:i4>
      </vt:variant>
      <vt:variant>
        <vt:i4>5</vt:i4>
      </vt:variant>
      <vt:variant>
        <vt:lpwstr>http://www.nevo.co.il/law/70301/29</vt:lpwstr>
      </vt:variant>
      <vt:variant>
        <vt:lpwstr/>
      </vt:variant>
      <vt:variant>
        <vt:i4>5177424</vt:i4>
      </vt:variant>
      <vt:variant>
        <vt:i4>96</vt:i4>
      </vt:variant>
      <vt:variant>
        <vt:i4>0</vt:i4>
      </vt:variant>
      <vt:variant>
        <vt:i4>5</vt:i4>
      </vt:variant>
      <vt:variant>
        <vt:lpwstr>http://www.nevo.co.il/law/70301/144.b</vt:lpwstr>
      </vt:variant>
      <vt:variant>
        <vt:lpwstr/>
      </vt:variant>
      <vt:variant>
        <vt:i4>5177424</vt:i4>
      </vt:variant>
      <vt:variant>
        <vt:i4>93</vt:i4>
      </vt:variant>
      <vt:variant>
        <vt:i4>0</vt:i4>
      </vt:variant>
      <vt:variant>
        <vt:i4>5</vt:i4>
      </vt:variant>
      <vt:variant>
        <vt:lpwstr>http://www.nevo.co.il/law/70301/144.a</vt:lpwstr>
      </vt:variant>
      <vt:variant>
        <vt:lpwstr/>
      </vt:variant>
      <vt:variant>
        <vt:i4>3997820</vt:i4>
      </vt:variant>
      <vt:variant>
        <vt:i4>90</vt:i4>
      </vt:variant>
      <vt:variant>
        <vt:i4>0</vt:i4>
      </vt:variant>
      <vt:variant>
        <vt:i4>5</vt:i4>
      </vt:variant>
      <vt:variant>
        <vt:lpwstr>http://www.nevo.co.il/case/28926209</vt:lpwstr>
      </vt:variant>
      <vt:variant>
        <vt:lpwstr/>
      </vt:variant>
      <vt:variant>
        <vt:i4>5177424</vt:i4>
      </vt:variant>
      <vt:variant>
        <vt:i4>87</vt:i4>
      </vt:variant>
      <vt:variant>
        <vt:i4>0</vt:i4>
      </vt:variant>
      <vt:variant>
        <vt:i4>5</vt:i4>
      </vt:variant>
      <vt:variant>
        <vt:lpwstr>http://www.nevo.co.il/law/70301/144.b</vt:lpwstr>
      </vt:variant>
      <vt:variant>
        <vt:lpwstr/>
      </vt:variant>
      <vt:variant>
        <vt:i4>5177424</vt:i4>
      </vt:variant>
      <vt:variant>
        <vt:i4>84</vt:i4>
      </vt:variant>
      <vt:variant>
        <vt:i4>0</vt:i4>
      </vt:variant>
      <vt:variant>
        <vt:i4>5</vt:i4>
      </vt:variant>
      <vt:variant>
        <vt:lpwstr>http://www.nevo.co.il/law/70301/144.a</vt:lpwstr>
      </vt:variant>
      <vt:variant>
        <vt:lpwstr/>
      </vt:variant>
      <vt:variant>
        <vt:i4>3407991</vt:i4>
      </vt:variant>
      <vt:variant>
        <vt:i4>81</vt:i4>
      </vt:variant>
      <vt:variant>
        <vt:i4>0</vt:i4>
      </vt:variant>
      <vt:variant>
        <vt:i4>5</vt:i4>
      </vt:variant>
      <vt:variant>
        <vt:lpwstr>http://www.nevo.co.il/case/30165532</vt:lpwstr>
      </vt:variant>
      <vt:variant>
        <vt:lpwstr/>
      </vt:variant>
      <vt:variant>
        <vt:i4>5177424</vt:i4>
      </vt:variant>
      <vt:variant>
        <vt:i4>78</vt:i4>
      </vt:variant>
      <vt:variant>
        <vt:i4>0</vt:i4>
      </vt:variant>
      <vt:variant>
        <vt:i4>5</vt:i4>
      </vt:variant>
      <vt:variant>
        <vt:lpwstr>http://www.nevo.co.il/law/70301/144.a</vt:lpwstr>
      </vt:variant>
      <vt:variant>
        <vt:lpwstr/>
      </vt:variant>
      <vt:variant>
        <vt:i4>3342462</vt:i4>
      </vt:variant>
      <vt:variant>
        <vt:i4>75</vt:i4>
      </vt:variant>
      <vt:variant>
        <vt:i4>0</vt:i4>
      </vt:variant>
      <vt:variant>
        <vt:i4>5</vt:i4>
      </vt:variant>
      <vt:variant>
        <vt:lpwstr>http://www.nevo.co.il/case/30185243</vt:lpwstr>
      </vt:variant>
      <vt:variant>
        <vt:lpwstr/>
      </vt:variant>
      <vt:variant>
        <vt:i4>4390994</vt:i4>
      </vt:variant>
      <vt:variant>
        <vt:i4>72</vt:i4>
      </vt:variant>
      <vt:variant>
        <vt:i4>0</vt:i4>
      </vt:variant>
      <vt:variant>
        <vt:i4>5</vt:i4>
      </vt:variant>
      <vt:variant>
        <vt:lpwstr>http://www.nevo.co.il/law/70301/186.a</vt:lpwstr>
      </vt:variant>
      <vt:variant>
        <vt:lpwstr/>
      </vt:variant>
      <vt:variant>
        <vt:i4>5177424</vt:i4>
      </vt:variant>
      <vt:variant>
        <vt:i4>69</vt:i4>
      </vt:variant>
      <vt:variant>
        <vt:i4>0</vt:i4>
      </vt:variant>
      <vt:variant>
        <vt:i4>5</vt:i4>
      </vt:variant>
      <vt:variant>
        <vt:lpwstr>http://www.nevo.co.il/law/70301/144.b</vt:lpwstr>
      </vt:variant>
      <vt:variant>
        <vt:lpwstr/>
      </vt:variant>
      <vt:variant>
        <vt:i4>5177424</vt:i4>
      </vt:variant>
      <vt:variant>
        <vt:i4>66</vt:i4>
      </vt:variant>
      <vt:variant>
        <vt:i4>0</vt:i4>
      </vt:variant>
      <vt:variant>
        <vt:i4>5</vt:i4>
      </vt:variant>
      <vt:variant>
        <vt:lpwstr>http://www.nevo.co.il/law/70301/144.a</vt:lpwstr>
      </vt:variant>
      <vt:variant>
        <vt:lpwstr/>
      </vt:variant>
      <vt:variant>
        <vt:i4>3276918</vt:i4>
      </vt:variant>
      <vt:variant>
        <vt:i4>63</vt:i4>
      </vt:variant>
      <vt:variant>
        <vt:i4>0</vt:i4>
      </vt:variant>
      <vt:variant>
        <vt:i4>5</vt:i4>
      </vt:variant>
      <vt:variant>
        <vt:lpwstr>http://www.nevo.co.il/case/5576212</vt:lpwstr>
      </vt:variant>
      <vt:variant>
        <vt:lpwstr/>
      </vt:variant>
      <vt:variant>
        <vt:i4>3407997</vt:i4>
      </vt:variant>
      <vt:variant>
        <vt:i4>60</vt:i4>
      </vt:variant>
      <vt:variant>
        <vt:i4>0</vt:i4>
      </vt:variant>
      <vt:variant>
        <vt:i4>5</vt:i4>
      </vt:variant>
      <vt:variant>
        <vt:lpwstr>http://www.nevo.co.il/case/22690203</vt:lpwstr>
      </vt:variant>
      <vt:variant>
        <vt:lpwstr/>
      </vt:variant>
      <vt:variant>
        <vt:i4>3407990</vt:i4>
      </vt:variant>
      <vt:variant>
        <vt:i4>57</vt:i4>
      </vt:variant>
      <vt:variant>
        <vt:i4>0</vt:i4>
      </vt:variant>
      <vt:variant>
        <vt:i4>5</vt:i4>
      </vt:variant>
      <vt:variant>
        <vt:lpwstr>http://www.nevo.co.il/case/21771409</vt:lpwstr>
      </vt:variant>
      <vt:variant>
        <vt:lpwstr/>
      </vt:variant>
      <vt:variant>
        <vt:i4>5177424</vt:i4>
      </vt:variant>
      <vt:variant>
        <vt:i4>54</vt:i4>
      </vt:variant>
      <vt:variant>
        <vt:i4>0</vt:i4>
      </vt:variant>
      <vt:variant>
        <vt:i4>5</vt:i4>
      </vt:variant>
      <vt:variant>
        <vt:lpwstr>http://www.nevo.co.il/law/70301/144.a</vt:lpwstr>
      </vt:variant>
      <vt:variant>
        <vt:lpwstr/>
      </vt:variant>
      <vt:variant>
        <vt:i4>3604592</vt:i4>
      </vt:variant>
      <vt:variant>
        <vt:i4>51</vt:i4>
      </vt:variant>
      <vt:variant>
        <vt:i4>0</vt:i4>
      </vt:variant>
      <vt:variant>
        <vt:i4>5</vt:i4>
      </vt:variant>
      <vt:variant>
        <vt:lpwstr>http://www.nevo.co.il/case/10443017</vt:lpwstr>
      </vt:variant>
      <vt:variant>
        <vt:lpwstr/>
      </vt:variant>
      <vt:variant>
        <vt:i4>3539057</vt:i4>
      </vt:variant>
      <vt:variant>
        <vt:i4>48</vt:i4>
      </vt:variant>
      <vt:variant>
        <vt:i4>0</vt:i4>
      </vt:variant>
      <vt:variant>
        <vt:i4>5</vt:i4>
      </vt:variant>
      <vt:variant>
        <vt:lpwstr>http://www.nevo.co.il/case/22908758</vt:lpwstr>
      </vt:variant>
      <vt:variant>
        <vt:lpwstr/>
      </vt:variant>
      <vt:variant>
        <vt:i4>7995492</vt:i4>
      </vt:variant>
      <vt:variant>
        <vt:i4>45</vt:i4>
      </vt:variant>
      <vt:variant>
        <vt:i4>0</vt:i4>
      </vt:variant>
      <vt:variant>
        <vt:i4>5</vt:i4>
      </vt:variant>
      <vt:variant>
        <vt:lpwstr>http://www.nevo.co.il/law/70301</vt:lpwstr>
      </vt:variant>
      <vt:variant>
        <vt:lpwstr/>
      </vt:variant>
      <vt:variant>
        <vt:i4>458834</vt:i4>
      </vt:variant>
      <vt:variant>
        <vt:i4>42</vt:i4>
      </vt:variant>
      <vt:variant>
        <vt:i4>0</vt:i4>
      </vt:variant>
      <vt:variant>
        <vt:i4>5</vt:i4>
      </vt:variant>
      <vt:variant>
        <vt:lpwstr>http://www.nevo.co.il/law/70301/fCa1S</vt:lpwstr>
      </vt:variant>
      <vt:variant>
        <vt:lpwstr/>
      </vt:variant>
      <vt:variant>
        <vt:i4>4063345</vt:i4>
      </vt:variant>
      <vt:variant>
        <vt:i4>39</vt:i4>
      </vt:variant>
      <vt:variant>
        <vt:i4>0</vt:i4>
      </vt:variant>
      <vt:variant>
        <vt:i4>5</vt:i4>
      </vt:variant>
      <vt:variant>
        <vt:lpwstr>http://www.nevo.co.il/case/20832660</vt:lpwstr>
      </vt:variant>
      <vt:variant>
        <vt:lpwstr/>
      </vt:variant>
      <vt:variant>
        <vt:i4>7995492</vt:i4>
      </vt:variant>
      <vt:variant>
        <vt:i4>36</vt:i4>
      </vt:variant>
      <vt:variant>
        <vt:i4>0</vt:i4>
      </vt:variant>
      <vt:variant>
        <vt:i4>5</vt:i4>
      </vt:variant>
      <vt:variant>
        <vt:lpwstr>http://www.nevo.co.il/law/70301</vt:lpwstr>
      </vt:variant>
      <vt:variant>
        <vt:lpwstr/>
      </vt:variant>
      <vt:variant>
        <vt:i4>7077991</vt:i4>
      </vt:variant>
      <vt:variant>
        <vt:i4>33</vt:i4>
      </vt:variant>
      <vt:variant>
        <vt:i4>0</vt:i4>
      </vt:variant>
      <vt:variant>
        <vt:i4>5</vt:i4>
      </vt:variant>
      <vt:variant>
        <vt:lpwstr>http://www.nevo.co.il/law/70301/29</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458834</vt:i4>
      </vt:variant>
      <vt:variant>
        <vt:i4>27</vt:i4>
      </vt:variant>
      <vt:variant>
        <vt:i4>0</vt:i4>
      </vt:variant>
      <vt:variant>
        <vt:i4>5</vt:i4>
      </vt:variant>
      <vt:variant>
        <vt:lpwstr>http://www.nevo.co.il/law/70301/fCa1S</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4390994</vt:i4>
      </vt:variant>
      <vt:variant>
        <vt:i4>21</vt:i4>
      </vt:variant>
      <vt:variant>
        <vt:i4>0</vt:i4>
      </vt:variant>
      <vt:variant>
        <vt:i4>5</vt:i4>
      </vt:variant>
      <vt:variant>
        <vt:lpwstr>http://www.nevo.co.il/law/70301/186.a</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4915205</vt:i4>
      </vt:variant>
      <vt:variant>
        <vt:i4>6</vt:i4>
      </vt:variant>
      <vt:variant>
        <vt:i4>0</vt:i4>
      </vt:variant>
      <vt:variant>
        <vt:i4>5</vt:i4>
      </vt:variant>
      <vt:variant>
        <vt:lpwstr>http://www.nevo.co.il/law/70301/40d.a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2025-04-25T11:02:00Z</dcterms:created>
  <dcterms:modified xsi:type="dcterms:W3CDTF">2025-04-25T11:02:00Z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4029</vt:lpwstr>
  </property>
  <property fmtid="{D5CDD505-2E9C-101B-9397-08002B2CF9AE}" pid="6" name="NEWPARTB">
    <vt:lpwstr>07</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חליל מוסטפא</vt:lpwstr>
  </property>
  <property fmtid="{D5CDD505-2E9C-101B-9397-08002B2CF9AE}" pid="10" name="JUDGE">
    <vt:lpwstr>אבי לוי</vt:lpwstr>
  </property>
  <property fmtid="{D5CDD505-2E9C-101B-9397-08002B2CF9AE}" pid="11" name="CITY">
    <vt:lpwstr>חי'</vt:lpwstr>
  </property>
  <property fmtid="{D5CDD505-2E9C-101B-9397-08002B2CF9AE}" pid="12" name="DATE">
    <vt:lpwstr>20250313</vt:lpwstr>
  </property>
  <property fmtid="{D5CDD505-2E9C-101B-9397-08002B2CF9AE}" pid="13" name="TYPE_N_DATE">
    <vt:lpwstr>39020250313</vt:lpwstr>
  </property>
  <property fmtid="{D5CDD505-2E9C-101B-9397-08002B2CF9AE}" pid="14" name="CASESLISTTMP1">
    <vt:lpwstr>20832660;22908758;10443017;21771409;22690203;5576212;30185243;30165532;28926209;28513828</vt:lpwstr>
  </property>
  <property fmtid="{D5CDD505-2E9C-101B-9397-08002B2CF9AE}" pid="15" name="WORDNUMPAGES">
    <vt:lpwstr>8</vt:lpwstr>
  </property>
  <property fmtid="{D5CDD505-2E9C-101B-9397-08002B2CF9AE}" pid="16" name="TYPE_ABS_DATE">
    <vt:lpwstr>390020250313</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70301/144.a:7;029:3;fCa1S;144.b:3;186.a;040d.a;040i;40ja;144</vt:lpwstr>
  </property>
  <property fmtid="{D5CDD505-2E9C-101B-9397-08002B2CF9AE}" pid="36" name="ISABSTRACT">
    <vt:lpwstr>Y</vt:lpwstr>
  </property>
</Properties>
</file>