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9D62EE" w:rsidRPr="00CA35FD" w14:paraId="0ADC56B9" w14:textId="77777777" w:rsidTr="00DD3E42">
        <w:trPr>
          <w:trHeight w:hRule="exact" w:val="418"/>
          <w:jc w:val="center"/>
        </w:trPr>
        <w:tc>
          <w:tcPr>
            <w:tcW w:w="8721" w:type="dxa"/>
            <w:gridSpan w:val="2"/>
          </w:tcPr>
          <w:p w14:paraId="15DAEDAA" w14:textId="77777777" w:rsidR="009D62EE" w:rsidRPr="00CA35FD" w:rsidRDefault="009D62EE" w:rsidP="0033715F">
            <w:pPr>
              <w:pStyle w:val="a3"/>
              <w:jc w:val="center"/>
              <w:rPr>
                <w:rFonts w:ascii="Tahoma" w:hAnsi="Tahoma" w:cs="Tahoma"/>
                <w:color w:val="000080"/>
                <w:rtl/>
              </w:rPr>
            </w:pPr>
            <w:r w:rsidRPr="00CA35FD">
              <w:rPr>
                <w:rFonts w:ascii="Tahoma" w:hAnsi="Tahoma" w:cs="Tahoma"/>
                <w:b/>
                <w:bCs/>
                <w:color w:val="000080"/>
                <w:rtl/>
              </w:rPr>
              <w:t>בית המשפט המחוזי בחיפה</w:t>
            </w:r>
          </w:p>
        </w:tc>
      </w:tr>
      <w:tr w:rsidR="009D62EE" w:rsidRPr="00CA35FD" w14:paraId="2C626762" w14:textId="77777777" w:rsidTr="00DD3E42">
        <w:trPr>
          <w:trHeight w:val="337"/>
          <w:jc w:val="center"/>
        </w:trPr>
        <w:tc>
          <w:tcPr>
            <w:tcW w:w="5059" w:type="dxa"/>
          </w:tcPr>
          <w:p w14:paraId="41F7A104" w14:textId="77777777" w:rsidR="009D62EE" w:rsidRPr="00CA35FD" w:rsidRDefault="009D62EE" w:rsidP="0033715F">
            <w:pPr>
              <w:rPr>
                <w:rFonts w:cs="FrankRuehl"/>
                <w:sz w:val="28"/>
                <w:szCs w:val="28"/>
                <w:rtl/>
              </w:rPr>
            </w:pPr>
            <w:r w:rsidRPr="00CA35FD">
              <w:rPr>
                <w:b/>
                <w:bCs/>
                <w:sz w:val="26"/>
                <w:szCs w:val="26"/>
                <w:rtl/>
              </w:rPr>
              <w:t>ת"פ</w:t>
            </w:r>
            <w:r w:rsidRPr="00CA35FD">
              <w:rPr>
                <w:rFonts w:cs="FrankRuehl" w:hint="cs"/>
                <w:sz w:val="28"/>
                <w:szCs w:val="28"/>
                <w:rtl/>
              </w:rPr>
              <w:t xml:space="preserve"> </w:t>
            </w:r>
            <w:r w:rsidRPr="00CA35FD">
              <w:rPr>
                <w:b/>
                <w:bCs/>
                <w:sz w:val="26"/>
                <w:szCs w:val="26"/>
                <w:rtl/>
              </w:rPr>
              <w:t>57404-07-24</w:t>
            </w:r>
            <w:r w:rsidRPr="00CA35FD">
              <w:rPr>
                <w:rFonts w:cs="FrankRuehl" w:hint="cs"/>
                <w:sz w:val="28"/>
                <w:szCs w:val="28"/>
                <w:rtl/>
              </w:rPr>
              <w:t xml:space="preserve"> </w:t>
            </w:r>
            <w:r w:rsidRPr="00CA35FD">
              <w:rPr>
                <w:b/>
                <w:bCs/>
                <w:sz w:val="26"/>
                <w:szCs w:val="26"/>
                <w:rtl/>
              </w:rPr>
              <w:t>מדינת ישראל נ' עמאש(עציר)</w:t>
            </w:r>
          </w:p>
        </w:tc>
        <w:tc>
          <w:tcPr>
            <w:tcW w:w="3662" w:type="dxa"/>
          </w:tcPr>
          <w:p w14:paraId="53E8FDEE" w14:textId="77777777" w:rsidR="009D62EE" w:rsidRPr="00CA35FD" w:rsidRDefault="009D62EE" w:rsidP="0033715F">
            <w:pPr>
              <w:pStyle w:val="a3"/>
              <w:jc w:val="right"/>
              <w:rPr>
                <w:rFonts w:cs="FrankRuehl"/>
                <w:sz w:val="28"/>
                <w:szCs w:val="28"/>
                <w:rtl/>
              </w:rPr>
            </w:pPr>
          </w:p>
        </w:tc>
      </w:tr>
    </w:tbl>
    <w:p w14:paraId="5624DEDC" w14:textId="77777777" w:rsidR="009D62EE" w:rsidRPr="00CA35FD" w:rsidRDefault="009D62EE" w:rsidP="00DD3E42">
      <w:pPr>
        <w:pStyle w:val="a3"/>
        <w:rPr>
          <w:rFonts w:ascii="Arial" w:hAnsi="Arial"/>
          <w:rtl/>
        </w:rPr>
      </w:pPr>
      <w:r w:rsidRPr="00CA35FD">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9D62EE" w:rsidRPr="00CA35FD" w14:paraId="73270F68" w14:textId="77777777" w:rsidTr="009D62EE">
        <w:trPr>
          <w:trHeight w:val="295"/>
          <w:jc w:val="center"/>
        </w:trPr>
        <w:tc>
          <w:tcPr>
            <w:tcW w:w="923" w:type="dxa"/>
            <w:tcBorders>
              <w:top w:val="nil"/>
              <w:left w:val="nil"/>
              <w:bottom w:val="nil"/>
              <w:right w:val="nil"/>
            </w:tcBorders>
            <w:shd w:val="clear" w:color="auto" w:fill="auto"/>
          </w:tcPr>
          <w:p w14:paraId="5F8689F8" w14:textId="77777777" w:rsidR="009D62EE" w:rsidRPr="00CA35FD" w:rsidRDefault="009D62EE" w:rsidP="009D62EE">
            <w:pPr>
              <w:jc w:val="both"/>
              <w:rPr>
                <w:rFonts w:ascii="David" w:hAnsi="David"/>
                <w:b/>
                <w:bCs/>
                <w:sz w:val="26"/>
                <w:szCs w:val="26"/>
              </w:rPr>
            </w:pPr>
            <w:r w:rsidRPr="00CA35FD">
              <w:rPr>
                <w:rFonts w:ascii="David" w:hAnsi="David"/>
                <w:b/>
                <w:bCs/>
                <w:sz w:val="26"/>
                <w:szCs w:val="26"/>
                <w:rtl/>
              </w:rPr>
              <w:t>לפני</w:t>
            </w:r>
          </w:p>
        </w:tc>
        <w:tc>
          <w:tcPr>
            <w:tcW w:w="7897" w:type="dxa"/>
            <w:gridSpan w:val="2"/>
            <w:tcBorders>
              <w:top w:val="nil"/>
              <w:left w:val="nil"/>
              <w:bottom w:val="nil"/>
              <w:right w:val="nil"/>
            </w:tcBorders>
            <w:shd w:val="clear" w:color="auto" w:fill="auto"/>
          </w:tcPr>
          <w:p w14:paraId="4767C616" w14:textId="77777777" w:rsidR="009D62EE" w:rsidRPr="00CA35FD" w:rsidRDefault="009D62EE" w:rsidP="009D62EE">
            <w:pPr>
              <w:jc w:val="both"/>
              <w:rPr>
                <w:rFonts w:ascii="David" w:hAnsi="David"/>
                <w:b/>
                <w:bCs/>
                <w:sz w:val="26"/>
                <w:szCs w:val="26"/>
              </w:rPr>
            </w:pPr>
            <w:r w:rsidRPr="00CA35FD">
              <w:rPr>
                <w:rFonts w:ascii="David" w:hAnsi="David"/>
                <w:b/>
                <w:bCs/>
                <w:sz w:val="26"/>
                <w:szCs w:val="26"/>
                <w:rtl/>
              </w:rPr>
              <w:t>כב' הנשיא, השופט אבי לוי</w:t>
            </w:r>
          </w:p>
        </w:tc>
      </w:tr>
      <w:tr w:rsidR="009D62EE" w:rsidRPr="00CA35FD" w14:paraId="208AF9B7" w14:textId="77777777" w:rsidTr="009D62EE">
        <w:trPr>
          <w:trHeight w:val="355"/>
          <w:jc w:val="center"/>
        </w:trPr>
        <w:tc>
          <w:tcPr>
            <w:tcW w:w="923" w:type="dxa"/>
            <w:tcBorders>
              <w:top w:val="nil"/>
              <w:left w:val="nil"/>
              <w:bottom w:val="nil"/>
              <w:right w:val="nil"/>
            </w:tcBorders>
            <w:shd w:val="clear" w:color="auto" w:fill="auto"/>
          </w:tcPr>
          <w:p w14:paraId="3C870BAE" w14:textId="77777777" w:rsidR="009D62EE" w:rsidRPr="00CA35FD" w:rsidRDefault="009D62EE" w:rsidP="009D62EE">
            <w:pPr>
              <w:jc w:val="both"/>
              <w:rPr>
                <w:rFonts w:ascii="David" w:hAnsi="David"/>
                <w:b/>
                <w:bCs/>
                <w:sz w:val="26"/>
                <w:szCs w:val="26"/>
              </w:rPr>
            </w:pPr>
            <w:bookmarkStart w:id="0" w:name="FirstAppellant"/>
            <w:bookmarkStart w:id="1" w:name="LastJudge"/>
            <w:bookmarkEnd w:id="1"/>
            <w:r w:rsidRPr="00CA35FD">
              <w:rPr>
                <w:rFonts w:ascii="David" w:hAnsi="David" w:hint="cs"/>
                <w:b/>
                <w:bCs/>
                <w:sz w:val="26"/>
                <w:szCs w:val="26"/>
                <w:rtl/>
              </w:rPr>
              <w:t>בעניין:</w:t>
            </w:r>
          </w:p>
        </w:tc>
        <w:tc>
          <w:tcPr>
            <w:tcW w:w="4126" w:type="dxa"/>
            <w:tcBorders>
              <w:top w:val="nil"/>
              <w:left w:val="nil"/>
              <w:bottom w:val="nil"/>
              <w:right w:val="nil"/>
            </w:tcBorders>
            <w:shd w:val="clear" w:color="auto" w:fill="auto"/>
          </w:tcPr>
          <w:p w14:paraId="23D7F8A4" w14:textId="77777777" w:rsidR="009D62EE" w:rsidRPr="00CA35FD" w:rsidRDefault="009D62EE" w:rsidP="0033715F">
            <w:pPr>
              <w:rPr>
                <w:rFonts w:ascii="David" w:hAnsi="David"/>
                <w:b/>
                <w:bCs/>
                <w:sz w:val="26"/>
                <w:szCs w:val="26"/>
              </w:rPr>
            </w:pPr>
            <w:r w:rsidRPr="00CA35FD">
              <w:rPr>
                <w:rFonts w:ascii="David" w:hAnsi="David" w:hint="cs"/>
                <w:b/>
                <w:bCs/>
                <w:sz w:val="26"/>
                <w:szCs w:val="26"/>
                <w:rtl/>
              </w:rPr>
              <w:t xml:space="preserve">המאשימה </w:t>
            </w:r>
          </w:p>
        </w:tc>
        <w:tc>
          <w:tcPr>
            <w:tcW w:w="3771" w:type="dxa"/>
            <w:tcBorders>
              <w:top w:val="nil"/>
              <w:left w:val="nil"/>
              <w:bottom w:val="nil"/>
              <w:right w:val="nil"/>
            </w:tcBorders>
            <w:shd w:val="clear" w:color="auto" w:fill="auto"/>
          </w:tcPr>
          <w:p w14:paraId="2F6A6AAB" w14:textId="77777777" w:rsidR="009D62EE" w:rsidRPr="00CA35FD" w:rsidRDefault="009D62EE" w:rsidP="009D62EE">
            <w:pPr>
              <w:jc w:val="both"/>
              <w:rPr>
                <w:rFonts w:ascii="David" w:hAnsi="David"/>
                <w:b/>
                <w:bCs/>
                <w:sz w:val="26"/>
                <w:szCs w:val="26"/>
              </w:rPr>
            </w:pPr>
            <w:r w:rsidRPr="00CA35FD">
              <w:rPr>
                <w:rFonts w:ascii="David" w:hAnsi="David" w:hint="cs"/>
                <w:b/>
                <w:bCs/>
                <w:sz w:val="26"/>
                <w:szCs w:val="26"/>
                <w:rtl/>
              </w:rPr>
              <w:t xml:space="preserve">מדינת ישראל </w:t>
            </w:r>
          </w:p>
        </w:tc>
      </w:tr>
      <w:bookmarkEnd w:id="0"/>
      <w:tr w:rsidR="009D62EE" w:rsidRPr="00CA35FD" w14:paraId="4A48088E" w14:textId="77777777" w:rsidTr="009D62EE">
        <w:trPr>
          <w:trHeight w:val="355"/>
          <w:jc w:val="center"/>
        </w:trPr>
        <w:tc>
          <w:tcPr>
            <w:tcW w:w="923" w:type="dxa"/>
            <w:tcBorders>
              <w:top w:val="nil"/>
              <w:left w:val="nil"/>
              <w:bottom w:val="nil"/>
              <w:right w:val="nil"/>
            </w:tcBorders>
            <w:shd w:val="clear" w:color="auto" w:fill="auto"/>
          </w:tcPr>
          <w:p w14:paraId="0E9AA1EC" w14:textId="77777777" w:rsidR="009D62EE" w:rsidRPr="00CA35FD" w:rsidRDefault="009D62EE" w:rsidP="009D62EE">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5D42964D" w14:textId="77777777" w:rsidR="009D62EE" w:rsidRPr="00CA35FD" w:rsidRDefault="009D62EE" w:rsidP="009D62EE">
            <w:pPr>
              <w:jc w:val="center"/>
              <w:rPr>
                <w:rFonts w:ascii="David" w:hAnsi="David"/>
                <w:b/>
                <w:bCs/>
                <w:sz w:val="26"/>
                <w:szCs w:val="26"/>
                <w:rtl/>
              </w:rPr>
            </w:pPr>
          </w:p>
          <w:p w14:paraId="5E8CF152" w14:textId="77777777" w:rsidR="009D62EE" w:rsidRPr="00CA35FD" w:rsidRDefault="009D62EE" w:rsidP="009D62EE">
            <w:pPr>
              <w:jc w:val="center"/>
              <w:rPr>
                <w:rFonts w:ascii="David" w:hAnsi="David"/>
                <w:b/>
                <w:bCs/>
                <w:sz w:val="26"/>
                <w:szCs w:val="26"/>
                <w:rtl/>
              </w:rPr>
            </w:pPr>
            <w:r w:rsidRPr="00CA35FD">
              <w:rPr>
                <w:rFonts w:ascii="David" w:hAnsi="David"/>
                <w:b/>
                <w:bCs/>
                <w:sz w:val="26"/>
                <w:szCs w:val="26"/>
                <w:rtl/>
              </w:rPr>
              <w:t>נגד</w:t>
            </w:r>
          </w:p>
          <w:p w14:paraId="6012BF76" w14:textId="77777777" w:rsidR="009D62EE" w:rsidRPr="00CA35FD" w:rsidRDefault="009D62EE" w:rsidP="009D62EE">
            <w:pPr>
              <w:jc w:val="both"/>
              <w:rPr>
                <w:rFonts w:ascii="David" w:hAnsi="David"/>
                <w:b/>
                <w:bCs/>
                <w:sz w:val="26"/>
                <w:szCs w:val="26"/>
              </w:rPr>
            </w:pPr>
          </w:p>
        </w:tc>
      </w:tr>
      <w:tr w:rsidR="009D62EE" w:rsidRPr="00CA35FD" w14:paraId="75E5759A" w14:textId="77777777" w:rsidTr="009D62EE">
        <w:trPr>
          <w:trHeight w:val="355"/>
          <w:jc w:val="center"/>
        </w:trPr>
        <w:tc>
          <w:tcPr>
            <w:tcW w:w="923" w:type="dxa"/>
            <w:tcBorders>
              <w:top w:val="nil"/>
              <w:left w:val="nil"/>
              <w:bottom w:val="nil"/>
              <w:right w:val="nil"/>
            </w:tcBorders>
            <w:shd w:val="clear" w:color="auto" w:fill="auto"/>
          </w:tcPr>
          <w:p w14:paraId="487CFEA3" w14:textId="77777777" w:rsidR="009D62EE" w:rsidRPr="00CA35FD" w:rsidRDefault="009D62EE" w:rsidP="009D62EE">
            <w:pPr>
              <w:jc w:val="both"/>
              <w:rPr>
                <w:rFonts w:ascii="David" w:hAnsi="David"/>
                <w:b/>
                <w:bCs/>
                <w:sz w:val="26"/>
                <w:szCs w:val="26"/>
                <w:rtl/>
              </w:rPr>
            </w:pPr>
          </w:p>
        </w:tc>
        <w:tc>
          <w:tcPr>
            <w:tcW w:w="4126" w:type="dxa"/>
            <w:tcBorders>
              <w:top w:val="nil"/>
              <w:left w:val="nil"/>
              <w:bottom w:val="nil"/>
              <w:right w:val="nil"/>
            </w:tcBorders>
            <w:shd w:val="clear" w:color="auto" w:fill="auto"/>
          </w:tcPr>
          <w:p w14:paraId="7E417EE4" w14:textId="77777777" w:rsidR="009D62EE" w:rsidRPr="00CA35FD" w:rsidRDefault="009D62EE" w:rsidP="009D62EE">
            <w:pPr>
              <w:jc w:val="both"/>
              <w:rPr>
                <w:rFonts w:ascii="David" w:hAnsi="David"/>
                <w:b/>
                <w:bCs/>
                <w:sz w:val="26"/>
                <w:szCs w:val="26"/>
                <w:rtl/>
              </w:rPr>
            </w:pPr>
            <w:r w:rsidRPr="00CA35FD">
              <w:rPr>
                <w:rFonts w:ascii="David" w:hAnsi="David" w:hint="cs"/>
                <w:b/>
                <w:bCs/>
                <w:sz w:val="26"/>
                <w:szCs w:val="26"/>
                <w:rtl/>
              </w:rPr>
              <w:t xml:space="preserve">הנאשם </w:t>
            </w:r>
          </w:p>
        </w:tc>
        <w:tc>
          <w:tcPr>
            <w:tcW w:w="3771" w:type="dxa"/>
            <w:tcBorders>
              <w:top w:val="nil"/>
              <w:left w:val="nil"/>
              <w:bottom w:val="nil"/>
              <w:right w:val="nil"/>
            </w:tcBorders>
            <w:shd w:val="clear" w:color="auto" w:fill="auto"/>
          </w:tcPr>
          <w:p w14:paraId="31ADDC34" w14:textId="77777777" w:rsidR="009D62EE" w:rsidRPr="00CA35FD" w:rsidRDefault="009D62EE" w:rsidP="009D62EE">
            <w:pPr>
              <w:jc w:val="both"/>
              <w:rPr>
                <w:rFonts w:ascii="David" w:hAnsi="David"/>
                <w:b/>
                <w:bCs/>
                <w:sz w:val="26"/>
                <w:szCs w:val="26"/>
              </w:rPr>
            </w:pPr>
            <w:r w:rsidRPr="00CA35FD">
              <w:rPr>
                <w:rFonts w:ascii="David" w:hAnsi="David"/>
                <w:b/>
                <w:bCs/>
                <w:sz w:val="26"/>
                <w:szCs w:val="26"/>
                <w:rtl/>
              </w:rPr>
              <w:t>מוחמד עמאש (עציר)</w:t>
            </w:r>
          </w:p>
        </w:tc>
      </w:tr>
    </w:tbl>
    <w:p w14:paraId="7EDD966B" w14:textId="77777777" w:rsidR="00CA35FD" w:rsidRPr="00CA35FD" w:rsidRDefault="00CA35FD">
      <w:pPr>
        <w:rPr>
          <w:rtl/>
        </w:rPr>
      </w:pPr>
    </w:p>
    <w:p w14:paraId="15E08248" w14:textId="77777777" w:rsidR="00CA35FD" w:rsidRPr="00CA35FD" w:rsidRDefault="00CA35FD" w:rsidP="00CA35FD">
      <w:pPr>
        <w:spacing w:after="120" w:line="240" w:lineRule="exact"/>
        <w:ind w:left="283" w:hanging="283"/>
        <w:jc w:val="both"/>
        <w:rPr>
          <w:rFonts w:ascii="FrankRuehl" w:hAnsi="FrankRuehl" w:cs="FrankRuehl"/>
        </w:rPr>
      </w:pPr>
      <w:bookmarkStart w:id="2" w:name="Links_Start"/>
      <w:bookmarkEnd w:id="2"/>
      <w:r w:rsidRPr="00CA35FD">
        <w:rPr>
          <w:rFonts w:ascii="FrankRuehl" w:hAnsi="FrankRuehl" w:cs="FrankRuehl"/>
          <w:rtl/>
        </w:rPr>
        <w:t>ספרות:</w:t>
      </w:r>
    </w:p>
    <w:p w14:paraId="60F2BDED" w14:textId="77777777" w:rsidR="00CA35FD" w:rsidRPr="00CA35FD" w:rsidRDefault="00CA35FD" w:rsidP="00CA35FD">
      <w:pPr>
        <w:spacing w:after="120" w:line="240" w:lineRule="exact"/>
        <w:ind w:left="283" w:hanging="283"/>
        <w:jc w:val="both"/>
        <w:rPr>
          <w:rFonts w:ascii="FrankRuehl" w:hAnsi="FrankRuehl" w:cs="FrankRuehl"/>
          <w:color w:val="000000"/>
          <w:rtl/>
        </w:rPr>
      </w:pPr>
      <w:r w:rsidRPr="00CA35FD">
        <w:rPr>
          <w:rFonts w:ascii="FrankRuehl" w:hAnsi="FrankRuehl" w:cs="FrankRuehl"/>
          <w:color w:val="000000"/>
          <w:rtl/>
        </w:rPr>
        <w:t xml:space="preserve">גבריאל הלוי  </w:t>
      </w:r>
      <w:r w:rsidRPr="00CA35FD">
        <w:rPr>
          <w:rFonts w:ascii="FrankRuehl" w:hAnsi="FrankRuehl" w:cs="FrankRuehl"/>
          <w:color w:val="000000"/>
        </w:rPr>
        <w:t xml:space="preserve"> </w:t>
      </w:r>
      <w:r w:rsidRPr="00CA35FD">
        <w:rPr>
          <w:rFonts w:ascii="FrankRuehl" w:hAnsi="FrankRuehl" w:cs="FrankRuehl"/>
          <w:b/>
          <w:bCs/>
          <w:color w:val="000000"/>
          <w:rtl/>
        </w:rPr>
        <w:t xml:space="preserve">תורת דיני העונשין </w:t>
      </w:r>
    </w:p>
    <w:p w14:paraId="5B6D08A9" w14:textId="77777777" w:rsidR="00CA35FD" w:rsidRPr="00CA35FD" w:rsidRDefault="00CA35FD">
      <w:pPr>
        <w:rPr>
          <w:color w:val="000000"/>
          <w:rtl/>
        </w:rPr>
      </w:pPr>
      <w:bookmarkStart w:id="3" w:name="Links_End"/>
      <w:bookmarkEnd w:id="3"/>
    </w:p>
    <w:p w14:paraId="00F213E4" w14:textId="77777777" w:rsidR="00CA35FD" w:rsidRPr="00CA35FD" w:rsidRDefault="00CA35FD" w:rsidP="00CA35FD">
      <w:pPr>
        <w:spacing w:before="120" w:after="120" w:line="240" w:lineRule="exact"/>
        <w:ind w:left="283" w:hanging="283"/>
        <w:jc w:val="both"/>
        <w:rPr>
          <w:rFonts w:ascii="FrankRuehl" w:hAnsi="FrankRuehl" w:cs="FrankRuehl"/>
          <w:rtl/>
        </w:rPr>
      </w:pPr>
    </w:p>
    <w:p w14:paraId="61F1B2CB" w14:textId="77777777" w:rsidR="00CA35FD" w:rsidRPr="00CA35FD" w:rsidRDefault="00CA35FD" w:rsidP="00CA35FD">
      <w:pPr>
        <w:rPr>
          <w:rtl/>
        </w:rPr>
      </w:pPr>
    </w:p>
    <w:p w14:paraId="106512F5" w14:textId="77777777" w:rsidR="00DD3E42" w:rsidRPr="00DD3E42" w:rsidRDefault="00DD3E42" w:rsidP="00DD3E42">
      <w:pPr>
        <w:spacing w:before="120" w:after="120" w:line="240" w:lineRule="exact"/>
        <w:ind w:left="283" w:hanging="283"/>
        <w:jc w:val="both"/>
        <w:rPr>
          <w:rFonts w:ascii="FrankRuehl" w:hAnsi="FrankRuehl" w:cs="FrankRuehl"/>
          <w:rtl/>
        </w:rPr>
      </w:pPr>
      <w:bookmarkStart w:id="4" w:name="LawTable"/>
      <w:bookmarkEnd w:id="4"/>
    </w:p>
    <w:p w14:paraId="1094ED97" w14:textId="77777777" w:rsidR="00DD3E42" w:rsidRPr="00DD3E42" w:rsidRDefault="00DD3E42" w:rsidP="00DD3E42">
      <w:pPr>
        <w:spacing w:before="120" w:after="120" w:line="240" w:lineRule="exact"/>
        <w:ind w:left="283" w:hanging="283"/>
        <w:jc w:val="both"/>
        <w:rPr>
          <w:rFonts w:ascii="FrankRuehl" w:hAnsi="FrankRuehl" w:cs="FrankRuehl"/>
          <w:rtl/>
        </w:rPr>
      </w:pPr>
      <w:r w:rsidRPr="00DD3E42">
        <w:rPr>
          <w:rFonts w:ascii="FrankRuehl" w:hAnsi="FrankRuehl" w:cs="FrankRuehl"/>
          <w:rtl/>
        </w:rPr>
        <w:t xml:space="preserve">חקיקה שאוזכרה: </w:t>
      </w:r>
    </w:p>
    <w:p w14:paraId="3C6B7041" w14:textId="77777777" w:rsidR="00DD3E42" w:rsidRPr="00DD3E42" w:rsidRDefault="00DD3E42" w:rsidP="00DD3E42">
      <w:pPr>
        <w:spacing w:before="120" w:after="120" w:line="240" w:lineRule="exact"/>
        <w:ind w:left="283" w:hanging="283"/>
        <w:jc w:val="both"/>
        <w:rPr>
          <w:rFonts w:ascii="FrankRuehl" w:hAnsi="FrankRuehl" w:cs="FrankRuehl"/>
          <w:color w:val="0000FF"/>
          <w:rtl/>
        </w:rPr>
      </w:pPr>
      <w:hyperlink r:id="rId7" w:history="1">
        <w:r w:rsidRPr="00DD3E42">
          <w:rPr>
            <w:rStyle w:val="Hyperlink"/>
            <w:rFonts w:ascii="FrankRuehl" w:hAnsi="FrankRuehl" w:cs="FrankRuehl"/>
            <w:u w:val="none"/>
            <w:rtl/>
          </w:rPr>
          <w:t>חוק העונשין, תשל"ז-1977</w:t>
        </w:r>
      </w:hyperlink>
      <w:r w:rsidRPr="00DD3E42">
        <w:rPr>
          <w:rFonts w:ascii="FrankRuehl" w:hAnsi="FrankRuehl" w:cs="FrankRuehl"/>
          <w:color w:val="0000FF"/>
          <w:rtl/>
        </w:rPr>
        <w:t xml:space="preserve">: סע'  </w:t>
      </w:r>
      <w:hyperlink r:id="rId8" w:history="1">
        <w:r w:rsidRPr="00DD3E42">
          <w:rPr>
            <w:rStyle w:val="Hyperlink"/>
            <w:rFonts w:ascii="FrankRuehl" w:hAnsi="FrankRuehl" w:cs="FrankRuehl"/>
            <w:u w:val="none"/>
          </w:rPr>
          <w:t>29</w:t>
        </w:r>
      </w:hyperlink>
      <w:r w:rsidRPr="00DD3E42">
        <w:rPr>
          <w:rFonts w:ascii="FrankRuehl" w:hAnsi="FrankRuehl" w:cs="FrankRuehl"/>
          <w:color w:val="0000FF"/>
          <w:rtl/>
        </w:rPr>
        <w:t xml:space="preserve">(א), </w:t>
      </w:r>
      <w:hyperlink r:id="rId9" w:history="1">
        <w:r w:rsidRPr="00DD3E42">
          <w:rPr>
            <w:rStyle w:val="Hyperlink"/>
            <w:rFonts w:ascii="FrankRuehl" w:hAnsi="FrankRuehl" w:cs="FrankRuehl"/>
            <w:u w:val="none"/>
          </w:rPr>
          <w:t>31</w:t>
        </w:r>
      </w:hyperlink>
      <w:r w:rsidRPr="00DD3E42">
        <w:rPr>
          <w:rFonts w:ascii="FrankRuehl" w:hAnsi="FrankRuehl" w:cs="FrankRuehl"/>
          <w:color w:val="0000FF"/>
          <w:rtl/>
        </w:rPr>
        <w:t xml:space="preserve">, </w:t>
      </w:r>
      <w:hyperlink r:id="rId10" w:history="1">
        <w:r w:rsidRPr="00DD3E42">
          <w:rPr>
            <w:rStyle w:val="Hyperlink"/>
            <w:rFonts w:ascii="FrankRuehl" w:hAnsi="FrankRuehl" w:cs="FrankRuehl"/>
            <w:u w:val="none"/>
          </w:rPr>
          <w:t>34</w:t>
        </w:r>
        <w:r w:rsidRPr="00DD3E42">
          <w:rPr>
            <w:rStyle w:val="Hyperlink"/>
            <w:rFonts w:ascii="FrankRuehl" w:hAnsi="FrankRuehl" w:cs="FrankRuehl"/>
            <w:u w:val="none"/>
            <w:rtl/>
          </w:rPr>
          <w:t>א</w:t>
        </w:r>
      </w:hyperlink>
      <w:r w:rsidRPr="00DD3E42">
        <w:rPr>
          <w:rFonts w:ascii="FrankRuehl" w:hAnsi="FrankRuehl" w:cs="FrankRuehl"/>
          <w:color w:val="0000FF"/>
          <w:rtl/>
        </w:rPr>
        <w:t xml:space="preserve">, </w:t>
      </w:r>
      <w:hyperlink r:id="rId11" w:history="1">
        <w:r w:rsidRPr="00DD3E42">
          <w:rPr>
            <w:rStyle w:val="Hyperlink"/>
            <w:rFonts w:ascii="FrankRuehl" w:hAnsi="FrankRuehl" w:cs="FrankRuehl"/>
            <w:u w:val="none"/>
          </w:rPr>
          <w:t>40</w:t>
        </w:r>
        <w:r w:rsidRPr="00DD3E42">
          <w:rPr>
            <w:rStyle w:val="Hyperlink"/>
            <w:rFonts w:ascii="FrankRuehl" w:hAnsi="FrankRuehl" w:cs="FrankRuehl"/>
            <w:u w:val="none"/>
            <w:rtl/>
          </w:rPr>
          <w:t>ט</w:t>
        </w:r>
      </w:hyperlink>
      <w:r w:rsidRPr="00DD3E42">
        <w:rPr>
          <w:rFonts w:ascii="FrankRuehl" w:hAnsi="FrankRuehl" w:cs="FrankRuehl"/>
          <w:color w:val="0000FF"/>
          <w:rtl/>
        </w:rPr>
        <w:t xml:space="preserve">, </w:t>
      </w:r>
      <w:hyperlink r:id="rId12" w:history="1">
        <w:r w:rsidRPr="00DD3E42">
          <w:rPr>
            <w:rStyle w:val="Hyperlink"/>
            <w:rFonts w:ascii="FrankRuehl" w:hAnsi="FrankRuehl" w:cs="FrankRuehl"/>
            <w:u w:val="none"/>
          </w:rPr>
          <w:t>144</w:t>
        </w:r>
      </w:hyperlink>
      <w:r w:rsidRPr="00DD3E42">
        <w:rPr>
          <w:rFonts w:ascii="FrankRuehl" w:hAnsi="FrankRuehl" w:cs="FrankRuehl"/>
          <w:color w:val="0000FF"/>
          <w:rtl/>
        </w:rPr>
        <w:t xml:space="preserve">(ב), </w:t>
      </w:r>
      <w:hyperlink r:id="rId13" w:history="1">
        <w:r w:rsidRPr="00DD3E42">
          <w:rPr>
            <w:rStyle w:val="Hyperlink"/>
            <w:rFonts w:ascii="FrankRuehl" w:hAnsi="FrankRuehl" w:cs="FrankRuehl"/>
            <w:u w:val="none"/>
          </w:rPr>
          <w:t>402</w:t>
        </w:r>
      </w:hyperlink>
      <w:r w:rsidRPr="00DD3E42">
        <w:rPr>
          <w:rFonts w:ascii="FrankRuehl" w:hAnsi="FrankRuehl" w:cs="FrankRuehl"/>
          <w:color w:val="0000FF"/>
          <w:rtl/>
        </w:rPr>
        <w:t xml:space="preserve">(ב), </w:t>
      </w:r>
      <w:hyperlink r:id="rId14" w:history="1">
        <w:r w:rsidRPr="00DD3E42">
          <w:rPr>
            <w:rStyle w:val="Hyperlink"/>
            <w:rFonts w:ascii="FrankRuehl" w:hAnsi="FrankRuehl" w:cs="FrankRuehl"/>
            <w:u w:val="none"/>
          </w:rPr>
          <w:t>40</w:t>
        </w:r>
        <w:r w:rsidRPr="00DD3E42">
          <w:rPr>
            <w:rStyle w:val="Hyperlink"/>
            <w:rFonts w:ascii="FrankRuehl" w:hAnsi="FrankRuehl" w:cs="FrankRuehl"/>
            <w:u w:val="none"/>
            <w:rtl/>
          </w:rPr>
          <w:t>יג</w:t>
        </w:r>
      </w:hyperlink>
      <w:r w:rsidRPr="00DD3E42">
        <w:rPr>
          <w:rFonts w:ascii="FrankRuehl" w:hAnsi="FrankRuehl" w:cs="FrankRuehl"/>
          <w:color w:val="0000FF"/>
          <w:rtl/>
        </w:rPr>
        <w:t xml:space="preserve">(א), </w:t>
      </w:r>
      <w:hyperlink r:id="rId15" w:history="1">
        <w:r w:rsidRPr="00DD3E42">
          <w:rPr>
            <w:rStyle w:val="Hyperlink"/>
            <w:rFonts w:ascii="FrankRuehl" w:hAnsi="FrankRuehl" w:cs="FrankRuehl"/>
            <w:u w:val="none"/>
          </w:rPr>
          <w:t>40</w:t>
        </w:r>
        <w:r w:rsidRPr="00DD3E42">
          <w:rPr>
            <w:rStyle w:val="Hyperlink"/>
            <w:rFonts w:ascii="FrankRuehl" w:hAnsi="FrankRuehl" w:cs="FrankRuehl"/>
            <w:u w:val="none"/>
            <w:rtl/>
          </w:rPr>
          <w:t>יג</w:t>
        </w:r>
      </w:hyperlink>
      <w:r w:rsidRPr="00DD3E42">
        <w:rPr>
          <w:rFonts w:ascii="FrankRuehl" w:hAnsi="FrankRuehl" w:cs="FrankRuehl"/>
          <w:color w:val="0000FF"/>
          <w:rtl/>
        </w:rPr>
        <w:t xml:space="preserve">(ג), </w:t>
      </w:r>
      <w:hyperlink r:id="rId16" w:history="1">
        <w:r w:rsidRPr="00DD3E42">
          <w:rPr>
            <w:rStyle w:val="Hyperlink"/>
            <w:rFonts w:ascii="FrankRuehl" w:hAnsi="FrankRuehl" w:cs="FrankRuehl"/>
            <w:u w:val="none"/>
          </w:rPr>
          <w:t>413</w:t>
        </w:r>
        <w:r w:rsidRPr="00DD3E42">
          <w:rPr>
            <w:rStyle w:val="Hyperlink"/>
            <w:rFonts w:ascii="FrankRuehl" w:hAnsi="FrankRuehl" w:cs="FrankRuehl"/>
            <w:u w:val="none"/>
            <w:rtl/>
          </w:rPr>
          <w:t>ג</w:t>
        </w:r>
      </w:hyperlink>
    </w:p>
    <w:p w14:paraId="00BE4283" w14:textId="77777777" w:rsidR="00DD3E42" w:rsidRPr="00DD3E42" w:rsidRDefault="00DD3E42" w:rsidP="00DD3E42">
      <w:pPr>
        <w:spacing w:before="120" w:after="120" w:line="240" w:lineRule="exact"/>
        <w:ind w:left="283" w:hanging="283"/>
        <w:jc w:val="both"/>
        <w:rPr>
          <w:rFonts w:ascii="FrankRuehl" w:hAnsi="FrankRuehl" w:cs="FrankRuehl"/>
          <w:color w:val="0000FF"/>
          <w:rtl/>
        </w:rPr>
      </w:pPr>
      <w:hyperlink r:id="rId17" w:history="1">
        <w:r w:rsidRPr="00DD3E42">
          <w:rPr>
            <w:rStyle w:val="Hyperlink"/>
            <w:rFonts w:ascii="FrankRuehl" w:hAnsi="FrankRuehl" w:cs="FrankRuehl"/>
            <w:u w:val="none"/>
            <w:rtl/>
          </w:rPr>
          <w:t>פקודת התעבורה [נוסח חדש</w:t>
        </w:r>
        <w:r w:rsidRPr="00DD3E42">
          <w:rPr>
            <w:rStyle w:val="Hyperlink"/>
            <w:rFonts w:ascii="FrankRuehl" w:hAnsi="FrankRuehl" w:cs="FrankRuehl"/>
            <w:u w:val="none"/>
          </w:rPr>
          <w:t>]</w:t>
        </w:r>
      </w:hyperlink>
      <w:r w:rsidRPr="00DD3E42">
        <w:rPr>
          <w:rFonts w:ascii="FrankRuehl" w:hAnsi="FrankRuehl" w:cs="FrankRuehl"/>
          <w:color w:val="0000FF"/>
          <w:rtl/>
        </w:rPr>
        <w:t xml:space="preserve">: סע'  </w:t>
      </w:r>
      <w:hyperlink r:id="rId18" w:history="1">
        <w:r w:rsidRPr="00DD3E42">
          <w:rPr>
            <w:rStyle w:val="Hyperlink"/>
            <w:rFonts w:ascii="FrankRuehl" w:hAnsi="FrankRuehl" w:cs="FrankRuehl"/>
            <w:u w:val="none"/>
          </w:rPr>
          <w:t>67</w:t>
        </w:r>
      </w:hyperlink>
    </w:p>
    <w:p w14:paraId="1E0A475A" w14:textId="77777777" w:rsidR="00CA35FD" w:rsidRPr="00DD3E42" w:rsidRDefault="00CA35FD" w:rsidP="00DD3E42">
      <w:bookmarkStart w:id="5" w:name="LawTable_End"/>
      <w:bookmarkEnd w:id="5"/>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D62EE" w:rsidRPr="00B53D0C" w14:paraId="1F2E0633" w14:textId="77777777" w:rsidTr="009D62EE">
        <w:trPr>
          <w:trHeight w:val="355"/>
          <w:jc w:val="center"/>
        </w:trPr>
        <w:tc>
          <w:tcPr>
            <w:tcW w:w="8820" w:type="dxa"/>
            <w:tcBorders>
              <w:top w:val="nil"/>
              <w:left w:val="nil"/>
              <w:bottom w:val="nil"/>
              <w:right w:val="nil"/>
            </w:tcBorders>
            <w:shd w:val="clear" w:color="auto" w:fill="auto"/>
          </w:tcPr>
          <w:p w14:paraId="0B5FFE2C" w14:textId="77777777" w:rsidR="00CA35FD" w:rsidRPr="00CA35FD" w:rsidRDefault="00CA35FD" w:rsidP="00CA35FD">
            <w:pPr>
              <w:jc w:val="center"/>
              <w:rPr>
                <w:rFonts w:ascii="Arial" w:hAnsi="Arial"/>
                <w:b/>
                <w:bCs/>
                <w:sz w:val="28"/>
                <w:szCs w:val="28"/>
                <w:rtl/>
              </w:rPr>
            </w:pPr>
            <w:bookmarkStart w:id="6" w:name="PsakDin" w:colFirst="0" w:colLast="0"/>
            <w:r w:rsidRPr="00CA35FD">
              <w:rPr>
                <w:rFonts w:ascii="Arial" w:hAnsi="Arial"/>
                <w:b/>
                <w:bCs/>
                <w:sz w:val="28"/>
                <w:szCs w:val="28"/>
                <w:rtl/>
              </w:rPr>
              <w:t>גזר דין</w:t>
            </w:r>
          </w:p>
          <w:p w14:paraId="7CA69EFB" w14:textId="77777777" w:rsidR="009D62EE" w:rsidRPr="00CA35FD" w:rsidRDefault="009D62EE" w:rsidP="00CA35FD">
            <w:pPr>
              <w:jc w:val="center"/>
              <w:rPr>
                <w:rFonts w:ascii="Arial" w:hAnsi="Arial"/>
                <w:bCs/>
                <w:sz w:val="28"/>
                <w:szCs w:val="28"/>
                <w:rtl/>
              </w:rPr>
            </w:pPr>
          </w:p>
        </w:tc>
      </w:tr>
      <w:bookmarkEnd w:id="6"/>
    </w:tbl>
    <w:p w14:paraId="43B089E6" w14:textId="77777777" w:rsidR="009D62EE" w:rsidRPr="00B05847" w:rsidRDefault="009D62EE" w:rsidP="009D62EE">
      <w:pPr>
        <w:spacing w:line="360" w:lineRule="auto"/>
        <w:jc w:val="both"/>
        <w:rPr>
          <w:rFonts w:ascii="Arial" w:hAnsi="Arial"/>
          <w:rtl/>
        </w:rPr>
      </w:pPr>
    </w:p>
    <w:p w14:paraId="66A71F4F" w14:textId="77777777" w:rsidR="009D62EE" w:rsidRPr="00B05847" w:rsidRDefault="009D62EE" w:rsidP="009D62EE">
      <w:pPr>
        <w:spacing w:line="360" w:lineRule="auto"/>
        <w:jc w:val="both"/>
        <w:rPr>
          <w:rtl/>
        </w:rPr>
      </w:pPr>
    </w:p>
    <w:p w14:paraId="346902F9" w14:textId="77777777" w:rsidR="009D62EE" w:rsidRPr="0053772F" w:rsidRDefault="009D62EE" w:rsidP="009D62EE">
      <w:pPr>
        <w:spacing w:line="360" w:lineRule="auto"/>
        <w:jc w:val="both"/>
        <w:rPr>
          <w:rFonts w:ascii="David" w:eastAsia="Calibri" w:hAnsi="David"/>
          <w:u w:val="single"/>
        </w:rPr>
      </w:pPr>
    </w:p>
    <w:p w14:paraId="3BA3EC2A" w14:textId="77777777" w:rsidR="009D62EE" w:rsidRPr="0053772F" w:rsidRDefault="009D62EE" w:rsidP="009D62EE">
      <w:pPr>
        <w:spacing w:line="360" w:lineRule="auto"/>
        <w:jc w:val="both"/>
        <w:rPr>
          <w:rFonts w:ascii="David" w:eastAsia="Calibri" w:hAnsi="David"/>
          <w:rtl/>
        </w:rPr>
      </w:pPr>
      <w:bookmarkStart w:id="7" w:name="ABSTRACT_START"/>
      <w:bookmarkEnd w:id="7"/>
      <w:r w:rsidRPr="0053772F">
        <w:rPr>
          <w:rFonts w:ascii="David" w:eastAsia="Calibri" w:hAnsi="David"/>
          <w:rtl/>
        </w:rPr>
        <w:t xml:space="preserve">הנאשם, </w:t>
      </w:r>
      <w:r w:rsidRPr="0053772F">
        <w:rPr>
          <w:rFonts w:ascii="David" w:eastAsia="Calibri" w:hAnsi="David"/>
          <w:b/>
          <w:bCs/>
          <w:rtl/>
        </w:rPr>
        <w:t>מוחמד עאמש</w:t>
      </w:r>
      <w:r w:rsidRPr="0053772F">
        <w:rPr>
          <w:rFonts w:ascii="David" w:eastAsia="Calibri" w:hAnsi="David"/>
          <w:rtl/>
        </w:rPr>
        <w:t xml:space="preserve">, הורשע ביום 20.11.24 - בהתאם להודאתו במסגרת הסדר טיעון - בעבירות שנכללו בכתב אישום מתוקן אשר הוגש נגדו, ואשר עניינן </w:t>
      </w:r>
      <w:r w:rsidRPr="0053772F">
        <w:rPr>
          <w:rFonts w:ascii="David" w:eastAsia="Calibri" w:hAnsi="David"/>
          <w:b/>
          <w:bCs/>
          <w:rtl/>
        </w:rPr>
        <w:t xml:space="preserve">בשוד בנסיבות מחמירות </w:t>
      </w:r>
      <w:r w:rsidRPr="0053772F">
        <w:rPr>
          <w:rFonts w:ascii="David" w:eastAsia="Calibri" w:hAnsi="David"/>
          <w:rtl/>
        </w:rPr>
        <w:t xml:space="preserve">לפי </w:t>
      </w:r>
      <w:hyperlink r:id="rId19" w:history="1">
        <w:r w:rsidR="00DD3E42" w:rsidRPr="00DD3E42">
          <w:rPr>
            <w:rStyle w:val="Hyperlink"/>
            <w:rFonts w:ascii="David" w:eastAsia="Calibri" w:hAnsi="David"/>
            <w:color w:val="0000FF"/>
            <w:rtl/>
          </w:rPr>
          <w:t>סעיפים 402(ב)</w:t>
        </w:r>
      </w:hyperlink>
      <w:r w:rsidRPr="0053772F">
        <w:rPr>
          <w:rFonts w:ascii="David" w:eastAsia="Calibri" w:hAnsi="David"/>
          <w:rtl/>
        </w:rPr>
        <w:t xml:space="preserve"> ו - </w:t>
      </w:r>
      <w:hyperlink r:id="rId20" w:history="1">
        <w:r w:rsidR="00DD3E42" w:rsidRPr="00DD3E42">
          <w:rPr>
            <w:rStyle w:val="Hyperlink"/>
            <w:rFonts w:ascii="David" w:eastAsia="Calibri" w:hAnsi="David"/>
            <w:color w:val="0000FF"/>
            <w:rtl/>
          </w:rPr>
          <w:t>29(א)</w:t>
        </w:r>
      </w:hyperlink>
      <w:r w:rsidRPr="0053772F">
        <w:rPr>
          <w:rFonts w:ascii="David" w:eastAsia="Calibri" w:hAnsi="David"/>
          <w:rtl/>
        </w:rPr>
        <w:t xml:space="preserve"> ל</w:t>
      </w:r>
      <w:hyperlink r:id="rId21" w:history="1">
        <w:r w:rsidR="00CA35FD" w:rsidRPr="00CA35FD">
          <w:rPr>
            <w:rFonts w:ascii="David" w:eastAsia="Calibri" w:hAnsi="David"/>
            <w:color w:val="0000FF"/>
            <w:u w:val="single"/>
            <w:rtl/>
          </w:rPr>
          <w:t>חוק העונשין</w:t>
        </w:r>
      </w:hyperlink>
      <w:r w:rsidRPr="0053772F">
        <w:rPr>
          <w:rFonts w:ascii="David" w:eastAsia="Calibri" w:hAnsi="David"/>
          <w:rtl/>
        </w:rPr>
        <w:t>, התשל"ז - 1977 (להלן: "</w:t>
      </w:r>
      <w:r w:rsidRPr="0053772F">
        <w:rPr>
          <w:rFonts w:ascii="David" w:eastAsia="Calibri" w:hAnsi="David"/>
          <w:b/>
          <w:bCs/>
          <w:rtl/>
        </w:rPr>
        <w:t>חוק העונשין</w:t>
      </w:r>
      <w:r w:rsidRPr="0053772F">
        <w:rPr>
          <w:rFonts w:ascii="David" w:eastAsia="Calibri" w:hAnsi="David"/>
          <w:rtl/>
        </w:rPr>
        <w:t>" או "</w:t>
      </w:r>
      <w:r w:rsidRPr="0053772F">
        <w:rPr>
          <w:rFonts w:ascii="David" w:eastAsia="Calibri" w:hAnsi="David"/>
          <w:b/>
          <w:bCs/>
          <w:rtl/>
        </w:rPr>
        <w:t>החוק</w:t>
      </w:r>
      <w:r w:rsidRPr="0053772F">
        <w:rPr>
          <w:rFonts w:ascii="David" w:eastAsia="Calibri" w:hAnsi="David"/>
          <w:rtl/>
        </w:rPr>
        <w:t xml:space="preserve">); </w:t>
      </w:r>
      <w:r w:rsidRPr="0053772F">
        <w:rPr>
          <w:rFonts w:ascii="David" w:eastAsia="Calibri" w:hAnsi="David"/>
          <w:b/>
          <w:bCs/>
          <w:rtl/>
        </w:rPr>
        <w:t>סיוע לעבירות בנשק</w:t>
      </w:r>
      <w:r w:rsidRPr="0053772F">
        <w:rPr>
          <w:rFonts w:ascii="David" w:eastAsia="Calibri" w:hAnsi="David"/>
          <w:rtl/>
        </w:rPr>
        <w:t xml:space="preserve"> (נשיאה והובלה) לפי </w:t>
      </w:r>
      <w:hyperlink r:id="rId22" w:history="1">
        <w:r w:rsidR="00DD3E42" w:rsidRPr="00DD3E42">
          <w:rPr>
            <w:rStyle w:val="Hyperlink"/>
            <w:rFonts w:ascii="David" w:eastAsia="Calibri" w:hAnsi="David"/>
            <w:color w:val="0000FF"/>
            <w:rtl/>
          </w:rPr>
          <w:t>סעיפים 144(ב)</w:t>
        </w:r>
      </w:hyperlink>
      <w:r w:rsidRPr="0053772F">
        <w:rPr>
          <w:rFonts w:ascii="David" w:eastAsia="Calibri" w:hAnsi="David"/>
          <w:rtl/>
        </w:rPr>
        <w:t xml:space="preserve"> רישה וסיפה ו - </w:t>
      </w:r>
      <w:hyperlink r:id="rId23" w:history="1">
        <w:r w:rsidR="00DD3E42" w:rsidRPr="00DD3E42">
          <w:rPr>
            <w:rStyle w:val="Hyperlink"/>
            <w:rFonts w:ascii="David" w:eastAsia="Calibri" w:hAnsi="David"/>
            <w:color w:val="0000FF"/>
            <w:rtl/>
          </w:rPr>
          <w:t>31</w:t>
        </w:r>
      </w:hyperlink>
      <w:r w:rsidRPr="0053772F">
        <w:rPr>
          <w:rFonts w:ascii="David" w:eastAsia="Calibri" w:hAnsi="David"/>
          <w:rtl/>
        </w:rPr>
        <w:t xml:space="preserve"> לחוק; </w:t>
      </w:r>
      <w:r w:rsidRPr="0053772F">
        <w:rPr>
          <w:rFonts w:ascii="David" w:eastAsia="Calibri" w:hAnsi="David"/>
          <w:b/>
          <w:bCs/>
          <w:rtl/>
        </w:rPr>
        <w:t>זיוף סימני זיהוי של רכב</w:t>
      </w:r>
      <w:r w:rsidRPr="0053772F">
        <w:rPr>
          <w:rFonts w:ascii="David" w:eastAsia="Calibri" w:hAnsi="David"/>
          <w:rtl/>
        </w:rPr>
        <w:t xml:space="preserve"> לפי</w:t>
      </w:r>
      <w:r w:rsidRPr="0053772F">
        <w:rPr>
          <w:rFonts w:ascii="David" w:eastAsia="Calibri" w:hAnsi="David"/>
        </w:rPr>
        <w:t xml:space="preserve"> </w:t>
      </w:r>
      <w:hyperlink r:id="rId24" w:history="1">
        <w:r w:rsidR="00DD3E42" w:rsidRPr="00DD3E42">
          <w:rPr>
            <w:rStyle w:val="Hyperlink"/>
            <w:rFonts w:ascii="David" w:eastAsia="Calibri" w:hAnsi="David"/>
            <w:color w:val="0000FF"/>
            <w:rtl/>
          </w:rPr>
          <w:t>סעיפים 413ג</w:t>
        </w:r>
      </w:hyperlink>
      <w:r w:rsidRPr="0053772F">
        <w:rPr>
          <w:rFonts w:ascii="David" w:eastAsia="Calibri" w:hAnsi="David"/>
          <w:rtl/>
        </w:rPr>
        <w:t xml:space="preserve"> ו-</w:t>
      </w:r>
      <w:hyperlink r:id="rId25" w:history="1">
        <w:r w:rsidR="00DD3E42" w:rsidRPr="00DD3E42">
          <w:rPr>
            <w:rStyle w:val="Hyperlink"/>
            <w:rFonts w:ascii="David" w:eastAsia="Calibri" w:hAnsi="David"/>
            <w:color w:val="0000FF"/>
            <w:rtl/>
          </w:rPr>
          <w:t>29(א)</w:t>
        </w:r>
      </w:hyperlink>
      <w:r w:rsidRPr="0053772F">
        <w:rPr>
          <w:rFonts w:ascii="David" w:eastAsia="Calibri" w:hAnsi="David"/>
          <w:rtl/>
        </w:rPr>
        <w:t>לחוק;</w:t>
      </w:r>
      <w:r w:rsidRPr="0053772F">
        <w:rPr>
          <w:rFonts w:ascii="David" w:eastAsia="Calibri" w:hAnsi="David"/>
        </w:rPr>
        <w:t xml:space="preserve"> </w:t>
      </w:r>
      <w:r w:rsidRPr="0053772F">
        <w:rPr>
          <w:rFonts w:ascii="David" w:eastAsia="Calibri" w:hAnsi="David"/>
          <w:rtl/>
        </w:rPr>
        <w:t xml:space="preserve"> </w:t>
      </w:r>
      <w:r w:rsidRPr="0053772F">
        <w:rPr>
          <w:rFonts w:ascii="David" w:eastAsia="Calibri" w:hAnsi="David"/>
          <w:b/>
          <w:bCs/>
          <w:rtl/>
        </w:rPr>
        <w:t>ונהיגה בפסילה</w:t>
      </w:r>
      <w:r w:rsidRPr="0053772F">
        <w:rPr>
          <w:rFonts w:ascii="David" w:eastAsia="Calibri" w:hAnsi="David"/>
          <w:rtl/>
        </w:rPr>
        <w:t xml:space="preserve"> לפי סעיף </w:t>
      </w:r>
      <w:hyperlink r:id="rId26" w:history="1">
        <w:r w:rsidR="00DD3E42" w:rsidRPr="00DD3E42">
          <w:rPr>
            <w:rStyle w:val="Hyperlink"/>
            <w:rFonts w:ascii="David" w:eastAsia="Calibri" w:hAnsi="David"/>
            <w:color w:val="0000FF"/>
            <w:rtl/>
          </w:rPr>
          <w:t>67</w:t>
        </w:r>
      </w:hyperlink>
      <w:r w:rsidRPr="0053772F">
        <w:rPr>
          <w:rFonts w:ascii="David" w:eastAsia="Calibri" w:hAnsi="David"/>
          <w:rtl/>
        </w:rPr>
        <w:t xml:space="preserve"> ל</w:t>
      </w:r>
      <w:hyperlink r:id="rId27" w:history="1">
        <w:r w:rsidR="00CA35FD" w:rsidRPr="00CA35FD">
          <w:rPr>
            <w:rFonts w:ascii="David" w:eastAsia="Calibri" w:hAnsi="David"/>
            <w:color w:val="0000FF"/>
            <w:u w:val="single"/>
            <w:rtl/>
          </w:rPr>
          <w:t>פקודת התעבורה</w:t>
        </w:r>
      </w:hyperlink>
      <w:r w:rsidRPr="0053772F">
        <w:rPr>
          <w:rFonts w:ascii="David" w:eastAsia="Calibri" w:hAnsi="David"/>
          <w:rtl/>
        </w:rPr>
        <w:t xml:space="preserve"> [נוסח חדש], תשכ"א - 1961.   </w:t>
      </w:r>
    </w:p>
    <w:p w14:paraId="1AA7DBB4" w14:textId="77777777" w:rsidR="009D62EE" w:rsidRPr="0053772F" w:rsidRDefault="009D62EE" w:rsidP="009D62EE">
      <w:pPr>
        <w:spacing w:line="360" w:lineRule="auto"/>
        <w:jc w:val="both"/>
        <w:rPr>
          <w:rFonts w:ascii="David" w:eastAsia="Calibri" w:hAnsi="David"/>
          <w:rtl/>
        </w:rPr>
      </w:pPr>
      <w:bookmarkStart w:id="8" w:name="ABSTRACT_END"/>
      <w:bookmarkEnd w:id="8"/>
    </w:p>
    <w:p w14:paraId="34A45711" w14:textId="77777777" w:rsidR="009D62EE" w:rsidRPr="0053772F" w:rsidRDefault="009D62EE" w:rsidP="009D62EE">
      <w:pPr>
        <w:spacing w:line="360" w:lineRule="auto"/>
        <w:jc w:val="both"/>
        <w:rPr>
          <w:rFonts w:ascii="David" w:eastAsia="Calibri" w:hAnsi="David"/>
          <w:rtl/>
        </w:rPr>
      </w:pPr>
      <w:r w:rsidRPr="0053772F">
        <w:rPr>
          <w:rFonts w:ascii="David" w:eastAsia="Calibri" w:hAnsi="David"/>
          <w:rtl/>
        </w:rPr>
        <w:t xml:space="preserve">הצדדים לא הציגו לפניי הסכמות בעניין ענישה. </w:t>
      </w:r>
    </w:p>
    <w:p w14:paraId="1FACF661" w14:textId="77777777" w:rsidR="009D62EE" w:rsidRPr="0053772F" w:rsidRDefault="009D62EE" w:rsidP="009D62EE">
      <w:pPr>
        <w:spacing w:line="360" w:lineRule="auto"/>
        <w:jc w:val="both"/>
        <w:rPr>
          <w:rFonts w:ascii="David" w:eastAsia="Calibri" w:hAnsi="David"/>
          <w:rtl/>
        </w:rPr>
      </w:pPr>
      <w:r w:rsidRPr="0053772F">
        <w:rPr>
          <w:rFonts w:ascii="David" w:eastAsia="Calibri" w:hAnsi="David"/>
          <w:rtl/>
        </w:rPr>
        <w:t xml:space="preserve"> </w:t>
      </w:r>
    </w:p>
    <w:p w14:paraId="49749A7D" w14:textId="77777777" w:rsidR="009D62EE" w:rsidRPr="0053772F" w:rsidRDefault="009D62EE" w:rsidP="009D62EE">
      <w:pPr>
        <w:spacing w:line="360" w:lineRule="auto"/>
        <w:jc w:val="both"/>
        <w:rPr>
          <w:rFonts w:ascii="David" w:eastAsia="Calibri" w:hAnsi="David"/>
          <w:u w:val="single"/>
          <w:rtl/>
        </w:rPr>
      </w:pPr>
      <w:r w:rsidRPr="0053772F">
        <w:rPr>
          <w:rFonts w:ascii="David" w:eastAsia="Calibri" w:hAnsi="David"/>
          <w:u w:val="single"/>
          <w:rtl/>
        </w:rPr>
        <w:t>עובדות כתב האישום המתוקן</w:t>
      </w:r>
    </w:p>
    <w:p w14:paraId="1957908B" w14:textId="77777777" w:rsidR="009D62EE" w:rsidRPr="0053772F" w:rsidRDefault="009D62EE" w:rsidP="009D62EE">
      <w:pPr>
        <w:spacing w:before="240" w:line="360" w:lineRule="auto"/>
        <w:jc w:val="both"/>
        <w:rPr>
          <w:rFonts w:ascii="David" w:eastAsia="Calibri" w:hAnsi="David"/>
          <w:rtl/>
        </w:rPr>
      </w:pPr>
      <w:r w:rsidRPr="0053772F">
        <w:rPr>
          <w:rFonts w:ascii="David" w:eastAsia="Calibri" w:hAnsi="David"/>
          <w:rtl/>
        </w:rPr>
        <w:t xml:space="preserve">אמיר עבידאת (המתלונן) עוסק כנהג חלוקה של מוצרים מאתר המשלוחים "אלי אקספרס" במשאית מספר רישוי 36912901. עובר לתאריך 1.7.24 בשעה 9:00 החליט הנאשם ואחר, שזהותו אינה ידועה למאשימה, לשדוד את המתלונן. לשם כך הצטייד האחר, באקדח טעון במחסנית ובתוכה 4 כדורים לכל הפחות. צוין, כי האקדח הוא כלי נשק אשר סוגל לירות כדור שבכוחו להמית אדם. בהמשך, שינו הנאשם והאחר את סימני הזיהוי ברכב מסוג טיוטה מספר רישוי  8876664  -בבעלות </w:t>
      </w:r>
      <w:r w:rsidRPr="0053772F">
        <w:rPr>
          <w:rFonts w:ascii="David" w:eastAsia="Calibri" w:hAnsi="David"/>
          <w:rtl/>
        </w:rPr>
        <w:lastRenderedPageBreak/>
        <w:t xml:space="preserve">אביו של הנאשם אך שהנאשם עושה בו שימוש - בכך שהסירו את לוחית הזיהוי הקדמית ובמקומה התקינו לוחית זיהוי הנושאת מספר רכב של רכב אחר, שמספרו 9191923. </w:t>
      </w:r>
    </w:p>
    <w:p w14:paraId="4F50E3E3" w14:textId="77777777" w:rsidR="009D62EE" w:rsidRPr="0053772F" w:rsidRDefault="009D62EE" w:rsidP="009D62EE">
      <w:pPr>
        <w:spacing w:before="240" w:line="360" w:lineRule="auto"/>
        <w:jc w:val="both"/>
        <w:rPr>
          <w:rFonts w:ascii="David" w:eastAsia="Calibri" w:hAnsi="David"/>
          <w:rtl/>
        </w:rPr>
      </w:pPr>
      <w:r w:rsidRPr="0053772F">
        <w:rPr>
          <w:rFonts w:ascii="David" w:eastAsia="Calibri" w:hAnsi="David"/>
          <w:rtl/>
        </w:rPr>
        <w:t xml:space="preserve">בסמוך לשעה 9:00 לערך, הגיע המתלונן, במסגרת עבודתו, לבית העסק של ואסים שרקי בג'ת, על מנת לפרוק סחורה עבור ואסים. לאחר פריקת הסחורה, ובעודו יושב במשאית, הגיעו הנאשם והאחר כאשר הם חובשים קסדות לראשם וכשהאחר נשא והוביל בסיועו של הנאשם אקדח ותחמושת. השניים חסמו באמצעות הרכב את נתיב נסיעת המשאית. </w:t>
      </w:r>
    </w:p>
    <w:p w14:paraId="6D434890" w14:textId="77777777" w:rsidR="009D62EE" w:rsidRPr="0053772F" w:rsidRDefault="009D62EE" w:rsidP="009D62EE">
      <w:pPr>
        <w:spacing w:before="240" w:line="360" w:lineRule="auto"/>
        <w:jc w:val="both"/>
        <w:rPr>
          <w:rFonts w:ascii="David" w:eastAsia="Calibri" w:hAnsi="David"/>
          <w:rtl/>
        </w:rPr>
      </w:pPr>
      <w:r w:rsidRPr="0053772F">
        <w:rPr>
          <w:rFonts w:ascii="David" w:eastAsia="Calibri" w:hAnsi="David"/>
          <w:rtl/>
        </w:rPr>
        <w:t xml:space="preserve">האחר יצא מן הרכב כשהוא מחזיק את האקדח, ניגש לעבר המתלונן ודרש ממנו, תוך איום באמצעות האקדח, את כספו. כשהמתלונן השיב כי אין לו כסף, ירה האחר שני כדורים באוויר, כל זאת כאשר הנאשם מצוי בסמוך. מיד לאחר מכן ניגש האחר לעבר הדלת הימנית במשאית ונטל משם בצוותא עם הנאשם את תיקו האישי של המתלונן אשר הכיל תעודת זהות, כרטיסי אשראי ומסמכים. </w:t>
      </w:r>
    </w:p>
    <w:p w14:paraId="4943B8FE" w14:textId="77777777" w:rsidR="009D62EE" w:rsidRPr="0053772F" w:rsidRDefault="009D62EE" w:rsidP="009D62EE">
      <w:pPr>
        <w:spacing w:before="240" w:line="360" w:lineRule="auto"/>
        <w:jc w:val="both"/>
        <w:rPr>
          <w:rFonts w:ascii="David" w:eastAsia="Calibri" w:hAnsi="David"/>
          <w:rtl/>
        </w:rPr>
      </w:pPr>
      <w:r w:rsidRPr="0053772F">
        <w:rPr>
          <w:rFonts w:ascii="David" w:eastAsia="Calibri" w:hAnsi="David"/>
          <w:rtl/>
        </w:rPr>
        <w:t xml:space="preserve">בהמשך, ירד האחר מן המשאית וירה שני כדורים לעבר בית העסק של ואסים כאשר אחד מהם פגע בחלון ביתו של ואסים, אשר ממוקם מעל בית העסק וגרם לו נזק. לאחר מכן הנאשם והאחר נמלטו מן המקום בנסיעה ברכב.  </w:t>
      </w:r>
    </w:p>
    <w:p w14:paraId="461CCBB4" w14:textId="77777777" w:rsidR="009D62EE" w:rsidRPr="0053772F" w:rsidRDefault="009D62EE" w:rsidP="009D62EE">
      <w:pPr>
        <w:spacing w:before="240" w:line="360" w:lineRule="auto"/>
        <w:jc w:val="both"/>
        <w:rPr>
          <w:rFonts w:ascii="David" w:eastAsia="Calibri" w:hAnsi="David"/>
          <w:rtl/>
        </w:rPr>
      </w:pPr>
      <w:r w:rsidRPr="0053772F">
        <w:rPr>
          <w:rFonts w:ascii="David" w:eastAsia="Calibri" w:hAnsi="David"/>
          <w:rtl/>
        </w:rPr>
        <w:t xml:space="preserve">המתלונן שחש בסכנה נמלט אל עבר מחסן הצמוד לבית העסק של ואסים והסתתר שם. </w:t>
      </w:r>
    </w:p>
    <w:p w14:paraId="59BF93A7" w14:textId="77777777" w:rsidR="009D62EE" w:rsidRPr="0053772F" w:rsidRDefault="009D62EE" w:rsidP="009D62EE">
      <w:pPr>
        <w:spacing w:before="240" w:line="360" w:lineRule="auto"/>
        <w:jc w:val="both"/>
        <w:rPr>
          <w:rFonts w:ascii="David" w:eastAsia="Calibri" w:hAnsi="David"/>
          <w:rtl/>
        </w:rPr>
      </w:pPr>
      <w:r w:rsidRPr="0053772F">
        <w:rPr>
          <w:rFonts w:ascii="David" w:eastAsia="Calibri" w:hAnsi="David"/>
          <w:rtl/>
        </w:rPr>
        <w:t xml:space="preserve">בשעה 10:15 נעצר הנאשם כשהוא נוהג ברכב, בסמוך לצומת בארותיים, לאחר שהחזיר את לוחית הרישוי הקדמית המקורית לרכב ובעודו נוהג ברכב בהיותו פסול לנהיגה מכוח החלטת בית משפט השלום לתעבורה בחדרה מיום 20.4.24 בתיק מספר 10139-04-22. </w:t>
      </w:r>
    </w:p>
    <w:p w14:paraId="259050A6" w14:textId="77777777" w:rsidR="009D62EE" w:rsidRPr="0053772F" w:rsidRDefault="009D62EE" w:rsidP="009D62EE">
      <w:pPr>
        <w:spacing w:before="240" w:line="360" w:lineRule="auto"/>
        <w:jc w:val="both"/>
        <w:rPr>
          <w:rFonts w:ascii="David" w:eastAsia="Calibri" w:hAnsi="David"/>
          <w:rtl/>
        </w:rPr>
      </w:pPr>
      <w:r w:rsidRPr="0053772F">
        <w:rPr>
          <w:rFonts w:ascii="David" w:eastAsia="Calibri" w:hAnsi="David"/>
          <w:rtl/>
        </w:rPr>
        <w:t xml:space="preserve">    </w:t>
      </w:r>
    </w:p>
    <w:p w14:paraId="2C72C81F" w14:textId="77777777" w:rsidR="009D62EE" w:rsidRPr="0053772F" w:rsidRDefault="009D62EE" w:rsidP="009D62EE">
      <w:pPr>
        <w:spacing w:line="360" w:lineRule="auto"/>
        <w:jc w:val="both"/>
        <w:rPr>
          <w:rFonts w:ascii="David" w:eastAsia="Calibri" w:hAnsi="David"/>
          <w:u w:val="single"/>
          <w:rtl/>
        </w:rPr>
      </w:pPr>
      <w:r w:rsidRPr="0053772F">
        <w:rPr>
          <w:rFonts w:ascii="David" w:eastAsia="Calibri" w:hAnsi="David"/>
          <w:u w:val="single"/>
          <w:rtl/>
        </w:rPr>
        <w:t>ראיות לעניין העונש</w:t>
      </w:r>
    </w:p>
    <w:p w14:paraId="4A74229B" w14:textId="77777777" w:rsidR="009D62EE" w:rsidRPr="0053772F" w:rsidRDefault="009D62EE" w:rsidP="009D62EE">
      <w:pPr>
        <w:spacing w:line="360" w:lineRule="auto"/>
        <w:jc w:val="both"/>
        <w:rPr>
          <w:rFonts w:ascii="David" w:eastAsia="Calibri" w:hAnsi="David"/>
          <w:u w:val="single"/>
          <w:rtl/>
        </w:rPr>
      </w:pPr>
    </w:p>
    <w:p w14:paraId="646069E0" w14:textId="77777777" w:rsidR="009D62EE" w:rsidRPr="0053772F" w:rsidRDefault="009D62EE" w:rsidP="009D62EE">
      <w:pPr>
        <w:spacing w:line="360" w:lineRule="auto"/>
        <w:jc w:val="both"/>
        <w:rPr>
          <w:rFonts w:ascii="David" w:eastAsia="Calibri" w:hAnsi="David"/>
          <w:i/>
          <w:iCs/>
          <w:rtl/>
        </w:rPr>
      </w:pPr>
      <w:r w:rsidRPr="0053772F">
        <w:rPr>
          <w:rFonts w:ascii="David" w:eastAsia="Calibri" w:hAnsi="David"/>
          <w:i/>
          <w:iCs/>
          <w:rtl/>
        </w:rPr>
        <w:t xml:space="preserve">המאשימה </w:t>
      </w:r>
    </w:p>
    <w:p w14:paraId="61CAA0D9" w14:textId="77777777" w:rsidR="009D62EE" w:rsidRPr="0053772F" w:rsidRDefault="009D62EE" w:rsidP="009D62EE">
      <w:pPr>
        <w:spacing w:line="360" w:lineRule="auto"/>
        <w:jc w:val="both"/>
        <w:rPr>
          <w:rFonts w:ascii="David" w:eastAsia="Calibri" w:hAnsi="David"/>
          <w:i/>
          <w:iCs/>
          <w:rtl/>
        </w:rPr>
      </w:pPr>
    </w:p>
    <w:p w14:paraId="358982F1" w14:textId="77777777" w:rsidR="009D62EE" w:rsidRPr="0053772F" w:rsidRDefault="009D62EE" w:rsidP="009D62EE">
      <w:pPr>
        <w:spacing w:line="360" w:lineRule="auto"/>
        <w:jc w:val="both"/>
        <w:rPr>
          <w:rFonts w:ascii="David" w:eastAsia="Calibri" w:hAnsi="David"/>
          <w:b/>
          <w:bCs/>
          <w:rtl/>
        </w:rPr>
      </w:pPr>
      <w:r w:rsidRPr="0053772F">
        <w:rPr>
          <w:rFonts w:ascii="David" w:eastAsia="Calibri" w:hAnsi="David"/>
          <w:rtl/>
        </w:rPr>
        <w:t>ב"כ המאשימה המלומד, עו"ד אמיר אליאל, הגיש תמצית מרשם תעבורתי של הנאשם  (</w:t>
      </w:r>
      <w:r w:rsidRPr="0053772F">
        <w:rPr>
          <w:rFonts w:ascii="David" w:eastAsia="Calibri" w:hAnsi="David"/>
          <w:b/>
          <w:bCs/>
          <w:rtl/>
        </w:rPr>
        <w:t>טעת/1</w:t>
      </w:r>
      <w:r w:rsidRPr="0053772F">
        <w:rPr>
          <w:rFonts w:ascii="David" w:eastAsia="Calibri" w:hAnsi="David"/>
          <w:rtl/>
        </w:rPr>
        <w:t xml:space="preserve">), ממנו עלה, כי לחובת הנאשם רשומות עשר הרשעות מתחום התעבורה. כאן המקום לציין, כי הרשעתו מיום 20.4.24 (תיק מספר 10139-04-22) טרם נקלטה במרשם שהוצג. </w:t>
      </w:r>
      <w:r w:rsidRPr="0053772F">
        <w:rPr>
          <w:rFonts w:ascii="David" w:eastAsia="Calibri" w:hAnsi="David"/>
          <w:b/>
          <w:bCs/>
          <w:rtl/>
        </w:rPr>
        <w:t>הנאשם נעדר עבר פלילי.</w:t>
      </w:r>
    </w:p>
    <w:p w14:paraId="777136C8" w14:textId="77777777" w:rsidR="009D62EE" w:rsidRPr="0053772F" w:rsidRDefault="009D62EE" w:rsidP="009D62EE">
      <w:pPr>
        <w:spacing w:line="360" w:lineRule="auto"/>
        <w:jc w:val="both"/>
        <w:rPr>
          <w:rFonts w:ascii="David" w:eastAsia="Calibri" w:hAnsi="David"/>
          <w:rtl/>
        </w:rPr>
      </w:pPr>
    </w:p>
    <w:p w14:paraId="4D4F91B0" w14:textId="77777777" w:rsidR="009D62EE" w:rsidRPr="0053772F" w:rsidRDefault="009D62EE" w:rsidP="009D62EE">
      <w:pPr>
        <w:spacing w:line="360" w:lineRule="auto"/>
        <w:jc w:val="both"/>
        <w:rPr>
          <w:rFonts w:ascii="David" w:eastAsia="Calibri" w:hAnsi="David"/>
          <w:rtl/>
        </w:rPr>
      </w:pPr>
      <w:r w:rsidRPr="0053772F">
        <w:rPr>
          <w:rFonts w:ascii="David" w:eastAsia="Calibri" w:hAnsi="David"/>
          <w:u w:val="single"/>
          <w:rtl/>
        </w:rPr>
        <w:t xml:space="preserve">טיעוני הצדדים לעניין העונש </w:t>
      </w:r>
    </w:p>
    <w:p w14:paraId="0094F0AC" w14:textId="77777777" w:rsidR="009D62EE" w:rsidRPr="0053772F" w:rsidRDefault="009D62EE" w:rsidP="009D62EE">
      <w:pPr>
        <w:spacing w:line="360" w:lineRule="auto"/>
        <w:jc w:val="both"/>
        <w:rPr>
          <w:rFonts w:ascii="David" w:eastAsia="Calibri" w:hAnsi="David"/>
          <w:rtl/>
        </w:rPr>
      </w:pPr>
    </w:p>
    <w:p w14:paraId="6CE1A0E4" w14:textId="77777777" w:rsidR="009D62EE" w:rsidRPr="0053772F" w:rsidRDefault="009D62EE" w:rsidP="009D62EE">
      <w:pPr>
        <w:spacing w:line="360" w:lineRule="auto"/>
        <w:jc w:val="both"/>
        <w:rPr>
          <w:rFonts w:ascii="David" w:eastAsia="Calibri" w:hAnsi="David"/>
          <w:rtl/>
        </w:rPr>
      </w:pPr>
      <w:r w:rsidRPr="0053772F">
        <w:rPr>
          <w:rFonts w:ascii="David" w:eastAsia="Calibri" w:hAnsi="David"/>
          <w:rtl/>
        </w:rPr>
        <w:t>ב"כ המאשימה הגיש מסמך טיעונים לעונש בכתב (</w:t>
      </w:r>
      <w:r w:rsidRPr="0053772F">
        <w:rPr>
          <w:rFonts w:ascii="David" w:eastAsia="Calibri" w:hAnsi="David"/>
          <w:b/>
          <w:bCs/>
          <w:rtl/>
        </w:rPr>
        <w:t>טעת/2</w:t>
      </w:r>
      <w:r w:rsidRPr="0053772F">
        <w:rPr>
          <w:rFonts w:ascii="David" w:eastAsia="Calibri" w:hAnsi="David"/>
          <w:rtl/>
        </w:rPr>
        <w:t xml:space="preserve">) והוסיף על דברים אלו בעל פה. צוין, כי עסקינן בנאשם צעיר הנעדר עבר פלילי, הנתון במעצר עד לתום ההליכים מיום 1.7.24, בגין התיק דכאן.  </w:t>
      </w:r>
    </w:p>
    <w:p w14:paraId="26E643B1" w14:textId="77777777" w:rsidR="009D62EE" w:rsidRPr="0053772F" w:rsidRDefault="009D62EE" w:rsidP="009D62EE">
      <w:pPr>
        <w:spacing w:line="360" w:lineRule="auto"/>
        <w:jc w:val="both"/>
        <w:rPr>
          <w:rFonts w:ascii="David" w:eastAsia="Calibri" w:hAnsi="David"/>
          <w:rtl/>
        </w:rPr>
      </w:pPr>
      <w:r w:rsidRPr="0053772F">
        <w:rPr>
          <w:rFonts w:ascii="David" w:eastAsia="Calibri" w:hAnsi="David"/>
          <w:rtl/>
        </w:rPr>
        <w:t xml:space="preserve">הפרקליט המלומד עמד על מנגנון גזירת העונש בהתאם לכללי הבניית שיקול הדעת בענישה. הודגש, כי  עבירות השוד הפכו, למרבה הצער, לתופעה נפוצה ומסוכנת, ועל כן יש להגיב כלפי עשייתן </w:t>
      </w:r>
      <w:r w:rsidRPr="0053772F">
        <w:rPr>
          <w:rFonts w:ascii="David" w:eastAsia="Calibri" w:hAnsi="David"/>
          <w:rtl/>
        </w:rPr>
        <w:lastRenderedPageBreak/>
        <w:t>בענישה מחמירה, בייחוד על רקע הנתונים שלפיהם נעשה שימוש  מסוכן בנשק בגדרו של האירוע.  עוד עמדה המאשימה על נסיבות ביצוע העבירה (המעידות על תכנון מוקדם ומסוכנות), על הערכים המוגנים שנפגעו, והצביעה הן על הנחיית פרקליט המדינה (9.16) הן על פסיקה המתאימה לשיטתה לנסיבות התיק דנן. לדידה של המאשימה יש לשרטט מתחם ענישה הולם הנע בין ארבע שנים ומחצה לבין שבע שנות מאסר לריצוי בפועל, לצד עונשים נלווים (מאסר מותנה, פיצויים, קנס ופסילה בפועל ועל תנאי מלהחזיק או לקבל רישיון נהיגה). הוסף , כי הנשק לא נתפס ויש לראות בכך נסיבה לחומרה.</w:t>
      </w:r>
    </w:p>
    <w:p w14:paraId="6ABF9BDD" w14:textId="77777777" w:rsidR="009D62EE" w:rsidRPr="0053772F" w:rsidRDefault="009D62EE" w:rsidP="009D62EE">
      <w:pPr>
        <w:spacing w:line="360" w:lineRule="auto"/>
        <w:jc w:val="both"/>
        <w:rPr>
          <w:rFonts w:ascii="David" w:eastAsia="Calibri" w:hAnsi="David"/>
          <w:rtl/>
        </w:rPr>
      </w:pPr>
      <w:r w:rsidRPr="0053772F">
        <w:rPr>
          <w:rFonts w:ascii="David" w:eastAsia="Calibri" w:hAnsi="David"/>
          <w:rtl/>
        </w:rPr>
        <w:t xml:space="preserve">לסיכום, נוכח הודאתו של הנאשם והעדר עבר פלילי, עתרה המאשימה למקם את עונשו של הנאשם בחלק התחתון של מתחם הענישה המוצע. צוין בהקשר, כי בתהליך גזירת העונש בתוככי מתחם הענישה, יש ליתן משקל גם להרתעת הרבים. </w:t>
      </w:r>
    </w:p>
    <w:p w14:paraId="53CB60D3" w14:textId="77777777" w:rsidR="009D62EE" w:rsidRDefault="009D62EE" w:rsidP="009D62EE">
      <w:pPr>
        <w:spacing w:line="360" w:lineRule="auto"/>
        <w:jc w:val="both"/>
        <w:rPr>
          <w:rFonts w:ascii="David" w:eastAsia="Calibri" w:hAnsi="David"/>
          <w:rtl/>
        </w:rPr>
      </w:pPr>
    </w:p>
    <w:p w14:paraId="3C4E5BF0" w14:textId="77777777" w:rsidR="009D62EE" w:rsidRDefault="009D62EE" w:rsidP="009D62EE">
      <w:pPr>
        <w:spacing w:line="360" w:lineRule="auto"/>
        <w:jc w:val="both"/>
        <w:rPr>
          <w:rFonts w:ascii="David" w:eastAsia="Calibri" w:hAnsi="David"/>
          <w:rtl/>
        </w:rPr>
      </w:pPr>
    </w:p>
    <w:p w14:paraId="2529E580" w14:textId="77777777" w:rsidR="009D62EE" w:rsidRPr="0053772F" w:rsidRDefault="009D62EE" w:rsidP="009D62EE">
      <w:pPr>
        <w:spacing w:line="360" w:lineRule="auto"/>
        <w:jc w:val="both"/>
        <w:rPr>
          <w:rFonts w:ascii="David" w:eastAsia="Calibri" w:hAnsi="David"/>
          <w:rtl/>
        </w:rPr>
      </w:pPr>
    </w:p>
    <w:p w14:paraId="535614C6" w14:textId="77777777" w:rsidR="009D62EE" w:rsidRPr="0053772F" w:rsidRDefault="009D62EE" w:rsidP="009D62EE">
      <w:pPr>
        <w:spacing w:line="360" w:lineRule="auto"/>
        <w:jc w:val="both"/>
        <w:rPr>
          <w:rFonts w:ascii="David" w:eastAsia="Calibri" w:hAnsi="David"/>
          <w:i/>
          <w:iCs/>
          <w:rtl/>
        </w:rPr>
      </w:pPr>
      <w:r w:rsidRPr="0053772F">
        <w:rPr>
          <w:rFonts w:ascii="David" w:eastAsia="Calibri" w:hAnsi="David"/>
          <w:i/>
          <w:iCs/>
          <w:rtl/>
        </w:rPr>
        <w:t>ההגנה</w:t>
      </w:r>
    </w:p>
    <w:p w14:paraId="2867CF64" w14:textId="77777777" w:rsidR="009D62EE" w:rsidRPr="0053772F" w:rsidRDefault="009D62EE" w:rsidP="009D62EE">
      <w:pPr>
        <w:spacing w:line="360" w:lineRule="auto"/>
        <w:jc w:val="both"/>
        <w:rPr>
          <w:rFonts w:ascii="David" w:eastAsia="Calibri" w:hAnsi="David"/>
          <w:i/>
          <w:iCs/>
          <w:rtl/>
        </w:rPr>
      </w:pPr>
    </w:p>
    <w:p w14:paraId="318BF28A" w14:textId="77777777" w:rsidR="009D62EE" w:rsidRPr="0053772F" w:rsidRDefault="009D62EE" w:rsidP="009D62EE">
      <w:pPr>
        <w:spacing w:line="360" w:lineRule="auto"/>
        <w:jc w:val="both"/>
        <w:rPr>
          <w:rFonts w:ascii="David" w:eastAsia="Calibri" w:hAnsi="David"/>
          <w:rtl/>
        </w:rPr>
      </w:pPr>
      <w:r w:rsidRPr="0053772F">
        <w:rPr>
          <w:rFonts w:ascii="David" w:eastAsia="Calibri" w:hAnsi="David"/>
          <w:rtl/>
        </w:rPr>
        <w:t xml:space="preserve">ב"כ המלומד של הנאשם, עו"ד רומח שביט, התייחס בפתח דבריו לשוני בין פעולותיו של האחר לבין אלו של הנאשם. הודגש, כי הנאשם "רק" נהג ברכב ולא יצא הימנו. הוער, כי ספק אם ביצוע הירי על ידי האחר נעשה בהתאם לתוכנית העבריינית של הנאשם והאחר. עוד צוין, כי הנאשם לא נשא את הנשק על גופו ושבסופו של יום לא נגרם נזק. משאלה הם פני הדברים, הרי שלשיטתו אל לו עונש המושת לחרוג מעבר ל- 30 חודשי מאסר לריצוי בפועל. הסנגור עמד על כך, כי עסקינן בנאשם צעיר (בן 23), ללא עבר פלילי, אשר עובד ומתפרנס באופן נורמטיבי. הוזכר, כי הוא הודה מיד וחסך זמן שיפוטי ניכר, ועל כן יש לזקוף נתונים אלו לזכותו. ב"כ הנאשם פירט, כי במסגרת מעצרו הנאשם נוטל חלק בקבוצה טיפולית ושאין לחובתו עבירות משמעת. </w:t>
      </w:r>
    </w:p>
    <w:p w14:paraId="60E46F59" w14:textId="77777777" w:rsidR="009D62EE" w:rsidRPr="0053772F" w:rsidRDefault="009D62EE" w:rsidP="009D62EE">
      <w:pPr>
        <w:spacing w:line="360" w:lineRule="auto"/>
        <w:jc w:val="both"/>
        <w:rPr>
          <w:rFonts w:ascii="David" w:eastAsia="Calibri" w:hAnsi="David"/>
          <w:rtl/>
        </w:rPr>
      </w:pPr>
      <w:r w:rsidRPr="0053772F">
        <w:rPr>
          <w:rFonts w:ascii="David" w:eastAsia="Calibri" w:hAnsi="David"/>
          <w:rtl/>
        </w:rPr>
        <w:t xml:space="preserve">  </w:t>
      </w:r>
    </w:p>
    <w:p w14:paraId="369093A8" w14:textId="77777777" w:rsidR="009D62EE" w:rsidRPr="0053772F" w:rsidRDefault="009D62EE" w:rsidP="009D62EE">
      <w:pPr>
        <w:spacing w:line="360" w:lineRule="auto"/>
        <w:jc w:val="both"/>
        <w:rPr>
          <w:rFonts w:ascii="David" w:eastAsia="Calibri" w:hAnsi="David"/>
          <w:rtl/>
        </w:rPr>
      </w:pPr>
    </w:p>
    <w:p w14:paraId="637D6434" w14:textId="77777777" w:rsidR="009D62EE" w:rsidRPr="0053772F" w:rsidRDefault="009D62EE" w:rsidP="009D62EE">
      <w:pPr>
        <w:spacing w:line="360" w:lineRule="auto"/>
        <w:jc w:val="both"/>
        <w:rPr>
          <w:rFonts w:ascii="David" w:eastAsia="Calibri" w:hAnsi="David"/>
          <w:i/>
          <w:iCs/>
          <w:rtl/>
        </w:rPr>
      </w:pPr>
      <w:r w:rsidRPr="0053772F">
        <w:rPr>
          <w:rFonts w:ascii="David" w:eastAsia="Calibri" w:hAnsi="David"/>
          <w:i/>
          <w:iCs/>
          <w:rtl/>
        </w:rPr>
        <w:t>דבריו של הנאשם</w:t>
      </w:r>
    </w:p>
    <w:p w14:paraId="5C7A065D" w14:textId="77777777" w:rsidR="009D62EE" w:rsidRPr="0053772F" w:rsidRDefault="009D62EE" w:rsidP="009D62EE">
      <w:pPr>
        <w:spacing w:line="360" w:lineRule="auto"/>
        <w:jc w:val="both"/>
        <w:rPr>
          <w:rFonts w:ascii="David" w:eastAsia="Calibri" w:hAnsi="David"/>
          <w:i/>
          <w:iCs/>
          <w:rtl/>
        </w:rPr>
      </w:pPr>
    </w:p>
    <w:p w14:paraId="50531811" w14:textId="77777777" w:rsidR="009D62EE" w:rsidRPr="0053772F" w:rsidRDefault="009D62EE" w:rsidP="009D62EE">
      <w:pPr>
        <w:spacing w:line="360" w:lineRule="auto"/>
        <w:jc w:val="both"/>
        <w:rPr>
          <w:rFonts w:ascii="David" w:eastAsia="Calibri" w:hAnsi="David"/>
          <w:rtl/>
        </w:rPr>
      </w:pPr>
      <w:r w:rsidRPr="0053772F">
        <w:rPr>
          <w:rFonts w:ascii="David" w:eastAsia="Calibri" w:hAnsi="David"/>
          <w:rtl/>
        </w:rPr>
        <w:t xml:space="preserve">הנאשם פנה אל בית המשפט וציין, כי הוא מתנצל ושמעשיו לא יישנו.  </w:t>
      </w:r>
    </w:p>
    <w:p w14:paraId="1ECF2ECD" w14:textId="77777777" w:rsidR="009D62EE" w:rsidRPr="0053772F" w:rsidRDefault="009D62EE" w:rsidP="009D62EE">
      <w:pPr>
        <w:spacing w:line="360" w:lineRule="auto"/>
        <w:jc w:val="both"/>
        <w:rPr>
          <w:rFonts w:ascii="David" w:eastAsia="Calibri" w:hAnsi="David"/>
          <w:b/>
          <w:bCs/>
          <w:u w:val="single"/>
          <w:rtl/>
        </w:rPr>
      </w:pPr>
    </w:p>
    <w:p w14:paraId="0D433429" w14:textId="77777777" w:rsidR="009D62EE" w:rsidRPr="0053772F" w:rsidRDefault="009D62EE" w:rsidP="009D62EE">
      <w:pPr>
        <w:spacing w:line="360" w:lineRule="auto"/>
        <w:jc w:val="both"/>
        <w:rPr>
          <w:rFonts w:ascii="David" w:eastAsia="Calibri" w:hAnsi="David"/>
          <w:b/>
          <w:bCs/>
          <w:u w:val="single"/>
          <w:rtl/>
        </w:rPr>
      </w:pPr>
      <w:r w:rsidRPr="0053772F">
        <w:rPr>
          <w:rFonts w:ascii="David" w:eastAsia="Calibri" w:hAnsi="David"/>
          <w:b/>
          <w:bCs/>
          <w:u w:val="single"/>
          <w:rtl/>
        </w:rPr>
        <w:t>דיון והכרעה</w:t>
      </w:r>
    </w:p>
    <w:p w14:paraId="6634B985" w14:textId="77777777" w:rsidR="009D62EE" w:rsidRPr="0053772F" w:rsidRDefault="009D62EE" w:rsidP="009D62EE">
      <w:pPr>
        <w:spacing w:line="360" w:lineRule="auto"/>
        <w:jc w:val="both"/>
        <w:rPr>
          <w:rFonts w:ascii="David" w:eastAsia="Calibri" w:hAnsi="David"/>
          <w:b/>
          <w:bCs/>
          <w:u w:val="single"/>
          <w:rtl/>
        </w:rPr>
      </w:pPr>
    </w:p>
    <w:p w14:paraId="0FBE1F1A" w14:textId="77777777" w:rsidR="009D62EE" w:rsidRPr="0053772F" w:rsidRDefault="009D62EE" w:rsidP="009D62EE">
      <w:pPr>
        <w:spacing w:after="160" w:line="360" w:lineRule="auto"/>
        <w:jc w:val="both"/>
        <w:rPr>
          <w:rFonts w:ascii="Calibri" w:eastAsia="Calibri" w:hAnsi="Calibri"/>
          <w:rtl/>
        </w:rPr>
      </w:pPr>
      <w:r w:rsidRPr="0053772F">
        <w:rPr>
          <w:rFonts w:ascii="David" w:eastAsia="Calibri" w:hAnsi="David"/>
          <w:rtl/>
        </w:rPr>
        <w:t xml:space="preserve">ביצועה של עבירת שוד באמצעות שימוש בנשק חם מחייבת את בתי המשפט, כחלק מן האינטרס הציבורי למגר עבירות אלו מן היסוד, בתגובה עונשית הולמת נגד מבצעיה. נקל לדמיין את האימה שאחזה בגופו של המתלונן באותם רגעים שבהם נורה ירי אל עבר האוויר ובית העסק, ותעיד על כך הימלטותו המהירה של המתלונן מן הזירה, על מנת לתור אחר מקום מסתור. </w:t>
      </w:r>
      <w:r w:rsidRPr="0053772F">
        <w:rPr>
          <w:rFonts w:ascii="Calibri" w:eastAsia="Calibri" w:hAnsi="Calibri"/>
          <w:rtl/>
        </w:rPr>
        <w:t xml:space="preserve">למרבה המזל, אירוע חמור זה לא הסלים ולפיכך, לא הסתיים בפגיעה בגוף, דבר אשר עלול היה להוביל לתוצאות הרות אסון. </w:t>
      </w:r>
    </w:p>
    <w:p w14:paraId="0BBBDE9F" w14:textId="77777777" w:rsidR="009D62EE" w:rsidRPr="0053772F" w:rsidRDefault="009D62EE" w:rsidP="009D62EE">
      <w:pPr>
        <w:spacing w:after="160" w:line="360" w:lineRule="auto"/>
        <w:jc w:val="both"/>
        <w:rPr>
          <w:rFonts w:ascii="Calibri" w:eastAsia="Calibri" w:hAnsi="Calibri"/>
          <w:rtl/>
        </w:rPr>
      </w:pPr>
      <w:r w:rsidRPr="0053772F">
        <w:rPr>
          <w:rFonts w:ascii="Calibri" w:eastAsia="Calibri" w:hAnsi="Calibri"/>
          <w:rtl/>
        </w:rPr>
        <w:t xml:space="preserve">מתאימים לעניין הדברים שנכתבו במסגרתו של </w:t>
      </w:r>
      <w:hyperlink r:id="rId28" w:history="1">
        <w:r w:rsidR="00CA35FD" w:rsidRPr="00CA35FD">
          <w:rPr>
            <w:rFonts w:ascii="Calibri" w:eastAsia="Calibri" w:hAnsi="Calibri" w:hint="cs"/>
            <w:color w:val="0000FF"/>
            <w:u w:val="single"/>
            <w:rtl/>
          </w:rPr>
          <w:t>ע</w:t>
        </w:r>
        <w:r w:rsidR="00CA35FD" w:rsidRPr="00CA35FD">
          <w:rPr>
            <w:rFonts w:ascii="Calibri" w:eastAsia="Calibri" w:hAnsi="Calibri"/>
            <w:color w:val="0000FF"/>
            <w:u w:val="single"/>
            <w:rtl/>
          </w:rPr>
          <w:t>"</w:t>
        </w:r>
        <w:r w:rsidR="00CA35FD" w:rsidRPr="00CA35FD">
          <w:rPr>
            <w:rFonts w:ascii="Calibri" w:eastAsia="Calibri" w:hAnsi="Calibri" w:hint="cs"/>
            <w:color w:val="0000FF"/>
            <w:u w:val="single"/>
            <w:rtl/>
          </w:rPr>
          <w:t>פ</w:t>
        </w:r>
        <w:r w:rsidR="00CA35FD" w:rsidRPr="00CA35FD">
          <w:rPr>
            <w:rFonts w:ascii="Calibri" w:eastAsia="Calibri" w:hAnsi="Calibri"/>
            <w:color w:val="0000FF"/>
            <w:u w:val="single"/>
            <w:rtl/>
          </w:rPr>
          <w:t xml:space="preserve"> 5034/13</w:t>
        </w:r>
      </w:hyperlink>
      <w:r w:rsidRPr="0053772F">
        <w:rPr>
          <w:rFonts w:ascii="Calibri" w:eastAsia="Calibri" w:hAnsi="Calibri"/>
          <w:rtl/>
        </w:rPr>
        <w:t xml:space="preserve">  </w:t>
      </w:r>
      <w:r w:rsidRPr="0053772F">
        <w:rPr>
          <w:rFonts w:ascii="Calibri" w:eastAsia="Calibri" w:hAnsi="Calibri"/>
          <w:b/>
          <w:bCs/>
          <w:rtl/>
        </w:rPr>
        <w:t>דזלילוב נ' מדינת ישראל</w:t>
      </w:r>
      <w:r w:rsidRPr="0053772F">
        <w:rPr>
          <w:rFonts w:ascii="Calibri" w:eastAsia="Calibri" w:hAnsi="Calibri"/>
          <w:rtl/>
        </w:rPr>
        <w:t xml:space="preserve"> (ניתן ביום 17.9.14) ולפיהם:</w:t>
      </w:r>
    </w:p>
    <w:p w14:paraId="415839C0" w14:textId="77777777" w:rsidR="009D62EE" w:rsidRPr="0053772F" w:rsidRDefault="009D62EE" w:rsidP="009D62EE">
      <w:pPr>
        <w:spacing w:after="160"/>
        <w:ind w:left="1229" w:right="1843"/>
        <w:jc w:val="both"/>
        <w:rPr>
          <w:rFonts w:ascii="Calibri" w:eastAsia="Calibri" w:hAnsi="Calibri" w:cs="Miriam"/>
          <w:spacing w:val="10"/>
          <w:rtl/>
        </w:rPr>
      </w:pPr>
      <w:r w:rsidRPr="0053772F">
        <w:rPr>
          <w:rFonts w:ascii="Calibri" w:eastAsia="Calibri" w:hAnsi="Calibri" w:cs="Miriam"/>
          <w:spacing w:val="10"/>
          <w:rtl/>
        </w:rPr>
        <w:t>"</w:t>
      </w:r>
      <w:r w:rsidRPr="0053772F">
        <w:rPr>
          <w:rFonts w:ascii="Calibri Light" w:eastAsia="Calibri" w:hAnsi="Calibri Light" w:cs="Times New Roman"/>
          <w:spacing w:val="10"/>
          <w:rtl/>
        </w:rPr>
        <w:t>מן הראוי לחזור ולהדגיש</w:t>
      </w:r>
      <w:r w:rsidRPr="0053772F">
        <w:rPr>
          <w:rFonts w:ascii="Calibri Light" w:eastAsia="Calibri" w:hAnsi="Calibri Light" w:cs="Calibri Light"/>
          <w:spacing w:val="10"/>
          <w:rtl/>
        </w:rPr>
        <w:t xml:space="preserve">, </w:t>
      </w:r>
      <w:r w:rsidRPr="0053772F">
        <w:rPr>
          <w:rFonts w:ascii="Calibri Light" w:eastAsia="Calibri" w:hAnsi="Calibri Light" w:cs="Times New Roman"/>
          <w:spacing w:val="10"/>
          <w:rtl/>
        </w:rPr>
        <w:t>כי מחובתם של בתי המשפט להעביר מסר מרתיע</w:t>
      </w:r>
      <w:r w:rsidRPr="0053772F">
        <w:rPr>
          <w:rFonts w:ascii="Calibri Light" w:eastAsia="Calibri" w:hAnsi="Calibri Light" w:cs="Calibri Light"/>
          <w:spacing w:val="10"/>
          <w:rtl/>
        </w:rPr>
        <w:t xml:space="preserve">, </w:t>
      </w:r>
      <w:r w:rsidRPr="0053772F">
        <w:rPr>
          <w:rFonts w:ascii="Calibri Light" w:eastAsia="Calibri" w:hAnsi="Calibri Light" w:cs="Times New Roman"/>
          <w:spacing w:val="10"/>
          <w:rtl/>
        </w:rPr>
        <w:t>וחד משמעי</w:t>
      </w:r>
      <w:r w:rsidRPr="0053772F">
        <w:rPr>
          <w:rFonts w:ascii="Calibri Light" w:eastAsia="Calibri" w:hAnsi="Calibri Light" w:cs="Calibri Light"/>
          <w:spacing w:val="10"/>
          <w:rtl/>
        </w:rPr>
        <w:t xml:space="preserve">, </w:t>
      </w:r>
      <w:r w:rsidRPr="0053772F">
        <w:rPr>
          <w:rFonts w:ascii="Calibri Light" w:eastAsia="Calibri" w:hAnsi="Calibri Light" w:cs="Times New Roman"/>
          <w:spacing w:val="10"/>
          <w:rtl/>
        </w:rPr>
        <w:t>לפיו כל מי שבוחר בדרך עבריינית ואלימה כדי להשיג רווחים קלים על חשבון הזולת</w:t>
      </w:r>
      <w:r w:rsidRPr="0053772F">
        <w:rPr>
          <w:rFonts w:ascii="Calibri Light" w:eastAsia="Calibri" w:hAnsi="Calibri Light" w:cs="Calibri Light"/>
          <w:spacing w:val="10"/>
          <w:rtl/>
        </w:rPr>
        <w:t xml:space="preserve">, </w:t>
      </w:r>
      <w:r w:rsidRPr="0053772F">
        <w:rPr>
          <w:rFonts w:ascii="Calibri Light" w:eastAsia="Calibri" w:hAnsi="Calibri Light" w:cs="Times New Roman"/>
          <w:spacing w:val="10"/>
          <w:rtl/>
        </w:rPr>
        <w:t>תוך פגיעה פיזית ונפשית בקורבנות חסרי מגן</w:t>
      </w:r>
      <w:r w:rsidRPr="0053772F">
        <w:rPr>
          <w:rFonts w:ascii="Calibri Light" w:eastAsia="Calibri" w:hAnsi="Calibri Light" w:cs="Calibri Light"/>
          <w:spacing w:val="10"/>
          <w:rtl/>
        </w:rPr>
        <w:t xml:space="preserve">, </w:t>
      </w:r>
      <w:r w:rsidRPr="0053772F">
        <w:rPr>
          <w:rFonts w:ascii="Calibri Light" w:eastAsia="Calibri" w:hAnsi="Calibri Light" w:cs="Times New Roman"/>
          <w:spacing w:val="10"/>
          <w:rtl/>
        </w:rPr>
        <w:t>אחת דינו להישלח מאחורי סורג ובריח לתקופה משמעותית וממושכת</w:t>
      </w:r>
      <w:r w:rsidRPr="0053772F">
        <w:rPr>
          <w:rFonts w:ascii="Calibri Light" w:eastAsia="Calibri" w:hAnsi="Calibri Light" w:cs="Calibri Light"/>
          <w:spacing w:val="10"/>
          <w:rtl/>
        </w:rPr>
        <w:t>"</w:t>
      </w:r>
      <w:r w:rsidRPr="0053772F">
        <w:rPr>
          <w:rFonts w:ascii="Calibri" w:eastAsia="Calibri" w:hAnsi="Calibri" w:cs="Miriam"/>
          <w:spacing w:val="10"/>
          <w:rtl/>
        </w:rPr>
        <w:t>.</w:t>
      </w:r>
    </w:p>
    <w:p w14:paraId="70AC593B" w14:textId="77777777" w:rsidR="009D62EE" w:rsidRPr="0053772F" w:rsidRDefault="009D62EE" w:rsidP="009D62EE">
      <w:pPr>
        <w:spacing w:line="360" w:lineRule="auto"/>
        <w:ind w:right="-426"/>
        <w:jc w:val="both"/>
        <w:rPr>
          <w:rFonts w:ascii="David" w:eastAsia="Calibri" w:hAnsi="David"/>
          <w:rtl/>
        </w:rPr>
      </w:pPr>
    </w:p>
    <w:p w14:paraId="1EE82E83" w14:textId="77777777" w:rsidR="009D62EE" w:rsidRPr="0053772F" w:rsidRDefault="009D62EE" w:rsidP="009D62EE">
      <w:pPr>
        <w:spacing w:line="360" w:lineRule="auto"/>
        <w:ind w:right="-426"/>
        <w:jc w:val="both"/>
        <w:rPr>
          <w:rFonts w:ascii="David" w:eastAsia="Calibri" w:hAnsi="David"/>
          <w:rtl/>
        </w:rPr>
      </w:pPr>
      <w:r w:rsidRPr="0053772F">
        <w:rPr>
          <w:rFonts w:ascii="David" w:eastAsia="Calibri" w:hAnsi="David"/>
          <w:rtl/>
        </w:rPr>
        <w:t xml:space="preserve">זוהי אם כן נקודת המוצא העונשית. </w:t>
      </w:r>
    </w:p>
    <w:p w14:paraId="4C4D17A7" w14:textId="77777777" w:rsidR="009D62EE" w:rsidRPr="0053772F" w:rsidRDefault="009D62EE" w:rsidP="009D62EE">
      <w:pPr>
        <w:spacing w:line="276" w:lineRule="auto"/>
        <w:ind w:left="651" w:right="709"/>
        <w:jc w:val="both"/>
        <w:rPr>
          <w:rFonts w:ascii="David" w:eastAsia="Calibri" w:hAnsi="David"/>
          <w:rtl/>
        </w:rPr>
      </w:pPr>
    </w:p>
    <w:p w14:paraId="4491471F" w14:textId="77777777" w:rsidR="009D62EE" w:rsidRPr="0053772F" w:rsidRDefault="009D62EE" w:rsidP="009D62EE">
      <w:pPr>
        <w:spacing w:line="360" w:lineRule="auto"/>
        <w:ind w:right="-426"/>
        <w:jc w:val="both"/>
        <w:rPr>
          <w:rFonts w:ascii="David" w:eastAsia="Calibri" w:hAnsi="David"/>
          <w:b/>
          <w:bCs/>
          <w:u w:val="single"/>
          <w:rtl/>
        </w:rPr>
      </w:pPr>
      <w:r w:rsidRPr="0053772F">
        <w:rPr>
          <w:rFonts w:ascii="David" w:eastAsia="Calibri" w:hAnsi="David"/>
          <w:rtl/>
        </w:rPr>
        <w:t xml:space="preserve">ככלל, עת נפנים לבצע את מלאכת הענישה, העיקרון המנחה שנקבע במסגרת תורת הבניית שיקול-הדעת השיפוטי, הוא עקרון ההלימה: משמע, </w:t>
      </w:r>
      <w:r w:rsidRPr="0053772F">
        <w:rPr>
          <w:rFonts w:ascii="David" w:eastAsia="Calibri" w:hAnsi="David"/>
          <w:u w:val="single"/>
          <w:rtl/>
        </w:rPr>
        <w:t>שימור יחס הולם בין חומרת מעשה העבירה בנסיבותיו ומידת אשמו של הנאשם ובין סוג העונש המוטל עליו ומידתו</w:t>
      </w:r>
      <w:r w:rsidRPr="0053772F">
        <w:rPr>
          <w:rFonts w:ascii="David" w:eastAsia="Calibri" w:hAnsi="David"/>
          <w:rtl/>
        </w:rPr>
        <w:t xml:space="preserve">. על מנת לשמר יחס זה, עובר לקביעת העונש יש לשרטט מתחם עונש הולם, מתוך התחשבות בערך החברתי בו פגע המעשה, במידת הפגיעה בו, במדיניות הענישה הנוהגת ובנסיבות הקשורות בביצוע העבירה. מכאן, לאחר קביעת המתחם, וככל שבית-המשפט לא מצא לנכון לסטות הימנו מטעמים של שיקום או של הגנה על הציבור, ייקבע העונש המתאים לנאשם בשים לב לנסיבותיו האישיות ולנתונים נוספים, הללו שאינם קשורים בביצוע העבירה. </w:t>
      </w:r>
    </w:p>
    <w:p w14:paraId="146247DB" w14:textId="77777777" w:rsidR="009D62EE" w:rsidRPr="0053772F" w:rsidRDefault="009D62EE" w:rsidP="009D62EE">
      <w:pPr>
        <w:spacing w:line="360" w:lineRule="auto"/>
        <w:ind w:right="-426"/>
        <w:jc w:val="both"/>
        <w:rPr>
          <w:rFonts w:ascii="David" w:eastAsia="Calibri" w:hAnsi="David"/>
          <w:b/>
          <w:bCs/>
          <w:u w:val="single"/>
          <w:rtl/>
        </w:rPr>
      </w:pPr>
    </w:p>
    <w:p w14:paraId="196B5D00" w14:textId="77777777" w:rsidR="009D62EE" w:rsidRPr="0053772F" w:rsidRDefault="009D62EE" w:rsidP="009D62EE">
      <w:pPr>
        <w:spacing w:after="160" w:line="360" w:lineRule="auto"/>
        <w:jc w:val="both"/>
        <w:rPr>
          <w:rFonts w:ascii="David" w:eastAsia="Calibri" w:hAnsi="David"/>
          <w:rtl/>
        </w:rPr>
      </w:pPr>
      <w:r w:rsidRPr="0053772F">
        <w:rPr>
          <w:rFonts w:ascii="David" w:eastAsia="Calibri" w:hAnsi="David"/>
          <w:rtl/>
        </w:rPr>
        <w:t>ראשית אציין, כי העבירות החמורות שאותן ביצע הנאשם מהוות "</w:t>
      </w:r>
      <w:r w:rsidRPr="0053772F">
        <w:rPr>
          <w:rFonts w:ascii="David" w:eastAsia="Calibri" w:hAnsi="David"/>
          <w:b/>
          <w:bCs/>
          <w:rtl/>
        </w:rPr>
        <w:t>אירוע אחד"</w:t>
      </w:r>
      <w:r w:rsidRPr="0053772F">
        <w:rPr>
          <w:rFonts w:ascii="David" w:eastAsia="Calibri" w:hAnsi="David"/>
          <w:rtl/>
        </w:rPr>
        <w:t>,</w:t>
      </w:r>
      <w:r w:rsidRPr="0053772F">
        <w:rPr>
          <w:rFonts w:ascii="David" w:eastAsia="Calibri" w:hAnsi="David"/>
          <w:b/>
          <w:bCs/>
          <w:rtl/>
        </w:rPr>
        <w:t xml:space="preserve"> </w:t>
      </w:r>
      <w:r w:rsidRPr="0053772F">
        <w:rPr>
          <w:rFonts w:ascii="David" w:eastAsia="Calibri" w:hAnsi="David"/>
          <w:rtl/>
        </w:rPr>
        <w:t xml:space="preserve">שכן בהחלט קיים בין אלה קשר הדוק - העבירות כולן התרחשו כחלק בלתי נפרד מתוכנית עבריינית סדורה שבוצעה עם האחר, ושמטרתה לשדוד את המתלונן (ראו לעניין זה: </w:t>
      </w:r>
      <w:hyperlink r:id="rId29" w:history="1">
        <w:r w:rsidR="00CA35FD" w:rsidRPr="00CA35FD">
          <w:rPr>
            <w:rFonts w:ascii="David" w:eastAsia="Calibri" w:hAnsi="David"/>
            <w:color w:val="0000FF"/>
            <w:u w:val="single"/>
            <w:rtl/>
          </w:rPr>
          <w:t>ע"פ 4910/13</w:t>
        </w:r>
      </w:hyperlink>
      <w:r w:rsidRPr="0053772F">
        <w:rPr>
          <w:rFonts w:ascii="David" w:eastAsia="Calibri" w:hAnsi="David"/>
          <w:rtl/>
        </w:rPr>
        <w:t xml:space="preserve"> </w:t>
      </w:r>
      <w:r w:rsidRPr="0053772F">
        <w:rPr>
          <w:rFonts w:ascii="David" w:eastAsia="Calibri" w:hAnsi="David"/>
          <w:b/>
          <w:bCs/>
          <w:rtl/>
        </w:rPr>
        <w:t>ג'אבר נ' מדינת ישראל</w:t>
      </w:r>
      <w:r w:rsidRPr="0053772F">
        <w:rPr>
          <w:rFonts w:ascii="David" w:eastAsia="Calibri" w:hAnsi="David"/>
          <w:rtl/>
        </w:rPr>
        <w:t>,</w:t>
      </w:r>
      <w:r w:rsidRPr="0053772F">
        <w:rPr>
          <w:rFonts w:ascii="David" w:eastAsia="Calibri" w:hAnsi="David"/>
          <w:b/>
          <w:bCs/>
          <w:rtl/>
        </w:rPr>
        <w:t xml:space="preserve"> </w:t>
      </w:r>
      <w:r w:rsidRPr="0053772F">
        <w:rPr>
          <w:rFonts w:ascii="David" w:eastAsia="Calibri" w:hAnsi="David"/>
          <w:rtl/>
        </w:rPr>
        <w:t xml:space="preserve">מפי כב' השופטת ברק-ארז (ניתן ביום 29.10.14); </w:t>
      </w:r>
      <w:hyperlink r:id="rId30" w:history="1">
        <w:r w:rsidR="00CA35FD" w:rsidRPr="00CA35FD">
          <w:rPr>
            <w:rFonts w:ascii="David" w:eastAsia="Calibri" w:hAnsi="David"/>
            <w:color w:val="0000FF"/>
            <w:u w:val="single"/>
            <w:rtl/>
          </w:rPr>
          <w:t>ע"פ 9308/12</w:t>
        </w:r>
      </w:hyperlink>
      <w:r w:rsidRPr="0053772F">
        <w:rPr>
          <w:rFonts w:ascii="David" w:eastAsia="Calibri" w:hAnsi="David"/>
          <w:rtl/>
        </w:rPr>
        <w:t xml:space="preserve"> </w:t>
      </w:r>
      <w:r w:rsidRPr="0053772F">
        <w:rPr>
          <w:rFonts w:ascii="David" w:eastAsia="Calibri" w:hAnsi="David"/>
          <w:b/>
          <w:bCs/>
          <w:rtl/>
        </w:rPr>
        <w:t>עיסא נ' מדינת ישראל,</w:t>
      </w:r>
      <w:r w:rsidRPr="0053772F">
        <w:rPr>
          <w:rFonts w:ascii="David" w:eastAsia="Calibri" w:hAnsi="David"/>
          <w:rtl/>
        </w:rPr>
        <w:t xml:space="preserve"> (ניתן ביום 30.7.15). משכך, ייקבע מתחם עונש אחד הולם לכלל המעשים</w:t>
      </w:r>
      <w:r w:rsidRPr="0053772F">
        <w:rPr>
          <w:rFonts w:ascii="Calibri" w:eastAsia="Calibri" w:hAnsi="Calibri"/>
          <w:rtl/>
        </w:rPr>
        <w:t xml:space="preserve"> (</w:t>
      </w:r>
      <w:hyperlink r:id="rId31" w:history="1">
        <w:r w:rsidR="00DD3E42" w:rsidRPr="00DD3E42">
          <w:rPr>
            <w:rStyle w:val="Hyperlink"/>
            <w:rFonts w:ascii="Calibri" w:eastAsia="Calibri" w:hAnsi="Calibri"/>
            <w:color w:val="0000FF"/>
            <w:rtl/>
          </w:rPr>
          <w:t>סעיף 40יג(א)</w:t>
        </w:r>
      </w:hyperlink>
      <w:r w:rsidRPr="0053772F">
        <w:rPr>
          <w:rFonts w:ascii="Calibri" w:eastAsia="Calibri" w:hAnsi="Calibri"/>
          <w:rtl/>
        </w:rPr>
        <w:t xml:space="preserve"> לחוק).</w:t>
      </w:r>
      <w:r w:rsidRPr="0053772F">
        <w:rPr>
          <w:rFonts w:ascii="David" w:eastAsia="Calibri" w:hAnsi="David"/>
          <w:rtl/>
        </w:rPr>
        <w:t xml:space="preserve"> ויודגש, על אף קביעה זאת, </w:t>
      </w:r>
      <w:r w:rsidRPr="0053772F">
        <w:rPr>
          <w:rFonts w:ascii="Calibri" w:eastAsia="Calibri" w:hAnsi="Calibri"/>
          <w:rtl/>
        </w:rPr>
        <w:t xml:space="preserve">יישמר בגזירת העונש יחס הולם בין חומרת </w:t>
      </w:r>
      <w:r w:rsidRPr="0053772F">
        <w:rPr>
          <w:rFonts w:ascii="Calibri" w:eastAsia="Calibri" w:hAnsi="Calibri"/>
          <w:u w:val="single"/>
          <w:rtl/>
        </w:rPr>
        <w:t>מכלול המעשים</w:t>
      </w:r>
      <w:r w:rsidRPr="0053772F">
        <w:rPr>
          <w:rFonts w:ascii="Calibri" w:eastAsia="Calibri" w:hAnsi="Calibri"/>
          <w:rtl/>
        </w:rPr>
        <w:t xml:space="preserve"> ומידת אשמו של הנאשם לבין תקופת המאסר שיהא עליו לרצות (</w:t>
      </w:r>
      <w:hyperlink r:id="rId32" w:history="1">
        <w:r w:rsidR="00DD3E42" w:rsidRPr="00DD3E42">
          <w:rPr>
            <w:rStyle w:val="Hyperlink"/>
            <w:rFonts w:ascii="Calibri" w:eastAsia="Calibri" w:hAnsi="Calibri"/>
            <w:color w:val="0000FF"/>
            <w:rtl/>
          </w:rPr>
          <w:t>סעיף 40יג(ג)</w:t>
        </w:r>
      </w:hyperlink>
      <w:r w:rsidRPr="0053772F">
        <w:rPr>
          <w:rFonts w:ascii="Calibri" w:eastAsia="Calibri" w:hAnsi="Calibri"/>
          <w:rtl/>
        </w:rPr>
        <w:t xml:space="preserve"> לחוק). </w:t>
      </w:r>
    </w:p>
    <w:p w14:paraId="46DB8491" w14:textId="77777777" w:rsidR="009D62EE" w:rsidRPr="0053772F" w:rsidRDefault="009D62EE" w:rsidP="009D62EE">
      <w:pPr>
        <w:spacing w:after="160" w:line="360" w:lineRule="auto"/>
        <w:ind w:right="-284"/>
        <w:jc w:val="both"/>
        <w:rPr>
          <w:rFonts w:ascii="Calibri" w:eastAsia="Calibri" w:hAnsi="Calibri"/>
          <w:rtl/>
        </w:rPr>
      </w:pPr>
      <w:r w:rsidRPr="0053772F">
        <w:rPr>
          <w:rFonts w:ascii="Calibri" w:eastAsia="Calibri" w:hAnsi="Calibri"/>
          <w:rtl/>
        </w:rPr>
        <w:t>כאמור, הדרך המובילה אל מתחם העונש ההולם מתחילה באיתור הערכים החברתיים אשר בהם פגע  הנאשם  במעשיו. ברי, כי מעשיו של הנאשם פגעו בערכים שעניינם</w:t>
      </w:r>
      <w:r w:rsidRPr="0053772F">
        <w:rPr>
          <w:rFonts w:ascii="Calibri" w:eastAsia="Calibri" w:hAnsi="Calibri"/>
          <w:b/>
          <w:bCs/>
          <w:rtl/>
        </w:rPr>
        <w:t xml:space="preserve"> בזכותו של אדם ועובד תמים, באשר הוא, להגנה מפני פגיעה בכבודו, גופו, נפשו, והקניין עליו הוא אמון; עוד נפגעו הערכים שעניינם </w:t>
      </w:r>
      <w:r w:rsidRPr="0053772F">
        <w:rPr>
          <w:rFonts w:ascii="David" w:eastAsia="Calibri" w:hAnsi="David"/>
          <w:b/>
          <w:bCs/>
          <w:rtl/>
        </w:rPr>
        <w:t>בשמירה על ביטחון המדינה, בשימור מנגנוני שלטונה</w:t>
      </w:r>
      <w:r w:rsidRPr="0053772F">
        <w:rPr>
          <w:rFonts w:ascii="David" w:eastAsia="Calibri" w:hAnsi="David"/>
          <w:rtl/>
        </w:rPr>
        <w:t xml:space="preserve">, </w:t>
      </w:r>
      <w:r w:rsidRPr="0053772F">
        <w:rPr>
          <w:rFonts w:ascii="David" w:eastAsia="Calibri" w:hAnsi="David"/>
          <w:b/>
          <w:bCs/>
          <w:rtl/>
        </w:rPr>
        <w:t xml:space="preserve">בשלום הציבור </w:t>
      </w:r>
      <w:r w:rsidRPr="0053772F">
        <w:rPr>
          <w:rFonts w:ascii="David" w:eastAsia="Calibri" w:hAnsi="David"/>
          <w:rtl/>
        </w:rPr>
        <w:t>ומשתמשי הדרך</w:t>
      </w:r>
      <w:r w:rsidRPr="0053772F">
        <w:rPr>
          <w:rFonts w:ascii="David" w:eastAsia="Calibri" w:hAnsi="David"/>
          <w:b/>
          <w:bCs/>
          <w:rtl/>
        </w:rPr>
        <w:t>, וכן בסדר הציבורי</w:t>
      </w:r>
      <w:r w:rsidRPr="0053772F">
        <w:rPr>
          <w:rFonts w:ascii="David" w:eastAsia="Calibri" w:hAnsi="David"/>
          <w:rtl/>
        </w:rPr>
        <w:t xml:space="preserve">. </w:t>
      </w:r>
      <w:r w:rsidRPr="0053772F">
        <w:rPr>
          <w:rFonts w:ascii="Calibri" w:eastAsia="Calibri" w:hAnsi="Calibri"/>
          <w:b/>
          <w:bCs/>
          <w:rtl/>
        </w:rPr>
        <w:t>מידת הפגיעה</w:t>
      </w:r>
      <w:r w:rsidRPr="0053772F">
        <w:rPr>
          <w:rFonts w:ascii="Calibri" w:eastAsia="Calibri" w:hAnsi="Calibri"/>
          <w:rtl/>
        </w:rPr>
        <w:t xml:space="preserve"> בערכים אלו היא </w:t>
      </w:r>
      <w:r w:rsidRPr="0053772F">
        <w:rPr>
          <w:rFonts w:ascii="Calibri" w:eastAsia="Calibri" w:hAnsi="Calibri"/>
          <w:b/>
          <w:bCs/>
          <w:rtl/>
        </w:rPr>
        <w:t xml:space="preserve">משמעותית. </w:t>
      </w:r>
      <w:r w:rsidRPr="0053772F">
        <w:rPr>
          <w:rFonts w:ascii="Calibri" w:eastAsia="Calibri" w:hAnsi="Calibri"/>
          <w:rtl/>
        </w:rPr>
        <w:t xml:space="preserve"> </w:t>
      </w:r>
    </w:p>
    <w:p w14:paraId="6E799806" w14:textId="77777777" w:rsidR="009D62EE" w:rsidRPr="0053772F" w:rsidRDefault="009D62EE" w:rsidP="009D62EE">
      <w:pPr>
        <w:tabs>
          <w:tab w:val="left" w:pos="8448"/>
        </w:tabs>
        <w:spacing w:after="160" w:line="360" w:lineRule="auto"/>
        <w:ind w:right="-284"/>
        <w:jc w:val="both"/>
        <w:rPr>
          <w:rFonts w:ascii="Calibri" w:eastAsia="Calibri" w:hAnsi="Calibri"/>
          <w:rtl/>
        </w:rPr>
      </w:pPr>
      <w:r w:rsidRPr="0053772F">
        <w:rPr>
          <w:rFonts w:ascii="Calibri" w:eastAsia="Calibri" w:hAnsi="Calibri"/>
          <w:rtl/>
        </w:rPr>
        <w:t xml:space="preserve">מכאן, ועל מנת לשרטט כדבעי את מתחם העונש ההולם בעניינו של הנאשם עיינתי בפסיקה רחבה, בדגש על העבירות שעניינן שוד לפי </w:t>
      </w:r>
      <w:hyperlink r:id="rId33" w:history="1">
        <w:r w:rsidR="00DD3E42" w:rsidRPr="00DD3E42">
          <w:rPr>
            <w:rStyle w:val="Hyperlink"/>
            <w:rFonts w:ascii="David" w:eastAsia="Calibri" w:hAnsi="David"/>
            <w:color w:val="0000FF"/>
            <w:rtl/>
          </w:rPr>
          <w:t>סעיף 402(ב)</w:t>
        </w:r>
      </w:hyperlink>
      <w:r w:rsidRPr="0053772F">
        <w:rPr>
          <w:rFonts w:ascii="David" w:eastAsia="Calibri" w:hAnsi="David"/>
          <w:rtl/>
        </w:rPr>
        <w:t xml:space="preserve"> ל</w:t>
      </w:r>
      <w:hyperlink r:id="rId34" w:history="1">
        <w:r w:rsidR="00CA35FD" w:rsidRPr="00CA35FD">
          <w:rPr>
            <w:rFonts w:ascii="David" w:eastAsia="Calibri" w:hAnsi="David"/>
            <w:color w:val="0000FF"/>
            <w:u w:val="single"/>
            <w:rtl/>
          </w:rPr>
          <w:t>חוק העונשין</w:t>
        </w:r>
      </w:hyperlink>
      <w:r w:rsidRPr="0053772F">
        <w:rPr>
          <w:rFonts w:ascii="David" w:eastAsia="Calibri" w:hAnsi="David"/>
          <w:rtl/>
        </w:rPr>
        <w:t xml:space="preserve"> ונשיאת נשק (סיוע)</w:t>
      </w:r>
      <w:r w:rsidRPr="0053772F">
        <w:rPr>
          <w:rFonts w:ascii="Calibri" w:eastAsia="Calibri" w:hAnsi="Calibri"/>
          <w:rtl/>
        </w:rPr>
        <w:t>. כאן המקום לציין, כי -</w:t>
      </w:r>
    </w:p>
    <w:p w14:paraId="49CA06DB" w14:textId="77777777" w:rsidR="009D62EE" w:rsidRPr="0053772F" w:rsidRDefault="009D62EE" w:rsidP="009D62EE">
      <w:pPr>
        <w:tabs>
          <w:tab w:val="left" w:pos="8448"/>
        </w:tabs>
        <w:spacing w:after="160"/>
        <w:ind w:left="651" w:right="709"/>
        <w:jc w:val="both"/>
        <w:rPr>
          <w:rFonts w:ascii="Calibri" w:eastAsia="Calibri" w:hAnsi="Calibri"/>
          <w:rtl/>
        </w:rPr>
      </w:pPr>
      <w:r w:rsidRPr="0053772F">
        <w:rPr>
          <w:rFonts w:ascii="Arial TUR" w:eastAsia="Calibri" w:hAnsi="Arial TUR" w:cs="Miriam"/>
          <w:spacing w:val="10"/>
          <w:rtl/>
        </w:rPr>
        <w:t>"</w:t>
      </w:r>
      <w:r w:rsidRPr="0053772F">
        <w:rPr>
          <w:rFonts w:ascii="Calibri Light" w:eastAsia="Calibri" w:hAnsi="Calibri Light" w:cs="Times New Roman"/>
          <w:spacing w:val="10"/>
          <w:rtl/>
        </w:rPr>
        <w:t xml:space="preserve">באשר לקביעת מתחם העונש ההולם </w:t>
      </w:r>
      <w:r w:rsidRPr="0053772F">
        <w:rPr>
          <w:rFonts w:ascii="Calibri Light" w:eastAsia="Calibri" w:hAnsi="Calibri Light" w:cs="Calibri Light"/>
          <w:spacing w:val="10"/>
          <w:rtl/>
        </w:rPr>
        <w:t xml:space="preserve">– </w:t>
      </w:r>
      <w:r w:rsidRPr="0053772F">
        <w:rPr>
          <w:rFonts w:ascii="Calibri Light" w:eastAsia="Calibri" w:hAnsi="Calibri Light" w:cs="Times New Roman"/>
          <w:spacing w:val="10"/>
          <w:rtl/>
        </w:rPr>
        <w:t>כנודע</w:t>
      </w:r>
      <w:r w:rsidRPr="0053772F">
        <w:rPr>
          <w:rFonts w:ascii="Calibri Light" w:eastAsia="Calibri" w:hAnsi="Calibri Light" w:cs="Calibri Light"/>
          <w:spacing w:val="10"/>
          <w:rtl/>
        </w:rPr>
        <w:t xml:space="preserve">, </w:t>
      </w:r>
      <w:r w:rsidRPr="0053772F">
        <w:rPr>
          <w:rFonts w:ascii="Calibri Light" w:eastAsia="Calibri" w:hAnsi="Calibri Light" w:cs="Times New Roman"/>
          <w:spacing w:val="10"/>
          <w:rtl/>
        </w:rPr>
        <w:t>לובשת עבירת השוד פנים וצורות רבות וקביעת מתחמי הענישה ההולמים בגינה מגוונת</w:t>
      </w:r>
      <w:r w:rsidRPr="0053772F">
        <w:rPr>
          <w:rFonts w:ascii="Calibri Light" w:eastAsia="Calibri" w:hAnsi="Calibri Light" w:cs="Calibri Light"/>
          <w:spacing w:val="10"/>
          <w:rtl/>
        </w:rPr>
        <w:t xml:space="preserve">; </w:t>
      </w:r>
      <w:r w:rsidRPr="0053772F">
        <w:rPr>
          <w:rFonts w:ascii="Calibri Light" w:eastAsia="Calibri" w:hAnsi="Calibri Light" w:cs="Times New Roman"/>
          <w:spacing w:val="10"/>
          <w:rtl/>
        </w:rPr>
        <w:t xml:space="preserve">אך פטור בלא כלום אי אפשר </w:t>
      </w:r>
      <w:r w:rsidRPr="0053772F">
        <w:rPr>
          <w:rFonts w:ascii="Calibri Light" w:eastAsia="Calibri" w:hAnsi="Calibri Light" w:cs="Calibri Light"/>
          <w:spacing w:val="10"/>
          <w:rtl/>
        </w:rPr>
        <w:t>(</w:t>
      </w:r>
      <w:r w:rsidRPr="0053772F">
        <w:rPr>
          <w:rFonts w:ascii="Calibri Light" w:eastAsia="Calibri" w:hAnsi="Calibri Light" w:cs="Times New Roman"/>
          <w:spacing w:val="10"/>
          <w:rtl/>
        </w:rPr>
        <w:t>בבלי</w:t>
      </w:r>
      <w:r w:rsidRPr="0053772F">
        <w:rPr>
          <w:rFonts w:ascii="Calibri Light" w:eastAsia="Calibri" w:hAnsi="Calibri Light" w:cs="Calibri Light"/>
          <w:spacing w:val="10"/>
          <w:rtl/>
        </w:rPr>
        <w:t xml:space="preserve">, </w:t>
      </w:r>
      <w:r w:rsidRPr="0053772F">
        <w:rPr>
          <w:rFonts w:ascii="Calibri Light" w:eastAsia="Calibri" w:hAnsi="Calibri Light" w:cs="Times New Roman"/>
          <w:spacing w:val="10"/>
          <w:rtl/>
        </w:rPr>
        <w:t>חולין כז ע</w:t>
      </w:r>
      <w:r w:rsidRPr="0053772F">
        <w:rPr>
          <w:rFonts w:ascii="Calibri Light" w:eastAsia="Calibri" w:hAnsi="Calibri Light" w:cs="Calibri Light"/>
          <w:spacing w:val="10"/>
          <w:rtl/>
        </w:rPr>
        <w:t>"</w:t>
      </w:r>
      <w:r w:rsidRPr="0053772F">
        <w:rPr>
          <w:rFonts w:ascii="Calibri Light" w:eastAsia="Calibri" w:hAnsi="Calibri Light" w:cs="Times New Roman"/>
          <w:spacing w:val="10"/>
          <w:rtl/>
        </w:rPr>
        <w:t>ב</w:t>
      </w:r>
      <w:r w:rsidRPr="0053772F">
        <w:rPr>
          <w:rFonts w:ascii="Calibri Light" w:eastAsia="Calibri" w:hAnsi="Calibri Light" w:cs="Calibri Light"/>
          <w:spacing w:val="10"/>
          <w:rtl/>
        </w:rPr>
        <w:t xml:space="preserve">), </w:t>
      </w:r>
      <w:r w:rsidRPr="0053772F">
        <w:rPr>
          <w:rFonts w:ascii="Calibri Light" w:eastAsia="Calibri" w:hAnsi="Calibri Light" w:cs="Times New Roman"/>
          <w:spacing w:val="10"/>
          <w:rtl/>
        </w:rPr>
        <w:t xml:space="preserve">ואת המסגרת קבע כמובן המחוקק בקביעת </w:t>
      </w:r>
      <w:r w:rsidRPr="0053772F">
        <w:rPr>
          <w:rFonts w:ascii="Calibri Light" w:eastAsia="Calibri" w:hAnsi="Calibri Light" w:cs="Calibri Light"/>
          <w:spacing w:val="10"/>
          <w:rtl/>
        </w:rPr>
        <w:t>'</w:t>
      </w:r>
      <w:r w:rsidRPr="0053772F">
        <w:rPr>
          <w:rFonts w:ascii="Calibri Light" w:eastAsia="Calibri" w:hAnsi="Calibri Light" w:cs="Times New Roman"/>
          <w:spacing w:val="10"/>
          <w:rtl/>
        </w:rPr>
        <w:t>תג העונש</w:t>
      </w:r>
      <w:r w:rsidRPr="0053772F">
        <w:rPr>
          <w:rFonts w:ascii="Calibri Light" w:eastAsia="Calibri" w:hAnsi="Calibri Light" w:cs="Calibri Light"/>
          <w:spacing w:val="10"/>
          <w:rtl/>
        </w:rPr>
        <w:t xml:space="preserve">' </w:t>
      </w:r>
      <w:r w:rsidRPr="0053772F">
        <w:rPr>
          <w:rFonts w:ascii="Calibri Light" w:eastAsia="Calibri" w:hAnsi="Calibri Light" w:cs="Times New Roman"/>
          <w:spacing w:val="10"/>
          <w:rtl/>
        </w:rPr>
        <w:t xml:space="preserve">לעבירה זו </w:t>
      </w:r>
      <w:r w:rsidRPr="0053772F">
        <w:rPr>
          <w:rFonts w:ascii="Calibri Light" w:eastAsia="Calibri" w:hAnsi="Calibri Light" w:cs="Calibri Light"/>
          <w:spacing w:val="10"/>
          <w:rtl/>
        </w:rPr>
        <w:t>[...]"</w:t>
      </w:r>
      <w:r w:rsidRPr="0053772F">
        <w:rPr>
          <w:rFonts w:ascii="Calibri" w:eastAsia="Calibri" w:hAnsi="Calibri"/>
          <w:rtl/>
        </w:rPr>
        <w:t xml:space="preserve"> (</w:t>
      </w:r>
      <w:hyperlink r:id="rId35" w:history="1">
        <w:r w:rsidR="00CA35FD" w:rsidRPr="00CA35FD">
          <w:rPr>
            <w:rFonts w:ascii="Calibri" w:eastAsia="Calibri" w:hAnsi="Calibri" w:hint="cs"/>
            <w:color w:val="0000FF"/>
            <w:u w:val="single"/>
            <w:rtl/>
          </w:rPr>
          <w:t>ע</w:t>
        </w:r>
        <w:r w:rsidR="00CA35FD" w:rsidRPr="00CA35FD">
          <w:rPr>
            <w:rFonts w:ascii="Calibri" w:eastAsia="Calibri" w:hAnsi="Calibri"/>
            <w:color w:val="0000FF"/>
            <w:u w:val="single"/>
            <w:rtl/>
          </w:rPr>
          <w:t>"</w:t>
        </w:r>
        <w:r w:rsidR="00CA35FD" w:rsidRPr="00CA35FD">
          <w:rPr>
            <w:rFonts w:ascii="Calibri" w:eastAsia="Calibri" w:hAnsi="Calibri" w:hint="cs"/>
            <w:color w:val="0000FF"/>
            <w:u w:val="single"/>
            <w:rtl/>
          </w:rPr>
          <w:t>פ</w:t>
        </w:r>
        <w:r w:rsidR="00CA35FD" w:rsidRPr="00CA35FD">
          <w:rPr>
            <w:rFonts w:ascii="Calibri" w:eastAsia="Calibri" w:hAnsi="Calibri"/>
            <w:color w:val="0000FF"/>
            <w:u w:val="single"/>
            <w:rtl/>
          </w:rPr>
          <w:t xml:space="preserve"> 4841/13</w:t>
        </w:r>
      </w:hyperlink>
      <w:r w:rsidRPr="0053772F">
        <w:rPr>
          <w:rFonts w:ascii="Calibri" w:eastAsia="Calibri" w:hAnsi="Calibri"/>
          <w:rtl/>
        </w:rPr>
        <w:t xml:space="preserve"> </w:t>
      </w:r>
      <w:r w:rsidRPr="0053772F">
        <w:rPr>
          <w:rFonts w:ascii="Calibri" w:eastAsia="Calibri" w:hAnsi="Calibri"/>
          <w:b/>
          <w:bCs/>
          <w:rtl/>
        </w:rPr>
        <w:t>עומר ספי נ' מדינת ישראל</w:t>
      </w:r>
      <w:r w:rsidRPr="0053772F">
        <w:rPr>
          <w:rFonts w:ascii="Calibri" w:eastAsia="Calibri" w:hAnsi="Calibri"/>
          <w:rtl/>
        </w:rPr>
        <w:t xml:space="preserve">, ניתן ביום 6.2.14). </w:t>
      </w:r>
    </w:p>
    <w:p w14:paraId="6675CFF4" w14:textId="77777777" w:rsidR="009D62EE" w:rsidRPr="0053772F" w:rsidRDefault="009D62EE" w:rsidP="009D62EE">
      <w:pPr>
        <w:tabs>
          <w:tab w:val="left" w:pos="8448"/>
        </w:tabs>
        <w:spacing w:after="160" w:line="360" w:lineRule="auto"/>
        <w:ind w:right="-284"/>
        <w:jc w:val="both"/>
        <w:rPr>
          <w:rFonts w:ascii="Calibri" w:eastAsia="Calibri" w:hAnsi="Calibri"/>
          <w:rtl/>
        </w:rPr>
      </w:pPr>
      <w:r w:rsidRPr="0053772F">
        <w:rPr>
          <w:rFonts w:ascii="Calibri" w:eastAsia="Calibri" w:hAnsi="Calibri"/>
          <w:rtl/>
        </w:rPr>
        <w:t xml:space="preserve">ברי, כי מאחר וענייננו בשוד שבוצע בנסיבות מחמירות, בצוותא ובאמצעות שימוש בנשק חם (אקדח), הרי שהאשמה המיוחסת לנאשם במקרה זה לובשת את תצורתה המחמירה, זו המשקפת את האנטי חברתיות הטמונה במעשה העברייני. מטבע הדברים במצבים אלו הענישה מחמירה יותר.   </w:t>
      </w:r>
    </w:p>
    <w:p w14:paraId="50B7C005" w14:textId="77777777" w:rsidR="009D62EE" w:rsidRPr="0053772F" w:rsidRDefault="009D62EE" w:rsidP="009D62EE">
      <w:pPr>
        <w:tabs>
          <w:tab w:val="left" w:pos="8448"/>
        </w:tabs>
        <w:spacing w:after="160" w:line="360" w:lineRule="auto"/>
        <w:ind w:right="-284"/>
        <w:jc w:val="both"/>
        <w:rPr>
          <w:rFonts w:ascii="Calibri" w:eastAsia="Calibri" w:hAnsi="Calibri"/>
          <w:rtl/>
        </w:rPr>
      </w:pPr>
      <w:r w:rsidRPr="0053772F">
        <w:rPr>
          <w:rFonts w:ascii="Calibri" w:eastAsia="Calibri" w:hAnsi="Calibri"/>
          <w:rtl/>
        </w:rPr>
        <w:t xml:space="preserve">ראו למשל: </w:t>
      </w:r>
      <w:hyperlink r:id="rId36" w:history="1">
        <w:r w:rsidR="00CA35FD" w:rsidRPr="00CA35FD">
          <w:rPr>
            <w:rFonts w:ascii="Calibri" w:eastAsia="Calibri" w:hAnsi="Calibri" w:hint="cs"/>
            <w:color w:val="0000FF"/>
            <w:u w:val="single"/>
            <w:rtl/>
          </w:rPr>
          <w:t>ע</w:t>
        </w:r>
        <w:r w:rsidR="00CA35FD" w:rsidRPr="00CA35FD">
          <w:rPr>
            <w:rFonts w:ascii="Calibri" w:eastAsia="Calibri" w:hAnsi="Calibri"/>
            <w:color w:val="0000FF"/>
            <w:u w:val="single"/>
            <w:rtl/>
          </w:rPr>
          <w:t>"</w:t>
        </w:r>
        <w:r w:rsidR="00CA35FD" w:rsidRPr="00CA35FD">
          <w:rPr>
            <w:rFonts w:ascii="Calibri" w:eastAsia="Calibri" w:hAnsi="Calibri" w:hint="cs"/>
            <w:color w:val="0000FF"/>
            <w:u w:val="single"/>
            <w:rtl/>
          </w:rPr>
          <w:t>פ</w:t>
        </w:r>
        <w:r w:rsidR="00CA35FD" w:rsidRPr="00CA35FD">
          <w:rPr>
            <w:rFonts w:ascii="Calibri" w:eastAsia="Calibri" w:hAnsi="Calibri"/>
            <w:color w:val="0000FF"/>
            <w:u w:val="single"/>
            <w:rtl/>
          </w:rPr>
          <w:t xml:space="preserve"> 1074/22</w:t>
        </w:r>
      </w:hyperlink>
      <w:r w:rsidRPr="0053772F">
        <w:rPr>
          <w:rFonts w:ascii="Calibri" w:eastAsia="Calibri" w:hAnsi="Calibri"/>
          <w:rtl/>
        </w:rPr>
        <w:t xml:space="preserve"> </w:t>
      </w:r>
      <w:r w:rsidRPr="0053772F">
        <w:rPr>
          <w:rFonts w:ascii="Calibri" w:eastAsia="Calibri" w:hAnsi="Calibri"/>
          <w:b/>
          <w:bCs/>
          <w:rtl/>
        </w:rPr>
        <w:t>מוחסן נ' מדינת ישראל</w:t>
      </w:r>
      <w:r w:rsidRPr="0053772F">
        <w:rPr>
          <w:rFonts w:ascii="Calibri" w:eastAsia="Calibri" w:hAnsi="Calibri"/>
          <w:rtl/>
        </w:rPr>
        <w:t xml:space="preserve">, ניתן ביום 20.7.22 - במסגרתו הושתו </w:t>
      </w:r>
      <w:r w:rsidRPr="0053772F">
        <w:rPr>
          <w:rFonts w:ascii="Calibri" w:eastAsia="Calibri" w:hAnsi="Calibri"/>
          <w:b/>
          <w:bCs/>
          <w:rtl/>
        </w:rPr>
        <w:t xml:space="preserve">45 חודשי מאסר לריצוי בפועל </w:t>
      </w:r>
      <w:r w:rsidRPr="0053772F">
        <w:rPr>
          <w:rFonts w:ascii="Calibri" w:eastAsia="Calibri" w:hAnsi="Calibri"/>
          <w:rtl/>
        </w:rPr>
        <w:t>(בעניינו של המערער</w:t>
      </w:r>
      <w:r w:rsidRPr="0053772F">
        <w:rPr>
          <w:rFonts w:ascii="Calibri" w:eastAsia="Calibri" w:hAnsi="Calibri" w:hint="cs"/>
        </w:rPr>
        <w:t xml:space="preserve"> </w:t>
      </w:r>
      <w:r w:rsidRPr="0053772F">
        <w:rPr>
          <w:rFonts w:ascii="Calibri" w:eastAsia="Calibri" w:hAnsi="Calibri"/>
          <w:rtl/>
        </w:rPr>
        <w:t>1 שם);</w:t>
      </w:r>
      <w:r w:rsidRPr="0053772F">
        <w:rPr>
          <w:rFonts w:ascii="Calibri" w:eastAsia="Calibri" w:hAnsi="Calibri" w:hint="cs"/>
        </w:rPr>
        <w:t xml:space="preserve"> </w:t>
      </w:r>
      <w:hyperlink r:id="rId37" w:history="1">
        <w:r w:rsidR="00CA35FD" w:rsidRPr="00CA35FD">
          <w:rPr>
            <w:rFonts w:ascii="Calibri" w:eastAsia="Calibri" w:hAnsi="Calibri" w:hint="cs"/>
            <w:color w:val="0000FF"/>
            <w:u w:val="single"/>
            <w:rtl/>
          </w:rPr>
          <w:t>ע</w:t>
        </w:r>
        <w:r w:rsidR="00CA35FD" w:rsidRPr="00CA35FD">
          <w:rPr>
            <w:rFonts w:ascii="Calibri" w:eastAsia="Calibri" w:hAnsi="Calibri"/>
            <w:color w:val="0000FF"/>
            <w:u w:val="single"/>
            <w:rtl/>
          </w:rPr>
          <w:t>"</w:t>
        </w:r>
        <w:r w:rsidR="00CA35FD" w:rsidRPr="00CA35FD">
          <w:rPr>
            <w:rFonts w:ascii="Calibri" w:eastAsia="Calibri" w:hAnsi="Calibri" w:hint="cs"/>
            <w:color w:val="0000FF"/>
            <w:u w:val="single"/>
            <w:rtl/>
          </w:rPr>
          <w:t>פ</w:t>
        </w:r>
        <w:r w:rsidR="00CA35FD" w:rsidRPr="00CA35FD">
          <w:rPr>
            <w:rFonts w:ascii="Calibri" w:eastAsia="Calibri" w:hAnsi="Calibri"/>
            <w:color w:val="0000FF"/>
            <w:u w:val="single"/>
            <w:rtl/>
          </w:rPr>
          <w:t xml:space="preserve"> 8172/21</w:t>
        </w:r>
      </w:hyperlink>
      <w:r w:rsidRPr="0053772F">
        <w:rPr>
          <w:rFonts w:ascii="Calibri" w:eastAsia="Calibri" w:hAnsi="Calibri"/>
          <w:rtl/>
        </w:rPr>
        <w:t xml:space="preserve"> </w:t>
      </w:r>
      <w:r w:rsidRPr="0053772F">
        <w:rPr>
          <w:rFonts w:ascii="Calibri" w:eastAsia="Calibri" w:hAnsi="Calibri"/>
          <w:b/>
          <w:bCs/>
          <w:rtl/>
        </w:rPr>
        <w:t>חג'אזי נ' מדינת ישראל</w:t>
      </w:r>
      <w:r w:rsidRPr="0053772F">
        <w:rPr>
          <w:rFonts w:ascii="Calibri" w:eastAsia="Calibri" w:hAnsi="Calibri"/>
          <w:rtl/>
        </w:rPr>
        <w:t xml:space="preserve">, ניתן ביום 15.5.22 - במסגרתו הושתו </w:t>
      </w:r>
      <w:r w:rsidRPr="0053772F">
        <w:rPr>
          <w:rFonts w:ascii="Calibri" w:eastAsia="Calibri" w:hAnsi="Calibri"/>
          <w:b/>
          <w:bCs/>
          <w:rtl/>
        </w:rPr>
        <w:t>32 חודשי מאסר לריצוי בפועל</w:t>
      </w:r>
      <w:r w:rsidRPr="0053772F">
        <w:rPr>
          <w:rFonts w:ascii="Calibri" w:eastAsia="Calibri" w:hAnsi="Calibri"/>
          <w:rtl/>
        </w:rPr>
        <w:t xml:space="preserve">; </w:t>
      </w:r>
      <w:hyperlink r:id="rId38" w:history="1">
        <w:r w:rsidR="00CA35FD" w:rsidRPr="00CA35FD">
          <w:rPr>
            <w:rFonts w:ascii="Calibri" w:eastAsia="Calibri" w:hAnsi="Calibri" w:hint="cs"/>
            <w:color w:val="0000FF"/>
            <w:u w:val="single"/>
            <w:rtl/>
          </w:rPr>
          <w:t>ע</w:t>
        </w:r>
        <w:r w:rsidR="00CA35FD" w:rsidRPr="00CA35FD">
          <w:rPr>
            <w:rFonts w:ascii="Calibri" w:eastAsia="Calibri" w:hAnsi="Calibri"/>
            <w:color w:val="0000FF"/>
            <w:u w:val="single"/>
            <w:rtl/>
          </w:rPr>
          <w:t>"</w:t>
        </w:r>
        <w:r w:rsidR="00CA35FD" w:rsidRPr="00CA35FD">
          <w:rPr>
            <w:rFonts w:ascii="Calibri" w:eastAsia="Calibri" w:hAnsi="Calibri" w:hint="cs"/>
            <w:color w:val="0000FF"/>
            <w:u w:val="single"/>
            <w:rtl/>
          </w:rPr>
          <w:t>פ</w:t>
        </w:r>
        <w:r w:rsidR="00CA35FD" w:rsidRPr="00CA35FD">
          <w:rPr>
            <w:rFonts w:ascii="Calibri" w:eastAsia="Calibri" w:hAnsi="Calibri"/>
            <w:color w:val="0000FF"/>
            <w:u w:val="single"/>
            <w:rtl/>
          </w:rPr>
          <w:t xml:space="preserve"> 552/24</w:t>
        </w:r>
      </w:hyperlink>
      <w:r w:rsidRPr="0053772F">
        <w:rPr>
          <w:rFonts w:ascii="Calibri" w:eastAsia="Calibri" w:hAnsi="Calibri"/>
          <w:rtl/>
        </w:rPr>
        <w:t xml:space="preserve"> </w:t>
      </w:r>
      <w:r w:rsidRPr="0053772F">
        <w:rPr>
          <w:rFonts w:ascii="Calibri" w:eastAsia="Calibri" w:hAnsi="Calibri"/>
          <w:b/>
          <w:bCs/>
          <w:rtl/>
        </w:rPr>
        <w:t xml:space="preserve">אטרש נ' מדינת ישראל, </w:t>
      </w:r>
      <w:r w:rsidRPr="0053772F">
        <w:rPr>
          <w:rFonts w:ascii="Calibri" w:eastAsia="Calibri" w:hAnsi="Calibri"/>
          <w:rtl/>
        </w:rPr>
        <w:t xml:space="preserve">ניתן ביום 28.7.24 - </w:t>
      </w:r>
      <w:r w:rsidRPr="0053772F">
        <w:rPr>
          <w:rFonts w:ascii="Calibri" w:eastAsia="Calibri" w:hAnsi="Calibri"/>
          <w:b/>
          <w:bCs/>
          <w:rtl/>
        </w:rPr>
        <w:t>הושתו 28 חודשי לריצוי בפועל</w:t>
      </w:r>
      <w:r w:rsidRPr="0053772F">
        <w:rPr>
          <w:rFonts w:ascii="Calibri" w:eastAsia="Calibri" w:hAnsi="Calibri"/>
          <w:rtl/>
        </w:rPr>
        <w:t xml:space="preserve"> (מתחם הענישה שנקבע בפרשה זו נע בין 3 לבין 6 שנות אך בוצעה חריגה הימנו "בשל אחידות הענישה"). </w:t>
      </w:r>
    </w:p>
    <w:p w14:paraId="344E6DBD" w14:textId="77777777" w:rsidR="009D62EE" w:rsidRPr="0053772F" w:rsidRDefault="009D62EE" w:rsidP="009D62EE">
      <w:pPr>
        <w:overflowPunct w:val="0"/>
        <w:autoSpaceDE w:val="0"/>
        <w:autoSpaceDN w:val="0"/>
        <w:spacing w:line="360" w:lineRule="auto"/>
        <w:ind w:right="-284"/>
        <w:jc w:val="both"/>
        <w:rPr>
          <w:rtl/>
        </w:rPr>
      </w:pPr>
      <w:r w:rsidRPr="0053772F">
        <w:rPr>
          <w:rtl/>
        </w:rPr>
        <w:t xml:space="preserve">בכל הנוגע לעבירות שעניינן נשיאה או הובלה שלא כדין של כלי נשק, הרי שבית המשפט העליון חזר ועמד על אודות מגמת ההחמרה בגין עבירות אלו,  בציינו שבמצבים אלו עלולים כלי הנשק לשמש גם ככלי עזר עברייני בגדרי אירועים אלימים נוספים. מתאימים הדברים להלן שנכתבו במסגרתו של </w:t>
      </w:r>
      <w:hyperlink r:id="rId39" w:history="1">
        <w:r w:rsidR="00CA35FD" w:rsidRPr="00CA35FD">
          <w:rPr>
            <w:color w:val="0000FF"/>
            <w:u w:val="single"/>
            <w:rtl/>
          </w:rPr>
          <w:t>ע"פ 5522/20</w:t>
        </w:r>
      </w:hyperlink>
      <w:r w:rsidRPr="0053772F">
        <w:rPr>
          <w:rtl/>
        </w:rPr>
        <w:t xml:space="preserve"> </w:t>
      </w:r>
      <w:r w:rsidRPr="0053772F">
        <w:rPr>
          <w:b/>
          <w:bCs/>
          <w:rtl/>
        </w:rPr>
        <w:t>חלייחל נ' מדינת ישראל</w:t>
      </w:r>
      <w:r w:rsidRPr="0053772F">
        <w:rPr>
          <w:rtl/>
        </w:rPr>
        <w:t xml:space="preserve"> (ניתן ביום 24.2.21) - </w:t>
      </w:r>
    </w:p>
    <w:p w14:paraId="3FD4B10B" w14:textId="77777777" w:rsidR="009D62EE" w:rsidRPr="0053772F" w:rsidRDefault="009D62EE" w:rsidP="009D62EE">
      <w:pPr>
        <w:overflowPunct w:val="0"/>
        <w:autoSpaceDE w:val="0"/>
        <w:autoSpaceDN w:val="0"/>
        <w:spacing w:line="360" w:lineRule="auto"/>
        <w:jc w:val="both"/>
        <w:rPr>
          <w:rtl/>
        </w:rPr>
      </w:pPr>
    </w:p>
    <w:p w14:paraId="5D98D47A" w14:textId="77777777" w:rsidR="009D62EE" w:rsidRPr="0053772F" w:rsidRDefault="009D62EE" w:rsidP="009D62EE">
      <w:pPr>
        <w:tabs>
          <w:tab w:val="left" w:pos="800"/>
        </w:tabs>
        <w:overflowPunct w:val="0"/>
        <w:autoSpaceDE w:val="0"/>
        <w:autoSpaceDN w:val="0"/>
        <w:adjustRightInd w:val="0"/>
        <w:ind w:left="935" w:right="851" w:hanging="142"/>
        <w:jc w:val="both"/>
        <w:rPr>
          <w:rFonts w:ascii="Calibri Light" w:hAnsi="Calibri Light" w:cs="Calibri Light"/>
          <w:spacing w:val="10"/>
          <w:rtl/>
        </w:rPr>
      </w:pPr>
      <w:r w:rsidRPr="0053772F">
        <w:rPr>
          <w:rFonts w:ascii="David" w:hAnsi="David"/>
          <w:spacing w:val="10"/>
          <w:rtl/>
        </w:rPr>
        <w:t xml:space="preserve"> "</w:t>
      </w:r>
      <w:hyperlink r:id="rId40" w:history="1">
        <w:r w:rsidR="00DD3E42" w:rsidRPr="00DD3E42">
          <w:rPr>
            <w:rStyle w:val="Hyperlink"/>
            <w:rFonts w:ascii="Calibri Light" w:hAnsi="Calibri Light" w:cs="Calibri Light"/>
            <w:color w:val="0000FF"/>
            <w:spacing w:val="10"/>
            <w:rtl/>
          </w:rPr>
          <w:t>סעיף 144(ב)</w:t>
        </w:r>
      </w:hyperlink>
      <w:r w:rsidRPr="0053772F">
        <w:rPr>
          <w:rFonts w:ascii="Calibri Light" w:hAnsi="Calibri Light" w:cs="Calibri Light"/>
          <w:spacing w:val="10"/>
          <w:rtl/>
        </w:rPr>
        <w:t xml:space="preserve"> </w:t>
      </w:r>
      <w:r w:rsidRPr="0053772F">
        <w:rPr>
          <w:rFonts w:ascii="Calibri Light" w:hAnsi="Calibri Light" w:cs="Times New Roman"/>
          <w:spacing w:val="10"/>
          <w:rtl/>
        </w:rPr>
        <w:t>ל</w:t>
      </w:r>
      <w:hyperlink r:id="rId41" w:history="1">
        <w:r w:rsidR="00CA35FD" w:rsidRPr="00CA35FD">
          <w:rPr>
            <w:rFonts w:ascii="Calibri Light" w:hAnsi="Calibri Light" w:cs="Times New Roman" w:hint="eastAsia"/>
            <w:color w:val="0000FF"/>
            <w:spacing w:val="10"/>
            <w:u w:val="single"/>
            <w:rtl/>
          </w:rPr>
          <w:t>חוק</w:t>
        </w:r>
        <w:r w:rsidR="00CA35FD" w:rsidRPr="00CA35FD">
          <w:rPr>
            <w:rFonts w:ascii="Calibri Light" w:hAnsi="Calibri Light" w:cs="Times New Roman"/>
            <w:color w:val="0000FF"/>
            <w:spacing w:val="10"/>
            <w:u w:val="single"/>
            <w:rtl/>
          </w:rPr>
          <w:t xml:space="preserve"> </w:t>
        </w:r>
        <w:r w:rsidR="00CA35FD" w:rsidRPr="00CA35FD">
          <w:rPr>
            <w:rFonts w:ascii="Calibri Light" w:hAnsi="Calibri Light" w:cs="Times New Roman" w:hint="eastAsia"/>
            <w:color w:val="0000FF"/>
            <w:spacing w:val="10"/>
            <w:u w:val="single"/>
            <w:rtl/>
          </w:rPr>
          <w:t>העונשין</w:t>
        </w:r>
      </w:hyperlink>
      <w:r w:rsidRPr="0053772F">
        <w:rPr>
          <w:rFonts w:ascii="Calibri Light" w:hAnsi="Calibri Light" w:cs="Times New Roman"/>
          <w:spacing w:val="10"/>
          <w:rtl/>
        </w:rPr>
        <w:t xml:space="preserve"> אוסר על נשיאה או הובלה של כלי</w:t>
      </w:r>
      <w:r w:rsidRPr="0053772F">
        <w:rPr>
          <w:rFonts w:ascii="Calibri Light" w:hAnsi="Calibri Light" w:cs="Calibri Light"/>
          <w:spacing w:val="10"/>
          <w:rtl/>
        </w:rPr>
        <w:t>-</w:t>
      </w:r>
      <w:r w:rsidRPr="0053772F">
        <w:rPr>
          <w:rFonts w:ascii="Calibri Light" w:hAnsi="Calibri Light" w:cs="Times New Roman"/>
          <w:spacing w:val="10"/>
          <w:rtl/>
        </w:rPr>
        <w:t>נשק</w:t>
      </w:r>
      <w:r w:rsidRPr="0053772F">
        <w:rPr>
          <w:rFonts w:ascii="Calibri Light" w:hAnsi="Calibri Light" w:cs="Calibri Light"/>
          <w:spacing w:val="10"/>
          <w:rtl/>
        </w:rPr>
        <w:t xml:space="preserve">, </w:t>
      </w:r>
      <w:r w:rsidRPr="0053772F">
        <w:rPr>
          <w:rFonts w:ascii="Calibri Light" w:hAnsi="Calibri Light" w:cs="Calibri Light"/>
          <w:b/>
          <w:rtl/>
        </w:rPr>
        <w:t>"</w:t>
      </w:r>
      <w:r w:rsidRPr="0053772F">
        <w:rPr>
          <w:rFonts w:ascii="Calibri Light" w:hAnsi="Calibri Light" w:cs="Times New Roman"/>
          <w:b/>
          <w:rtl/>
        </w:rPr>
        <w:t>בלא רשות על פי דין</w:t>
      </w:r>
      <w:r w:rsidRPr="0053772F">
        <w:rPr>
          <w:rFonts w:ascii="Calibri Light" w:hAnsi="Calibri Light" w:cs="Calibri Light"/>
          <w:b/>
          <w:rtl/>
        </w:rPr>
        <w:t>"</w:t>
      </w:r>
      <w:r w:rsidRPr="0053772F">
        <w:rPr>
          <w:rFonts w:ascii="Calibri Light" w:hAnsi="Calibri Light" w:cs="Calibri Light"/>
          <w:spacing w:val="10"/>
          <w:rtl/>
        </w:rPr>
        <w:t xml:space="preserve">. </w:t>
      </w:r>
      <w:r w:rsidRPr="0053772F">
        <w:rPr>
          <w:rFonts w:ascii="Calibri Light" w:hAnsi="Calibri Light" w:cs="Times New Roman"/>
          <w:spacing w:val="10"/>
          <w:rtl/>
        </w:rPr>
        <w:t>האיסור נועד להגן על ערך חיי האדם</w:t>
      </w:r>
      <w:r w:rsidRPr="0053772F">
        <w:rPr>
          <w:rFonts w:ascii="Calibri Light" w:hAnsi="Calibri Light" w:cs="Calibri Light"/>
          <w:spacing w:val="10"/>
          <w:rtl/>
        </w:rPr>
        <w:t xml:space="preserve">, </w:t>
      </w:r>
      <w:r w:rsidRPr="0053772F">
        <w:rPr>
          <w:rFonts w:ascii="Calibri Light" w:hAnsi="Calibri Light" w:cs="Times New Roman"/>
          <w:spacing w:val="10"/>
          <w:rtl/>
        </w:rPr>
        <w:t>שלמות גופו ונפשו</w:t>
      </w:r>
      <w:r w:rsidRPr="0053772F">
        <w:rPr>
          <w:rFonts w:ascii="Calibri Light" w:hAnsi="Calibri Light" w:cs="Calibri Light"/>
          <w:spacing w:val="10"/>
          <w:rtl/>
        </w:rPr>
        <w:t xml:space="preserve">, </w:t>
      </w:r>
      <w:r w:rsidRPr="0053772F">
        <w:rPr>
          <w:rFonts w:ascii="Calibri Light" w:hAnsi="Calibri Light" w:cs="Times New Roman"/>
          <w:spacing w:val="10"/>
          <w:rtl/>
        </w:rPr>
        <w:t>כמו גם לקדם את השמירה על הסדר הציבורי ואורח חיים תקין</w:t>
      </w:r>
      <w:r w:rsidRPr="0053772F">
        <w:rPr>
          <w:rFonts w:ascii="Calibri Light" w:hAnsi="Calibri Light" w:cs="Calibri Light"/>
          <w:spacing w:val="10"/>
          <w:rtl/>
        </w:rPr>
        <w:t xml:space="preserve">, </w:t>
      </w:r>
      <w:r w:rsidRPr="0053772F">
        <w:rPr>
          <w:rFonts w:ascii="Calibri Light" w:hAnsi="Calibri Light" w:cs="Times New Roman"/>
          <w:spacing w:val="10"/>
          <w:rtl/>
        </w:rPr>
        <w:t>שלו ובטוח</w:t>
      </w:r>
      <w:r w:rsidRPr="0053772F">
        <w:rPr>
          <w:rFonts w:ascii="Calibri Light" w:hAnsi="Calibri Light" w:cs="Calibri Light"/>
          <w:spacing w:val="10"/>
          <w:rtl/>
        </w:rPr>
        <w:t xml:space="preserve">... </w:t>
      </w:r>
      <w:r w:rsidRPr="0053772F">
        <w:rPr>
          <w:rFonts w:ascii="Calibri Light" w:hAnsi="Calibri Light" w:cs="Times New Roman"/>
          <w:spacing w:val="10"/>
          <w:rtl/>
        </w:rPr>
        <w:t>עבירה זו</w:t>
      </w:r>
      <w:r w:rsidRPr="0053772F">
        <w:rPr>
          <w:rFonts w:ascii="Calibri Light" w:hAnsi="Calibri Light" w:cs="Calibri Light"/>
          <w:spacing w:val="10"/>
          <w:rtl/>
        </w:rPr>
        <w:t xml:space="preserve">, </w:t>
      </w:r>
      <w:r w:rsidRPr="0053772F">
        <w:rPr>
          <w:rFonts w:ascii="Calibri Light" w:hAnsi="Calibri Light" w:cs="Times New Roman"/>
          <w:spacing w:val="10"/>
          <w:rtl/>
        </w:rPr>
        <w:t>כמו יתר עבירות הנשק</w:t>
      </w:r>
      <w:r w:rsidRPr="0053772F">
        <w:rPr>
          <w:rFonts w:ascii="Calibri Light" w:hAnsi="Calibri Light" w:cs="Calibri Light"/>
          <w:spacing w:val="10"/>
          <w:rtl/>
        </w:rPr>
        <w:t xml:space="preserve">, </w:t>
      </w:r>
      <w:r w:rsidRPr="0053772F">
        <w:rPr>
          <w:rFonts w:ascii="Calibri Light" w:hAnsi="Calibri Light" w:cs="Times New Roman"/>
          <w:spacing w:val="10"/>
          <w:rtl/>
        </w:rPr>
        <w:t>נועדה למנוע התנהגות מסוכנת</w:t>
      </w:r>
      <w:r w:rsidRPr="0053772F">
        <w:rPr>
          <w:rFonts w:ascii="Calibri Light" w:hAnsi="Calibri Light" w:cs="Calibri Light"/>
          <w:spacing w:val="10"/>
          <w:rtl/>
        </w:rPr>
        <w:t xml:space="preserve">, </w:t>
      </w:r>
      <w:r w:rsidRPr="0053772F">
        <w:rPr>
          <w:rFonts w:ascii="Calibri Light" w:hAnsi="Calibri Light" w:cs="Times New Roman"/>
          <w:spacing w:val="10"/>
          <w:rtl/>
        </w:rPr>
        <w:t>ולמזער את הפוטנציאל לגרימת נזקים חמורים</w:t>
      </w:r>
      <w:r w:rsidRPr="0053772F">
        <w:rPr>
          <w:rFonts w:ascii="Calibri Light" w:hAnsi="Calibri Light" w:cs="Calibri Light"/>
          <w:spacing w:val="10"/>
          <w:rtl/>
        </w:rPr>
        <w:t xml:space="preserve">. </w:t>
      </w:r>
      <w:r w:rsidRPr="0053772F">
        <w:rPr>
          <w:rFonts w:ascii="Calibri Light" w:hAnsi="Calibri Light" w:cs="Times New Roman"/>
          <w:b/>
          <w:bCs/>
          <w:spacing w:val="10"/>
          <w:rtl/>
        </w:rPr>
        <w:t>אכן</w:t>
      </w:r>
      <w:r w:rsidRPr="0053772F">
        <w:rPr>
          <w:rFonts w:ascii="Calibri Light" w:hAnsi="Calibri Light" w:cs="Calibri Light"/>
          <w:b/>
          <w:bCs/>
          <w:spacing w:val="10"/>
          <w:rtl/>
        </w:rPr>
        <w:t xml:space="preserve">, </w:t>
      </w:r>
      <w:r w:rsidRPr="0053772F">
        <w:rPr>
          <w:rFonts w:ascii="Calibri Light" w:hAnsi="Calibri Light" w:cs="Times New Roman"/>
          <w:b/>
          <w:bCs/>
          <w:spacing w:val="10"/>
          <w:rtl/>
        </w:rPr>
        <w:t>נשיאה והובלה של כלי</w:t>
      </w:r>
      <w:r w:rsidRPr="0053772F">
        <w:rPr>
          <w:rFonts w:ascii="Calibri Light" w:hAnsi="Calibri Light" w:cs="Calibri Light"/>
          <w:b/>
          <w:bCs/>
          <w:spacing w:val="10"/>
          <w:rtl/>
        </w:rPr>
        <w:t>-</w:t>
      </w:r>
      <w:r w:rsidRPr="0053772F">
        <w:rPr>
          <w:rFonts w:ascii="Calibri Light" w:hAnsi="Calibri Light" w:cs="Times New Roman"/>
          <w:b/>
          <w:bCs/>
          <w:spacing w:val="10"/>
          <w:rtl/>
        </w:rPr>
        <w:t>נשק</w:t>
      </w:r>
      <w:r w:rsidRPr="0053772F">
        <w:rPr>
          <w:rFonts w:ascii="Calibri Light" w:hAnsi="Calibri Light" w:cs="Calibri Light"/>
          <w:b/>
          <w:bCs/>
          <w:spacing w:val="10"/>
          <w:rtl/>
        </w:rPr>
        <w:t xml:space="preserve">, </w:t>
      </w:r>
      <w:r w:rsidRPr="0053772F">
        <w:rPr>
          <w:rFonts w:ascii="Calibri Light" w:hAnsi="Calibri Light" w:cs="Times New Roman"/>
          <w:b/>
          <w:bCs/>
          <w:spacing w:val="10"/>
          <w:rtl/>
        </w:rPr>
        <w:t>הריהי לעיתים רק הסנונית הראשונה</w:t>
      </w:r>
      <w:r w:rsidRPr="0053772F">
        <w:rPr>
          <w:rFonts w:ascii="Calibri Light" w:hAnsi="Calibri Light" w:cs="Calibri Light"/>
          <w:b/>
          <w:bCs/>
          <w:spacing w:val="10"/>
          <w:rtl/>
        </w:rPr>
        <w:t xml:space="preserve">, </w:t>
      </w:r>
      <w:r w:rsidRPr="0053772F">
        <w:rPr>
          <w:rFonts w:ascii="Calibri Light" w:hAnsi="Calibri Light" w:cs="Times New Roman"/>
          <w:b/>
          <w:bCs/>
          <w:spacing w:val="10"/>
          <w:rtl/>
        </w:rPr>
        <w:t xml:space="preserve">בואכה מעשים חמורים יותר </w:t>
      </w:r>
      <w:r w:rsidRPr="0053772F">
        <w:rPr>
          <w:rFonts w:ascii="Calibri Light" w:hAnsi="Calibri Light" w:cs="Calibri Light"/>
          <w:b/>
          <w:bCs/>
          <w:spacing w:val="10"/>
          <w:rtl/>
        </w:rPr>
        <w:t xml:space="preserve">- </w:t>
      </w:r>
      <w:r w:rsidRPr="0053772F">
        <w:rPr>
          <w:rFonts w:ascii="Calibri Light" w:hAnsi="Calibri Light" w:cs="Times New Roman"/>
          <w:spacing w:val="10"/>
          <w:rtl/>
        </w:rPr>
        <w:t>חבלה חמורה</w:t>
      </w:r>
      <w:r w:rsidRPr="0053772F">
        <w:rPr>
          <w:rFonts w:ascii="Calibri Light" w:hAnsi="Calibri Light" w:cs="Calibri Light"/>
          <w:spacing w:val="10"/>
          <w:rtl/>
        </w:rPr>
        <w:t>,</w:t>
      </w:r>
      <w:r w:rsidRPr="0053772F">
        <w:rPr>
          <w:rFonts w:ascii="Calibri Light" w:hAnsi="Calibri Light" w:cs="Calibri Light"/>
          <w:b/>
          <w:bCs/>
          <w:spacing w:val="10"/>
          <w:rtl/>
        </w:rPr>
        <w:t xml:space="preserve"> </w:t>
      </w:r>
      <w:r w:rsidRPr="0053772F">
        <w:rPr>
          <w:rFonts w:ascii="Calibri Light" w:hAnsi="Calibri Light" w:cs="Times New Roman"/>
          <w:b/>
          <w:bCs/>
          <w:spacing w:val="10"/>
          <w:u w:val="single"/>
          <w:rtl/>
        </w:rPr>
        <w:t>שוד מזוין</w:t>
      </w:r>
      <w:r w:rsidRPr="0053772F">
        <w:rPr>
          <w:rFonts w:ascii="Calibri Light" w:hAnsi="Calibri Light" w:cs="Calibri Light"/>
          <w:spacing w:val="10"/>
          <w:rtl/>
        </w:rPr>
        <w:t xml:space="preserve">, </w:t>
      </w:r>
      <w:r w:rsidRPr="0053772F">
        <w:rPr>
          <w:rFonts w:ascii="Calibri Light" w:hAnsi="Calibri Light" w:cs="Times New Roman"/>
          <w:spacing w:val="10"/>
          <w:rtl/>
        </w:rPr>
        <w:t>רצח</w:t>
      </w:r>
      <w:r w:rsidRPr="0053772F">
        <w:rPr>
          <w:rFonts w:ascii="Calibri Light" w:hAnsi="Calibri Light" w:cs="Calibri Light"/>
          <w:spacing w:val="10"/>
          <w:rtl/>
        </w:rPr>
        <w:t xml:space="preserve">, </w:t>
      </w:r>
      <w:r w:rsidRPr="0053772F">
        <w:rPr>
          <w:rFonts w:ascii="Calibri Light" w:hAnsi="Calibri Light" w:cs="Times New Roman"/>
          <w:spacing w:val="10"/>
          <w:rtl/>
        </w:rPr>
        <w:t>וכיוצא באלה</w:t>
      </w:r>
      <w:r w:rsidRPr="0053772F">
        <w:rPr>
          <w:rFonts w:ascii="Calibri Light" w:hAnsi="Calibri Light" w:cs="Calibri Light"/>
          <w:spacing w:val="10"/>
          <w:rtl/>
        </w:rPr>
        <w:t xml:space="preserve">... </w:t>
      </w:r>
      <w:r w:rsidRPr="0053772F">
        <w:rPr>
          <w:rFonts w:ascii="Calibri Light" w:hAnsi="Calibri Light" w:cs="Times New Roman"/>
          <w:spacing w:val="10"/>
          <w:rtl/>
        </w:rPr>
        <w:t>כמו כן</w:t>
      </w:r>
      <w:r w:rsidRPr="0053772F">
        <w:rPr>
          <w:rFonts w:ascii="Calibri Light" w:hAnsi="Calibri Light" w:cs="Calibri Light"/>
          <w:spacing w:val="10"/>
          <w:rtl/>
        </w:rPr>
        <w:t xml:space="preserve">, </w:t>
      </w:r>
      <w:r w:rsidRPr="0053772F">
        <w:rPr>
          <w:rFonts w:ascii="Calibri Light" w:hAnsi="Calibri Light" w:cs="Times New Roman"/>
          <w:spacing w:val="10"/>
          <w:rtl/>
        </w:rPr>
        <w:t>לא אחת צוין</w:t>
      </w:r>
      <w:r w:rsidRPr="0053772F">
        <w:rPr>
          <w:rFonts w:ascii="Calibri Light" w:hAnsi="Calibri Light" w:cs="Calibri Light"/>
          <w:spacing w:val="10"/>
          <w:rtl/>
        </w:rPr>
        <w:t xml:space="preserve">, </w:t>
      </w:r>
      <w:r w:rsidRPr="0053772F">
        <w:rPr>
          <w:rFonts w:ascii="Calibri Light" w:hAnsi="Calibri Light" w:cs="Times New Roman"/>
          <w:spacing w:val="10"/>
          <w:rtl/>
        </w:rPr>
        <w:t>כי למרבה הצער</w:t>
      </w:r>
      <w:r w:rsidRPr="0053772F">
        <w:rPr>
          <w:rFonts w:ascii="Calibri Light" w:hAnsi="Calibri Light" w:cs="Calibri Light"/>
          <w:spacing w:val="10"/>
          <w:rtl/>
        </w:rPr>
        <w:t xml:space="preserve">, </w:t>
      </w:r>
      <w:r w:rsidRPr="0053772F">
        <w:rPr>
          <w:rFonts w:ascii="Calibri Light" w:hAnsi="Calibri Light" w:cs="Times New Roman"/>
          <w:spacing w:val="10"/>
          <w:rtl/>
        </w:rPr>
        <w:t>חרף האיסור שבדין</w:t>
      </w:r>
      <w:r w:rsidRPr="0053772F">
        <w:rPr>
          <w:rFonts w:ascii="Calibri Light" w:hAnsi="Calibri Light" w:cs="Calibri Light"/>
          <w:spacing w:val="10"/>
          <w:rtl/>
        </w:rPr>
        <w:t xml:space="preserve">, </w:t>
      </w:r>
      <w:r w:rsidRPr="0053772F">
        <w:rPr>
          <w:rFonts w:ascii="Calibri Light" w:hAnsi="Calibri Light" w:cs="Times New Roman"/>
          <w:spacing w:val="10"/>
          <w:rtl/>
        </w:rPr>
        <w:t>הפכה תופעת השימוש בנשק חם למכת מדינה</w:t>
      </w:r>
      <w:r w:rsidRPr="0053772F">
        <w:rPr>
          <w:rFonts w:ascii="Calibri Light" w:hAnsi="Calibri Light" w:cs="Calibri Light"/>
          <w:spacing w:val="10"/>
          <w:rtl/>
        </w:rPr>
        <w:t xml:space="preserve">. </w:t>
      </w:r>
      <w:r w:rsidRPr="0053772F">
        <w:rPr>
          <w:rFonts w:ascii="Calibri Light" w:hAnsi="Calibri Light" w:cs="Times New Roman"/>
          <w:spacing w:val="10"/>
          <w:rtl/>
        </w:rPr>
        <w:t>בעקבות זאת</w:t>
      </w:r>
      <w:r w:rsidRPr="0053772F">
        <w:rPr>
          <w:rFonts w:ascii="Calibri Light" w:hAnsi="Calibri Light" w:cs="Calibri Light"/>
          <w:spacing w:val="10"/>
          <w:rtl/>
        </w:rPr>
        <w:t xml:space="preserve">, </w:t>
      </w:r>
      <w:r w:rsidRPr="0053772F">
        <w:rPr>
          <w:rFonts w:ascii="Calibri Light" w:hAnsi="Calibri Light" w:cs="Times New Roman"/>
          <w:spacing w:val="10"/>
          <w:rtl/>
        </w:rPr>
        <w:t>לשם הרתעה</w:t>
      </w:r>
      <w:r w:rsidRPr="0053772F">
        <w:rPr>
          <w:rFonts w:ascii="Calibri Light" w:hAnsi="Calibri Light" w:cs="Calibri Light"/>
          <w:spacing w:val="10"/>
          <w:rtl/>
        </w:rPr>
        <w:t xml:space="preserve">, </w:t>
      </w:r>
      <w:r w:rsidRPr="0053772F">
        <w:rPr>
          <w:rFonts w:ascii="Calibri Light" w:hAnsi="Calibri Light" w:cs="Times New Roman"/>
          <w:b/>
          <w:bCs/>
          <w:spacing w:val="10"/>
          <w:rtl/>
        </w:rPr>
        <w:t xml:space="preserve">ניכרת בפסיקה מגמה של החמרה הדרגתית בענישה על עבירות הנשק </w:t>
      </w:r>
      <w:r w:rsidRPr="0053772F">
        <w:rPr>
          <w:rFonts w:ascii="Calibri Light" w:hAnsi="Calibri Light" w:cs="Calibri Light"/>
          <w:spacing w:val="10"/>
          <w:rtl/>
        </w:rPr>
        <w:t>(</w:t>
      </w:r>
      <w:hyperlink r:id="rId42" w:history="1">
        <w:r w:rsidR="00CA35FD" w:rsidRPr="00CA35FD">
          <w:rPr>
            <w:rFonts w:ascii="Calibri Light" w:hAnsi="Calibri Light" w:cs="Times New Roman"/>
            <w:color w:val="0000FF"/>
            <w:spacing w:val="10"/>
            <w:u w:val="single"/>
            <w:rtl/>
          </w:rPr>
          <w:t>ע"פ 5807/20</w:t>
        </w:r>
      </w:hyperlink>
      <w:r w:rsidRPr="0053772F">
        <w:rPr>
          <w:rFonts w:ascii="Calibri Light" w:hAnsi="Calibri Light" w:cs="Calibri Light"/>
          <w:spacing w:val="10"/>
          <w:rtl/>
        </w:rPr>
        <w:t xml:space="preserve"> </w:t>
      </w:r>
      <w:r w:rsidRPr="0053772F">
        <w:rPr>
          <w:rFonts w:ascii="Calibri Light" w:hAnsi="Calibri Light" w:cs="Times New Roman"/>
          <w:b/>
          <w:rtl/>
        </w:rPr>
        <w:t>שיבלי נ</w:t>
      </w:r>
      <w:r w:rsidRPr="0053772F">
        <w:rPr>
          <w:rFonts w:ascii="Calibri Light" w:hAnsi="Calibri Light" w:cs="Calibri Light"/>
          <w:b/>
          <w:rtl/>
        </w:rPr>
        <w:t xml:space="preserve">' </w:t>
      </w:r>
      <w:r w:rsidRPr="0053772F">
        <w:rPr>
          <w:rFonts w:ascii="Calibri Light" w:hAnsi="Calibri Light" w:cs="Times New Roman"/>
          <w:b/>
          <w:rtl/>
        </w:rPr>
        <w:t>מדינת ישראל</w:t>
      </w:r>
      <w:r w:rsidRPr="0053772F">
        <w:rPr>
          <w:rFonts w:ascii="Calibri Light" w:hAnsi="Calibri Light" w:cs="Calibri Light"/>
          <w:spacing w:val="10"/>
          <w:rtl/>
        </w:rPr>
        <w:t xml:space="preserve">, </w:t>
      </w:r>
      <w:r w:rsidRPr="0053772F">
        <w:rPr>
          <w:rFonts w:ascii="Calibri Light" w:hAnsi="Calibri Light" w:cs="Times New Roman"/>
          <w:spacing w:val="10"/>
          <w:rtl/>
        </w:rPr>
        <w:t xml:space="preserve">פסקה </w:t>
      </w:r>
      <w:r w:rsidRPr="0053772F">
        <w:rPr>
          <w:rFonts w:ascii="Calibri Light" w:hAnsi="Calibri Light" w:cs="Calibri Light"/>
          <w:spacing w:val="10"/>
          <w:rtl/>
        </w:rPr>
        <w:t xml:space="preserve">8 (30.12.2020)..." </w:t>
      </w:r>
      <w:r w:rsidRPr="0053772F">
        <w:rPr>
          <w:rFonts w:ascii="David" w:hAnsi="David"/>
          <w:spacing w:val="10"/>
          <w:rtl/>
        </w:rPr>
        <w:t>(ההדגשה אינה במקור).</w:t>
      </w:r>
      <w:r w:rsidRPr="0053772F">
        <w:rPr>
          <w:rFonts w:ascii="Calibri Light" w:hAnsi="Calibri Light" w:cs="Calibri Light"/>
          <w:spacing w:val="10"/>
          <w:rtl/>
        </w:rPr>
        <w:t xml:space="preserve"> </w:t>
      </w:r>
    </w:p>
    <w:p w14:paraId="4B1C3239" w14:textId="77777777" w:rsidR="009D62EE" w:rsidRPr="0053772F" w:rsidRDefault="009D62EE" w:rsidP="009D62EE">
      <w:pPr>
        <w:tabs>
          <w:tab w:val="left" w:pos="800"/>
        </w:tabs>
        <w:overflowPunct w:val="0"/>
        <w:autoSpaceDE w:val="0"/>
        <w:autoSpaceDN w:val="0"/>
        <w:adjustRightInd w:val="0"/>
        <w:spacing w:line="360" w:lineRule="auto"/>
        <w:jc w:val="both"/>
        <w:rPr>
          <w:rFonts w:ascii="Arial TUR" w:hAnsi="Arial TUR" w:cs="FrankRuehl"/>
          <w:spacing w:val="10"/>
          <w:sz w:val="20"/>
          <w:szCs w:val="28"/>
          <w:rtl/>
        </w:rPr>
      </w:pPr>
    </w:p>
    <w:p w14:paraId="13BF8FBF" w14:textId="77777777" w:rsidR="009D62EE" w:rsidRPr="0053772F" w:rsidRDefault="009D62EE" w:rsidP="009D62EE">
      <w:pPr>
        <w:spacing w:after="160" w:line="360" w:lineRule="auto"/>
        <w:ind w:right="-426"/>
        <w:jc w:val="both"/>
        <w:rPr>
          <w:rFonts w:ascii="Calibri" w:eastAsia="Calibri" w:hAnsi="Calibri"/>
        </w:rPr>
      </w:pPr>
      <w:r w:rsidRPr="0053772F">
        <w:rPr>
          <w:rFonts w:ascii="David" w:eastAsia="Calibri" w:hAnsi="David"/>
          <w:rtl/>
        </w:rPr>
        <w:t xml:space="preserve">כך למשל, במסגרתו של </w:t>
      </w:r>
      <w:hyperlink r:id="rId43" w:history="1">
        <w:r w:rsidR="00CA35FD" w:rsidRPr="00CA35FD">
          <w:rPr>
            <w:rFonts w:ascii="David" w:eastAsia="Calibri" w:hAnsi="David"/>
            <w:color w:val="0000FF"/>
            <w:u w:val="single"/>
            <w:rtl/>
          </w:rPr>
          <w:t>ע"פ 5602/22</w:t>
        </w:r>
      </w:hyperlink>
      <w:r w:rsidRPr="0053772F">
        <w:rPr>
          <w:rFonts w:ascii="David" w:eastAsia="Calibri" w:hAnsi="David"/>
          <w:rtl/>
        </w:rPr>
        <w:t xml:space="preserve"> </w:t>
      </w:r>
      <w:r w:rsidRPr="0053772F">
        <w:rPr>
          <w:rFonts w:ascii="David" w:eastAsia="Calibri" w:hAnsi="David"/>
          <w:b/>
          <w:bCs/>
          <w:rtl/>
        </w:rPr>
        <w:t>מדינת ישראל נ' פלוני</w:t>
      </w:r>
      <w:r w:rsidRPr="0053772F">
        <w:rPr>
          <w:rFonts w:ascii="David" w:eastAsia="Calibri" w:hAnsi="David"/>
          <w:rtl/>
        </w:rPr>
        <w:t xml:space="preserve">, ניתן ביום  </w:t>
      </w:r>
      <w:r w:rsidRPr="0053772F">
        <w:rPr>
          <w:rFonts w:ascii="Calibri" w:eastAsia="Calibri" w:hAnsi="Calibri"/>
          <w:rtl/>
        </w:rPr>
        <w:t xml:space="preserve">14.9.22, </w:t>
      </w:r>
      <w:r w:rsidRPr="0053772F">
        <w:rPr>
          <w:rFonts w:ascii="Calibri" w:eastAsia="Calibri" w:hAnsi="Calibri"/>
          <w:u w:val="single"/>
          <w:rtl/>
        </w:rPr>
        <w:t xml:space="preserve">נקבעה התוויה כללית, ולפיה </w:t>
      </w:r>
      <w:r w:rsidRPr="0053772F">
        <w:rPr>
          <w:rFonts w:ascii="David" w:eastAsia="Calibri" w:hAnsi="David"/>
          <w:u w:val="single"/>
          <w:rtl/>
        </w:rPr>
        <w:t>מתחם הענישה הרגיל שראוי לקבוע לנאשם בגיר בגין נשיאה בלתי חוקית של נשק חם (עבירה מוגמרת שאינה סיוע) במרחב הציבורי</w:t>
      </w:r>
      <w:r w:rsidRPr="0053772F">
        <w:rPr>
          <w:rFonts w:ascii="David" w:eastAsia="Calibri" w:hAnsi="David"/>
          <w:rtl/>
        </w:rPr>
        <w:t xml:space="preserve"> </w:t>
      </w:r>
      <w:r w:rsidRPr="0053772F">
        <w:rPr>
          <w:rFonts w:ascii="David" w:eastAsia="Calibri" w:hAnsi="David"/>
          <w:b/>
          <w:bCs/>
          <w:rtl/>
        </w:rPr>
        <w:t>נע בין 30 ל-42 חודשי מאסר בין סורג ובריח</w:t>
      </w:r>
      <w:r w:rsidRPr="0053772F">
        <w:rPr>
          <w:rFonts w:ascii="David" w:eastAsia="Calibri" w:hAnsi="David"/>
          <w:rtl/>
        </w:rPr>
        <w:t xml:space="preserve"> </w:t>
      </w:r>
      <w:r w:rsidRPr="0053772F">
        <w:rPr>
          <w:rFonts w:ascii="Calibri" w:eastAsia="Calibri" w:hAnsi="Calibri"/>
          <w:rtl/>
        </w:rPr>
        <w:t xml:space="preserve">{עוד ראו - </w:t>
      </w:r>
      <w:hyperlink r:id="rId44" w:history="1">
        <w:r w:rsidR="00CA35FD" w:rsidRPr="00CA35FD">
          <w:rPr>
            <w:rFonts w:ascii="Calibri" w:eastAsia="Calibri" w:hAnsi="Calibri" w:hint="cs"/>
            <w:color w:val="0000FF"/>
            <w:u w:val="single"/>
            <w:rtl/>
          </w:rPr>
          <w:t>ע</w:t>
        </w:r>
        <w:r w:rsidR="00CA35FD" w:rsidRPr="00CA35FD">
          <w:rPr>
            <w:rFonts w:ascii="Calibri" w:eastAsia="Calibri" w:hAnsi="Calibri"/>
            <w:color w:val="0000FF"/>
            <w:u w:val="single"/>
            <w:rtl/>
          </w:rPr>
          <w:t>"</w:t>
        </w:r>
        <w:r w:rsidR="00CA35FD" w:rsidRPr="00CA35FD">
          <w:rPr>
            <w:rFonts w:ascii="Calibri" w:eastAsia="Calibri" w:hAnsi="Calibri" w:hint="cs"/>
            <w:color w:val="0000FF"/>
            <w:u w:val="single"/>
            <w:rtl/>
          </w:rPr>
          <w:t>פ</w:t>
        </w:r>
        <w:r w:rsidR="00CA35FD" w:rsidRPr="00CA35FD">
          <w:rPr>
            <w:rFonts w:ascii="Calibri" w:eastAsia="Calibri" w:hAnsi="Calibri"/>
            <w:color w:val="0000FF"/>
            <w:u w:val="single"/>
            <w:rtl/>
          </w:rPr>
          <w:t xml:space="preserve"> 4077/22</w:t>
        </w:r>
      </w:hyperlink>
      <w:r w:rsidRPr="0053772F">
        <w:rPr>
          <w:rFonts w:ascii="Calibri" w:eastAsia="Calibri" w:hAnsi="Calibri"/>
          <w:rtl/>
        </w:rPr>
        <w:t xml:space="preserve"> </w:t>
      </w:r>
      <w:r w:rsidRPr="0053772F">
        <w:rPr>
          <w:rFonts w:ascii="Calibri" w:eastAsia="Calibri" w:hAnsi="Calibri"/>
          <w:b/>
          <w:bCs/>
          <w:rtl/>
        </w:rPr>
        <w:t>מדינת ישראל נ' פלוני</w:t>
      </w:r>
      <w:r w:rsidRPr="0053772F">
        <w:rPr>
          <w:rFonts w:ascii="Calibri" w:eastAsia="Calibri" w:hAnsi="Calibri"/>
          <w:rtl/>
        </w:rPr>
        <w:t xml:space="preserve">, ניתן ביום 28.7.22; </w:t>
      </w:r>
      <w:hyperlink r:id="rId45" w:history="1">
        <w:r w:rsidR="00CA35FD" w:rsidRPr="00CA35FD">
          <w:rPr>
            <w:rFonts w:ascii="Calibri" w:eastAsia="Calibri" w:hAnsi="Calibri" w:hint="cs"/>
            <w:color w:val="0000FF"/>
            <w:u w:val="single"/>
            <w:rtl/>
          </w:rPr>
          <w:t>ע</w:t>
        </w:r>
        <w:r w:rsidR="00CA35FD" w:rsidRPr="00CA35FD">
          <w:rPr>
            <w:rFonts w:ascii="Calibri" w:eastAsia="Calibri" w:hAnsi="Calibri"/>
            <w:color w:val="0000FF"/>
            <w:u w:val="single"/>
            <w:rtl/>
          </w:rPr>
          <w:t>"</w:t>
        </w:r>
        <w:r w:rsidR="00CA35FD" w:rsidRPr="00CA35FD">
          <w:rPr>
            <w:rFonts w:ascii="Calibri" w:eastAsia="Calibri" w:hAnsi="Calibri" w:hint="cs"/>
            <w:color w:val="0000FF"/>
            <w:u w:val="single"/>
            <w:rtl/>
          </w:rPr>
          <w:t>פ</w:t>
        </w:r>
        <w:r w:rsidR="00CA35FD" w:rsidRPr="00CA35FD">
          <w:rPr>
            <w:rFonts w:ascii="Calibri" w:eastAsia="Calibri" w:hAnsi="Calibri"/>
            <w:color w:val="0000FF"/>
            <w:u w:val="single"/>
            <w:rtl/>
          </w:rPr>
          <w:t xml:space="preserve"> 9228/23</w:t>
        </w:r>
      </w:hyperlink>
      <w:r w:rsidRPr="0053772F">
        <w:rPr>
          <w:rFonts w:ascii="Calibri" w:eastAsia="Calibri" w:hAnsi="Calibri"/>
          <w:rtl/>
        </w:rPr>
        <w:t xml:space="preserve"> </w:t>
      </w:r>
      <w:r w:rsidRPr="0053772F">
        <w:rPr>
          <w:rFonts w:ascii="Calibri" w:eastAsia="Calibri" w:hAnsi="Calibri"/>
          <w:b/>
          <w:bCs/>
          <w:rtl/>
        </w:rPr>
        <w:t>אגבאריה נ' מדינת ישראל</w:t>
      </w:r>
      <w:r w:rsidRPr="0053772F">
        <w:rPr>
          <w:rFonts w:ascii="Calibri" w:eastAsia="Calibri" w:hAnsi="Calibri"/>
          <w:rtl/>
        </w:rPr>
        <w:t>, ניתן ביום 26.5.24</w:t>
      </w:r>
      <w:r w:rsidRPr="0053772F">
        <w:rPr>
          <w:rFonts w:ascii="Calibri" w:eastAsia="Calibri" w:hAnsi="Calibri"/>
          <w:b/>
          <w:bCs/>
          <w:rtl/>
        </w:rPr>
        <w:t>;</w:t>
      </w:r>
      <w:r w:rsidRPr="0053772F">
        <w:rPr>
          <w:rFonts w:ascii="Calibri" w:eastAsia="Calibri" w:hAnsi="Calibri" w:hint="cs"/>
          <w:b/>
          <w:bCs/>
        </w:rPr>
        <w:t xml:space="preserve"> </w:t>
      </w:r>
      <w:r w:rsidRPr="0053772F">
        <w:rPr>
          <w:rFonts w:ascii="Calibri" w:eastAsia="Calibri" w:hAnsi="Calibri"/>
          <w:b/>
          <w:bCs/>
          <w:rtl/>
        </w:rPr>
        <w:t>חווא נ' מדינת ישראל</w:t>
      </w:r>
      <w:r w:rsidRPr="0053772F">
        <w:rPr>
          <w:rFonts w:ascii="Calibri" w:eastAsia="Calibri" w:hAnsi="Calibri"/>
          <w:rtl/>
        </w:rPr>
        <w:t xml:space="preserve">, ניתן ביום 20.12.23}. וכך נכתב שם -    </w:t>
      </w:r>
      <w:r w:rsidRPr="0053772F">
        <w:rPr>
          <w:rFonts w:ascii="Calibri" w:eastAsia="Calibri" w:hAnsi="Calibri"/>
        </w:rPr>
        <w:t xml:space="preserve">  </w:t>
      </w:r>
    </w:p>
    <w:p w14:paraId="36FA6076" w14:textId="77777777" w:rsidR="009D62EE" w:rsidRPr="0053772F" w:rsidRDefault="009D62EE" w:rsidP="009D62EE">
      <w:pPr>
        <w:spacing w:after="160" w:line="256" w:lineRule="auto"/>
        <w:ind w:left="804" w:right="851"/>
        <w:jc w:val="both"/>
        <w:rPr>
          <w:rFonts w:ascii="Calibri" w:eastAsia="Calibri" w:hAnsi="Calibri"/>
          <w:rtl/>
        </w:rPr>
      </w:pPr>
      <w:r w:rsidRPr="0053772F">
        <w:rPr>
          <w:rFonts w:ascii="Calibri" w:eastAsia="Calibri" w:hAnsi="Calibri" w:cs="Arial"/>
          <w:sz w:val="22"/>
          <w:szCs w:val="22"/>
          <w:rtl/>
        </w:rPr>
        <w:t>"...</w:t>
      </w:r>
      <w:r w:rsidRPr="0053772F">
        <w:rPr>
          <w:rFonts w:ascii="Miriam" w:eastAsia="Calibri" w:hAnsi="Miriam" w:cs="Miriam"/>
          <w:rtl/>
        </w:rPr>
        <w:t xml:space="preserve">כעולה מפסיקתו של בית משפט זה, מתחם הענישה הרגיל שראוי לקבוע לנאשם בגיר בגין נשיאה בלתי חוקית של נשק חם במרחב הציבורי </w:t>
      </w:r>
      <w:r w:rsidRPr="0053772F">
        <w:rPr>
          <w:rFonts w:ascii="Miriam" w:eastAsia="Calibri" w:hAnsi="Miriam" w:cs="Miriam"/>
          <w:u w:val="single"/>
          <w:rtl/>
        </w:rPr>
        <w:t>נע בין 30 ל-42 חודשי מאסר בין סורג ובריח.</w:t>
      </w:r>
      <w:r w:rsidRPr="0053772F">
        <w:rPr>
          <w:rFonts w:ascii="Miriam" w:eastAsia="Calibri" w:hAnsi="Miriam" w:cs="Miriam"/>
          <w:rtl/>
        </w:rPr>
        <w:t>.. הווה אומר: באין נסיבות מיוחדות לחומרא או לקולא, יהא זה בהחלט סביר אם בית משפט יטיל על נאשם כאמור עונש של 36 חודשי מאסר לריצוי בפועל.</w:t>
      </w:r>
      <w:r w:rsidRPr="0053772F">
        <w:rPr>
          <w:rFonts w:ascii="Calibri" w:eastAsia="Calibri" w:hAnsi="Calibri" w:cs="Arial"/>
          <w:sz w:val="22"/>
          <w:szCs w:val="22"/>
          <w:rtl/>
        </w:rPr>
        <w:t xml:space="preserve"> </w:t>
      </w:r>
      <w:r w:rsidRPr="0053772F">
        <w:rPr>
          <w:rFonts w:ascii="Century" w:eastAsia="Calibri" w:hAnsi="Century" w:cs="Miriam"/>
          <w:bCs/>
          <w:sz w:val="22"/>
          <w:rtl/>
        </w:rPr>
        <w:t>תקוותי היא כי אמות מידה אלה תנחנה את הערכאות הדיוניות באופן שיטתי, כך שמדיניות הענישה אשר נקוטה בידינו ביחס לעבירות נשק תיושם כהלכתה ובמלוא עוצמתה</w:t>
      </w:r>
      <w:r w:rsidRPr="0053772F">
        <w:rPr>
          <w:rFonts w:ascii="Calibri" w:eastAsia="Calibri" w:hAnsi="Calibri" w:cs="Arial"/>
          <w:bCs/>
          <w:sz w:val="22"/>
          <w:szCs w:val="22"/>
          <w:rtl/>
        </w:rPr>
        <w:t>"</w:t>
      </w:r>
      <w:r w:rsidRPr="0053772F">
        <w:rPr>
          <w:rFonts w:ascii="David" w:eastAsia="Calibri" w:hAnsi="David"/>
          <w:bCs/>
          <w:rtl/>
        </w:rPr>
        <w:t xml:space="preserve"> </w:t>
      </w:r>
      <w:r>
        <w:rPr>
          <w:rFonts w:ascii="David" w:eastAsia="Calibri" w:hAnsi="David"/>
          <w:b/>
          <w:rtl/>
        </w:rPr>
        <w:t>(חלק מן ההדגשות אינ</w:t>
      </w:r>
      <w:r>
        <w:rPr>
          <w:rFonts w:ascii="David" w:eastAsia="Calibri" w:hAnsi="David" w:hint="cs"/>
          <w:b/>
          <w:rtl/>
        </w:rPr>
        <w:t>ן</w:t>
      </w:r>
      <w:r w:rsidRPr="0053772F">
        <w:rPr>
          <w:rFonts w:ascii="David" w:eastAsia="Calibri" w:hAnsi="David"/>
          <w:b/>
          <w:rtl/>
        </w:rPr>
        <w:t xml:space="preserve"> במקור). </w:t>
      </w:r>
    </w:p>
    <w:p w14:paraId="3E53730C" w14:textId="77777777" w:rsidR="009D62EE" w:rsidRPr="0053772F" w:rsidRDefault="009D62EE" w:rsidP="009D62EE">
      <w:pPr>
        <w:spacing w:after="160" w:line="256" w:lineRule="auto"/>
        <w:ind w:left="804" w:right="851"/>
        <w:jc w:val="both"/>
        <w:rPr>
          <w:rFonts w:ascii="Calibri" w:eastAsia="Calibri" w:hAnsi="Calibri"/>
          <w:rtl/>
        </w:rPr>
      </w:pPr>
    </w:p>
    <w:p w14:paraId="22716795" w14:textId="77777777" w:rsidR="009D62EE" w:rsidRPr="0053772F" w:rsidRDefault="009D62EE" w:rsidP="009D62EE">
      <w:pPr>
        <w:spacing w:after="160" w:line="360" w:lineRule="auto"/>
        <w:jc w:val="both"/>
        <w:rPr>
          <w:rFonts w:ascii="David" w:eastAsia="Calibri" w:hAnsi="David"/>
          <w:rtl/>
        </w:rPr>
      </w:pPr>
      <w:r w:rsidRPr="0053772F">
        <w:rPr>
          <w:rFonts w:ascii="Calibri" w:eastAsia="Calibri" w:hAnsi="Calibri"/>
          <w:u w:val="single"/>
          <w:rtl/>
        </w:rPr>
        <w:t>בבחינת הנסיבות הקשורות בביצוע העבירה</w:t>
      </w:r>
      <w:r w:rsidRPr="0053772F">
        <w:rPr>
          <w:rFonts w:ascii="Calibri" w:eastAsia="Calibri" w:hAnsi="Calibri"/>
          <w:rtl/>
        </w:rPr>
        <w:t xml:space="preserve"> (</w:t>
      </w:r>
      <w:hyperlink r:id="rId46" w:history="1">
        <w:r w:rsidR="00DD3E42" w:rsidRPr="00DD3E42">
          <w:rPr>
            <w:rStyle w:val="Hyperlink"/>
            <w:rFonts w:ascii="Calibri" w:eastAsia="Calibri" w:hAnsi="Calibri"/>
            <w:color w:val="0000FF"/>
            <w:rtl/>
          </w:rPr>
          <w:t>סעיף 40ט</w:t>
        </w:r>
      </w:hyperlink>
      <w:r w:rsidRPr="0053772F">
        <w:rPr>
          <w:rFonts w:ascii="Calibri" w:eastAsia="Calibri" w:hAnsi="Calibri"/>
          <w:rtl/>
        </w:rPr>
        <w:t xml:space="preserve"> לחוק), הרי שהנאשם תכנן תכנון מוקפד עם האחר הכיצד לבצע את תוכניתם הזדונית. השניים שינו את סימני הזיהוי ברכב, וחבשו קסדות לראשם. אמנם נכון הדבר, כי הנאשם דכאן לא היה המבצע הדומיננטי במסגרת השותפות לשוד המסוכן, שכן הוא לא אחז בנשק ולא עשה בו שימוש, ובסופו של יום לא יוחסה לו עבירה שעניינה ירי בנשק חם (על אודות האחריות הנגררת המסתברת ראו בהרחבה: </w:t>
      </w:r>
      <w:hyperlink r:id="rId47" w:history="1">
        <w:r w:rsidR="00DD3E42" w:rsidRPr="00DD3E42">
          <w:rPr>
            <w:rStyle w:val="Hyperlink"/>
            <w:rFonts w:ascii="Calibri" w:eastAsia="Calibri" w:hAnsi="Calibri"/>
            <w:color w:val="0000FF"/>
            <w:rtl/>
          </w:rPr>
          <w:t>סעיף 34א</w:t>
        </w:r>
      </w:hyperlink>
      <w:r w:rsidRPr="0053772F">
        <w:rPr>
          <w:rFonts w:ascii="Calibri" w:eastAsia="Calibri" w:hAnsi="Calibri"/>
          <w:rtl/>
        </w:rPr>
        <w:t xml:space="preserve"> </w:t>
      </w:r>
      <w:hyperlink r:id="rId48" w:history="1">
        <w:r w:rsidR="00CA35FD" w:rsidRPr="00CA35FD">
          <w:rPr>
            <w:rFonts w:ascii="Calibri" w:eastAsia="Calibri" w:hAnsi="Calibri" w:hint="cs"/>
            <w:color w:val="0000FF"/>
            <w:u w:val="single"/>
            <w:rtl/>
          </w:rPr>
          <w:t>חוק</w:t>
        </w:r>
        <w:r w:rsidR="00CA35FD" w:rsidRPr="00CA35FD">
          <w:rPr>
            <w:rFonts w:ascii="Calibri" w:eastAsia="Calibri" w:hAnsi="Calibri"/>
            <w:color w:val="0000FF"/>
            <w:u w:val="single"/>
            <w:rtl/>
          </w:rPr>
          <w:t xml:space="preserve"> </w:t>
        </w:r>
        <w:r w:rsidR="00CA35FD" w:rsidRPr="00CA35FD">
          <w:rPr>
            <w:rFonts w:ascii="Calibri" w:eastAsia="Calibri" w:hAnsi="Calibri" w:hint="cs"/>
            <w:color w:val="0000FF"/>
            <w:u w:val="single"/>
            <w:rtl/>
          </w:rPr>
          <w:t>העונשין</w:t>
        </w:r>
      </w:hyperlink>
      <w:r w:rsidRPr="0053772F">
        <w:rPr>
          <w:rFonts w:ascii="Calibri" w:eastAsia="Calibri" w:hAnsi="Calibri"/>
          <w:rtl/>
        </w:rPr>
        <w:t xml:space="preserve">, וכן, ספרו של המלומד הלוי, </w:t>
      </w:r>
      <w:hyperlink r:id="rId49" w:history="1">
        <w:r w:rsidR="00CA35FD" w:rsidRPr="00CA35FD">
          <w:rPr>
            <w:rFonts w:ascii="Calibri" w:eastAsia="Calibri" w:hAnsi="Calibri" w:hint="cs"/>
            <w:b/>
            <w:bCs/>
            <w:color w:val="000000"/>
            <w:rtl/>
          </w:rPr>
          <w:t>תורת</w:t>
        </w:r>
        <w:r w:rsidR="00CA35FD" w:rsidRPr="00CA35FD">
          <w:rPr>
            <w:rFonts w:ascii="Calibri" w:eastAsia="Calibri" w:hAnsi="Calibri"/>
            <w:b/>
            <w:bCs/>
            <w:color w:val="000000"/>
            <w:rtl/>
          </w:rPr>
          <w:t xml:space="preserve"> </w:t>
        </w:r>
        <w:r w:rsidR="00CA35FD" w:rsidRPr="00CA35FD">
          <w:rPr>
            <w:rFonts w:ascii="Calibri" w:eastAsia="Calibri" w:hAnsi="Calibri" w:hint="cs"/>
            <w:b/>
            <w:bCs/>
            <w:color w:val="000000"/>
            <w:rtl/>
          </w:rPr>
          <w:t>דיני</w:t>
        </w:r>
        <w:r w:rsidR="00CA35FD" w:rsidRPr="00CA35FD">
          <w:rPr>
            <w:rFonts w:ascii="Calibri" w:eastAsia="Calibri" w:hAnsi="Calibri"/>
            <w:b/>
            <w:bCs/>
            <w:color w:val="000000"/>
            <w:rtl/>
          </w:rPr>
          <w:t xml:space="preserve"> </w:t>
        </w:r>
        <w:r w:rsidR="00CA35FD" w:rsidRPr="00CA35FD">
          <w:rPr>
            <w:rFonts w:ascii="Calibri" w:eastAsia="Calibri" w:hAnsi="Calibri" w:hint="cs"/>
            <w:b/>
            <w:bCs/>
            <w:color w:val="000000"/>
            <w:rtl/>
          </w:rPr>
          <w:t>העונשין</w:t>
        </w:r>
      </w:hyperlink>
      <w:r w:rsidRPr="0053772F">
        <w:rPr>
          <w:rFonts w:ascii="Calibri" w:eastAsia="Calibri" w:hAnsi="Calibri"/>
          <w:rtl/>
        </w:rPr>
        <w:t>, כרך ב' (2009) עמ' 837); אך</w:t>
      </w:r>
      <w:r w:rsidRPr="0053772F">
        <w:rPr>
          <w:rFonts w:ascii="Calibri" w:eastAsia="Calibri" w:hAnsi="Calibri" w:hint="cs"/>
        </w:rPr>
        <w:t xml:space="preserve"> </w:t>
      </w:r>
      <w:r w:rsidRPr="0053772F">
        <w:rPr>
          <w:rFonts w:ascii="Calibri" w:eastAsia="Calibri" w:hAnsi="Calibri"/>
          <w:rtl/>
        </w:rPr>
        <w:t xml:space="preserve">בל נשכח, הוא זה שנהג בזמן פסילה עם האחר לזירה וחסם באמצעות רכבם את המשאית שבה נהג המתלונן. במצב דברים זה הנאשם מוחזק, כמי שהיה מצוי בלב הקשר המקדים והשותפות לדבר ביצוע השוד. מכל מקום, למרבה המזל אירוע זה לא הסתיים בפגיעות בגופו של אחר; </w:t>
      </w:r>
      <w:r w:rsidRPr="0053772F">
        <w:rPr>
          <w:rFonts w:ascii="David" w:eastAsia="Calibri" w:hAnsi="David"/>
          <w:rtl/>
        </w:rPr>
        <w:t>אין בנמצא כל הצדק או קרבה לסייג לאחריות הפלילית המצדיקים את מעשיו המסוכנים של הנאשם</w:t>
      </w:r>
      <w:r w:rsidRPr="0053772F">
        <w:rPr>
          <w:rFonts w:ascii="David" w:eastAsia="Calibri" w:hAnsi="David"/>
        </w:rPr>
        <w:t xml:space="preserve"> </w:t>
      </w:r>
      <w:r w:rsidRPr="0053772F">
        <w:rPr>
          <w:rFonts w:ascii="David" w:eastAsia="Calibri" w:hAnsi="David"/>
          <w:rtl/>
        </w:rPr>
        <w:t xml:space="preserve">והאחר. הוא יכול והיה צריך להימנע מלבצעם. </w:t>
      </w:r>
    </w:p>
    <w:p w14:paraId="739F78E5" w14:textId="77777777" w:rsidR="009D62EE" w:rsidRPr="0053772F" w:rsidRDefault="009D62EE" w:rsidP="009D62EE">
      <w:pPr>
        <w:spacing w:after="160" w:line="360" w:lineRule="auto"/>
        <w:jc w:val="both"/>
        <w:rPr>
          <w:rFonts w:ascii="David" w:eastAsia="Calibri" w:hAnsi="David"/>
          <w:rtl/>
        </w:rPr>
      </w:pPr>
      <w:r w:rsidRPr="0053772F">
        <w:rPr>
          <w:rFonts w:ascii="David" w:eastAsia="Calibri" w:hAnsi="David"/>
          <w:rtl/>
        </w:rPr>
        <w:t>לאור כל המקובץ, מצאתי לנכון לקבוע</w:t>
      </w:r>
      <w:r w:rsidRPr="0053772F">
        <w:rPr>
          <w:rFonts w:ascii="David" w:eastAsia="Calibri" w:hAnsi="David"/>
          <w:b/>
          <w:bCs/>
          <w:rtl/>
        </w:rPr>
        <w:t xml:space="preserve"> </w:t>
      </w:r>
      <w:r w:rsidRPr="0053772F">
        <w:rPr>
          <w:rFonts w:ascii="David" w:eastAsia="Calibri" w:hAnsi="David"/>
          <w:rtl/>
        </w:rPr>
        <w:t xml:space="preserve">מתחם ענישה הנוגע לכלל האירוע </w:t>
      </w:r>
      <w:r w:rsidRPr="0053772F">
        <w:rPr>
          <w:rFonts w:ascii="David" w:eastAsia="Calibri" w:hAnsi="David"/>
          <w:b/>
          <w:bCs/>
          <w:rtl/>
        </w:rPr>
        <w:t xml:space="preserve">הנע בין 38 לבין 65 חודשי מאסר לריצוי בפועל, </w:t>
      </w:r>
      <w:r w:rsidRPr="0053772F">
        <w:rPr>
          <w:rFonts w:ascii="David" w:eastAsia="Calibri" w:hAnsi="David"/>
          <w:rtl/>
        </w:rPr>
        <w:t xml:space="preserve">לצד עונשים נלווים.  </w:t>
      </w:r>
    </w:p>
    <w:p w14:paraId="47EDEB1E" w14:textId="77777777" w:rsidR="009D62EE" w:rsidRPr="0053772F" w:rsidRDefault="009D62EE" w:rsidP="009D62EE">
      <w:pPr>
        <w:spacing w:line="360" w:lineRule="auto"/>
        <w:ind w:right="-426"/>
        <w:jc w:val="both"/>
        <w:rPr>
          <w:rFonts w:ascii="David" w:eastAsia="Calibri" w:hAnsi="David"/>
          <w:rtl/>
        </w:rPr>
      </w:pPr>
    </w:p>
    <w:p w14:paraId="0D61B68B" w14:textId="77777777" w:rsidR="009D62EE" w:rsidRPr="0053772F" w:rsidRDefault="009D62EE" w:rsidP="009D62EE">
      <w:pPr>
        <w:spacing w:line="360" w:lineRule="auto"/>
        <w:ind w:right="-426"/>
        <w:jc w:val="both"/>
        <w:rPr>
          <w:rFonts w:ascii="David" w:eastAsia="Calibri" w:hAnsi="David"/>
          <w:rtl/>
        </w:rPr>
      </w:pPr>
      <w:r w:rsidRPr="0053772F">
        <w:rPr>
          <w:rFonts w:ascii="David" w:eastAsia="Calibri" w:hAnsi="David"/>
          <w:rtl/>
        </w:rPr>
        <w:t xml:space="preserve">מכאן, ראוי לבחון מהו העונש המתאים לנאשם בשים לב </w:t>
      </w:r>
      <w:r w:rsidRPr="0053772F">
        <w:rPr>
          <w:rFonts w:ascii="David" w:eastAsia="Calibri" w:hAnsi="David"/>
          <w:b/>
          <w:bCs/>
          <w:rtl/>
        </w:rPr>
        <w:t>לנסיבות שאינן קשורות בביצוע העבירה</w:t>
      </w:r>
      <w:r w:rsidRPr="0053772F">
        <w:rPr>
          <w:rFonts w:ascii="David" w:eastAsia="Calibri" w:hAnsi="David"/>
          <w:rtl/>
        </w:rPr>
        <w:t>.</w:t>
      </w:r>
      <w:r w:rsidRPr="0053772F">
        <w:rPr>
          <w:rFonts w:ascii="David" w:eastAsia="Calibri" w:hAnsi="David"/>
          <w:b/>
          <w:bCs/>
          <w:rtl/>
        </w:rPr>
        <w:t xml:space="preserve"> </w:t>
      </w:r>
    </w:p>
    <w:p w14:paraId="78A4A166" w14:textId="77777777" w:rsidR="009D62EE" w:rsidRPr="0053772F" w:rsidRDefault="009D62EE" w:rsidP="009D62EE">
      <w:pPr>
        <w:spacing w:line="360" w:lineRule="auto"/>
        <w:ind w:right="-426"/>
        <w:jc w:val="both"/>
        <w:rPr>
          <w:rFonts w:ascii="David" w:eastAsia="Calibri" w:hAnsi="David"/>
          <w:rtl/>
        </w:rPr>
      </w:pPr>
    </w:p>
    <w:p w14:paraId="5ED0BB04" w14:textId="77777777" w:rsidR="009D62EE" w:rsidRPr="0053772F" w:rsidRDefault="009D62EE" w:rsidP="009D62EE">
      <w:pPr>
        <w:spacing w:line="360" w:lineRule="auto"/>
        <w:jc w:val="both"/>
        <w:rPr>
          <w:rFonts w:ascii="David" w:eastAsia="Calibri" w:hAnsi="David"/>
          <w:rtl/>
        </w:rPr>
      </w:pPr>
      <w:r w:rsidRPr="0053772F">
        <w:rPr>
          <w:rFonts w:ascii="David" w:eastAsia="Calibri" w:hAnsi="David"/>
          <w:rtl/>
        </w:rPr>
        <w:t xml:space="preserve">בעניין זה , הרי שיש לזקוף לזכותו של הנאשם את </w:t>
      </w:r>
      <w:r w:rsidRPr="0053772F">
        <w:rPr>
          <w:rFonts w:ascii="David" w:eastAsia="Calibri" w:hAnsi="David"/>
          <w:b/>
          <w:bCs/>
          <w:rtl/>
        </w:rPr>
        <w:t>החיסכון המשמעותי בזמן שיפוטי יקר, הנגזר מהודאתו ומנטילת האחריות שביצע</w:t>
      </w:r>
      <w:r w:rsidRPr="0053772F">
        <w:rPr>
          <w:rFonts w:ascii="David" w:eastAsia="Calibri" w:hAnsi="David"/>
          <w:rtl/>
        </w:rPr>
        <w:t xml:space="preserve">. ברי, כי עונש מאסר ממושך יפגע בנאשם, במשפחתו ובפרנסתו. בהקשר זה אציין, כי לא נעלם מעיניי הפירוט שמסר הסנגור על כך שהנאשם משתתף בקבוצה טיפולית במסגרת מעצרו. הנאשם כמפורט </w:t>
      </w:r>
      <w:r w:rsidRPr="0053772F">
        <w:rPr>
          <w:rFonts w:ascii="David" w:eastAsia="Calibri" w:hAnsi="David"/>
          <w:b/>
          <w:bCs/>
          <w:rtl/>
        </w:rPr>
        <w:t>נעדר עבר פלילי</w:t>
      </w:r>
      <w:r w:rsidRPr="0053772F">
        <w:rPr>
          <w:rFonts w:ascii="David" w:eastAsia="Calibri" w:hAnsi="David"/>
          <w:rtl/>
        </w:rPr>
        <w:t xml:space="preserve">, אך בעל עבר תעבורתי כמפורט לעיל.  </w:t>
      </w:r>
    </w:p>
    <w:p w14:paraId="08A37720" w14:textId="77777777" w:rsidR="009D62EE" w:rsidRDefault="009D62EE" w:rsidP="009D62EE">
      <w:pPr>
        <w:spacing w:line="360" w:lineRule="auto"/>
        <w:ind w:right="-567"/>
        <w:jc w:val="both"/>
        <w:rPr>
          <w:rFonts w:ascii="David" w:eastAsia="Calibri" w:hAnsi="David"/>
          <w:rtl/>
        </w:rPr>
      </w:pPr>
      <w:r w:rsidRPr="0053772F">
        <w:rPr>
          <w:rFonts w:ascii="David" w:eastAsia="Calibri" w:hAnsi="David"/>
          <w:rtl/>
        </w:rPr>
        <w:t xml:space="preserve"> </w:t>
      </w:r>
    </w:p>
    <w:p w14:paraId="021DC4F8" w14:textId="77777777" w:rsidR="009D62EE" w:rsidRPr="0053772F" w:rsidRDefault="009D62EE" w:rsidP="009D62EE">
      <w:pPr>
        <w:spacing w:line="360" w:lineRule="auto"/>
        <w:jc w:val="both"/>
        <w:rPr>
          <w:rFonts w:ascii="David" w:eastAsia="Calibri" w:hAnsi="David"/>
          <w:b/>
          <w:bCs/>
          <w:u w:val="single"/>
          <w:rtl/>
        </w:rPr>
      </w:pPr>
      <w:r w:rsidRPr="0053772F">
        <w:rPr>
          <w:rFonts w:ascii="David" w:eastAsia="Calibri" w:hAnsi="David"/>
          <w:b/>
          <w:bCs/>
          <w:u w:val="single"/>
          <w:rtl/>
        </w:rPr>
        <w:t>משאלה הם פני הדברים, מצאתי להטיל על הנאשם עונשים כדלקמן -</w:t>
      </w:r>
    </w:p>
    <w:p w14:paraId="4B1A165D" w14:textId="77777777" w:rsidR="009D62EE" w:rsidRPr="0053772F" w:rsidRDefault="009D62EE" w:rsidP="009D62EE">
      <w:pPr>
        <w:spacing w:line="360" w:lineRule="auto"/>
        <w:jc w:val="both"/>
        <w:rPr>
          <w:rFonts w:ascii="David" w:eastAsia="Calibri" w:hAnsi="David"/>
          <w:rtl/>
        </w:rPr>
      </w:pPr>
    </w:p>
    <w:p w14:paraId="42D8D770" w14:textId="77777777" w:rsidR="009D62EE" w:rsidRPr="0053772F" w:rsidRDefault="009D62EE" w:rsidP="009D62EE">
      <w:pPr>
        <w:numPr>
          <w:ilvl w:val="0"/>
          <w:numId w:val="1"/>
        </w:numPr>
        <w:overflowPunct w:val="0"/>
        <w:autoSpaceDE w:val="0"/>
        <w:autoSpaceDN w:val="0"/>
        <w:spacing w:after="160" w:line="360" w:lineRule="auto"/>
        <w:jc w:val="both"/>
        <w:rPr>
          <w:rFonts w:ascii="David" w:hAnsi="David"/>
          <w:rtl/>
        </w:rPr>
      </w:pPr>
      <w:r w:rsidRPr="0053772F">
        <w:rPr>
          <w:rFonts w:ascii="David" w:hAnsi="David"/>
          <w:rtl/>
        </w:rPr>
        <w:t xml:space="preserve">38 חודשי מאסר לריצוי בפועל בניכוי ימי מעצרו. </w:t>
      </w:r>
    </w:p>
    <w:p w14:paraId="13CDB284" w14:textId="77777777" w:rsidR="009D62EE" w:rsidRPr="0053772F" w:rsidRDefault="009D62EE" w:rsidP="009D62EE">
      <w:pPr>
        <w:numPr>
          <w:ilvl w:val="0"/>
          <w:numId w:val="1"/>
        </w:numPr>
        <w:overflowPunct w:val="0"/>
        <w:autoSpaceDE w:val="0"/>
        <w:autoSpaceDN w:val="0"/>
        <w:spacing w:after="160" w:line="360" w:lineRule="auto"/>
        <w:jc w:val="both"/>
        <w:rPr>
          <w:rFonts w:ascii="David" w:hAnsi="David"/>
        </w:rPr>
      </w:pPr>
      <w:r w:rsidRPr="0053772F">
        <w:rPr>
          <w:rFonts w:ascii="David" w:hAnsi="David"/>
          <w:rtl/>
        </w:rPr>
        <w:t xml:space="preserve">12 חודשי מאסר על תנאי שלא יעבור במשך 3 שנים עבירת אלימות מסוג פשע או עבירת נשק מסוג פשע. </w:t>
      </w:r>
    </w:p>
    <w:p w14:paraId="554628BA" w14:textId="77777777" w:rsidR="009D62EE" w:rsidRPr="0053772F" w:rsidRDefault="009D62EE" w:rsidP="009D62EE">
      <w:pPr>
        <w:numPr>
          <w:ilvl w:val="0"/>
          <w:numId w:val="1"/>
        </w:numPr>
        <w:overflowPunct w:val="0"/>
        <w:autoSpaceDE w:val="0"/>
        <w:autoSpaceDN w:val="0"/>
        <w:spacing w:after="160" w:line="360" w:lineRule="auto"/>
        <w:jc w:val="both"/>
        <w:rPr>
          <w:rFonts w:ascii="David" w:hAnsi="David"/>
        </w:rPr>
      </w:pPr>
      <w:r w:rsidRPr="0053772F">
        <w:rPr>
          <w:rFonts w:ascii="David" w:hAnsi="David"/>
          <w:rtl/>
        </w:rPr>
        <w:t>6 חודשי מאסר על תנאי שלא יעבור במשך 3 שנים עבירת רכוש או עבירת שעניינה  זיוף סימני זיהוי של רכב לפי</w:t>
      </w:r>
      <w:r w:rsidRPr="0053772F">
        <w:rPr>
          <w:rFonts w:ascii="David" w:hAnsi="David"/>
        </w:rPr>
        <w:t xml:space="preserve"> </w:t>
      </w:r>
      <w:hyperlink r:id="rId50" w:history="1">
        <w:r w:rsidR="00DD3E42" w:rsidRPr="00DD3E42">
          <w:rPr>
            <w:rStyle w:val="Hyperlink"/>
            <w:rFonts w:ascii="David" w:hAnsi="David"/>
            <w:color w:val="0000FF"/>
            <w:rtl/>
          </w:rPr>
          <w:t>סעיף 413ג</w:t>
        </w:r>
      </w:hyperlink>
      <w:r w:rsidRPr="0053772F">
        <w:rPr>
          <w:rFonts w:ascii="David" w:hAnsi="David"/>
          <w:rtl/>
        </w:rPr>
        <w:t xml:space="preserve"> לחוק, או עבירה שעניינה נהיגה בזמן פסילה. </w:t>
      </w:r>
    </w:p>
    <w:p w14:paraId="7F9538F0" w14:textId="77777777" w:rsidR="009D62EE" w:rsidRPr="0053772F" w:rsidRDefault="009D62EE" w:rsidP="009D62EE">
      <w:pPr>
        <w:numPr>
          <w:ilvl w:val="0"/>
          <w:numId w:val="1"/>
        </w:numPr>
        <w:spacing w:after="160" w:line="360" w:lineRule="auto"/>
        <w:contextualSpacing/>
        <w:jc w:val="both"/>
        <w:rPr>
          <w:rFonts w:ascii="David" w:eastAsia="Calibri" w:hAnsi="David"/>
          <w:rtl/>
        </w:rPr>
      </w:pPr>
      <w:r w:rsidRPr="0053772F">
        <w:rPr>
          <w:rFonts w:ascii="David" w:eastAsia="Calibri" w:hAnsi="David"/>
          <w:rtl/>
        </w:rPr>
        <w:t>פיצויים בסך 2,500 ש"ח לטובת נפגע העבירה אשר ישולמו בחמישה תשלומים חודשיים שווים החל ביום 1.2.25 ויועברו לנפגע העבירה לפי פרטים עדכניים שיימסרו בידי המאשימה למזכירות. אי תשלום אחד מן התשלומים במועד יעמיד את יתרת הפיצוי לפירעון מידי.</w:t>
      </w:r>
    </w:p>
    <w:p w14:paraId="1AB6596F" w14:textId="77777777" w:rsidR="009D62EE" w:rsidRPr="0053772F" w:rsidRDefault="009D62EE" w:rsidP="009D62EE">
      <w:pPr>
        <w:numPr>
          <w:ilvl w:val="0"/>
          <w:numId w:val="1"/>
        </w:numPr>
        <w:spacing w:after="160" w:line="360" w:lineRule="auto"/>
        <w:contextualSpacing/>
        <w:jc w:val="both"/>
        <w:rPr>
          <w:rFonts w:ascii="David" w:eastAsia="Calibri" w:hAnsi="David"/>
        </w:rPr>
      </w:pPr>
      <w:r w:rsidRPr="0053772F">
        <w:rPr>
          <w:rFonts w:ascii="David" w:eastAsia="Calibri" w:hAnsi="David"/>
          <w:rtl/>
        </w:rPr>
        <w:t>פסילה מלהחזיק או לקבל רישיון נהיגה למשך שלוש שנים מיום שחרורו מן המאסר.</w:t>
      </w:r>
    </w:p>
    <w:p w14:paraId="6091AFBE" w14:textId="77777777" w:rsidR="009D62EE" w:rsidRPr="0053772F" w:rsidRDefault="009D62EE" w:rsidP="009D62EE">
      <w:pPr>
        <w:spacing w:line="360" w:lineRule="auto"/>
        <w:ind w:left="1543"/>
        <w:contextualSpacing/>
        <w:jc w:val="both"/>
        <w:rPr>
          <w:rFonts w:ascii="David" w:eastAsia="Calibri" w:hAnsi="David"/>
          <w:highlight w:val="green"/>
        </w:rPr>
      </w:pPr>
    </w:p>
    <w:p w14:paraId="5010039C" w14:textId="77777777" w:rsidR="009D62EE" w:rsidRPr="0053772F" w:rsidRDefault="009D62EE" w:rsidP="009D62EE">
      <w:pPr>
        <w:spacing w:after="160" w:line="360" w:lineRule="auto"/>
        <w:ind w:right="-426"/>
        <w:jc w:val="both"/>
        <w:rPr>
          <w:rFonts w:ascii="David" w:eastAsia="Calibri" w:hAnsi="David"/>
          <w:b/>
          <w:bCs/>
          <w:rtl/>
        </w:rPr>
      </w:pPr>
      <w:r w:rsidRPr="0053772F">
        <w:rPr>
          <w:rFonts w:ascii="David" w:eastAsia="Calibri" w:hAnsi="David"/>
          <w:b/>
          <w:bCs/>
          <w:rtl/>
        </w:rPr>
        <w:t>זכות ערעור כחוק</w:t>
      </w:r>
    </w:p>
    <w:p w14:paraId="11674D9E" w14:textId="77777777" w:rsidR="009D62EE" w:rsidRPr="00CA35FD" w:rsidRDefault="00CA35FD" w:rsidP="009D62EE">
      <w:pPr>
        <w:spacing w:line="360" w:lineRule="auto"/>
        <w:jc w:val="both"/>
        <w:rPr>
          <w:color w:val="FFFFFF"/>
          <w:sz w:val="2"/>
          <w:szCs w:val="2"/>
          <w:rtl/>
        </w:rPr>
      </w:pPr>
      <w:r w:rsidRPr="00CA35FD">
        <w:rPr>
          <w:color w:val="FFFFFF"/>
          <w:sz w:val="2"/>
          <w:szCs w:val="2"/>
          <w:rtl/>
        </w:rPr>
        <w:t>5129371</w:t>
      </w:r>
    </w:p>
    <w:p w14:paraId="431966FD" w14:textId="77777777" w:rsidR="009D62EE" w:rsidRDefault="00CA35FD" w:rsidP="009D62EE">
      <w:pPr>
        <w:rPr>
          <w:rFonts w:cs="FrankRuehl"/>
          <w:sz w:val="28"/>
          <w:szCs w:val="28"/>
          <w:rtl/>
        </w:rPr>
      </w:pPr>
      <w:bookmarkStart w:id="9" w:name="Nitan"/>
      <w:r w:rsidRPr="00CA35FD">
        <w:rPr>
          <w:rFonts w:ascii="Arial" w:hAnsi="Arial"/>
          <w:color w:val="FFFFFF"/>
          <w:sz w:val="2"/>
          <w:szCs w:val="2"/>
          <w:rtl/>
        </w:rPr>
        <w:t>54678313</w:t>
      </w:r>
      <w:r>
        <w:rPr>
          <w:rFonts w:ascii="Arial" w:hAnsi="Arial"/>
          <w:rtl/>
        </w:rPr>
        <w:t xml:space="preserve">ניתן היום,  כ"ד כסלו תשפ"ה, 25 דצמבר 2024, במעמד הצדדים. </w:t>
      </w:r>
      <w:bookmarkEnd w:id="9"/>
    </w:p>
    <w:p w14:paraId="4090C16A" w14:textId="77777777" w:rsidR="009D62EE" w:rsidRDefault="009D62EE" w:rsidP="00CA35FD">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C58E09E" w14:textId="77777777" w:rsidR="009D62EE" w:rsidRDefault="009D62EE" w:rsidP="009D62EE">
      <w:pPr>
        <w:jc w:val="center"/>
        <w:rPr>
          <w:rFonts w:ascii="Arial" w:hAnsi="Arial" w:cs="FrankRuehl"/>
          <w:sz w:val="28"/>
          <w:szCs w:val="28"/>
          <w:rtl/>
        </w:rPr>
      </w:pPr>
    </w:p>
    <w:p w14:paraId="48ADD076" w14:textId="77777777" w:rsidR="00CA35FD" w:rsidRDefault="00CA35FD" w:rsidP="00CA35FD">
      <w:pPr>
        <w:rPr>
          <w:rtl/>
        </w:rPr>
      </w:pPr>
    </w:p>
    <w:p w14:paraId="4F230825" w14:textId="77777777" w:rsidR="00CA35FD" w:rsidRDefault="00CA35FD" w:rsidP="00CA35FD">
      <w:pPr>
        <w:jc w:val="center"/>
        <w:rPr>
          <w:color w:val="0000FF"/>
          <w:u w:val="single"/>
        </w:rPr>
      </w:pPr>
      <w:hyperlink r:id="rId51" w:history="1">
        <w:r>
          <w:rPr>
            <w:color w:val="0000FF"/>
            <w:u w:val="single"/>
            <w:rtl/>
          </w:rPr>
          <w:t>בעניין עריכה ושינויים במסמכי פסיקה, חקיקה ועוד באתר נבו – הקש כאן</w:t>
        </w:r>
      </w:hyperlink>
    </w:p>
    <w:p w14:paraId="0DFC6603" w14:textId="77777777" w:rsidR="00DD3E42" w:rsidRPr="00DD3E42" w:rsidRDefault="00DD3E42" w:rsidP="00DD3E42">
      <w:pPr>
        <w:keepNext/>
        <w:rPr>
          <w:rFonts w:ascii="David" w:hAnsi="David"/>
          <w:color w:val="000000"/>
          <w:sz w:val="22"/>
          <w:szCs w:val="22"/>
          <w:rtl/>
        </w:rPr>
      </w:pPr>
    </w:p>
    <w:p w14:paraId="26E22A27" w14:textId="77777777" w:rsidR="00DD3E42" w:rsidRPr="00DD3E42" w:rsidRDefault="00DD3E42" w:rsidP="00DD3E42">
      <w:pPr>
        <w:keepNext/>
        <w:rPr>
          <w:rFonts w:ascii="David" w:hAnsi="David"/>
          <w:color w:val="000000"/>
          <w:sz w:val="22"/>
          <w:szCs w:val="22"/>
          <w:rtl/>
        </w:rPr>
      </w:pPr>
      <w:r w:rsidRPr="00DD3E42">
        <w:rPr>
          <w:rFonts w:ascii="David" w:hAnsi="David"/>
          <w:color w:val="000000"/>
          <w:sz w:val="22"/>
          <w:szCs w:val="22"/>
          <w:rtl/>
        </w:rPr>
        <w:t>אבי לוי 54678313-/</w:t>
      </w:r>
    </w:p>
    <w:p w14:paraId="4D77E253" w14:textId="77777777" w:rsidR="00CA35FD" w:rsidRPr="00CA35FD" w:rsidRDefault="00DD3E42" w:rsidP="00DD3E42">
      <w:pPr>
        <w:rPr>
          <w:color w:val="0000FF"/>
          <w:u w:val="single"/>
        </w:rPr>
      </w:pPr>
      <w:r w:rsidRPr="00DD3E42">
        <w:rPr>
          <w:color w:val="000000"/>
          <w:u w:val="single"/>
          <w:rtl/>
        </w:rPr>
        <w:t>נוסח מסמך זה כפוף לשינויי ניסוח ועריכה</w:t>
      </w:r>
    </w:p>
    <w:sectPr w:rsidR="00CA35FD" w:rsidRPr="00CA35FD" w:rsidSect="00DD3E42">
      <w:headerReference w:type="even" r:id="rId52"/>
      <w:headerReference w:type="default" r:id="rId53"/>
      <w:footerReference w:type="even" r:id="rId54"/>
      <w:footerReference w:type="default" r:id="rId55"/>
      <w:pgSz w:w="11907" w:h="16840" w:code="9"/>
      <w:pgMar w:top="1701" w:right="1701" w:bottom="1134"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B457FE" w14:textId="77777777" w:rsidR="0033715F" w:rsidRDefault="0033715F" w:rsidP="002F5046">
      <w:r>
        <w:separator/>
      </w:r>
    </w:p>
  </w:endnote>
  <w:endnote w:type="continuationSeparator" w:id="0">
    <w:p w14:paraId="796B1164" w14:textId="77777777" w:rsidR="0033715F" w:rsidRDefault="0033715F" w:rsidP="002F5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Arial TUR">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4B93B1" w14:textId="77777777" w:rsidR="00DD3E42" w:rsidRDefault="00DD3E42" w:rsidP="00DD3E4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256DA5F3" w14:textId="77777777" w:rsidR="0033715F" w:rsidRPr="00DD3E42" w:rsidRDefault="00DD3E42" w:rsidP="00DD3E42">
    <w:pPr>
      <w:pStyle w:val="a5"/>
      <w:pBdr>
        <w:top w:val="single" w:sz="4" w:space="1" w:color="auto"/>
        <w:between w:val="single" w:sz="4" w:space="0" w:color="auto"/>
      </w:pBdr>
      <w:spacing w:after="60"/>
      <w:jc w:val="center"/>
      <w:rPr>
        <w:rFonts w:ascii="FrankRuehl" w:hAnsi="FrankRuehl" w:cs="FrankRuehl"/>
        <w:color w:val="000000"/>
      </w:rPr>
    </w:pPr>
    <w:r w:rsidRPr="00DD3E4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E3E94" w14:textId="77777777" w:rsidR="00DD3E42" w:rsidRDefault="00DD3E42" w:rsidP="00DD3E4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E1FAB">
      <w:rPr>
        <w:rFonts w:ascii="FrankRuehl" w:hAnsi="FrankRuehl" w:cs="FrankRuehl"/>
        <w:noProof/>
        <w:rtl/>
      </w:rPr>
      <w:t>1</w:t>
    </w:r>
    <w:r>
      <w:rPr>
        <w:rFonts w:ascii="FrankRuehl" w:hAnsi="FrankRuehl" w:cs="FrankRuehl"/>
        <w:rtl/>
      </w:rPr>
      <w:fldChar w:fldCharType="end"/>
    </w:r>
  </w:p>
  <w:p w14:paraId="728375A0" w14:textId="77777777" w:rsidR="0033715F" w:rsidRPr="00DD3E42" w:rsidRDefault="00DD3E42" w:rsidP="00DD3E42">
    <w:pPr>
      <w:pStyle w:val="a5"/>
      <w:pBdr>
        <w:top w:val="single" w:sz="4" w:space="1" w:color="auto"/>
        <w:between w:val="single" w:sz="4" w:space="0" w:color="auto"/>
      </w:pBdr>
      <w:spacing w:after="60"/>
      <w:jc w:val="center"/>
      <w:rPr>
        <w:rFonts w:ascii="FrankRuehl" w:hAnsi="FrankRuehl" w:cs="FrankRuehl"/>
        <w:color w:val="000000"/>
      </w:rPr>
    </w:pPr>
    <w:r w:rsidRPr="00DD3E42">
      <w:rPr>
        <w:rFonts w:ascii="FrankRuehl" w:hAnsi="FrankRuehl" w:cs="FrankRuehl"/>
        <w:color w:val="000000"/>
      </w:rPr>
      <w:pict w14:anchorId="34C296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BCFE40" w14:textId="77777777" w:rsidR="0033715F" w:rsidRDefault="0033715F" w:rsidP="002F5046">
      <w:r>
        <w:separator/>
      </w:r>
    </w:p>
  </w:footnote>
  <w:footnote w:type="continuationSeparator" w:id="0">
    <w:p w14:paraId="3768C740" w14:textId="77777777" w:rsidR="0033715F" w:rsidRDefault="0033715F" w:rsidP="002F50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4E385C" w14:textId="77777777" w:rsidR="00CA35FD" w:rsidRPr="00DD3E42" w:rsidRDefault="00DD3E42" w:rsidP="00DD3E4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57404-07-24</w:t>
    </w:r>
    <w:r>
      <w:rPr>
        <w:rFonts w:ascii="David" w:hAnsi="David"/>
        <w:color w:val="000000"/>
        <w:sz w:val="22"/>
        <w:szCs w:val="22"/>
        <w:rtl/>
      </w:rPr>
      <w:tab/>
      <w:t xml:space="preserve"> מדינת ישראל נ' מוחמד עמאש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9BCED5" w14:textId="77777777" w:rsidR="00CA35FD" w:rsidRPr="00DD3E42" w:rsidRDefault="00DD3E42" w:rsidP="00DD3E4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57404-07-24</w:t>
    </w:r>
    <w:r>
      <w:rPr>
        <w:rFonts w:ascii="David" w:hAnsi="David"/>
        <w:color w:val="000000"/>
        <w:sz w:val="22"/>
        <w:szCs w:val="22"/>
        <w:rtl/>
      </w:rPr>
      <w:tab/>
      <w:t xml:space="preserve"> מדינת ישראל נ' מוחמד עמאש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551F1B"/>
    <w:multiLevelType w:val="hybridMultilevel"/>
    <w:tmpl w:val="788E7F10"/>
    <w:lvl w:ilvl="0" w:tplc="1E4A58C4">
      <w:start w:val="1"/>
      <w:numFmt w:val="hebrew1"/>
      <w:lvlText w:val="%1."/>
      <w:lvlJc w:val="center"/>
      <w:pPr>
        <w:ind w:left="1543" w:hanging="360"/>
      </w:pPr>
      <w:rPr>
        <w:color w:val="auto"/>
      </w:rPr>
    </w:lvl>
    <w:lvl w:ilvl="1" w:tplc="04090019">
      <w:start w:val="1"/>
      <w:numFmt w:val="lowerLetter"/>
      <w:lvlText w:val="%2."/>
      <w:lvlJc w:val="left"/>
      <w:pPr>
        <w:ind w:left="2263" w:hanging="360"/>
      </w:pPr>
    </w:lvl>
    <w:lvl w:ilvl="2" w:tplc="0409001B">
      <w:start w:val="1"/>
      <w:numFmt w:val="lowerRoman"/>
      <w:lvlText w:val="%3."/>
      <w:lvlJc w:val="right"/>
      <w:pPr>
        <w:ind w:left="2983" w:hanging="180"/>
      </w:pPr>
    </w:lvl>
    <w:lvl w:ilvl="3" w:tplc="0409000F">
      <w:start w:val="1"/>
      <w:numFmt w:val="decimal"/>
      <w:lvlText w:val="%4."/>
      <w:lvlJc w:val="left"/>
      <w:pPr>
        <w:ind w:left="3703" w:hanging="360"/>
      </w:pPr>
    </w:lvl>
    <w:lvl w:ilvl="4" w:tplc="04090019">
      <w:start w:val="1"/>
      <w:numFmt w:val="lowerLetter"/>
      <w:lvlText w:val="%5."/>
      <w:lvlJc w:val="left"/>
      <w:pPr>
        <w:ind w:left="4423" w:hanging="360"/>
      </w:pPr>
    </w:lvl>
    <w:lvl w:ilvl="5" w:tplc="0409001B">
      <w:start w:val="1"/>
      <w:numFmt w:val="lowerRoman"/>
      <w:lvlText w:val="%6."/>
      <w:lvlJc w:val="right"/>
      <w:pPr>
        <w:ind w:left="5143" w:hanging="180"/>
      </w:pPr>
    </w:lvl>
    <w:lvl w:ilvl="6" w:tplc="0409000F">
      <w:start w:val="1"/>
      <w:numFmt w:val="decimal"/>
      <w:lvlText w:val="%7."/>
      <w:lvlJc w:val="left"/>
      <w:pPr>
        <w:ind w:left="5863" w:hanging="360"/>
      </w:pPr>
    </w:lvl>
    <w:lvl w:ilvl="7" w:tplc="04090019">
      <w:start w:val="1"/>
      <w:numFmt w:val="lowerLetter"/>
      <w:lvlText w:val="%8."/>
      <w:lvlJc w:val="left"/>
      <w:pPr>
        <w:ind w:left="6583" w:hanging="360"/>
      </w:pPr>
    </w:lvl>
    <w:lvl w:ilvl="8" w:tplc="0409001B">
      <w:start w:val="1"/>
      <w:numFmt w:val="lowerRoman"/>
      <w:lvlText w:val="%9."/>
      <w:lvlJc w:val="right"/>
      <w:pPr>
        <w:ind w:left="7303" w:hanging="180"/>
      </w:pPr>
    </w:lvl>
  </w:abstractNum>
  <w:num w:numId="1" w16cid:durableId="88618719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D62EE"/>
    <w:rsid w:val="0004551C"/>
    <w:rsid w:val="002F5046"/>
    <w:rsid w:val="00322869"/>
    <w:rsid w:val="0033715F"/>
    <w:rsid w:val="009D62EE"/>
    <w:rsid w:val="00CA35FD"/>
    <w:rsid w:val="00CF5917"/>
    <w:rsid w:val="00DD3E42"/>
    <w:rsid w:val="00DE1F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E42DFD9"/>
  <w15:chartTrackingRefBased/>
  <w15:docId w15:val="{76F08BC5-58B3-4B56-8BF8-3ABD0FC61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D62E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D62EE"/>
    <w:pPr>
      <w:tabs>
        <w:tab w:val="center" w:pos="4153"/>
        <w:tab w:val="right" w:pos="8306"/>
      </w:tabs>
    </w:pPr>
  </w:style>
  <w:style w:type="character" w:customStyle="1" w:styleId="a4">
    <w:name w:val="כותרת עליונה תו"/>
    <w:link w:val="a3"/>
    <w:rsid w:val="009D62EE"/>
    <w:rPr>
      <w:rFonts w:ascii="Times New Roman" w:eastAsia="Times New Roman" w:hAnsi="Times New Roman" w:cs="David"/>
      <w:sz w:val="24"/>
      <w:szCs w:val="24"/>
    </w:rPr>
  </w:style>
  <w:style w:type="paragraph" w:styleId="a5">
    <w:name w:val="footer"/>
    <w:basedOn w:val="a"/>
    <w:link w:val="a6"/>
    <w:rsid w:val="009D62EE"/>
    <w:pPr>
      <w:tabs>
        <w:tab w:val="center" w:pos="4153"/>
        <w:tab w:val="right" w:pos="8306"/>
      </w:tabs>
    </w:pPr>
  </w:style>
  <w:style w:type="character" w:customStyle="1" w:styleId="a6">
    <w:name w:val="כותרת תחתונה תו"/>
    <w:link w:val="a5"/>
    <w:rsid w:val="009D62EE"/>
    <w:rPr>
      <w:rFonts w:ascii="Times New Roman" w:eastAsia="Times New Roman" w:hAnsi="Times New Roman" w:cs="David"/>
      <w:sz w:val="24"/>
      <w:szCs w:val="24"/>
    </w:rPr>
  </w:style>
  <w:style w:type="table" w:styleId="a7">
    <w:name w:val="Table Grid"/>
    <w:basedOn w:val="a1"/>
    <w:rsid w:val="009D62E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D62EE"/>
  </w:style>
  <w:style w:type="character" w:styleId="Hyperlink">
    <w:name w:val="Hyperlink"/>
    <w:rsid w:val="00CA35F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2.b" TargetMode="External"/><Relationship Id="rId18" Type="http://schemas.openxmlformats.org/officeDocument/2006/relationships/hyperlink" Target="http://www.nevo.co.il/law/5227/67" TargetMode="External"/><Relationship Id="rId26" Type="http://schemas.openxmlformats.org/officeDocument/2006/relationships/hyperlink" Target="http://www.nevo.co.il/law/5227/67" TargetMode="External"/><Relationship Id="rId39" Type="http://schemas.openxmlformats.org/officeDocument/2006/relationships/hyperlink" Target="http://www.nevo.co.il/case/26905927" TargetMode="External"/><Relationship Id="rId21" Type="http://schemas.openxmlformats.org/officeDocument/2006/relationships/hyperlink" Target="http://www.nevo.co.il/law/70301" TargetMode="External"/><Relationship Id="rId34" Type="http://schemas.openxmlformats.org/officeDocument/2006/relationships/hyperlink" Target="http://www.nevo.co.il/law/70301" TargetMode="External"/><Relationship Id="rId42" Type="http://schemas.openxmlformats.org/officeDocument/2006/relationships/hyperlink" Target="http://www.nevo.co.il/case/26934681" TargetMode="External"/><Relationship Id="rId47" Type="http://schemas.openxmlformats.org/officeDocument/2006/relationships/hyperlink" Target="http://www.nevo.co.il/law/70301/34a" TargetMode="External"/><Relationship Id="rId50" Type="http://schemas.openxmlformats.org/officeDocument/2006/relationships/hyperlink" Target="http://www.nevo.co.il/law/70301/413c" TargetMode="External"/><Relationship Id="rId55"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13c" TargetMode="External"/><Relationship Id="rId29" Type="http://schemas.openxmlformats.org/officeDocument/2006/relationships/hyperlink" Target="http://www.nevo.co.il/case/13093721" TargetMode="External"/><Relationship Id="rId11" Type="http://schemas.openxmlformats.org/officeDocument/2006/relationships/hyperlink" Target="http://www.nevo.co.il/law/70301/40i" TargetMode="External"/><Relationship Id="rId24" Type="http://schemas.openxmlformats.org/officeDocument/2006/relationships/hyperlink" Target="http://www.nevo.co.il/law/70301/413c" TargetMode="External"/><Relationship Id="rId32" Type="http://schemas.openxmlformats.org/officeDocument/2006/relationships/hyperlink" Target="http://www.nevo.co.il/law/70301/40jc.c" TargetMode="External"/><Relationship Id="rId37" Type="http://schemas.openxmlformats.org/officeDocument/2006/relationships/hyperlink" Target="http://www.nevo.co.il/case/28142541" TargetMode="External"/><Relationship Id="rId40" Type="http://schemas.openxmlformats.org/officeDocument/2006/relationships/hyperlink" Target="http://www.nevo.co.il/law/70301/144.b" TargetMode="External"/><Relationship Id="rId45" Type="http://schemas.openxmlformats.org/officeDocument/2006/relationships/hyperlink" Target="http://www.nevo.co.il/case/30315066" TargetMode="External"/><Relationship Id="rId53" Type="http://schemas.openxmlformats.org/officeDocument/2006/relationships/header" Target="header2.xml"/><Relationship Id="rId5" Type="http://schemas.openxmlformats.org/officeDocument/2006/relationships/footnotes" Target="footnotes.xml"/><Relationship Id="rId19" Type="http://schemas.openxmlformats.org/officeDocument/2006/relationships/hyperlink" Target="http://www.nevo.co.il/law/70301/402.b" TargetMode="External"/><Relationship Id="rId4" Type="http://schemas.openxmlformats.org/officeDocument/2006/relationships/webSettings" Target="webSettings.xml"/><Relationship Id="rId9" Type="http://schemas.openxmlformats.org/officeDocument/2006/relationships/hyperlink" Target="http://www.nevo.co.il/law/70301/31" TargetMode="External"/><Relationship Id="rId14" Type="http://schemas.openxmlformats.org/officeDocument/2006/relationships/hyperlink" Target="http://www.nevo.co.il/law/70301/40jc.a" TargetMode="External"/><Relationship Id="rId22" Type="http://schemas.openxmlformats.org/officeDocument/2006/relationships/hyperlink" Target="http://www.nevo.co.il/law/70301/144.b" TargetMode="External"/><Relationship Id="rId27" Type="http://schemas.openxmlformats.org/officeDocument/2006/relationships/hyperlink" Target="http://www.nevo.co.il/law/5227" TargetMode="External"/><Relationship Id="rId30" Type="http://schemas.openxmlformats.org/officeDocument/2006/relationships/hyperlink" Target="http://www.nevo.co.il/case/5576587" TargetMode="External"/><Relationship Id="rId35" Type="http://schemas.openxmlformats.org/officeDocument/2006/relationships/hyperlink" Target="http://www.nevo.co.il/case/7773349" TargetMode="External"/><Relationship Id="rId43" Type="http://schemas.openxmlformats.org/officeDocument/2006/relationships/hyperlink" Target="http://www.nevo.co.il/case/28883087" TargetMode="External"/><Relationship Id="rId48" Type="http://schemas.openxmlformats.org/officeDocument/2006/relationships/hyperlink" Target="http://www.nevo.co.il/law/70301" TargetMode="External"/><Relationship Id="rId56" Type="http://schemas.openxmlformats.org/officeDocument/2006/relationships/fontTable" Target="fontTable.xml"/><Relationship Id="rId8" Type="http://schemas.openxmlformats.org/officeDocument/2006/relationships/hyperlink" Target="http://www.nevo.co.il/law/70301/29.a" TargetMode="External"/><Relationship Id="rId51" Type="http://schemas.openxmlformats.org/officeDocument/2006/relationships/hyperlink" Target="http://www.nevo.co.il/advertisements/nevo-100.doc" TargetMode="External"/><Relationship Id="rId3" Type="http://schemas.openxmlformats.org/officeDocument/2006/relationships/settings" Target="settings.xml"/><Relationship Id="rId12" Type="http://schemas.openxmlformats.org/officeDocument/2006/relationships/hyperlink" Target="http://www.nevo.co.il/law/70301/144.b" TargetMode="External"/><Relationship Id="rId17" Type="http://schemas.openxmlformats.org/officeDocument/2006/relationships/hyperlink" Target="http://www.nevo.co.il/law/5227" TargetMode="External"/><Relationship Id="rId25" Type="http://schemas.openxmlformats.org/officeDocument/2006/relationships/hyperlink" Target="http://www.nevo.co.il/law/70301/29.a" TargetMode="External"/><Relationship Id="rId33" Type="http://schemas.openxmlformats.org/officeDocument/2006/relationships/hyperlink" Target="http://www.nevo.co.il/law/70301/402.b" TargetMode="External"/><Relationship Id="rId38" Type="http://schemas.openxmlformats.org/officeDocument/2006/relationships/hyperlink" Target="http://www.nevo.co.il/case/30363847" TargetMode="External"/><Relationship Id="rId46" Type="http://schemas.openxmlformats.org/officeDocument/2006/relationships/hyperlink" Target="http://www.nevo.co.il/law/70301/40i" TargetMode="External"/><Relationship Id="rId20" Type="http://schemas.openxmlformats.org/officeDocument/2006/relationships/hyperlink" Target="http://www.nevo.co.il/law/70301/29.a" TargetMode="External"/><Relationship Id="rId41" Type="http://schemas.openxmlformats.org/officeDocument/2006/relationships/hyperlink" Target="http://www.nevo.co.il/law/70301"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jc.c" TargetMode="External"/><Relationship Id="rId23" Type="http://schemas.openxmlformats.org/officeDocument/2006/relationships/hyperlink" Target="http://www.nevo.co.il/law/70301/31" TargetMode="External"/><Relationship Id="rId28" Type="http://schemas.openxmlformats.org/officeDocument/2006/relationships/hyperlink" Target="http://www.nevo.co.il/case/7791230" TargetMode="External"/><Relationship Id="rId36" Type="http://schemas.openxmlformats.org/officeDocument/2006/relationships/hyperlink" Target="http://www.nevo.co.il/case/28313643" TargetMode="External"/><Relationship Id="rId49" Type="http://schemas.openxmlformats.org/officeDocument/2006/relationships/hyperlink" Target="http://www.nevo.co.il/safrut/bookgroup/2406" TargetMode="External"/><Relationship Id="rId57" Type="http://schemas.openxmlformats.org/officeDocument/2006/relationships/theme" Target="theme/theme1.xml"/><Relationship Id="rId10" Type="http://schemas.openxmlformats.org/officeDocument/2006/relationships/hyperlink" Target="http://www.nevo.co.il/law/70301/34a" TargetMode="External"/><Relationship Id="rId31" Type="http://schemas.openxmlformats.org/officeDocument/2006/relationships/hyperlink" Target="http://www.nevo.co.il/law/70301/40jc.a" TargetMode="External"/><Relationship Id="rId44" Type="http://schemas.openxmlformats.org/officeDocument/2006/relationships/hyperlink" Target="http://www.nevo.co.il/case/28697227" TargetMode="External"/><Relationship Id="rId5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2461</Words>
  <Characters>12310</Characters>
  <Application>Microsoft Office Word</Application>
  <DocSecurity>0</DocSecurity>
  <Lines>102</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14742</CharactersWithSpaces>
  <SharedDoc>false</SharedDoc>
  <HLinks>
    <vt:vector size="270" baseType="variant">
      <vt:variant>
        <vt:i4>393283</vt:i4>
      </vt:variant>
      <vt:variant>
        <vt:i4>132</vt:i4>
      </vt:variant>
      <vt:variant>
        <vt:i4>0</vt:i4>
      </vt:variant>
      <vt:variant>
        <vt:i4>5</vt:i4>
      </vt:variant>
      <vt:variant>
        <vt:lpwstr>http://www.nevo.co.il/advertisements/nevo-100.doc</vt:lpwstr>
      </vt:variant>
      <vt:variant>
        <vt:lpwstr/>
      </vt:variant>
      <vt:variant>
        <vt:i4>458834</vt:i4>
      </vt:variant>
      <vt:variant>
        <vt:i4>129</vt:i4>
      </vt:variant>
      <vt:variant>
        <vt:i4>0</vt:i4>
      </vt:variant>
      <vt:variant>
        <vt:i4>5</vt:i4>
      </vt:variant>
      <vt:variant>
        <vt:lpwstr>http://www.nevo.co.il/law/70301/413c</vt:lpwstr>
      </vt:variant>
      <vt:variant>
        <vt:lpwstr/>
      </vt:variant>
      <vt:variant>
        <vt:i4>2359340</vt:i4>
      </vt:variant>
      <vt:variant>
        <vt:i4>126</vt:i4>
      </vt:variant>
      <vt:variant>
        <vt:i4>0</vt:i4>
      </vt:variant>
      <vt:variant>
        <vt:i4>5</vt:i4>
      </vt:variant>
      <vt:variant>
        <vt:lpwstr>http://www.nevo.co.il/safrut/bookgroup/2406</vt:lpwstr>
      </vt:variant>
      <vt:variant>
        <vt:lpwstr/>
      </vt:variant>
      <vt:variant>
        <vt:i4>7995492</vt:i4>
      </vt:variant>
      <vt:variant>
        <vt:i4>123</vt:i4>
      </vt:variant>
      <vt:variant>
        <vt:i4>0</vt:i4>
      </vt:variant>
      <vt:variant>
        <vt:i4>5</vt:i4>
      </vt:variant>
      <vt:variant>
        <vt:lpwstr>http://www.nevo.co.il/law/70301</vt:lpwstr>
      </vt:variant>
      <vt:variant>
        <vt:lpwstr/>
      </vt:variant>
      <vt:variant>
        <vt:i4>6357094</vt:i4>
      </vt:variant>
      <vt:variant>
        <vt:i4>120</vt:i4>
      </vt:variant>
      <vt:variant>
        <vt:i4>0</vt:i4>
      </vt:variant>
      <vt:variant>
        <vt:i4>5</vt:i4>
      </vt:variant>
      <vt:variant>
        <vt:lpwstr>http://www.nevo.co.il/law/70301/34a</vt:lpwstr>
      </vt:variant>
      <vt:variant>
        <vt:lpwstr/>
      </vt:variant>
      <vt:variant>
        <vt:i4>6619233</vt:i4>
      </vt:variant>
      <vt:variant>
        <vt:i4>117</vt:i4>
      </vt:variant>
      <vt:variant>
        <vt:i4>0</vt:i4>
      </vt:variant>
      <vt:variant>
        <vt:i4>5</vt:i4>
      </vt:variant>
      <vt:variant>
        <vt:lpwstr>http://www.nevo.co.il/law/70301/40i</vt:lpwstr>
      </vt:variant>
      <vt:variant>
        <vt:lpwstr/>
      </vt:variant>
      <vt:variant>
        <vt:i4>3342453</vt:i4>
      </vt:variant>
      <vt:variant>
        <vt:i4>114</vt:i4>
      </vt:variant>
      <vt:variant>
        <vt:i4>0</vt:i4>
      </vt:variant>
      <vt:variant>
        <vt:i4>5</vt:i4>
      </vt:variant>
      <vt:variant>
        <vt:lpwstr>http://www.nevo.co.il/case/30315066</vt:lpwstr>
      </vt:variant>
      <vt:variant>
        <vt:lpwstr/>
      </vt:variant>
      <vt:variant>
        <vt:i4>3211383</vt:i4>
      </vt:variant>
      <vt:variant>
        <vt:i4>111</vt:i4>
      </vt:variant>
      <vt:variant>
        <vt:i4>0</vt:i4>
      </vt:variant>
      <vt:variant>
        <vt:i4>5</vt:i4>
      </vt:variant>
      <vt:variant>
        <vt:lpwstr>http://www.nevo.co.il/case/28697227</vt:lpwstr>
      </vt:variant>
      <vt:variant>
        <vt:lpwstr/>
      </vt:variant>
      <vt:variant>
        <vt:i4>3211380</vt:i4>
      </vt:variant>
      <vt:variant>
        <vt:i4>108</vt:i4>
      </vt:variant>
      <vt:variant>
        <vt:i4>0</vt:i4>
      </vt:variant>
      <vt:variant>
        <vt:i4>5</vt:i4>
      </vt:variant>
      <vt:variant>
        <vt:lpwstr>http://www.nevo.co.il/case/28883087</vt:lpwstr>
      </vt:variant>
      <vt:variant>
        <vt:lpwstr/>
      </vt:variant>
      <vt:variant>
        <vt:i4>3604599</vt:i4>
      </vt:variant>
      <vt:variant>
        <vt:i4>105</vt:i4>
      </vt:variant>
      <vt:variant>
        <vt:i4>0</vt:i4>
      </vt:variant>
      <vt:variant>
        <vt:i4>5</vt:i4>
      </vt:variant>
      <vt:variant>
        <vt:lpwstr>http://www.nevo.co.il/case/26934681</vt:lpwstr>
      </vt:variant>
      <vt:variant>
        <vt:lpwstr/>
      </vt:variant>
      <vt:variant>
        <vt:i4>7995492</vt:i4>
      </vt:variant>
      <vt:variant>
        <vt:i4>102</vt:i4>
      </vt:variant>
      <vt:variant>
        <vt:i4>0</vt:i4>
      </vt:variant>
      <vt:variant>
        <vt:i4>5</vt:i4>
      </vt:variant>
      <vt:variant>
        <vt:lpwstr>http://www.nevo.co.il/law/70301</vt:lpwstr>
      </vt:variant>
      <vt:variant>
        <vt:lpwstr/>
      </vt:variant>
      <vt:variant>
        <vt:i4>5177424</vt:i4>
      </vt:variant>
      <vt:variant>
        <vt:i4>99</vt:i4>
      </vt:variant>
      <vt:variant>
        <vt:i4>0</vt:i4>
      </vt:variant>
      <vt:variant>
        <vt:i4>5</vt:i4>
      </vt:variant>
      <vt:variant>
        <vt:lpwstr>http://www.nevo.co.il/law/70301/144.b</vt:lpwstr>
      </vt:variant>
      <vt:variant>
        <vt:lpwstr/>
      </vt:variant>
      <vt:variant>
        <vt:i4>3932283</vt:i4>
      </vt:variant>
      <vt:variant>
        <vt:i4>96</vt:i4>
      </vt:variant>
      <vt:variant>
        <vt:i4>0</vt:i4>
      </vt:variant>
      <vt:variant>
        <vt:i4>5</vt:i4>
      </vt:variant>
      <vt:variant>
        <vt:lpwstr>http://www.nevo.co.il/case/26905927</vt:lpwstr>
      </vt:variant>
      <vt:variant>
        <vt:lpwstr/>
      </vt:variant>
      <vt:variant>
        <vt:i4>3604602</vt:i4>
      </vt:variant>
      <vt:variant>
        <vt:i4>93</vt:i4>
      </vt:variant>
      <vt:variant>
        <vt:i4>0</vt:i4>
      </vt:variant>
      <vt:variant>
        <vt:i4>5</vt:i4>
      </vt:variant>
      <vt:variant>
        <vt:lpwstr>http://www.nevo.co.il/case/30363847</vt:lpwstr>
      </vt:variant>
      <vt:variant>
        <vt:lpwstr/>
      </vt:variant>
      <vt:variant>
        <vt:i4>3473533</vt:i4>
      </vt:variant>
      <vt:variant>
        <vt:i4>90</vt:i4>
      </vt:variant>
      <vt:variant>
        <vt:i4>0</vt:i4>
      </vt:variant>
      <vt:variant>
        <vt:i4>5</vt:i4>
      </vt:variant>
      <vt:variant>
        <vt:lpwstr>http://www.nevo.co.il/case/28142541</vt:lpwstr>
      </vt:variant>
      <vt:variant>
        <vt:lpwstr/>
      </vt:variant>
      <vt:variant>
        <vt:i4>3539067</vt:i4>
      </vt:variant>
      <vt:variant>
        <vt:i4>87</vt:i4>
      </vt:variant>
      <vt:variant>
        <vt:i4>0</vt:i4>
      </vt:variant>
      <vt:variant>
        <vt:i4>5</vt:i4>
      </vt:variant>
      <vt:variant>
        <vt:lpwstr>http://www.nevo.co.il/case/28313643</vt:lpwstr>
      </vt:variant>
      <vt:variant>
        <vt:lpwstr/>
      </vt:variant>
      <vt:variant>
        <vt:i4>3801204</vt:i4>
      </vt:variant>
      <vt:variant>
        <vt:i4>84</vt:i4>
      </vt:variant>
      <vt:variant>
        <vt:i4>0</vt:i4>
      </vt:variant>
      <vt:variant>
        <vt:i4>5</vt:i4>
      </vt:variant>
      <vt:variant>
        <vt:lpwstr>http://www.nevo.co.il/case/7773349</vt:lpwstr>
      </vt:variant>
      <vt:variant>
        <vt:lpwstr/>
      </vt:variant>
      <vt:variant>
        <vt:i4>7995492</vt:i4>
      </vt:variant>
      <vt:variant>
        <vt:i4>81</vt:i4>
      </vt:variant>
      <vt:variant>
        <vt:i4>0</vt:i4>
      </vt:variant>
      <vt:variant>
        <vt:i4>5</vt:i4>
      </vt:variant>
      <vt:variant>
        <vt:lpwstr>http://www.nevo.co.il/law/70301</vt:lpwstr>
      </vt:variant>
      <vt:variant>
        <vt:lpwstr/>
      </vt:variant>
      <vt:variant>
        <vt:i4>4915283</vt:i4>
      </vt:variant>
      <vt:variant>
        <vt:i4>78</vt:i4>
      </vt:variant>
      <vt:variant>
        <vt:i4>0</vt:i4>
      </vt:variant>
      <vt:variant>
        <vt:i4>5</vt:i4>
      </vt:variant>
      <vt:variant>
        <vt:lpwstr>http://www.nevo.co.il/law/70301/402.b</vt:lpwstr>
      </vt:variant>
      <vt:variant>
        <vt:lpwstr/>
      </vt:variant>
      <vt:variant>
        <vt:i4>6619173</vt:i4>
      </vt:variant>
      <vt:variant>
        <vt:i4>75</vt:i4>
      </vt:variant>
      <vt:variant>
        <vt:i4>0</vt:i4>
      </vt:variant>
      <vt:variant>
        <vt:i4>5</vt:i4>
      </vt:variant>
      <vt:variant>
        <vt:lpwstr>http://www.nevo.co.il/law/70301/40jc.c</vt:lpwstr>
      </vt:variant>
      <vt:variant>
        <vt:lpwstr/>
      </vt:variant>
      <vt:variant>
        <vt:i4>6750245</vt:i4>
      </vt:variant>
      <vt:variant>
        <vt:i4>72</vt:i4>
      </vt:variant>
      <vt:variant>
        <vt:i4>0</vt:i4>
      </vt:variant>
      <vt:variant>
        <vt:i4>5</vt:i4>
      </vt:variant>
      <vt:variant>
        <vt:lpwstr>http://www.nevo.co.il/law/70301/40jc.a</vt:lpwstr>
      </vt:variant>
      <vt:variant>
        <vt:lpwstr/>
      </vt:variant>
      <vt:variant>
        <vt:i4>3145855</vt:i4>
      </vt:variant>
      <vt:variant>
        <vt:i4>69</vt:i4>
      </vt:variant>
      <vt:variant>
        <vt:i4>0</vt:i4>
      </vt:variant>
      <vt:variant>
        <vt:i4>5</vt:i4>
      </vt:variant>
      <vt:variant>
        <vt:lpwstr>http://www.nevo.co.il/case/5576587</vt:lpwstr>
      </vt:variant>
      <vt:variant>
        <vt:lpwstr/>
      </vt:variant>
      <vt:variant>
        <vt:i4>3145849</vt:i4>
      </vt:variant>
      <vt:variant>
        <vt:i4>66</vt:i4>
      </vt:variant>
      <vt:variant>
        <vt:i4>0</vt:i4>
      </vt:variant>
      <vt:variant>
        <vt:i4>5</vt:i4>
      </vt:variant>
      <vt:variant>
        <vt:lpwstr>http://www.nevo.co.il/case/13093721</vt:lpwstr>
      </vt:variant>
      <vt:variant>
        <vt:lpwstr/>
      </vt:variant>
      <vt:variant>
        <vt:i4>3932273</vt:i4>
      </vt:variant>
      <vt:variant>
        <vt:i4>63</vt:i4>
      </vt:variant>
      <vt:variant>
        <vt:i4>0</vt:i4>
      </vt:variant>
      <vt:variant>
        <vt:i4>5</vt:i4>
      </vt:variant>
      <vt:variant>
        <vt:lpwstr>http://www.nevo.co.il/case/7791230</vt:lpwstr>
      </vt:variant>
      <vt:variant>
        <vt:lpwstr/>
      </vt:variant>
      <vt:variant>
        <vt:i4>8323175</vt:i4>
      </vt:variant>
      <vt:variant>
        <vt:i4>60</vt:i4>
      </vt:variant>
      <vt:variant>
        <vt:i4>0</vt:i4>
      </vt:variant>
      <vt:variant>
        <vt:i4>5</vt:i4>
      </vt:variant>
      <vt:variant>
        <vt:lpwstr>http://www.nevo.co.il/law/5227</vt:lpwstr>
      </vt:variant>
      <vt:variant>
        <vt:lpwstr/>
      </vt:variant>
      <vt:variant>
        <vt:i4>4784200</vt:i4>
      </vt:variant>
      <vt:variant>
        <vt:i4>57</vt:i4>
      </vt:variant>
      <vt:variant>
        <vt:i4>0</vt:i4>
      </vt:variant>
      <vt:variant>
        <vt:i4>5</vt:i4>
      </vt:variant>
      <vt:variant>
        <vt:lpwstr>http://www.nevo.co.il/law/5227/67</vt:lpwstr>
      </vt:variant>
      <vt:variant>
        <vt:lpwstr/>
      </vt:variant>
      <vt:variant>
        <vt:i4>852041</vt:i4>
      </vt:variant>
      <vt:variant>
        <vt:i4>54</vt:i4>
      </vt:variant>
      <vt:variant>
        <vt:i4>0</vt:i4>
      </vt:variant>
      <vt:variant>
        <vt:i4>5</vt:i4>
      </vt:variant>
      <vt:variant>
        <vt:lpwstr>http://www.nevo.co.il/law/70301/29.a</vt:lpwstr>
      </vt:variant>
      <vt:variant>
        <vt:lpwstr/>
      </vt:variant>
      <vt:variant>
        <vt:i4>458834</vt:i4>
      </vt:variant>
      <vt:variant>
        <vt:i4>51</vt:i4>
      </vt:variant>
      <vt:variant>
        <vt:i4>0</vt:i4>
      </vt:variant>
      <vt:variant>
        <vt:i4>5</vt:i4>
      </vt:variant>
      <vt:variant>
        <vt:lpwstr>http://www.nevo.co.il/law/70301/413c</vt:lpwstr>
      </vt:variant>
      <vt:variant>
        <vt:lpwstr/>
      </vt:variant>
      <vt:variant>
        <vt:i4>6553702</vt:i4>
      </vt:variant>
      <vt:variant>
        <vt:i4>48</vt:i4>
      </vt:variant>
      <vt:variant>
        <vt:i4>0</vt:i4>
      </vt:variant>
      <vt:variant>
        <vt:i4>5</vt:i4>
      </vt:variant>
      <vt:variant>
        <vt:lpwstr>http://www.nevo.co.il/law/70301/31</vt:lpwstr>
      </vt:variant>
      <vt:variant>
        <vt:lpwstr/>
      </vt:variant>
      <vt:variant>
        <vt:i4>5177424</vt:i4>
      </vt:variant>
      <vt:variant>
        <vt:i4>45</vt:i4>
      </vt:variant>
      <vt:variant>
        <vt:i4>0</vt:i4>
      </vt:variant>
      <vt:variant>
        <vt:i4>5</vt:i4>
      </vt:variant>
      <vt:variant>
        <vt:lpwstr>http://www.nevo.co.il/law/70301/144.b</vt:lpwstr>
      </vt:variant>
      <vt:variant>
        <vt:lpwstr/>
      </vt:variant>
      <vt:variant>
        <vt:i4>7995492</vt:i4>
      </vt:variant>
      <vt:variant>
        <vt:i4>42</vt:i4>
      </vt:variant>
      <vt:variant>
        <vt:i4>0</vt:i4>
      </vt:variant>
      <vt:variant>
        <vt:i4>5</vt:i4>
      </vt:variant>
      <vt:variant>
        <vt:lpwstr>http://www.nevo.co.il/law/70301</vt:lpwstr>
      </vt:variant>
      <vt:variant>
        <vt:lpwstr/>
      </vt:variant>
      <vt:variant>
        <vt:i4>852041</vt:i4>
      </vt:variant>
      <vt:variant>
        <vt:i4>39</vt:i4>
      </vt:variant>
      <vt:variant>
        <vt:i4>0</vt:i4>
      </vt:variant>
      <vt:variant>
        <vt:i4>5</vt:i4>
      </vt:variant>
      <vt:variant>
        <vt:lpwstr>http://www.nevo.co.il/law/70301/29.a</vt:lpwstr>
      </vt:variant>
      <vt:variant>
        <vt:lpwstr/>
      </vt:variant>
      <vt:variant>
        <vt:i4>4915283</vt:i4>
      </vt:variant>
      <vt:variant>
        <vt:i4>36</vt:i4>
      </vt:variant>
      <vt:variant>
        <vt:i4>0</vt:i4>
      </vt:variant>
      <vt:variant>
        <vt:i4>5</vt:i4>
      </vt:variant>
      <vt:variant>
        <vt:lpwstr>http://www.nevo.co.il/law/70301/402.b</vt:lpwstr>
      </vt:variant>
      <vt:variant>
        <vt:lpwstr/>
      </vt:variant>
      <vt:variant>
        <vt:i4>4784200</vt:i4>
      </vt:variant>
      <vt:variant>
        <vt:i4>33</vt:i4>
      </vt:variant>
      <vt:variant>
        <vt:i4>0</vt:i4>
      </vt:variant>
      <vt:variant>
        <vt:i4>5</vt:i4>
      </vt:variant>
      <vt:variant>
        <vt:lpwstr>http://www.nevo.co.il/law/5227/67</vt:lpwstr>
      </vt:variant>
      <vt:variant>
        <vt:lpwstr/>
      </vt:variant>
      <vt:variant>
        <vt:i4>8323175</vt:i4>
      </vt:variant>
      <vt:variant>
        <vt:i4>30</vt:i4>
      </vt:variant>
      <vt:variant>
        <vt:i4>0</vt:i4>
      </vt:variant>
      <vt:variant>
        <vt:i4>5</vt:i4>
      </vt:variant>
      <vt:variant>
        <vt:lpwstr>http://www.nevo.co.il/law/5227</vt:lpwstr>
      </vt:variant>
      <vt:variant>
        <vt:lpwstr/>
      </vt:variant>
      <vt:variant>
        <vt:i4>458834</vt:i4>
      </vt:variant>
      <vt:variant>
        <vt:i4>27</vt:i4>
      </vt:variant>
      <vt:variant>
        <vt:i4>0</vt:i4>
      </vt:variant>
      <vt:variant>
        <vt:i4>5</vt:i4>
      </vt:variant>
      <vt:variant>
        <vt:lpwstr>http://www.nevo.co.il/law/70301/413c</vt:lpwstr>
      </vt:variant>
      <vt:variant>
        <vt:lpwstr/>
      </vt:variant>
      <vt:variant>
        <vt:i4>6619173</vt:i4>
      </vt:variant>
      <vt:variant>
        <vt:i4>24</vt:i4>
      </vt:variant>
      <vt:variant>
        <vt:i4>0</vt:i4>
      </vt:variant>
      <vt:variant>
        <vt:i4>5</vt:i4>
      </vt:variant>
      <vt:variant>
        <vt:lpwstr>http://www.nevo.co.il/law/70301/40jc.c</vt:lpwstr>
      </vt:variant>
      <vt:variant>
        <vt:lpwstr/>
      </vt:variant>
      <vt:variant>
        <vt:i4>6750245</vt:i4>
      </vt:variant>
      <vt:variant>
        <vt:i4>21</vt:i4>
      </vt:variant>
      <vt:variant>
        <vt:i4>0</vt:i4>
      </vt:variant>
      <vt:variant>
        <vt:i4>5</vt:i4>
      </vt:variant>
      <vt:variant>
        <vt:lpwstr>http://www.nevo.co.il/law/70301/40jc.a</vt:lpwstr>
      </vt:variant>
      <vt:variant>
        <vt:lpwstr/>
      </vt:variant>
      <vt:variant>
        <vt:i4>4915283</vt:i4>
      </vt:variant>
      <vt:variant>
        <vt:i4>18</vt:i4>
      </vt:variant>
      <vt:variant>
        <vt:i4>0</vt:i4>
      </vt:variant>
      <vt:variant>
        <vt:i4>5</vt:i4>
      </vt:variant>
      <vt:variant>
        <vt:lpwstr>http://www.nevo.co.il/law/70301/402.b</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6357094</vt:i4>
      </vt:variant>
      <vt:variant>
        <vt:i4>9</vt:i4>
      </vt:variant>
      <vt:variant>
        <vt:i4>0</vt:i4>
      </vt:variant>
      <vt:variant>
        <vt:i4>5</vt:i4>
      </vt:variant>
      <vt:variant>
        <vt:lpwstr>http://www.nevo.co.il/law/70301/34a</vt:lpwstr>
      </vt:variant>
      <vt:variant>
        <vt:lpwstr/>
      </vt:variant>
      <vt:variant>
        <vt:i4>6553702</vt:i4>
      </vt:variant>
      <vt:variant>
        <vt:i4>6</vt:i4>
      </vt:variant>
      <vt:variant>
        <vt:i4>0</vt:i4>
      </vt:variant>
      <vt:variant>
        <vt:i4>5</vt:i4>
      </vt:variant>
      <vt:variant>
        <vt:lpwstr>http://www.nevo.co.il/law/70301/31</vt:lpwstr>
      </vt:variant>
      <vt:variant>
        <vt:lpwstr/>
      </vt:variant>
      <vt:variant>
        <vt:i4>852041</vt:i4>
      </vt:variant>
      <vt:variant>
        <vt:i4>3</vt:i4>
      </vt:variant>
      <vt:variant>
        <vt:i4>0</vt:i4>
      </vt:variant>
      <vt:variant>
        <vt:i4>5</vt:i4>
      </vt:variant>
      <vt:variant>
        <vt:lpwstr>http://www.nevo.co.il/law/70301/29.a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2025-02-28T15:26:00Z</dcterms:created>
  <dcterms:modified xsi:type="dcterms:W3CDTF">2025-02-28T15:26:00Z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57404</vt:lpwstr>
  </property>
  <property fmtid="{D5CDD505-2E9C-101B-9397-08002B2CF9AE}" pid="6" name="NEWPARTB">
    <vt:lpwstr>07</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מוחמד עמאש</vt:lpwstr>
  </property>
  <property fmtid="{D5CDD505-2E9C-101B-9397-08002B2CF9AE}" pid="10" name="JUDGE">
    <vt:lpwstr>אבי לוי</vt:lpwstr>
  </property>
  <property fmtid="{D5CDD505-2E9C-101B-9397-08002B2CF9AE}" pid="11" name="CITY">
    <vt:lpwstr>חי'</vt:lpwstr>
  </property>
  <property fmtid="{D5CDD505-2E9C-101B-9397-08002B2CF9AE}" pid="12" name="DATE">
    <vt:lpwstr>20241225</vt:lpwstr>
  </property>
  <property fmtid="{D5CDD505-2E9C-101B-9397-08002B2CF9AE}" pid="13" name="TYPE_N_DATE">
    <vt:lpwstr>39020241225</vt:lpwstr>
  </property>
  <property fmtid="{D5CDD505-2E9C-101B-9397-08002B2CF9AE}" pid="14" name="CASESLISTTMP1">
    <vt:lpwstr>7791230;13093721;5576587;7773349;28313643;28142541;30363847;26905927;26934681;28883087;28697227;30315066</vt:lpwstr>
  </property>
  <property fmtid="{D5CDD505-2E9C-101B-9397-08002B2CF9AE}" pid="15" name="CASENOTES1">
    <vt:lpwstr>ProcID=158&amp;PartA=10139&amp;PartB=04&amp;PartC=22</vt:lpwstr>
  </property>
  <property fmtid="{D5CDD505-2E9C-101B-9397-08002B2CF9AE}" pid="16" name="BOOKGROUPTMP1">
    <vt:lpwstr/>
  </property>
  <property fmtid="{D5CDD505-2E9C-101B-9397-08002B2CF9AE}" pid="17" name="NOBOOKNEVO">
    <vt:lpwstr>2406</vt:lpwstr>
  </property>
  <property fmtid="{D5CDD505-2E9C-101B-9397-08002B2CF9AE}" pid="18" name="WORDNUMPAGES">
    <vt:lpwstr>7</vt:lpwstr>
  </property>
  <property fmtid="{D5CDD505-2E9C-101B-9397-08002B2CF9AE}" pid="19" name="TYPE_ABS_DATE">
    <vt:lpwstr>390020241225</vt:lpwstr>
  </property>
  <property fmtid="{D5CDD505-2E9C-101B-9397-08002B2CF9AE}" pid="20" name="LAWYER">
    <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LAWLISTTMP1">
    <vt:lpwstr>70301/402.b:2;029.a:2;144.b:2;031;413c:2;40jc.a;40jc.c;040i;034a</vt:lpwstr>
  </property>
  <property fmtid="{D5CDD505-2E9C-101B-9397-08002B2CF9AE}" pid="39" name="LAWLISTTMP2">
    <vt:lpwstr>5227/067</vt:lpwstr>
  </property>
  <property fmtid="{D5CDD505-2E9C-101B-9397-08002B2CF9AE}" pid="40" name="ISABSTRACT">
    <vt:lpwstr>Y</vt:lpwstr>
  </property>
</Properties>
</file>