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1229B" w:rsidRPr="0018391A" w14:paraId="64D0F657" w14:textId="77777777" w:rsidTr="0021127B">
        <w:trPr>
          <w:trHeight w:hRule="exact" w:val="418"/>
          <w:jc w:val="center"/>
        </w:trPr>
        <w:tc>
          <w:tcPr>
            <w:tcW w:w="8721" w:type="dxa"/>
            <w:gridSpan w:val="2"/>
          </w:tcPr>
          <w:p w14:paraId="7F8678B0" w14:textId="77777777" w:rsidR="0031229B" w:rsidRPr="0018391A" w:rsidRDefault="0031229B" w:rsidP="00356BED">
            <w:pPr>
              <w:pStyle w:val="a3"/>
              <w:jc w:val="center"/>
              <w:rPr>
                <w:rFonts w:ascii="Tahoma" w:hAnsi="Tahoma" w:cs="Tahoma"/>
                <w:color w:val="000080"/>
                <w:rtl/>
              </w:rPr>
            </w:pPr>
            <w:bookmarkStart w:id="0" w:name="FirstLawyer"/>
            <w:bookmarkStart w:id="1" w:name="LastJudge"/>
            <w:r w:rsidRPr="0018391A">
              <w:rPr>
                <w:rFonts w:ascii="Tahoma" w:hAnsi="Tahoma" w:cs="Tahoma"/>
                <w:b/>
                <w:bCs/>
                <w:color w:val="000080"/>
                <w:rtl/>
              </w:rPr>
              <w:t>בית המשפט המחוזי מרכז-לוד</w:t>
            </w:r>
          </w:p>
        </w:tc>
      </w:tr>
      <w:tr w:rsidR="0031229B" w:rsidRPr="0018391A" w14:paraId="5D7D7F6F" w14:textId="77777777" w:rsidTr="0021127B">
        <w:trPr>
          <w:trHeight w:val="337"/>
          <w:jc w:val="center"/>
        </w:trPr>
        <w:tc>
          <w:tcPr>
            <w:tcW w:w="5058" w:type="dxa"/>
          </w:tcPr>
          <w:p w14:paraId="3F8751EE" w14:textId="77777777" w:rsidR="0031229B" w:rsidRPr="0018391A" w:rsidRDefault="0031229B" w:rsidP="00356BED">
            <w:pPr>
              <w:rPr>
                <w:rFonts w:cs="FrankRuehl"/>
                <w:sz w:val="28"/>
                <w:szCs w:val="28"/>
                <w:rtl/>
              </w:rPr>
            </w:pPr>
            <w:r w:rsidRPr="0018391A">
              <w:rPr>
                <w:rFonts w:cs="FrankRuehl"/>
                <w:sz w:val="28"/>
                <w:szCs w:val="28"/>
                <w:rtl/>
              </w:rPr>
              <w:t>ת"פ</w:t>
            </w:r>
            <w:r w:rsidRPr="0018391A">
              <w:rPr>
                <w:rFonts w:cs="FrankRuehl" w:hint="cs"/>
                <w:sz w:val="28"/>
                <w:szCs w:val="28"/>
                <w:rtl/>
              </w:rPr>
              <w:t xml:space="preserve"> </w:t>
            </w:r>
            <w:r w:rsidRPr="0018391A">
              <w:rPr>
                <w:rFonts w:cs="FrankRuehl"/>
                <w:sz w:val="28"/>
                <w:szCs w:val="28"/>
                <w:rtl/>
              </w:rPr>
              <w:t>63489-07-24</w:t>
            </w:r>
            <w:r w:rsidRPr="0018391A">
              <w:rPr>
                <w:rFonts w:cs="FrankRuehl" w:hint="cs"/>
                <w:sz w:val="28"/>
                <w:szCs w:val="28"/>
                <w:rtl/>
              </w:rPr>
              <w:t xml:space="preserve"> </w:t>
            </w:r>
            <w:r w:rsidRPr="0018391A">
              <w:rPr>
                <w:rFonts w:cs="FrankRuehl"/>
                <w:sz w:val="28"/>
                <w:szCs w:val="28"/>
                <w:rtl/>
              </w:rPr>
              <w:t>מדינת ישראל נ' מנסור(עציר) ואח'</w:t>
            </w:r>
          </w:p>
          <w:p w14:paraId="455EE7A2" w14:textId="77777777" w:rsidR="0031229B" w:rsidRPr="0018391A" w:rsidRDefault="0031229B" w:rsidP="00356BED">
            <w:pPr>
              <w:pStyle w:val="a3"/>
              <w:rPr>
                <w:rFonts w:cs="FrankRuehl"/>
                <w:sz w:val="28"/>
                <w:szCs w:val="28"/>
                <w:rtl/>
              </w:rPr>
            </w:pPr>
          </w:p>
        </w:tc>
        <w:tc>
          <w:tcPr>
            <w:tcW w:w="3663" w:type="dxa"/>
          </w:tcPr>
          <w:p w14:paraId="64E91953" w14:textId="77777777" w:rsidR="0031229B" w:rsidRPr="0018391A" w:rsidRDefault="0031229B" w:rsidP="00356BED">
            <w:pPr>
              <w:pStyle w:val="a3"/>
              <w:jc w:val="right"/>
              <w:rPr>
                <w:rFonts w:cs="FrankRuehl"/>
                <w:sz w:val="28"/>
                <w:szCs w:val="28"/>
                <w:rtl/>
              </w:rPr>
            </w:pPr>
          </w:p>
        </w:tc>
      </w:tr>
    </w:tbl>
    <w:p w14:paraId="328EAFF3" w14:textId="77777777" w:rsidR="0031229B" w:rsidRPr="0018391A" w:rsidRDefault="0031229B" w:rsidP="0021127B">
      <w:pPr>
        <w:pStyle w:val="a3"/>
        <w:rPr>
          <w:rtl/>
        </w:rPr>
      </w:pPr>
      <w:r w:rsidRPr="0018391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1229B" w:rsidRPr="0018391A" w14:paraId="1A4EB1EF" w14:textId="77777777" w:rsidTr="0031229B">
        <w:trPr>
          <w:trHeight w:val="295"/>
          <w:jc w:val="center"/>
        </w:trPr>
        <w:tc>
          <w:tcPr>
            <w:tcW w:w="923" w:type="dxa"/>
            <w:tcBorders>
              <w:top w:val="nil"/>
              <w:left w:val="nil"/>
              <w:bottom w:val="nil"/>
              <w:right w:val="nil"/>
            </w:tcBorders>
            <w:shd w:val="clear" w:color="auto" w:fill="auto"/>
          </w:tcPr>
          <w:p w14:paraId="2700C2F6" w14:textId="77777777" w:rsidR="0031229B" w:rsidRPr="0018391A" w:rsidRDefault="0031229B" w:rsidP="0031229B">
            <w:pPr>
              <w:jc w:val="both"/>
              <w:rPr>
                <w:rFonts w:ascii="David" w:hAnsi="David"/>
                <w:sz w:val="26"/>
                <w:szCs w:val="26"/>
              </w:rPr>
            </w:pPr>
            <w:r w:rsidRPr="0018391A">
              <w:rPr>
                <w:rFonts w:ascii="David" w:hAnsi="David" w:hint="cs"/>
                <w:sz w:val="26"/>
                <w:szCs w:val="26"/>
                <w:rtl/>
              </w:rPr>
              <w:t>ל</w:t>
            </w:r>
            <w:r w:rsidRPr="0018391A">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3442E5B" w14:textId="77777777" w:rsidR="0031229B" w:rsidRPr="0018391A" w:rsidRDefault="0031229B" w:rsidP="00356BED">
            <w:pPr>
              <w:rPr>
                <w:rFonts w:ascii="David" w:hAnsi="David"/>
                <w:b/>
                <w:bCs/>
                <w:sz w:val="26"/>
                <w:szCs w:val="26"/>
                <w:rtl/>
              </w:rPr>
            </w:pPr>
            <w:r w:rsidRPr="0018391A">
              <w:rPr>
                <w:rFonts w:ascii="David" w:hAnsi="David"/>
                <w:b/>
                <w:bCs/>
                <w:sz w:val="26"/>
                <w:szCs w:val="26"/>
                <w:rtl/>
              </w:rPr>
              <w:t>כבוד השופטת  מרב גרינברג</w:t>
            </w:r>
          </w:p>
          <w:p w14:paraId="49B354D7" w14:textId="77777777" w:rsidR="0031229B" w:rsidRPr="0018391A" w:rsidRDefault="0031229B" w:rsidP="00356BED">
            <w:pPr>
              <w:rPr>
                <w:rFonts w:ascii="David" w:hAnsi="David"/>
                <w:sz w:val="26"/>
                <w:szCs w:val="26"/>
                <w:rtl/>
              </w:rPr>
            </w:pPr>
          </w:p>
          <w:p w14:paraId="7FCA98A3" w14:textId="77777777" w:rsidR="0031229B" w:rsidRPr="0018391A" w:rsidRDefault="0031229B" w:rsidP="0031229B">
            <w:pPr>
              <w:jc w:val="both"/>
              <w:rPr>
                <w:rFonts w:ascii="David" w:hAnsi="David"/>
                <w:sz w:val="26"/>
                <w:szCs w:val="26"/>
              </w:rPr>
            </w:pPr>
          </w:p>
        </w:tc>
      </w:tr>
      <w:tr w:rsidR="0031229B" w:rsidRPr="0018391A" w14:paraId="221B6932" w14:textId="77777777" w:rsidTr="0031229B">
        <w:trPr>
          <w:trHeight w:val="355"/>
          <w:jc w:val="center"/>
        </w:trPr>
        <w:tc>
          <w:tcPr>
            <w:tcW w:w="923" w:type="dxa"/>
            <w:tcBorders>
              <w:top w:val="nil"/>
              <w:left w:val="nil"/>
              <w:bottom w:val="nil"/>
              <w:right w:val="nil"/>
            </w:tcBorders>
            <w:shd w:val="clear" w:color="auto" w:fill="auto"/>
          </w:tcPr>
          <w:p w14:paraId="580CD618" w14:textId="77777777" w:rsidR="0031229B" w:rsidRPr="0018391A" w:rsidRDefault="0031229B" w:rsidP="0031229B">
            <w:pPr>
              <w:jc w:val="both"/>
              <w:rPr>
                <w:rFonts w:ascii="David" w:hAnsi="David"/>
                <w:sz w:val="26"/>
                <w:szCs w:val="26"/>
              </w:rPr>
            </w:pPr>
            <w:bookmarkStart w:id="2" w:name="FirstAppellant"/>
            <w:r w:rsidRPr="0018391A">
              <w:rPr>
                <w:rFonts w:ascii="David" w:hAnsi="David"/>
                <w:sz w:val="26"/>
                <w:szCs w:val="26"/>
                <w:rtl/>
              </w:rPr>
              <w:t>בעניין:</w:t>
            </w:r>
          </w:p>
        </w:tc>
        <w:tc>
          <w:tcPr>
            <w:tcW w:w="3219" w:type="dxa"/>
            <w:tcBorders>
              <w:top w:val="nil"/>
              <w:left w:val="nil"/>
              <w:bottom w:val="nil"/>
              <w:right w:val="nil"/>
            </w:tcBorders>
            <w:shd w:val="clear" w:color="auto" w:fill="auto"/>
          </w:tcPr>
          <w:p w14:paraId="7F7E405D" w14:textId="77777777" w:rsidR="0031229B" w:rsidRPr="0018391A" w:rsidRDefault="0031229B" w:rsidP="0031229B">
            <w:pPr>
              <w:suppressLineNumbers/>
            </w:pPr>
            <w:r w:rsidRPr="0018391A">
              <w:rPr>
                <w:rFonts w:ascii="Arial" w:hAnsi="Arial" w:hint="cs"/>
                <w:b/>
                <w:bCs/>
                <w:sz w:val="26"/>
                <w:szCs w:val="26"/>
                <w:rtl/>
              </w:rPr>
              <w:t>ה</w:t>
            </w:r>
            <w:r w:rsidRPr="0018391A">
              <w:rPr>
                <w:rFonts w:ascii="Arial" w:hAnsi="Arial"/>
                <w:b/>
                <w:bCs/>
                <w:sz w:val="26"/>
                <w:szCs w:val="26"/>
                <w:rtl/>
              </w:rPr>
              <w:t>מאשימה</w:t>
            </w:r>
          </w:p>
          <w:p w14:paraId="29783456" w14:textId="77777777" w:rsidR="0031229B" w:rsidRPr="0018391A" w:rsidRDefault="0031229B" w:rsidP="00356BED">
            <w:pPr>
              <w:rPr>
                <w:rFonts w:ascii="David" w:hAnsi="David"/>
                <w:sz w:val="26"/>
                <w:szCs w:val="26"/>
              </w:rPr>
            </w:pPr>
          </w:p>
        </w:tc>
        <w:tc>
          <w:tcPr>
            <w:tcW w:w="4678" w:type="dxa"/>
            <w:tcBorders>
              <w:top w:val="nil"/>
              <w:left w:val="nil"/>
              <w:bottom w:val="nil"/>
              <w:right w:val="nil"/>
            </w:tcBorders>
            <w:shd w:val="clear" w:color="auto" w:fill="auto"/>
            <w:vAlign w:val="center"/>
          </w:tcPr>
          <w:p w14:paraId="037C8729" w14:textId="77777777" w:rsidR="0031229B" w:rsidRPr="0018391A" w:rsidRDefault="0031229B" w:rsidP="0031229B">
            <w:pPr>
              <w:suppressLineNumbers/>
            </w:pPr>
            <w:r w:rsidRPr="0018391A">
              <w:rPr>
                <w:rFonts w:ascii="Arial" w:hAnsi="Arial"/>
                <w:b/>
                <w:bCs/>
                <w:sz w:val="26"/>
                <w:szCs w:val="26"/>
                <w:rtl/>
              </w:rPr>
              <w:t>מדינת ישראל</w:t>
            </w:r>
            <w:r w:rsidRPr="0018391A">
              <w:rPr>
                <w:rFonts w:ascii="Arial" w:hAnsi="Arial"/>
                <w:b/>
                <w:bCs/>
                <w:sz w:val="26"/>
                <w:szCs w:val="26"/>
                <w:rtl/>
              </w:rPr>
              <w:br/>
            </w:r>
            <w:r w:rsidRPr="0018391A">
              <w:rPr>
                <w:rFonts w:ascii="Arial" w:hAnsi="Arial" w:hint="cs"/>
                <w:b/>
                <w:bCs/>
                <w:sz w:val="26"/>
                <w:szCs w:val="26"/>
                <w:rtl/>
              </w:rPr>
              <w:t>באמצעות עו"ד גבי פאר, פמ"מ (פלילי)</w:t>
            </w:r>
          </w:p>
          <w:p w14:paraId="5B59E10C" w14:textId="77777777" w:rsidR="0031229B" w:rsidRPr="0018391A" w:rsidRDefault="0031229B" w:rsidP="00356BED">
            <w:pPr>
              <w:rPr>
                <w:rFonts w:ascii="David" w:hAnsi="David"/>
                <w:sz w:val="26"/>
                <w:szCs w:val="26"/>
              </w:rPr>
            </w:pPr>
          </w:p>
        </w:tc>
      </w:tr>
      <w:bookmarkEnd w:id="2"/>
      <w:tr w:rsidR="0031229B" w:rsidRPr="0018391A" w14:paraId="0D2F27BD" w14:textId="77777777" w:rsidTr="0031229B">
        <w:trPr>
          <w:trHeight w:val="355"/>
          <w:jc w:val="center"/>
        </w:trPr>
        <w:tc>
          <w:tcPr>
            <w:tcW w:w="923" w:type="dxa"/>
            <w:tcBorders>
              <w:top w:val="nil"/>
              <w:left w:val="nil"/>
              <w:bottom w:val="nil"/>
              <w:right w:val="nil"/>
            </w:tcBorders>
            <w:shd w:val="clear" w:color="auto" w:fill="auto"/>
          </w:tcPr>
          <w:p w14:paraId="109F62DB" w14:textId="77777777" w:rsidR="0031229B" w:rsidRPr="0018391A" w:rsidRDefault="0031229B" w:rsidP="0031229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DA02E2B" w14:textId="77777777" w:rsidR="0031229B" w:rsidRPr="0018391A" w:rsidRDefault="0031229B" w:rsidP="0031229B">
            <w:pPr>
              <w:jc w:val="center"/>
              <w:rPr>
                <w:rFonts w:ascii="David" w:hAnsi="David"/>
                <w:b/>
                <w:bCs/>
                <w:sz w:val="26"/>
                <w:szCs w:val="26"/>
                <w:rtl/>
              </w:rPr>
            </w:pPr>
          </w:p>
          <w:p w14:paraId="151813D2" w14:textId="77777777" w:rsidR="0031229B" w:rsidRPr="0018391A" w:rsidRDefault="0031229B" w:rsidP="0031229B">
            <w:pPr>
              <w:jc w:val="center"/>
              <w:rPr>
                <w:rFonts w:ascii="David" w:hAnsi="David"/>
                <w:b/>
                <w:bCs/>
                <w:sz w:val="26"/>
                <w:szCs w:val="26"/>
                <w:rtl/>
              </w:rPr>
            </w:pPr>
            <w:r w:rsidRPr="0018391A">
              <w:rPr>
                <w:rFonts w:ascii="David" w:hAnsi="David"/>
                <w:b/>
                <w:bCs/>
                <w:sz w:val="26"/>
                <w:szCs w:val="26"/>
                <w:rtl/>
              </w:rPr>
              <w:t>נגד</w:t>
            </w:r>
          </w:p>
          <w:p w14:paraId="57BD1DDA" w14:textId="77777777" w:rsidR="0031229B" w:rsidRPr="0018391A" w:rsidRDefault="0031229B" w:rsidP="0031229B">
            <w:pPr>
              <w:jc w:val="both"/>
              <w:rPr>
                <w:rFonts w:ascii="David" w:hAnsi="David"/>
                <w:sz w:val="26"/>
                <w:szCs w:val="26"/>
              </w:rPr>
            </w:pPr>
          </w:p>
        </w:tc>
      </w:tr>
      <w:tr w:rsidR="0031229B" w:rsidRPr="0018391A" w14:paraId="104D2C1B" w14:textId="77777777" w:rsidTr="0031229B">
        <w:trPr>
          <w:trHeight w:val="355"/>
          <w:jc w:val="center"/>
        </w:trPr>
        <w:tc>
          <w:tcPr>
            <w:tcW w:w="923" w:type="dxa"/>
            <w:tcBorders>
              <w:top w:val="nil"/>
              <w:left w:val="nil"/>
              <w:bottom w:val="nil"/>
              <w:right w:val="nil"/>
            </w:tcBorders>
            <w:shd w:val="clear" w:color="auto" w:fill="auto"/>
          </w:tcPr>
          <w:p w14:paraId="65143495" w14:textId="77777777" w:rsidR="0031229B" w:rsidRPr="0018391A" w:rsidRDefault="0031229B" w:rsidP="00356BED">
            <w:pPr>
              <w:rPr>
                <w:rFonts w:ascii="David" w:hAnsi="David"/>
                <w:sz w:val="26"/>
                <w:szCs w:val="26"/>
                <w:rtl/>
              </w:rPr>
            </w:pPr>
          </w:p>
        </w:tc>
        <w:tc>
          <w:tcPr>
            <w:tcW w:w="3219" w:type="dxa"/>
            <w:tcBorders>
              <w:top w:val="nil"/>
              <w:left w:val="nil"/>
              <w:bottom w:val="nil"/>
              <w:right w:val="nil"/>
            </w:tcBorders>
            <w:shd w:val="clear" w:color="auto" w:fill="auto"/>
          </w:tcPr>
          <w:p w14:paraId="53321770" w14:textId="77777777" w:rsidR="0031229B" w:rsidRPr="0018391A" w:rsidRDefault="0031229B" w:rsidP="00356BED">
            <w:pPr>
              <w:rPr>
                <w:rFonts w:ascii="Arial" w:hAnsi="Arial"/>
                <w:b/>
                <w:bCs/>
                <w:sz w:val="26"/>
                <w:szCs w:val="26"/>
                <w:rtl/>
              </w:rPr>
            </w:pPr>
            <w:r w:rsidRPr="0018391A">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43B9FF53" w14:textId="77777777" w:rsidR="0031229B" w:rsidRPr="0018391A" w:rsidRDefault="0031229B" w:rsidP="00356BED">
            <w:pPr>
              <w:rPr>
                <w:rFonts w:ascii="David" w:hAnsi="David"/>
                <w:sz w:val="26"/>
                <w:szCs w:val="26"/>
              </w:rPr>
            </w:pPr>
          </w:p>
          <w:p w14:paraId="5184F29C" w14:textId="77777777" w:rsidR="0031229B" w:rsidRPr="0018391A" w:rsidRDefault="0031229B" w:rsidP="0031229B">
            <w:pPr>
              <w:suppressLineNumbers/>
            </w:pPr>
            <w:r w:rsidRPr="0018391A">
              <w:rPr>
                <w:rFonts w:ascii="Arial" w:hAnsi="Arial"/>
                <w:b/>
                <w:bCs/>
                <w:sz w:val="26"/>
                <w:szCs w:val="26"/>
                <w:rtl/>
              </w:rPr>
              <w:t>1. סאהר מנסור</w:t>
            </w:r>
            <w:r w:rsidRPr="0018391A">
              <w:rPr>
                <w:rFonts w:ascii="Arial" w:hAnsi="Arial"/>
                <w:b/>
                <w:bCs/>
                <w:sz w:val="26"/>
                <w:szCs w:val="26"/>
                <w:rtl/>
              </w:rPr>
              <w:br/>
            </w:r>
            <w:r w:rsidRPr="0018391A">
              <w:rPr>
                <w:rFonts w:ascii="Arial" w:hAnsi="Arial" w:hint="cs"/>
                <w:b/>
                <w:bCs/>
                <w:sz w:val="26"/>
                <w:szCs w:val="26"/>
                <w:rtl/>
              </w:rPr>
              <w:t>על ידי ב"כ עו"ד איהב ג'לג'ולי</w:t>
            </w:r>
          </w:p>
          <w:p w14:paraId="745C343E" w14:textId="77777777" w:rsidR="0031229B" w:rsidRPr="0018391A" w:rsidRDefault="0031229B" w:rsidP="0031229B">
            <w:pPr>
              <w:suppressLineNumbers/>
            </w:pPr>
            <w:r w:rsidRPr="0018391A">
              <w:rPr>
                <w:rFonts w:ascii="Arial" w:hAnsi="Arial"/>
                <w:b/>
                <w:bCs/>
                <w:sz w:val="26"/>
                <w:szCs w:val="26"/>
                <w:rtl/>
              </w:rPr>
              <w:t>2. עבדאללה סולטאני</w:t>
            </w:r>
            <w:r w:rsidRPr="0018391A">
              <w:rPr>
                <w:rFonts w:ascii="Arial" w:hAnsi="Arial"/>
                <w:b/>
                <w:bCs/>
                <w:sz w:val="26"/>
                <w:szCs w:val="26"/>
                <w:rtl/>
              </w:rPr>
              <w:br/>
            </w:r>
            <w:r w:rsidRPr="0018391A">
              <w:rPr>
                <w:rFonts w:ascii="Arial" w:hAnsi="Arial" w:hint="cs"/>
                <w:b/>
                <w:bCs/>
                <w:sz w:val="26"/>
                <w:szCs w:val="26"/>
                <w:rtl/>
              </w:rPr>
              <w:t>יל ידי ב"כ עו"ד פאדי חמדאן</w:t>
            </w:r>
          </w:p>
        </w:tc>
      </w:tr>
    </w:tbl>
    <w:p w14:paraId="7BA1CBC4" w14:textId="77777777" w:rsidR="0031229B" w:rsidRPr="0021127B" w:rsidRDefault="0031229B" w:rsidP="0031229B">
      <w:pPr>
        <w:rPr>
          <w:sz w:val="26"/>
          <w:szCs w:val="26"/>
          <w:rtl/>
        </w:rPr>
      </w:pPr>
    </w:p>
    <w:p w14:paraId="091314BE" w14:textId="77777777" w:rsidR="0021127B" w:rsidRDefault="0021127B" w:rsidP="0021127B">
      <w:pPr>
        <w:spacing w:before="120" w:after="120" w:line="240" w:lineRule="exact"/>
        <w:ind w:left="283" w:hanging="283"/>
        <w:jc w:val="both"/>
        <w:rPr>
          <w:rFonts w:ascii="FrankRuehl" w:hAnsi="FrankRuehl" w:cs="FrankRuehl" w:hint="cs"/>
          <w:rtl/>
        </w:rPr>
      </w:pPr>
      <w:bookmarkStart w:id="3" w:name="LawTable"/>
      <w:bookmarkEnd w:id="3"/>
    </w:p>
    <w:p w14:paraId="3C0F7E49" w14:textId="77777777" w:rsidR="0021127B" w:rsidRPr="0021127B" w:rsidRDefault="0021127B" w:rsidP="0021127B">
      <w:pPr>
        <w:spacing w:before="120" w:after="120" w:line="240" w:lineRule="exact"/>
        <w:ind w:left="283" w:hanging="283"/>
        <w:jc w:val="both"/>
        <w:rPr>
          <w:rFonts w:ascii="FrankRuehl" w:hAnsi="FrankRuehl" w:cs="FrankRuehl"/>
          <w:rtl/>
        </w:rPr>
      </w:pPr>
      <w:r w:rsidRPr="0021127B">
        <w:rPr>
          <w:rFonts w:ascii="FrankRuehl" w:hAnsi="FrankRuehl" w:cs="FrankRuehl"/>
          <w:rtl/>
        </w:rPr>
        <w:t xml:space="preserve">חקיקה שאוזכרה: </w:t>
      </w:r>
    </w:p>
    <w:p w14:paraId="396C9860" w14:textId="77777777" w:rsidR="0021127B" w:rsidRPr="0021127B" w:rsidRDefault="0021127B" w:rsidP="0021127B">
      <w:pPr>
        <w:spacing w:before="120" w:after="120" w:line="240" w:lineRule="exact"/>
        <w:ind w:left="283" w:hanging="283"/>
        <w:jc w:val="both"/>
        <w:rPr>
          <w:rFonts w:ascii="FrankRuehl" w:hAnsi="FrankRuehl" w:cs="FrankRuehl"/>
          <w:color w:val="0000FF"/>
          <w:rtl/>
        </w:rPr>
      </w:pPr>
      <w:hyperlink r:id="rId7" w:history="1">
        <w:r w:rsidRPr="0021127B">
          <w:rPr>
            <w:rStyle w:val="Hyperlink"/>
            <w:rFonts w:ascii="FrankRuehl" w:hAnsi="FrankRuehl" w:cs="FrankRuehl"/>
            <w:u w:val="none"/>
            <w:rtl/>
          </w:rPr>
          <w:t>חוק העונשין, תשל"ז-1977</w:t>
        </w:r>
      </w:hyperlink>
      <w:r w:rsidRPr="0021127B">
        <w:rPr>
          <w:rFonts w:ascii="FrankRuehl" w:hAnsi="FrankRuehl" w:cs="FrankRuehl"/>
          <w:color w:val="0000FF"/>
          <w:rtl/>
        </w:rPr>
        <w:t xml:space="preserve">: סע'  </w:t>
      </w:r>
      <w:hyperlink r:id="rId8" w:history="1">
        <w:r w:rsidRPr="0021127B">
          <w:rPr>
            <w:rStyle w:val="Hyperlink"/>
            <w:rFonts w:ascii="FrankRuehl" w:hAnsi="FrankRuehl" w:cs="FrankRuehl"/>
            <w:u w:val="none"/>
          </w:rPr>
          <w:t>29</w:t>
        </w:r>
      </w:hyperlink>
      <w:r w:rsidRPr="0021127B">
        <w:rPr>
          <w:rFonts w:ascii="FrankRuehl" w:hAnsi="FrankRuehl" w:cs="FrankRuehl"/>
          <w:color w:val="0000FF"/>
          <w:rtl/>
        </w:rPr>
        <w:t xml:space="preserve">, </w:t>
      </w:r>
      <w:hyperlink r:id="rId9" w:history="1">
        <w:r w:rsidRPr="0021127B">
          <w:rPr>
            <w:rStyle w:val="Hyperlink"/>
            <w:rFonts w:ascii="FrankRuehl" w:hAnsi="FrankRuehl" w:cs="FrankRuehl"/>
            <w:u w:val="none"/>
          </w:rPr>
          <w:t>144</w:t>
        </w:r>
      </w:hyperlink>
      <w:r w:rsidRPr="0021127B">
        <w:rPr>
          <w:rFonts w:ascii="FrankRuehl" w:hAnsi="FrankRuehl" w:cs="FrankRuehl"/>
          <w:color w:val="0000FF"/>
          <w:rtl/>
        </w:rPr>
        <w:t xml:space="preserve">(ב), </w:t>
      </w:r>
      <w:hyperlink r:id="rId10" w:history="1">
        <w:r w:rsidRPr="0021127B">
          <w:rPr>
            <w:rStyle w:val="Hyperlink"/>
            <w:rFonts w:ascii="FrankRuehl" w:hAnsi="FrankRuehl" w:cs="FrankRuehl"/>
            <w:u w:val="none"/>
          </w:rPr>
          <w:t>340</w:t>
        </w:r>
        <w:r w:rsidRPr="0021127B">
          <w:rPr>
            <w:rStyle w:val="Hyperlink"/>
            <w:rFonts w:ascii="FrankRuehl" w:hAnsi="FrankRuehl" w:cs="FrankRuehl"/>
            <w:u w:val="none"/>
            <w:rtl/>
          </w:rPr>
          <w:t>א</w:t>
        </w:r>
      </w:hyperlink>
      <w:r w:rsidRPr="0021127B">
        <w:rPr>
          <w:rFonts w:ascii="FrankRuehl" w:hAnsi="FrankRuehl" w:cs="FrankRuehl"/>
          <w:color w:val="0000FF"/>
          <w:rtl/>
        </w:rPr>
        <w:t xml:space="preserve">(א), </w:t>
      </w:r>
      <w:hyperlink r:id="rId11" w:history="1">
        <w:r w:rsidRPr="0021127B">
          <w:rPr>
            <w:rStyle w:val="Hyperlink"/>
            <w:rFonts w:ascii="FrankRuehl" w:hAnsi="FrankRuehl" w:cs="FrankRuehl"/>
            <w:u w:val="none"/>
          </w:rPr>
          <w:t>499</w:t>
        </w:r>
      </w:hyperlink>
      <w:r w:rsidRPr="0021127B">
        <w:rPr>
          <w:rFonts w:ascii="FrankRuehl" w:hAnsi="FrankRuehl" w:cs="FrankRuehl"/>
          <w:color w:val="0000FF"/>
          <w:rtl/>
        </w:rPr>
        <w:t>(א)(2)</w:t>
      </w:r>
    </w:p>
    <w:p w14:paraId="161E7D42" w14:textId="77777777" w:rsidR="0031229B" w:rsidRDefault="0031229B" w:rsidP="0021127B">
      <w:pPr>
        <w:rPr>
          <w:rFonts w:hint="cs"/>
          <w:sz w:val="26"/>
          <w:szCs w:val="26"/>
          <w:rtl/>
        </w:rPr>
      </w:pPr>
      <w:bookmarkStart w:id="4" w:name="LawTable_End"/>
      <w:bookmarkEnd w:id="4"/>
    </w:p>
    <w:p w14:paraId="2AB81369" w14:textId="77777777" w:rsidR="0021127B" w:rsidRDefault="0021127B" w:rsidP="0021127B">
      <w:pPr>
        <w:rPr>
          <w:rFonts w:hint="cs"/>
          <w:sz w:val="26"/>
          <w:szCs w:val="26"/>
          <w:rtl/>
        </w:rPr>
      </w:pPr>
    </w:p>
    <w:p w14:paraId="72CD7317" w14:textId="77777777" w:rsidR="0021127B" w:rsidRPr="0021127B" w:rsidRDefault="0021127B" w:rsidP="0021127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229B" w14:paraId="3E35F180" w14:textId="77777777" w:rsidTr="0031229B">
        <w:trPr>
          <w:trHeight w:val="355"/>
          <w:jc w:val="center"/>
        </w:trPr>
        <w:tc>
          <w:tcPr>
            <w:tcW w:w="8820" w:type="dxa"/>
            <w:tcBorders>
              <w:top w:val="nil"/>
              <w:left w:val="nil"/>
              <w:bottom w:val="nil"/>
              <w:right w:val="nil"/>
            </w:tcBorders>
            <w:shd w:val="clear" w:color="auto" w:fill="auto"/>
          </w:tcPr>
          <w:p w14:paraId="4EC5324A" w14:textId="77777777" w:rsidR="0018391A" w:rsidRPr="0018391A" w:rsidRDefault="0018391A" w:rsidP="0018391A">
            <w:pPr>
              <w:jc w:val="center"/>
              <w:rPr>
                <w:rFonts w:ascii="David" w:hAnsi="David"/>
                <w:b/>
                <w:bCs/>
                <w:sz w:val="32"/>
                <w:szCs w:val="32"/>
                <w:u w:val="single"/>
                <w:rtl/>
              </w:rPr>
            </w:pPr>
            <w:bookmarkStart w:id="5" w:name="PsakDin" w:colFirst="0" w:colLast="0"/>
            <w:bookmarkEnd w:id="0"/>
            <w:bookmarkEnd w:id="1"/>
            <w:r w:rsidRPr="0018391A">
              <w:rPr>
                <w:rFonts w:ascii="David" w:hAnsi="David"/>
                <w:b/>
                <w:bCs/>
                <w:sz w:val="32"/>
                <w:szCs w:val="32"/>
                <w:u w:val="single"/>
                <w:rtl/>
              </w:rPr>
              <w:t>גזר דין</w:t>
            </w:r>
          </w:p>
          <w:p w14:paraId="7E272150" w14:textId="77777777" w:rsidR="0031229B" w:rsidRPr="0018391A" w:rsidRDefault="0031229B" w:rsidP="0018391A">
            <w:pPr>
              <w:jc w:val="center"/>
              <w:rPr>
                <w:rFonts w:ascii="David" w:hAnsi="David"/>
                <w:bCs/>
                <w:sz w:val="32"/>
                <w:szCs w:val="32"/>
                <w:u w:val="single"/>
                <w:rtl/>
              </w:rPr>
            </w:pPr>
          </w:p>
        </w:tc>
      </w:tr>
    </w:tbl>
    <w:p w14:paraId="367E83A8" w14:textId="77777777" w:rsidR="0031229B" w:rsidRPr="000F2247" w:rsidRDefault="0031229B" w:rsidP="0031229B">
      <w:pPr>
        <w:rPr>
          <w:rFonts w:ascii="Arial" w:hAnsi="Arial"/>
          <w:b/>
          <w:bCs/>
          <w:sz w:val="26"/>
          <w:szCs w:val="26"/>
          <w:rtl/>
        </w:rPr>
      </w:pPr>
      <w:bookmarkStart w:id="6" w:name="ABSTRACT_START"/>
      <w:bookmarkEnd w:id="5"/>
      <w:bookmarkEnd w:id="6"/>
    </w:p>
    <w:p w14:paraId="2E8D9ACD" w14:textId="77777777" w:rsidR="0031229B" w:rsidRDefault="0031229B" w:rsidP="0031229B">
      <w:pPr>
        <w:pStyle w:val="a9"/>
        <w:numPr>
          <w:ilvl w:val="0"/>
          <w:numId w:val="1"/>
        </w:numPr>
        <w:spacing w:line="360" w:lineRule="auto"/>
        <w:jc w:val="both"/>
        <w:rPr>
          <w:u w:val="single"/>
        </w:rPr>
      </w:pPr>
      <w:r>
        <w:rPr>
          <w:rFonts w:hint="cs"/>
          <w:rtl/>
        </w:rPr>
        <w:t>הנאשמים הורשעו, במסגרת הסדר דיוני, בעובדות כתב אישום מתוקן בעבירה של</w:t>
      </w:r>
      <w:r>
        <w:rPr>
          <w:rFonts w:hint="cs"/>
          <w:b/>
          <w:bCs/>
          <w:rtl/>
        </w:rPr>
        <w:t xml:space="preserve"> נשיאת נשק בצוותא </w:t>
      </w:r>
      <w:r>
        <w:rPr>
          <w:rFonts w:hint="cs"/>
          <w:rtl/>
        </w:rPr>
        <w:t xml:space="preserve">לפי </w:t>
      </w:r>
      <w:hyperlink r:id="rId12" w:history="1">
        <w:r w:rsidR="0021127B" w:rsidRPr="0021127B">
          <w:rPr>
            <w:rStyle w:val="Hyperlink"/>
            <w:rFonts w:hint="eastAsia"/>
            <w:color w:val="0000FF"/>
            <w:rtl/>
          </w:rPr>
          <w:t>סעיף</w:t>
        </w:r>
        <w:r w:rsidR="0021127B" w:rsidRPr="0021127B">
          <w:rPr>
            <w:rStyle w:val="Hyperlink"/>
            <w:color w:val="0000FF"/>
            <w:rtl/>
          </w:rPr>
          <w:t xml:space="preserve"> 144(ב)</w:t>
        </w:r>
      </w:hyperlink>
      <w:r>
        <w:rPr>
          <w:rFonts w:hint="cs"/>
          <w:rtl/>
        </w:rPr>
        <w:t xml:space="preserve"> רישא וסיפא </w:t>
      </w:r>
      <w:hyperlink r:id="rId13" w:history="1">
        <w:r w:rsidR="0021127B" w:rsidRPr="0021127B">
          <w:rPr>
            <w:rStyle w:val="Hyperlink"/>
            <w:rFonts w:hint="eastAsia"/>
            <w:color w:val="0000FF"/>
            <w:rtl/>
          </w:rPr>
          <w:t>וסעיף</w:t>
        </w:r>
        <w:r w:rsidR="0021127B" w:rsidRPr="0021127B">
          <w:rPr>
            <w:rStyle w:val="Hyperlink"/>
            <w:color w:val="0000FF"/>
            <w:rtl/>
          </w:rPr>
          <w:t xml:space="preserve"> 29</w:t>
        </w:r>
      </w:hyperlink>
      <w:r>
        <w:rPr>
          <w:rFonts w:hint="cs"/>
          <w:rtl/>
        </w:rPr>
        <w:t xml:space="preserve"> ל</w:t>
      </w:r>
      <w:hyperlink r:id="rId14" w:history="1">
        <w:r w:rsidR="0018391A" w:rsidRPr="0018391A">
          <w:rPr>
            <w:color w:val="0000FF"/>
            <w:u w:val="single"/>
            <w:rtl/>
          </w:rPr>
          <w:t>חוק העונשין</w:t>
        </w:r>
      </w:hyperlink>
      <w:r>
        <w:rPr>
          <w:rFonts w:hint="cs"/>
          <w:rtl/>
        </w:rPr>
        <w:t xml:space="preserve">, תשל"ז- 1977 (להלן: "החוק"). נאשם 1 הורשע בנוסף בעבירה של </w:t>
      </w:r>
      <w:r>
        <w:rPr>
          <w:rFonts w:hint="cs"/>
          <w:b/>
          <w:bCs/>
          <w:rtl/>
        </w:rPr>
        <w:t>ירי מנשק חם</w:t>
      </w:r>
      <w:r>
        <w:rPr>
          <w:rFonts w:hint="cs"/>
          <w:rtl/>
        </w:rPr>
        <w:t xml:space="preserve">, לפי </w:t>
      </w:r>
      <w:hyperlink r:id="rId15" w:history="1">
        <w:r w:rsidR="0021127B" w:rsidRPr="0021127B">
          <w:rPr>
            <w:rStyle w:val="Hyperlink"/>
            <w:rFonts w:hint="eastAsia"/>
            <w:color w:val="0000FF"/>
            <w:rtl/>
          </w:rPr>
          <w:t>סעיף</w:t>
        </w:r>
        <w:r w:rsidR="0021127B" w:rsidRPr="0021127B">
          <w:rPr>
            <w:rStyle w:val="Hyperlink"/>
            <w:color w:val="0000FF"/>
            <w:rtl/>
          </w:rPr>
          <w:t xml:space="preserve"> 340א(א)</w:t>
        </w:r>
      </w:hyperlink>
      <w:r>
        <w:rPr>
          <w:rFonts w:hint="cs"/>
          <w:rtl/>
        </w:rPr>
        <w:t xml:space="preserve"> לחוק, ונאשם 2 הורשע גם בעבירה של </w:t>
      </w:r>
      <w:r>
        <w:rPr>
          <w:rFonts w:hint="cs"/>
          <w:b/>
          <w:bCs/>
          <w:rtl/>
        </w:rPr>
        <w:t>קשירת קשר לעוון</w:t>
      </w:r>
      <w:r>
        <w:rPr>
          <w:rFonts w:hint="cs"/>
          <w:rtl/>
        </w:rPr>
        <w:t xml:space="preserve">, לפי </w:t>
      </w:r>
      <w:hyperlink r:id="rId16" w:history="1">
        <w:r w:rsidR="0021127B" w:rsidRPr="0021127B">
          <w:rPr>
            <w:rStyle w:val="Hyperlink"/>
            <w:rFonts w:hint="eastAsia"/>
            <w:color w:val="0000FF"/>
            <w:rtl/>
          </w:rPr>
          <w:t>סעיף</w:t>
        </w:r>
        <w:r w:rsidR="0021127B" w:rsidRPr="0021127B">
          <w:rPr>
            <w:rStyle w:val="Hyperlink"/>
            <w:color w:val="0000FF"/>
            <w:rtl/>
          </w:rPr>
          <w:t xml:space="preserve"> 499(א)(2)</w:t>
        </w:r>
      </w:hyperlink>
      <w:r>
        <w:rPr>
          <w:rFonts w:hint="cs"/>
          <w:rtl/>
        </w:rPr>
        <w:t xml:space="preserve"> לחוק.  </w:t>
      </w:r>
    </w:p>
    <w:p w14:paraId="09786AFD" w14:textId="77777777" w:rsidR="0031229B" w:rsidRDefault="0031229B" w:rsidP="0031229B">
      <w:pPr>
        <w:pStyle w:val="a9"/>
        <w:spacing w:line="360" w:lineRule="auto"/>
        <w:jc w:val="both"/>
        <w:rPr>
          <w:rtl/>
        </w:rPr>
      </w:pPr>
      <w:bookmarkStart w:id="7" w:name="ABSTRACT_END"/>
      <w:bookmarkEnd w:id="7"/>
    </w:p>
    <w:p w14:paraId="6BAD2E72" w14:textId="77777777" w:rsidR="0031229B" w:rsidRDefault="0031229B" w:rsidP="0031229B">
      <w:pPr>
        <w:pStyle w:val="a9"/>
        <w:numPr>
          <w:ilvl w:val="0"/>
          <w:numId w:val="1"/>
        </w:numPr>
        <w:spacing w:line="360" w:lineRule="auto"/>
        <w:jc w:val="both"/>
        <w:rPr>
          <w:rFonts w:hint="cs"/>
        </w:rPr>
      </w:pPr>
      <w:r>
        <w:rPr>
          <w:rFonts w:hint="cs"/>
          <w:rtl/>
        </w:rPr>
        <w:t xml:space="preserve">כמפורט בעובדות כתב האישום המתוקן, ביום 15.7.24 סמוך לפני השעה 01:50 נסעו הנאשמים ברכב שבבעלות נאשם 2 בדרך המכונה "ציר 400" בין טירה לטייבה, כשהם נושאים עמם בצוותא אקדח מסוג "ברטה" ביחד עם מחסנית תואמת ובה כדורים תואמים. באותן נסיבות, עצרו הנאשמים בצד הדרך ויצאו מהרכב. נאשם 1 ירה בנשק מספר כדורים, לאחר מכן חזרו הנאשמים אל הרכב ונעצרו כעבור זמן קצר על ידי שוטרים. </w:t>
      </w:r>
    </w:p>
    <w:p w14:paraId="6DDBB0A4" w14:textId="77777777" w:rsidR="0021127B" w:rsidRDefault="0021127B" w:rsidP="0021127B">
      <w:pPr>
        <w:pStyle w:val="a9"/>
        <w:spacing w:line="360" w:lineRule="auto"/>
        <w:ind w:left="0"/>
        <w:jc w:val="both"/>
        <w:rPr>
          <w:rFonts w:hint="cs"/>
          <w:rtl/>
        </w:rPr>
      </w:pPr>
    </w:p>
    <w:p w14:paraId="20146CB4" w14:textId="77777777" w:rsidR="0021127B" w:rsidRDefault="0021127B" w:rsidP="0021127B">
      <w:pPr>
        <w:pStyle w:val="a9"/>
        <w:spacing w:line="360" w:lineRule="auto"/>
        <w:jc w:val="both"/>
      </w:pPr>
    </w:p>
    <w:p w14:paraId="4A9B093C" w14:textId="77777777" w:rsidR="0031229B" w:rsidRDefault="0031229B" w:rsidP="0031229B">
      <w:pPr>
        <w:pStyle w:val="a9"/>
      </w:pPr>
    </w:p>
    <w:p w14:paraId="38BE2674" w14:textId="77777777" w:rsidR="0031229B" w:rsidRDefault="0031229B" w:rsidP="0031229B">
      <w:pPr>
        <w:pStyle w:val="a9"/>
        <w:spacing w:line="360" w:lineRule="auto"/>
        <w:jc w:val="both"/>
        <w:rPr>
          <w:b/>
          <w:bCs/>
          <w:u w:val="single"/>
        </w:rPr>
      </w:pPr>
      <w:r>
        <w:rPr>
          <w:rFonts w:hint="cs"/>
          <w:b/>
          <w:bCs/>
          <w:u w:val="single"/>
          <w:rtl/>
        </w:rPr>
        <w:lastRenderedPageBreak/>
        <w:t>תסקירי שירות מבחן</w:t>
      </w:r>
    </w:p>
    <w:p w14:paraId="71D5F9F1" w14:textId="77777777" w:rsidR="0031229B" w:rsidRDefault="0031229B" w:rsidP="0031229B">
      <w:pPr>
        <w:pStyle w:val="a9"/>
        <w:numPr>
          <w:ilvl w:val="0"/>
          <w:numId w:val="1"/>
        </w:numPr>
        <w:spacing w:line="360" w:lineRule="auto"/>
        <w:jc w:val="both"/>
        <w:rPr>
          <w:rtl/>
        </w:rPr>
      </w:pPr>
      <w:r>
        <w:rPr>
          <w:rFonts w:hint="cs"/>
          <w:rtl/>
        </w:rPr>
        <w:t xml:space="preserve">הנאשם הופנו לתסקירי חובה מפאת גילם </w:t>
      </w:r>
      <w:r>
        <w:rPr>
          <w:rFonts w:hint="cs"/>
          <w:u w:val="single"/>
          <w:rtl/>
        </w:rPr>
        <w:t>נאשם 1</w:t>
      </w:r>
      <w:r>
        <w:rPr>
          <w:rFonts w:hint="cs"/>
          <w:rtl/>
        </w:rPr>
        <w:t xml:space="preserve"> כבן 22, תושב טירה, נעדר עבר פלילי. מקורותיו עולה כי גדל במשפחה נורמטיבית, מכובדת ומתפקדת, השלים 12 שנות לימוד ועבד באיטליז בבעלות משפחתית. משפחתו של הנאשם סיפקה את צרכיו הרגשיים והחברתיים, ואולם במסגרת החברתית הנאשם התנהל באופן שונה ושולי מהאופן שבו התנהל לצד בני משפחתו. בשיחה עם שירות המבחן התקשה להסביר את הפער בין אורח החיים הנורמטיבי מול נסיבות מעצרו. </w:t>
      </w:r>
    </w:p>
    <w:p w14:paraId="38E28F88" w14:textId="77777777" w:rsidR="0031229B" w:rsidRDefault="0031229B" w:rsidP="0031229B">
      <w:pPr>
        <w:pStyle w:val="a9"/>
        <w:spacing w:line="360" w:lineRule="auto"/>
        <w:jc w:val="both"/>
        <w:rPr>
          <w:rtl/>
        </w:rPr>
      </w:pPr>
      <w:r>
        <w:rPr>
          <w:rFonts w:hint="cs"/>
          <w:rtl/>
        </w:rPr>
        <w:t>שירות מבחן התרשם מכך שגילו הצעיר, קשייו בקבלת החלטות ובשיקול דעת והתנהלות אימפולסיבית עומדים ברקע מעשיו. הנאשם מביע צער על מעשיו אך בד בבד מחזיק בעמדה קורבנית המקשה עליו לבחון התנהלותו והוא מתקשה לבחון את מניעיו. עוד התרשמו שהנאשם מתקשה ביכולת הצבת גבולות פנימיים ובלחצים חברתיים. עם זאת, מבטא רצון להתנהלות נורמטיבית. לאור חומרת העבירות והתייחסות הנאשם למעשיו המליץ שירות המבחן על הטלת עונש מאסר.</w:t>
      </w:r>
    </w:p>
    <w:p w14:paraId="66A92D58" w14:textId="77777777" w:rsidR="0031229B" w:rsidRDefault="0031229B" w:rsidP="0031229B">
      <w:pPr>
        <w:pStyle w:val="a9"/>
        <w:spacing w:line="360" w:lineRule="auto"/>
        <w:jc w:val="both"/>
        <w:rPr>
          <w:rtl/>
        </w:rPr>
      </w:pPr>
    </w:p>
    <w:p w14:paraId="033D7A1D" w14:textId="77777777" w:rsidR="0031229B" w:rsidRDefault="0031229B" w:rsidP="0031229B">
      <w:pPr>
        <w:pStyle w:val="a9"/>
        <w:numPr>
          <w:ilvl w:val="0"/>
          <w:numId w:val="1"/>
        </w:numPr>
        <w:spacing w:line="360" w:lineRule="auto"/>
        <w:jc w:val="both"/>
        <w:rPr>
          <w:rtl/>
        </w:rPr>
      </w:pPr>
      <w:r>
        <w:rPr>
          <w:rFonts w:hint="cs"/>
          <w:u w:val="single"/>
          <w:rtl/>
        </w:rPr>
        <w:t>נאשם 2</w:t>
      </w:r>
      <w:r>
        <w:rPr>
          <w:rFonts w:hint="cs"/>
          <w:rtl/>
        </w:rPr>
        <w:t xml:space="preserve"> כבן 21, נעדר עבר פלילי, סיים 12 שנות לימוד עם תעודת בגרות מלאה, לדבריו נרשם ללימודי תואר ראשון. טרם מעצרו התגורר בבית הוריו ועבד לסירוגין במסעדה על מנת לממן את לימודיו. מסר שגדל במשפחה בעלת ערכים נורמטיביים, בית חם שהעניק מענה לצרכיו הפיזיים והנפשיים. בפני שירות המבחן הנאשם קיבל אחריות על ביצוע העבירות, הביע חרטה וצער וטען כי התנהל בילדותיות, לא שקל את השלכות מעשיו ולא הבין את חומרתם. מסר שברקע לביצוע העבירות חוסר בשלות, סקרנות ובדיקת גבולות, שלל צורך בפגיעה באחר או סכסוך. הנאשם ביטא הבנה לחומרת התנהגותו, החריגה לאורחות חייו, בושה וחרטה, תיאר מאמצים להסתגל למעצרו. הנאשם הדגיש את רצונו לשאת בתוצאות התנהגותו על מנת לחזור לנהל אורח חיים יציב ולממש תכניותיו ללימודים והתפתחות מקצועית. שירות המבחן התרשם מקושי בוויסות רגשי, צורך בשייכות חברתית, קושי בוויסות דחפים ובזיהוי מצבי סיכון. מאידך, לנאשם כוחות ויכולת ליציבות, הוא מודע לנסיבות הרגשיות העומדות ברקע לביצוע העבירות ומביע מחויבות לשיקום. </w:t>
      </w:r>
    </w:p>
    <w:p w14:paraId="688268A6" w14:textId="77777777" w:rsidR="0031229B" w:rsidRDefault="0031229B" w:rsidP="0031229B">
      <w:pPr>
        <w:pStyle w:val="a9"/>
        <w:spacing w:line="360" w:lineRule="auto"/>
        <w:jc w:val="both"/>
        <w:rPr>
          <w:rtl/>
        </w:rPr>
      </w:pPr>
      <w:r>
        <w:rPr>
          <w:rFonts w:hint="cs"/>
          <w:rtl/>
        </w:rPr>
        <w:t xml:space="preserve">להערכת שירות מבחן יש צורך בהתערבות טיפולית במצבו על מנת להקטין עוד את הסיכון להישנות התנהגותו, הומלץ כי במידה ויוטל עליו מאסר בפועל יילקח בחשבון מעצרו הממושך, העובדה שמדובר בעבירה ראשונה עליה לוקח אחריות ומבטא חרטה והתנהגותו החיובית בבית המעצר. </w:t>
      </w:r>
    </w:p>
    <w:p w14:paraId="6DF59866" w14:textId="77777777" w:rsidR="0031229B" w:rsidRDefault="0031229B" w:rsidP="0031229B">
      <w:pPr>
        <w:spacing w:line="360" w:lineRule="auto"/>
        <w:jc w:val="both"/>
        <w:rPr>
          <w:b/>
          <w:bCs/>
          <w:u w:val="single"/>
          <w:rtl/>
        </w:rPr>
      </w:pPr>
    </w:p>
    <w:p w14:paraId="01E467B6" w14:textId="77777777" w:rsidR="0031229B" w:rsidRDefault="0031229B" w:rsidP="0031229B">
      <w:pPr>
        <w:spacing w:line="360" w:lineRule="auto"/>
        <w:jc w:val="both"/>
        <w:rPr>
          <w:b/>
          <w:bCs/>
          <w:u w:val="single"/>
          <w:rtl/>
        </w:rPr>
      </w:pPr>
      <w:r>
        <w:rPr>
          <w:b/>
          <w:bCs/>
          <w:u w:val="single"/>
          <w:rtl/>
        </w:rPr>
        <w:t>תמצית הטיעונים לעונש</w:t>
      </w:r>
    </w:p>
    <w:p w14:paraId="326B5EE6" w14:textId="77777777" w:rsidR="0031229B" w:rsidRDefault="0031229B" w:rsidP="0031229B">
      <w:pPr>
        <w:pStyle w:val="a9"/>
        <w:numPr>
          <w:ilvl w:val="0"/>
          <w:numId w:val="1"/>
        </w:numPr>
        <w:spacing w:line="360" w:lineRule="auto"/>
        <w:jc w:val="both"/>
        <w:rPr>
          <w:rtl/>
        </w:rPr>
      </w:pPr>
      <w:r>
        <w:rPr>
          <w:rFonts w:hint="cs"/>
          <w:rtl/>
        </w:rPr>
        <w:t xml:space="preserve">ב"כ המאשימה, עו"ד גבי פאר, עמד על הפגיעה החמורה בביטחון הציבור ועל הנזק הפוטנציאלי לשימוש בנשק למטרות פליליות או ביטחוניות ולפגיעה בגוף ובנפש. הודגש התכנון, סוג הנשק-אקדח, והיותו טעון בכדורים, לצד השימוש בנשק לאחר צאתם מהרכב, </w:t>
      </w:r>
      <w:r>
        <w:rPr>
          <w:rFonts w:hint="cs"/>
          <w:rtl/>
        </w:rPr>
        <w:lastRenderedPageBreak/>
        <w:t xml:space="preserve">נאשם 1 ירה כאשר נאשם 2 עמד בקרבת מקום. לעמדת המאשימה, נאשם 1 היה מעט יותר דומיננטי באירוע מנאשם 2, אף שהאחרון ידע מה עתיד לבצע שותפו. נטען כי העדר הסבר מצד הנאשמים לרקע ולנסיבות ביצוע העבירות צריך להישקל לחומרה. ב"כ המאשימה הפנה לאמור בתסקירי שירות המבחן, לשיטתו התסקיר בעניינו של נאשם 1 שלילי וגם בעניינו של נאשם 2 אינו חיובי. ב"כ המאשימה עתר בעניינו של נאשם 1- להעמיד את המתחם על 60-40 חודשים ולהשית עליו 42 חודשי מאסר, ובעניינו של נאשם 2- למתחם שנע בין 54-30 חודשים ולמאסר בן 34 חודשים. כן עתר למאסר מותנה וקנס. </w:t>
      </w:r>
    </w:p>
    <w:p w14:paraId="5C2476B8" w14:textId="77777777" w:rsidR="0031229B" w:rsidRDefault="0031229B" w:rsidP="0031229B">
      <w:pPr>
        <w:pStyle w:val="a9"/>
        <w:spacing w:line="360" w:lineRule="auto"/>
        <w:jc w:val="both"/>
      </w:pPr>
    </w:p>
    <w:p w14:paraId="7DEB6787" w14:textId="77777777" w:rsidR="0031229B" w:rsidRDefault="0031229B" w:rsidP="0031229B">
      <w:pPr>
        <w:pStyle w:val="a9"/>
        <w:numPr>
          <w:ilvl w:val="0"/>
          <w:numId w:val="1"/>
        </w:numPr>
        <w:spacing w:line="360" w:lineRule="auto"/>
        <w:jc w:val="both"/>
      </w:pPr>
      <w:r>
        <w:rPr>
          <w:rFonts w:hint="cs"/>
          <w:rtl/>
        </w:rPr>
        <w:t xml:space="preserve">ב"כ נאשם 1, עו"ד איהב ג'לג'ולי, עתר להסתפק בעונש מאסר מתון. נטען כי מדובר בנשיאת נשק קצרה בזמן, הנאשמים לא היו בדרכם לפגוע באחרים והירי בוצע בשטח פתוח ולא כוון לעברו של איש. עוד נטען כי בניגוד למקרים אחרים בפסיקה, לנאשם אין רקע או אחיזה בעולם הנשק, הוא גדל במשפחה נורמטיבית, נעדר עבר פלילי, מנהל עסק משפחתי, ותורם מכספו ומזמנו לקהילה (הוגשו מסמכים נ/1). הנאשם אינו מצליח להסביר את מעשיו משום שאכן מדובר במעשה ילדותי שלא היה צריך לבוא לעולם. עם זאת, התסקיר אינו שלילי ויש בו ביטוי לנקודות חיוביות בעניינו של הנאשם, הנאשם הודה במעשיו כבר בפני השוטר שעצר את רכבם. </w:t>
      </w:r>
    </w:p>
    <w:p w14:paraId="4AEF9B75" w14:textId="77777777" w:rsidR="0031229B" w:rsidRDefault="0031229B" w:rsidP="0031229B">
      <w:pPr>
        <w:pStyle w:val="a9"/>
      </w:pPr>
    </w:p>
    <w:p w14:paraId="652BA341" w14:textId="77777777" w:rsidR="0031229B" w:rsidRDefault="0031229B" w:rsidP="0031229B">
      <w:pPr>
        <w:pStyle w:val="a9"/>
        <w:numPr>
          <w:ilvl w:val="0"/>
          <w:numId w:val="1"/>
        </w:numPr>
        <w:spacing w:line="360" w:lineRule="auto"/>
        <w:jc w:val="both"/>
        <w:rPr>
          <w:rtl/>
        </w:rPr>
      </w:pPr>
      <w:r>
        <w:rPr>
          <w:rFonts w:hint="cs"/>
          <w:rtl/>
        </w:rPr>
        <w:t xml:space="preserve">ב"כ נאשם 2, עו"ד פאדי חמדאן, עתר להשית על הנאשם, לכל היותר, 12 חודשי מאסר. נטען כי הנאשם לא נגע באקדח, בדיקות מעבדה נמצאו שליליות, ומיד כשהשוטרים הגיעו לרכב הנאשם פתח את תא הכפפות שם היה מונח הנשק.  מדובר בנשק קצר ונשיאתו הייתה קצרה. ברקע לביצוע העבירות אין סכסוך עם אחרים או קשירת קשר למעשה חמור. הסניגור ביקש להתחשב בעת גזירת עונשו של הנאשם בפוטנציאל השיקום בעניינו, במצבם של הוריו, ברקע המשפחתי ממנו מגיע ובחשש שדווקא ביו כותלי הכלא ייחשף לחברה עבריינית. לנוכח מצב כלכלי קשה של הוריו עתר להשית קנס מתון. </w:t>
      </w:r>
    </w:p>
    <w:p w14:paraId="5622E6F4" w14:textId="77777777" w:rsidR="0031229B" w:rsidRDefault="0031229B" w:rsidP="0031229B">
      <w:pPr>
        <w:pStyle w:val="a9"/>
        <w:spacing w:line="360" w:lineRule="auto"/>
        <w:jc w:val="both"/>
      </w:pPr>
    </w:p>
    <w:p w14:paraId="1402FF87" w14:textId="77777777" w:rsidR="0031229B" w:rsidRDefault="0031229B" w:rsidP="0031229B">
      <w:pPr>
        <w:pStyle w:val="a9"/>
        <w:numPr>
          <w:ilvl w:val="0"/>
          <w:numId w:val="1"/>
        </w:numPr>
        <w:spacing w:line="360" w:lineRule="auto"/>
        <w:jc w:val="both"/>
        <w:rPr>
          <w:rtl/>
        </w:rPr>
      </w:pPr>
      <w:r>
        <w:rPr>
          <w:rFonts w:hint="cs"/>
          <w:rtl/>
        </w:rPr>
        <w:t xml:space="preserve">מטעמו של נאשם 2 העיד אביו, תיאר את הרקע המשפחתי ממנו בא הנאשם, הצעיר בין שבעה ילדים, אחיו משכילים, וגם הנאשם סיים בגרות מלאה והתקבל ללימודים אקדמאיים. עוד ציין האב כי הוא ורעייתו מתמודדים עם נכות, וכי לאחר מעצרו חלה הידרדרות במצבה של האם שהייתה קשורה ביותר לנאשם; הנאשמים הביעו צער על מעשיהם וביקשו להתחשב בהם. </w:t>
      </w:r>
    </w:p>
    <w:p w14:paraId="52118C33" w14:textId="77777777" w:rsidR="0031229B" w:rsidRDefault="0031229B" w:rsidP="0031229B">
      <w:pPr>
        <w:pStyle w:val="a9"/>
      </w:pPr>
    </w:p>
    <w:p w14:paraId="063C562D" w14:textId="77777777" w:rsidR="0031229B" w:rsidRDefault="0031229B" w:rsidP="0031229B">
      <w:pPr>
        <w:pStyle w:val="a9"/>
        <w:rPr>
          <w:b/>
          <w:bCs/>
          <w:u w:val="single"/>
        </w:rPr>
      </w:pPr>
    </w:p>
    <w:p w14:paraId="53C2A110" w14:textId="77777777" w:rsidR="0031229B" w:rsidRDefault="0031229B" w:rsidP="0031229B">
      <w:pPr>
        <w:spacing w:line="360" w:lineRule="auto"/>
        <w:jc w:val="both"/>
        <w:rPr>
          <w:b/>
          <w:bCs/>
          <w:u w:val="single"/>
          <w:rtl/>
        </w:rPr>
      </w:pPr>
      <w:r>
        <w:rPr>
          <w:b/>
          <w:bCs/>
          <w:u w:val="single"/>
          <w:rtl/>
        </w:rPr>
        <w:t>דיון והכרעה</w:t>
      </w:r>
    </w:p>
    <w:p w14:paraId="6CA9BCCD" w14:textId="77777777" w:rsidR="0031229B" w:rsidRDefault="0031229B" w:rsidP="0031229B">
      <w:pPr>
        <w:spacing w:line="360" w:lineRule="auto"/>
        <w:jc w:val="both"/>
        <w:rPr>
          <w:b/>
          <w:bCs/>
          <w:u w:val="single"/>
          <w:rtl/>
        </w:rPr>
      </w:pPr>
      <w:r>
        <w:rPr>
          <w:b/>
          <w:bCs/>
          <w:u w:val="single"/>
          <w:rtl/>
        </w:rPr>
        <w:t>מתחם העונש ההולם</w:t>
      </w:r>
    </w:p>
    <w:p w14:paraId="46BCE415" w14:textId="77777777" w:rsidR="0031229B" w:rsidRDefault="0031229B" w:rsidP="0031229B">
      <w:pPr>
        <w:pStyle w:val="ruller40"/>
        <w:numPr>
          <w:ilvl w:val="0"/>
          <w:numId w:val="1"/>
        </w:numPr>
        <w:bidi/>
        <w:spacing w:before="0" w:beforeAutospacing="0" w:after="0" w:afterAutospacing="0" w:line="360" w:lineRule="atLeast"/>
        <w:jc w:val="both"/>
        <w:rPr>
          <w:rFonts w:ascii="David" w:hAnsi="David" w:cs="David"/>
          <w:color w:val="000000"/>
          <w:spacing w:val="10"/>
          <w:rtl/>
        </w:rPr>
      </w:pPr>
      <w:r>
        <w:rPr>
          <w:rFonts w:ascii="David" w:hAnsi="David" w:cs="David"/>
          <w:rtl/>
        </w:rPr>
        <w:t>מעשי הנאשמים בתיק זה מהווים אירוע עונשי אחד</w:t>
      </w:r>
      <w:r>
        <w:rPr>
          <w:rFonts w:hint="cs"/>
          <w:rtl/>
        </w:rPr>
        <w:t xml:space="preserve"> </w:t>
      </w:r>
      <w:r>
        <w:rPr>
          <w:rFonts w:ascii="David" w:hAnsi="David" w:cs="David"/>
          <w:rtl/>
        </w:rPr>
        <w:t>וייקבע בגינם מתחם עונשי כולל</w:t>
      </w:r>
      <w:r>
        <w:rPr>
          <w:rFonts w:hint="cs"/>
          <w:rtl/>
        </w:rPr>
        <w:t>.</w:t>
      </w:r>
    </w:p>
    <w:p w14:paraId="5786CAC6" w14:textId="77777777" w:rsidR="0031229B" w:rsidRDefault="0031229B" w:rsidP="0031229B">
      <w:pPr>
        <w:pStyle w:val="ruller40"/>
        <w:bidi/>
        <w:spacing w:before="0" w:beforeAutospacing="0" w:after="0" w:afterAutospacing="0" w:line="360" w:lineRule="atLeast"/>
        <w:ind w:left="720"/>
        <w:jc w:val="both"/>
        <w:rPr>
          <w:rFonts w:ascii="David" w:hAnsi="David" w:cs="David"/>
          <w:color w:val="000000"/>
          <w:spacing w:val="10"/>
          <w:rtl/>
        </w:rPr>
      </w:pPr>
    </w:p>
    <w:p w14:paraId="691E0344" w14:textId="77777777" w:rsidR="0031229B" w:rsidRDefault="0031229B" w:rsidP="0031229B">
      <w:pPr>
        <w:pStyle w:val="ruller40"/>
        <w:numPr>
          <w:ilvl w:val="0"/>
          <w:numId w:val="1"/>
        </w:numPr>
        <w:bidi/>
        <w:spacing w:before="0" w:beforeAutospacing="0" w:after="0" w:afterAutospacing="0" w:line="360" w:lineRule="atLeast"/>
        <w:jc w:val="both"/>
        <w:rPr>
          <w:rFonts w:ascii="David" w:hAnsi="David" w:cs="David"/>
          <w:color w:val="000000"/>
          <w:spacing w:val="10"/>
        </w:rPr>
      </w:pPr>
      <w:r>
        <w:rPr>
          <w:rFonts w:cs="David"/>
          <w:rtl/>
        </w:rPr>
        <w:t xml:space="preserve">עבירות הנשק הפכו בשנים האחרונות ל"מכת מדינה" ומהוות סכנה ממשית לשלום הציבור ולביטחונו. על רקע מציאות קשה זו נעשה מאמץ רב ע"י גורמי אכיפת החוק, וביניהם בתי המשפט למאבק בתופעה, ובשנים האחרונות ניכרת מגמת החמרה במדיניות הענישה לצורך מיגור עבירות אלו, תוך מתן משקל בכורה להרתעת הרבים ולאינטרס הציבורי, </w:t>
      </w:r>
      <w:r w:rsidRPr="0031229B">
        <w:rPr>
          <w:rFonts w:ascii="Calibri" w:eastAsia="Calibri" w:hAnsi="Calibri" w:hint="cs"/>
          <w:rtl/>
        </w:rPr>
        <w:t>"</w:t>
      </w:r>
      <w:r w:rsidRPr="0031229B">
        <w:rPr>
          <w:rFonts w:ascii="David" w:eastAsia="Calibri" w:hAnsi="David" w:cs="David"/>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31229B">
        <w:rPr>
          <w:rFonts w:ascii="David" w:eastAsia="Calibri" w:hAnsi="David" w:cs="David"/>
          <w:rtl/>
        </w:rPr>
        <w:t>" (</w:t>
      </w:r>
      <w:hyperlink r:id="rId17" w:history="1">
        <w:r w:rsidR="0018391A" w:rsidRPr="0018391A">
          <w:rPr>
            <w:rFonts w:ascii="David" w:eastAsia="Calibri" w:hAnsi="David" w:cs="David"/>
            <w:color w:val="0000FF"/>
            <w:u w:val="single"/>
            <w:rtl/>
          </w:rPr>
          <w:t>ע"פ 587/22</w:t>
        </w:r>
      </w:hyperlink>
      <w:r w:rsidRPr="0031229B">
        <w:rPr>
          <w:rFonts w:ascii="David" w:eastAsia="Calibri" w:hAnsi="David" w:cs="David"/>
          <w:rtl/>
        </w:rPr>
        <w:t xml:space="preserve"> </w:t>
      </w:r>
      <w:r w:rsidRPr="0031229B">
        <w:rPr>
          <w:rFonts w:ascii="David" w:eastAsia="Calibri" w:hAnsi="David" w:cs="David"/>
          <w:b/>
          <w:bCs/>
          <w:rtl/>
        </w:rPr>
        <w:t>עדאב אבו נאעסה נ' מדינת ישראל</w:t>
      </w:r>
      <w:r w:rsidRPr="0031229B">
        <w:rPr>
          <w:rFonts w:ascii="David" w:eastAsia="Calibri" w:hAnsi="David" w:cs="David"/>
          <w:rtl/>
        </w:rPr>
        <w:t xml:space="preserve"> פסקה 13 (22.5.2022); </w:t>
      </w:r>
      <w:r>
        <w:rPr>
          <w:rFonts w:ascii="David" w:hAnsi="David" w:cs="David"/>
          <w:rtl/>
        </w:rPr>
        <w:t>(</w:t>
      </w:r>
      <w:hyperlink r:id="rId18" w:history="1">
        <w:r w:rsidR="0018391A" w:rsidRPr="0018391A">
          <w:rPr>
            <w:rFonts w:ascii="David" w:hAnsi="David" w:cs="David"/>
            <w:color w:val="0000FF"/>
            <w:u w:val="single"/>
            <w:rtl/>
          </w:rPr>
          <w:t>ע"פ 2482/22</w:t>
        </w:r>
      </w:hyperlink>
      <w:r>
        <w:rPr>
          <w:rFonts w:ascii="David" w:hAnsi="David" w:cs="David"/>
          <w:rtl/>
        </w:rPr>
        <w:t xml:space="preserve"> </w:t>
      </w:r>
      <w:r>
        <w:rPr>
          <w:rFonts w:ascii="David" w:hAnsi="David" w:cs="David"/>
          <w:b/>
          <w:bCs/>
          <w:rtl/>
        </w:rPr>
        <w:t>מדינת ישראל נ' אחמד קדורה</w:t>
      </w:r>
      <w:r>
        <w:rPr>
          <w:rFonts w:ascii="David" w:hAnsi="David" w:cs="David"/>
          <w:rtl/>
        </w:rPr>
        <w:t xml:space="preserve">, פסקה 5-6 (14.4.2022); </w:t>
      </w:r>
      <w:hyperlink r:id="rId19" w:history="1">
        <w:r w:rsidR="0018391A" w:rsidRPr="0018391A">
          <w:rPr>
            <w:rFonts w:ascii="David" w:hAnsi="David" w:cs="David"/>
            <w:color w:val="0000FF"/>
            <w:u w:val="single"/>
            <w:rtl/>
          </w:rPr>
          <w:t>ע"פ 5813/21</w:t>
        </w:r>
      </w:hyperlink>
      <w:r>
        <w:rPr>
          <w:rFonts w:ascii="David" w:hAnsi="David" w:cs="David"/>
          <w:rtl/>
        </w:rPr>
        <w:t xml:space="preserve"> </w:t>
      </w:r>
      <w:r>
        <w:rPr>
          <w:rFonts w:ascii="David" w:hAnsi="David" w:cs="David"/>
          <w:b/>
          <w:bCs/>
          <w:rtl/>
        </w:rPr>
        <w:t>מוחמד ג'בארין נ' מדינת ישראל</w:t>
      </w:r>
      <w:r>
        <w:rPr>
          <w:rFonts w:ascii="David" w:hAnsi="David" w:cs="David"/>
          <w:rtl/>
        </w:rPr>
        <w:t>, פסקה 14</w:t>
      </w:r>
      <w:r>
        <w:rPr>
          <w:rFonts w:ascii="David" w:hAnsi="David" w:cs="David"/>
          <w:b/>
          <w:bCs/>
          <w:rtl/>
        </w:rPr>
        <w:t xml:space="preserve"> </w:t>
      </w:r>
      <w:r>
        <w:rPr>
          <w:rFonts w:ascii="David" w:hAnsi="David" w:cs="David"/>
          <w:rtl/>
        </w:rPr>
        <w:t xml:space="preserve">(31.5.2022); </w:t>
      </w:r>
      <w:hyperlink r:id="rId20" w:history="1">
        <w:r w:rsidR="0018391A" w:rsidRPr="0018391A">
          <w:rPr>
            <w:rFonts w:ascii="David" w:hAnsi="David" w:cs="David"/>
            <w:color w:val="0000FF"/>
            <w:u w:val="single"/>
            <w:rtl/>
          </w:rPr>
          <w:t>ע"פ 6011/21</w:t>
        </w:r>
      </w:hyperlink>
      <w:r>
        <w:rPr>
          <w:rFonts w:ascii="David" w:hAnsi="David" w:cs="David"/>
          <w:rtl/>
        </w:rPr>
        <w:t xml:space="preserve"> </w:t>
      </w:r>
      <w:r>
        <w:rPr>
          <w:rFonts w:ascii="David" w:hAnsi="David" w:cs="David"/>
          <w:b/>
          <w:bCs/>
          <w:rtl/>
        </w:rPr>
        <w:t>חאלד דסוקי נ' מדינת ישראל</w:t>
      </w:r>
      <w:r>
        <w:rPr>
          <w:rFonts w:ascii="David" w:hAnsi="David" w:cs="David"/>
          <w:rtl/>
        </w:rPr>
        <w:t xml:space="preserve"> (25.11.2021); </w:t>
      </w:r>
      <w:hyperlink r:id="rId21" w:history="1">
        <w:r w:rsidR="0018391A" w:rsidRPr="0018391A">
          <w:rPr>
            <w:rFonts w:ascii="David" w:hAnsi="David" w:cs="David"/>
            <w:color w:val="0000FF"/>
            <w:spacing w:val="10"/>
            <w:sz w:val="20"/>
            <w:u w:val="single"/>
            <w:shd w:val="clear" w:color="auto" w:fill="FFFFFF"/>
            <w:rtl/>
          </w:rPr>
          <w:t>ע"פ 8320/21</w:t>
        </w:r>
      </w:hyperlink>
      <w:r>
        <w:rPr>
          <w:rFonts w:ascii="David" w:hAnsi="David" w:cs="David"/>
          <w:spacing w:val="10"/>
          <w:sz w:val="20"/>
          <w:shd w:val="clear" w:color="auto" w:fill="FFFFFF"/>
          <w:rtl/>
        </w:rPr>
        <w:t xml:space="preserve"> </w:t>
      </w:r>
      <w:r>
        <w:rPr>
          <w:rFonts w:ascii="David" w:hAnsi="David" w:cs="David"/>
          <w:b/>
          <w:bCs/>
          <w:spacing w:val="10"/>
          <w:sz w:val="20"/>
          <w:shd w:val="clear" w:color="auto" w:fill="FFFFFF"/>
          <w:rtl/>
        </w:rPr>
        <w:t>מדינת ישראל נ' מחמד בסילה</w:t>
      </w:r>
      <w:r>
        <w:rPr>
          <w:rFonts w:ascii="David" w:hAnsi="David" w:cs="David"/>
          <w:spacing w:val="10"/>
          <w:sz w:val="20"/>
          <w:shd w:val="clear" w:color="auto" w:fill="FFFFFF"/>
          <w:rtl/>
        </w:rPr>
        <w:t>, פסקה 10 (28.12.2021)</w:t>
      </w:r>
      <w:r>
        <w:rPr>
          <w:rFonts w:ascii="David" w:hAnsi="David" w:cs="David"/>
          <w:rtl/>
        </w:rPr>
        <w:t xml:space="preserve">; </w:t>
      </w:r>
      <w:hyperlink r:id="rId22" w:history="1">
        <w:r w:rsidR="0018391A" w:rsidRPr="0018391A">
          <w:rPr>
            <w:rFonts w:ascii="David" w:hAnsi="David" w:cs="David"/>
            <w:color w:val="0000FF"/>
            <w:u w:val="single"/>
            <w:rtl/>
          </w:rPr>
          <w:t>ע"פ 2283/22</w:t>
        </w:r>
      </w:hyperlink>
      <w:r>
        <w:rPr>
          <w:rFonts w:ascii="David" w:hAnsi="David" w:cs="David"/>
          <w:rtl/>
        </w:rPr>
        <w:t xml:space="preserve"> </w:t>
      </w:r>
      <w:r>
        <w:rPr>
          <w:rFonts w:ascii="David" w:hAnsi="David" w:cs="David"/>
          <w:b/>
          <w:bCs/>
          <w:rtl/>
        </w:rPr>
        <w:t>אל נבארי נ' מדינת ישראל</w:t>
      </w:r>
      <w:r>
        <w:rPr>
          <w:rFonts w:ascii="David" w:hAnsi="David" w:cs="David"/>
          <w:rtl/>
        </w:rPr>
        <w:t xml:space="preserve"> (31.7.2022); ע"פ 78/21 </w:t>
      </w:r>
      <w:r>
        <w:rPr>
          <w:rFonts w:ascii="David" w:hAnsi="David" w:cs="David"/>
          <w:b/>
          <w:bCs/>
          <w:rtl/>
        </w:rPr>
        <w:t>פלוני נ' מדינת</w:t>
      </w:r>
      <w:r>
        <w:rPr>
          <w:rFonts w:ascii="David" w:hAnsi="David" w:cs="David"/>
          <w:rtl/>
        </w:rPr>
        <w:t xml:space="preserve"> </w:t>
      </w:r>
      <w:r>
        <w:rPr>
          <w:rFonts w:ascii="David" w:hAnsi="David" w:cs="David"/>
          <w:b/>
          <w:bCs/>
          <w:rtl/>
        </w:rPr>
        <w:t>ישראל</w:t>
      </w:r>
      <w:r>
        <w:rPr>
          <w:rFonts w:ascii="David" w:hAnsi="David" w:cs="David"/>
          <w:rtl/>
        </w:rPr>
        <w:t xml:space="preserve"> (26.7.2022)). </w:t>
      </w:r>
    </w:p>
    <w:p w14:paraId="3F7032C7" w14:textId="77777777" w:rsidR="0031229B" w:rsidRDefault="0031229B" w:rsidP="0031229B">
      <w:pPr>
        <w:pStyle w:val="a9"/>
        <w:rPr>
          <w:color w:val="000000"/>
          <w:spacing w:val="10"/>
        </w:rPr>
      </w:pPr>
    </w:p>
    <w:p w14:paraId="4E58C56C" w14:textId="77777777" w:rsidR="0031229B" w:rsidRDefault="0031229B" w:rsidP="0031229B">
      <w:pPr>
        <w:pStyle w:val="a9"/>
        <w:spacing w:after="160" w:line="360" w:lineRule="auto"/>
        <w:jc w:val="both"/>
      </w:pPr>
      <w:r>
        <w:rPr>
          <w:rFonts w:hint="cs"/>
          <w:rtl/>
        </w:rPr>
        <w:t xml:space="preserve">מגמה זו קיבלה ביטוי סטטוטורי במסגרת תיקון 140 לחוק (תיקון 140-הוראת שעה) התשפ"ב-2021, במסגרתו נקבעו עונשי מינימום בעבירות נשק, כך שהעונש שיושת בגין עבירות אלו לא יפחת מרבע העונש המרבי שנקבע לעבירה, אלא בהתקיים טעמים מיוחדים. </w:t>
      </w:r>
    </w:p>
    <w:p w14:paraId="3E9AA4DD" w14:textId="77777777" w:rsidR="0031229B" w:rsidRDefault="0031229B" w:rsidP="0031229B">
      <w:pPr>
        <w:autoSpaceDE w:val="0"/>
        <w:autoSpaceDN w:val="0"/>
        <w:adjustRightInd w:val="0"/>
        <w:spacing w:after="120" w:line="360" w:lineRule="auto"/>
        <w:ind w:left="720"/>
        <w:contextualSpacing/>
        <w:jc w:val="both"/>
        <w:rPr>
          <w:rtl/>
        </w:rPr>
      </w:pPr>
      <w:r>
        <w:rPr>
          <w:rtl/>
        </w:rPr>
        <w:t xml:space="preserve">ירי בנשק חם, אף אם מבוצע במקומות שאינם הומי אדם מגביר את הסיכון לשלום הציבור ובטחונו, </w:t>
      </w:r>
      <w:r>
        <w:rPr>
          <w:b/>
          <w:bCs/>
          <w:rtl/>
        </w:rPr>
        <w:t>"למרבה הצער, חדשות לבקרים אנו שומעים על פגיעה בעוברי אורח מכדור תועה שנורה בעקבות שימוש פרוע ורשלני בנשקים שהוחזקו שלא כדין... על רקע זה, אין כל מקום להמעיט בחומרת מעשיו של המערער, אשר סייע לחברו לשאת ולהוביל אקדח ללא רישיון ואף לבצע ירי"</w:t>
      </w:r>
      <w:r>
        <w:rPr>
          <w:rtl/>
        </w:rPr>
        <w:t xml:space="preserve"> (</w:t>
      </w:r>
      <w:hyperlink r:id="rId23" w:history="1">
        <w:r w:rsidR="0018391A" w:rsidRPr="0018391A">
          <w:rPr>
            <w:color w:val="0000FF"/>
            <w:u w:val="single"/>
            <w:rtl/>
          </w:rPr>
          <w:t>ע"פ 3728/22</w:t>
        </w:r>
      </w:hyperlink>
      <w:r>
        <w:rPr>
          <w:rtl/>
        </w:rPr>
        <w:t xml:space="preserve"> </w:t>
      </w:r>
      <w:r>
        <w:rPr>
          <w:b/>
          <w:bCs/>
          <w:rtl/>
        </w:rPr>
        <w:t>מסלאחה נ' מדינת ישראל</w:t>
      </w:r>
      <w:r>
        <w:rPr>
          <w:rtl/>
        </w:rPr>
        <w:t>, פס' 11</w:t>
      </w:r>
      <w:r>
        <w:rPr>
          <w:b/>
          <w:bCs/>
          <w:rtl/>
        </w:rPr>
        <w:t xml:space="preserve"> </w:t>
      </w:r>
      <w:r>
        <w:rPr>
          <w:rtl/>
        </w:rPr>
        <w:t>(9.8.</w:t>
      </w:r>
      <w:r>
        <w:rPr>
          <w:rFonts w:hint="cs"/>
          <w:rtl/>
        </w:rPr>
        <w:t>20</w:t>
      </w:r>
      <w:r>
        <w:rPr>
          <w:rtl/>
        </w:rPr>
        <w:t xml:space="preserve">22)). </w:t>
      </w:r>
    </w:p>
    <w:p w14:paraId="4DB389F3" w14:textId="77777777" w:rsidR="0031229B" w:rsidRDefault="0031229B" w:rsidP="0031229B">
      <w:pPr>
        <w:spacing w:after="120" w:line="360" w:lineRule="auto"/>
        <w:ind w:left="720"/>
        <w:contextualSpacing/>
        <w:jc w:val="both"/>
      </w:pPr>
    </w:p>
    <w:p w14:paraId="7BC01D0B" w14:textId="77777777" w:rsidR="0031229B" w:rsidRDefault="0031229B" w:rsidP="0031229B">
      <w:pPr>
        <w:numPr>
          <w:ilvl w:val="0"/>
          <w:numId w:val="1"/>
        </w:numPr>
        <w:spacing w:after="120" w:line="360" w:lineRule="auto"/>
        <w:contextualSpacing/>
        <w:jc w:val="both"/>
        <w:rPr>
          <w:b/>
          <w:bCs/>
        </w:rPr>
      </w:pPr>
      <w:r>
        <w:rPr>
          <w:rtl/>
        </w:rPr>
        <w:t xml:space="preserve">הנאשמים נסעו ברכב בדרך סמוכה לעיר מגוריהם, בעודם נושאים אקדח עם מחסנית וכדורים. הסיבה לנסיעה לא הובהרה אך במהלכה, לאחר שיצאו מן הרכב בוצע ירי של מספר כדורים על ידי נאשם 1, בנוכחותו של נאשם 2. הירי לא היה מכוון כלפי יעד מסוים, אדם או רכוש, ובוצע בשעת לילה מאוחרת בצד הדרך, ככל הנראה מדובר בירי ניסיון.  ניתן לשער לטובת הנאשמים כי התרחקו ממקום יישוב על מנת לצמצם סיכונים. חלקו היחסי של נאשם 1 גדול יותר, הוא שירה בנשק, עם זאת נאשם 2 נשא את הנשק בצוותא, היה מודע למעשי נאשם 2 וקשר קשר לבצעם. </w:t>
      </w:r>
      <w:r>
        <w:rPr>
          <w:b/>
          <w:bCs/>
          <w:rtl/>
        </w:rPr>
        <w:t>לפיכך, מצאתי לקבוע שמעשי הנאשמים פגעו בערכים המוגנים ברף ממשי.</w:t>
      </w:r>
    </w:p>
    <w:p w14:paraId="1427332C" w14:textId="77777777" w:rsidR="0031229B" w:rsidRDefault="0031229B" w:rsidP="0031229B">
      <w:pPr>
        <w:spacing w:after="120" w:line="360" w:lineRule="auto"/>
        <w:ind w:left="720"/>
        <w:contextualSpacing/>
        <w:jc w:val="both"/>
      </w:pPr>
    </w:p>
    <w:p w14:paraId="3EE2E258" w14:textId="77777777" w:rsidR="0031229B" w:rsidRDefault="0031229B" w:rsidP="0031229B">
      <w:pPr>
        <w:ind w:firstLine="720"/>
      </w:pPr>
      <w:r>
        <w:rPr>
          <w:b/>
          <w:bCs/>
          <w:u w:val="single"/>
          <w:rtl/>
        </w:rPr>
        <w:t>מדיניות הענישה הנוהגת</w:t>
      </w:r>
    </w:p>
    <w:p w14:paraId="21122F20" w14:textId="77777777" w:rsidR="0031229B" w:rsidRDefault="0031229B" w:rsidP="0031229B"/>
    <w:p w14:paraId="51A69A58" w14:textId="77777777" w:rsidR="0031229B" w:rsidRDefault="0031229B" w:rsidP="0031229B">
      <w:pPr>
        <w:pStyle w:val="a9"/>
        <w:numPr>
          <w:ilvl w:val="0"/>
          <w:numId w:val="1"/>
        </w:numPr>
        <w:spacing w:after="160" w:line="360" w:lineRule="auto"/>
        <w:jc w:val="both"/>
        <w:rPr>
          <w:rtl/>
        </w:rPr>
      </w:pPr>
      <w:r>
        <w:rPr>
          <w:rFonts w:hint="cs"/>
          <w:rtl/>
        </w:rPr>
        <w:t xml:space="preserve">דינם של עברייני הנשק הוא למאסר מאחורי סורג ובריח, הפסיקה אינה מקלה עם נאשמים צעירים או נעדרי עבר פלילי, ומבכרת את האינטרס הציבורי על פני נסיבותיו האישיות של הנאשם, לרבות במקרי שיקום. המסר העונשי נחרץ ואינו משתמע לשני פנים: </w:t>
      </w:r>
      <w:r>
        <w:rPr>
          <w:rFonts w:hint="cs"/>
          <w:b/>
          <w:bCs/>
          <w:rtl/>
        </w:rPr>
        <w:t xml:space="preserve">"עלינו לזכור כי מדובר במשחק-סכום-אפס: שופט שמרחם על עבריין נשק ומקל בעונשו אינו מרחם על הקורבן הבא" </w:t>
      </w:r>
      <w:r>
        <w:rPr>
          <w:rFonts w:hint="cs"/>
          <w:rtl/>
        </w:rPr>
        <w:t xml:space="preserve">[פסק דינו של כב' השופט שטיין, </w:t>
      </w:r>
      <w:hyperlink r:id="rId24" w:history="1">
        <w:r w:rsidR="0018391A" w:rsidRPr="0018391A">
          <w:rPr>
            <w:color w:val="0000FF"/>
            <w:u w:val="single"/>
            <w:rtl/>
          </w:rPr>
          <w:t>ע"פ 7850/21</w:t>
        </w:r>
      </w:hyperlink>
      <w:r>
        <w:rPr>
          <w:rFonts w:hint="cs"/>
          <w:rtl/>
        </w:rPr>
        <w:t xml:space="preserve"> </w:t>
      </w:r>
      <w:r>
        <w:rPr>
          <w:rFonts w:hint="cs"/>
          <w:b/>
          <w:bCs/>
          <w:rtl/>
        </w:rPr>
        <w:t>דסוקי נ' מדינת ישראל</w:t>
      </w:r>
      <w:r>
        <w:rPr>
          <w:rFonts w:hint="cs"/>
          <w:rtl/>
        </w:rPr>
        <w:t xml:space="preserve"> (25.11.2021)]. </w:t>
      </w:r>
    </w:p>
    <w:p w14:paraId="7F7BF2E3" w14:textId="77777777" w:rsidR="0031229B" w:rsidRDefault="0031229B" w:rsidP="0031229B">
      <w:pPr>
        <w:pStyle w:val="a9"/>
        <w:spacing w:after="160" w:line="360" w:lineRule="auto"/>
        <w:jc w:val="both"/>
      </w:pPr>
    </w:p>
    <w:p w14:paraId="5121F543" w14:textId="77777777" w:rsidR="0031229B" w:rsidRDefault="0031229B" w:rsidP="0031229B">
      <w:pPr>
        <w:pStyle w:val="a9"/>
        <w:spacing w:after="160" w:line="360" w:lineRule="auto"/>
        <w:jc w:val="both"/>
        <w:rPr>
          <w:rtl/>
        </w:rPr>
      </w:pPr>
      <w:r>
        <w:rPr>
          <w:rFonts w:hint="cs"/>
          <w:rtl/>
        </w:rPr>
        <w:t>ב</w:t>
      </w:r>
      <w:hyperlink r:id="rId25" w:history="1">
        <w:r w:rsidR="0018391A" w:rsidRPr="0018391A">
          <w:rPr>
            <w:color w:val="0000FF"/>
            <w:u w:val="single"/>
            <w:rtl/>
          </w:rPr>
          <w:t>ע"פ 5681/23</w:t>
        </w:r>
      </w:hyperlink>
      <w:r>
        <w:rPr>
          <w:rFonts w:hint="cs"/>
          <w:rtl/>
        </w:rPr>
        <w:t xml:space="preserve"> </w:t>
      </w:r>
      <w:r>
        <w:rPr>
          <w:rFonts w:hint="cs"/>
          <w:b/>
          <w:bCs/>
          <w:rtl/>
        </w:rPr>
        <w:t xml:space="preserve">חווא נ' מדינת ישראל </w:t>
      </w:r>
      <w:r>
        <w:rPr>
          <w:rFonts w:hint="cs"/>
          <w:rtl/>
        </w:rPr>
        <w:t xml:space="preserve">(20.12.2023), נדחה ערעור על חומרת העונש בן 35 חודשי מאסר שהוטל על נאשם, בעל עבר פלילי מכביד, שיצא מביתו כשהוא נושא אקדח טעון במחסנית וכדורים, נמלט מהשוטרים, נקבע מתחם שנע בין 50-24 חודשי מאסר; </w:t>
      </w:r>
    </w:p>
    <w:p w14:paraId="1ECADC7D" w14:textId="77777777" w:rsidR="0031229B" w:rsidRDefault="0031229B" w:rsidP="0031229B">
      <w:pPr>
        <w:spacing w:after="160" w:line="360" w:lineRule="auto"/>
        <w:ind w:left="720"/>
        <w:contextualSpacing/>
        <w:jc w:val="both"/>
        <w:rPr>
          <w:rFonts w:ascii="Arial" w:hAnsi="Arial"/>
          <w:rtl/>
        </w:rPr>
      </w:pPr>
      <w:r>
        <w:rPr>
          <w:rtl/>
        </w:rPr>
        <w:t>ב</w:t>
      </w:r>
      <w:hyperlink r:id="rId26" w:history="1">
        <w:r w:rsidR="0018391A" w:rsidRPr="0018391A">
          <w:rPr>
            <w:color w:val="0000FF"/>
            <w:u w:val="single"/>
            <w:rtl/>
          </w:rPr>
          <w:t>ע"פ 3186/22</w:t>
        </w:r>
      </w:hyperlink>
      <w:r>
        <w:rPr>
          <w:rtl/>
        </w:rPr>
        <w:t xml:space="preserve"> </w:t>
      </w:r>
      <w:r>
        <w:rPr>
          <w:b/>
          <w:bCs/>
          <w:rtl/>
        </w:rPr>
        <w:t>בר נ' מדינת ישראל</w:t>
      </w:r>
      <w:r>
        <w:rPr>
          <w:rtl/>
        </w:rPr>
        <w:t xml:space="preserve"> (23.2.2023)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שנשמעו הערות בית המשפט העליון; </w:t>
      </w:r>
    </w:p>
    <w:p w14:paraId="67797662" w14:textId="77777777" w:rsidR="0031229B" w:rsidRDefault="0031229B" w:rsidP="0031229B">
      <w:pPr>
        <w:pStyle w:val="a9"/>
        <w:spacing w:after="160" w:line="360" w:lineRule="auto"/>
        <w:jc w:val="both"/>
        <w:rPr>
          <w:rtl/>
        </w:rPr>
      </w:pPr>
      <w:r>
        <w:rPr>
          <w:rFonts w:hint="cs"/>
          <w:rtl/>
        </w:rPr>
        <w:t>ב</w:t>
      </w:r>
      <w:hyperlink r:id="rId27" w:history="1">
        <w:r w:rsidR="0018391A" w:rsidRPr="0018391A">
          <w:rPr>
            <w:color w:val="0000FF"/>
            <w:u w:val="single"/>
            <w:rtl/>
          </w:rPr>
          <w:t>ע"פ 3728/22</w:t>
        </w:r>
      </w:hyperlink>
      <w:r>
        <w:rPr>
          <w:rFonts w:hint="cs"/>
          <w:rtl/>
        </w:rPr>
        <w:t xml:space="preserve"> </w:t>
      </w:r>
      <w:r>
        <w:rPr>
          <w:rFonts w:hint="cs"/>
          <w:b/>
          <w:bCs/>
          <w:rtl/>
        </w:rPr>
        <w:t>מסאלחה נ' מדינת ישראל</w:t>
      </w:r>
      <w:r>
        <w:rPr>
          <w:rFonts w:hint="cs"/>
          <w:rtl/>
        </w:rPr>
        <w:t xml:space="preserve"> (9.8.2022) נדחה ערעור של נאשם שהואשם ב</w:t>
      </w:r>
      <w:r>
        <w:rPr>
          <w:rFonts w:hint="cs"/>
          <w:b/>
          <w:bCs/>
          <w:rtl/>
        </w:rPr>
        <w:t xml:space="preserve">סיוע </w:t>
      </w:r>
      <w:r>
        <w:rPr>
          <w:rFonts w:hint="cs"/>
          <w:rtl/>
        </w:rPr>
        <w:t xml:space="preserve">לנשיאת נשק ולירי שאינו באזור מגורים, בכך שאחר שעמו נסע ברכב ירה יריה אחת באקדח שנשא. הנאשם צעיר משכיל, ללא עבר פלילי, הסובל מבעיה רפואית נדון בגין חלקו כמסייע, למאסר בן 18 חודשים. שותפו, בעל עבר פלילי, נדון למאסר בן 35 חודשים והפעלת תנאי בן 8 חודשים במצטבר לו; </w:t>
      </w:r>
    </w:p>
    <w:p w14:paraId="39BF78AD" w14:textId="77777777" w:rsidR="0031229B" w:rsidRDefault="0031229B" w:rsidP="0031229B">
      <w:pPr>
        <w:pStyle w:val="a9"/>
        <w:spacing w:after="160" w:line="360" w:lineRule="auto"/>
        <w:jc w:val="both"/>
        <w:rPr>
          <w:rtl/>
        </w:rPr>
      </w:pPr>
    </w:p>
    <w:p w14:paraId="01854DFB" w14:textId="77777777" w:rsidR="0031229B" w:rsidRDefault="0018391A" w:rsidP="0031229B">
      <w:pPr>
        <w:pStyle w:val="a9"/>
        <w:spacing w:after="160" w:line="360" w:lineRule="auto"/>
        <w:jc w:val="both"/>
        <w:rPr>
          <w:color w:val="000000"/>
          <w:rtl/>
        </w:rPr>
      </w:pPr>
      <w:hyperlink r:id="rId28" w:history="1">
        <w:r w:rsidRPr="0018391A">
          <w:rPr>
            <w:color w:val="0000FF"/>
            <w:u w:val="single"/>
            <w:rtl/>
          </w:rPr>
          <w:t>ע"פ 5522/20</w:t>
        </w:r>
      </w:hyperlink>
      <w:r w:rsidR="0031229B">
        <w:rPr>
          <w:rFonts w:hint="cs"/>
          <w:color w:val="000000"/>
          <w:rtl/>
        </w:rPr>
        <w:t xml:space="preserve"> </w:t>
      </w:r>
      <w:r w:rsidR="0031229B">
        <w:rPr>
          <w:rFonts w:hint="cs"/>
          <w:b/>
          <w:bCs/>
          <w:color w:val="000000"/>
          <w:rtl/>
        </w:rPr>
        <w:t>חלייחל נ' מדינת ישראל</w:t>
      </w:r>
      <w:r w:rsidR="0031229B">
        <w:rPr>
          <w:rFonts w:hint="cs"/>
          <w:color w:val="000000"/>
          <w:rtl/>
        </w:rPr>
        <w:t xml:space="preserve"> (24.2.2021) נדחה ערעור נאשם שהיה מעורב בביצוע עבירות בנשק, אך לא יוחס לו הירי עצמו, ונגזרו עליו בין היתר 36 חודשי מאסר והפעלת תנאי בן 5 חודשים;</w:t>
      </w:r>
      <w:r w:rsidR="0031229B">
        <w:rPr>
          <w:color w:val="000000"/>
        </w:rPr>
        <w:t>`</w:t>
      </w:r>
    </w:p>
    <w:p w14:paraId="720D5472" w14:textId="77777777" w:rsidR="0031229B" w:rsidRDefault="0031229B" w:rsidP="0031229B">
      <w:pPr>
        <w:pStyle w:val="a9"/>
        <w:spacing w:after="160" w:line="360" w:lineRule="auto"/>
        <w:jc w:val="both"/>
        <w:rPr>
          <w:color w:val="000000"/>
          <w:rtl/>
        </w:rPr>
      </w:pPr>
    </w:p>
    <w:p w14:paraId="046D9773" w14:textId="77777777" w:rsidR="0031229B" w:rsidRDefault="0031229B" w:rsidP="0031229B">
      <w:pPr>
        <w:spacing w:after="120" w:line="360" w:lineRule="auto"/>
        <w:ind w:left="720"/>
        <w:jc w:val="both"/>
        <w:rPr>
          <w:rFonts w:ascii="Arial" w:hAnsi="Arial"/>
        </w:rPr>
      </w:pPr>
      <w:r>
        <w:rPr>
          <w:rFonts w:ascii="David" w:hAnsi="David"/>
          <w:color w:val="000000"/>
          <w:rtl/>
        </w:rPr>
        <w:t>ב</w:t>
      </w:r>
      <w:hyperlink r:id="rId29" w:history="1">
        <w:r w:rsidR="0018391A" w:rsidRPr="0018391A">
          <w:rPr>
            <w:rFonts w:ascii="David" w:hAnsi="David"/>
            <w:color w:val="0000FF"/>
            <w:u w:val="single"/>
            <w:rtl/>
          </w:rPr>
          <w:t>ת"פ (מח' מרכז) 35431-03-21</w:t>
        </w:r>
      </w:hyperlink>
      <w:r w:rsidR="0018391A">
        <w:rPr>
          <w:rFonts w:ascii="David" w:hAnsi="David"/>
          <w:color w:val="000000"/>
          <w:rtl/>
        </w:rPr>
        <w:t xml:space="preserve"> </w:t>
      </w:r>
      <w:r>
        <w:rPr>
          <w:rFonts w:ascii="David" w:hAnsi="David"/>
          <w:b/>
          <w:bCs/>
          <w:color w:val="000000"/>
          <w:rtl/>
        </w:rPr>
        <w:t xml:space="preserve">מדינת ישראל נ' אחמד </w:t>
      </w:r>
      <w:r>
        <w:rPr>
          <w:rFonts w:ascii="David" w:hAnsi="David"/>
          <w:color w:val="000000"/>
          <w:rtl/>
        </w:rPr>
        <w:t>(גזר דיני מיום 11.9.23) נדון עניינם של נאשמים שנשאו בשעת לילה תת מקלע מאולתר לשטח פתוח ומיוער, בו נמצאת חווה לגידול חיות שונות ושוהים בו מידי פעם אנשים. מי מהם ירה מספר צרורות ירי בהסכמת האחר ובידיעתו. נקבע מתחם ענישה שנע בין 50-28 חודשי מאסר. על הנאשם 1, צעיר, ללא עבר פלילי, שתסקירו לא היה חיובי, נגזרו 31 חודשי מאסר</w:t>
      </w:r>
      <w:r>
        <w:rPr>
          <w:rFonts w:ascii="David" w:hAnsi="David"/>
          <w:color w:val="000000"/>
        </w:rPr>
        <w:t>.</w:t>
      </w:r>
      <w:r>
        <w:rPr>
          <w:rFonts w:ascii="Arial" w:hAnsi="Arial"/>
          <w:rtl/>
        </w:rPr>
        <w:t xml:space="preserve"> נאשם 2 עבר טיפול וחלה הפחתה במידת הסיכון הנשקף ממנו, נדון ל-25 חודשי מאסר. </w:t>
      </w:r>
    </w:p>
    <w:p w14:paraId="7B57C35B" w14:textId="77777777" w:rsidR="0031229B" w:rsidRDefault="0031229B" w:rsidP="0031229B">
      <w:pPr>
        <w:spacing w:after="120" w:line="360" w:lineRule="auto"/>
        <w:ind w:left="720"/>
        <w:jc w:val="both"/>
        <w:rPr>
          <w:rFonts w:ascii="Arial" w:hAnsi="Arial"/>
          <w:rtl/>
        </w:rPr>
      </w:pPr>
    </w:p>
    <w:p w14:paraId="70EE7D2E" w14:textId="77777777" w:rsidR="0031229B" w:rsidRDefault="0031229B" w:rsidP="0031229B">
      <w:pPr>
        <w:spacing w:after="160" w:line="360" w:lineRule="auto"/>
        <w:ind w:left="720"/>
        <w:contextualSpacing/>
        <w:jc w:val="both"/>
        <w:rPr>
          <w:rtl/>
        </w:rPr>
      </w:pPr>
      <w:r>
        <w:rPr>
          <w:u w:val="single"/>
          <w:rtl/>
        </w:rPr>
        <w:t>המאשימה</w:t>
      </w:r>
      <w:r>
        <w:rPr>
          <w:rtl/>
        </w:rPr>
        <w:t xml:space="preserve"> הפנתה לפסיקה שכללה גם מקרים חמורים מהמקרה דנן: ב</w:t>
      </w:r>
      <w:hyperlink r:id="rId30" w:history="1">
        <w:r w:rsidR="0018391A" w:rsidRPr="0018391A">
          <w:rPr>
            <w:color w:val="0000FF"/>
            <w:u w:val="single"/>
            <w:rtl/>
          </w:rPr>
          <w:t>ע"פ 3794/23</w:t>
        </w:r>
      </w:hyperlink>
      <w:r>
        <w:rPr>
          <w:rtl/>
        </w:rPr>
        <w:t xml:space="preserve"> </w:t>
      </w:r>
      <w:r>
        <w:rPr>
          <w:b/>
          <w:bCs/>
          <w:rtl/>
        </w:rPr>
        <w:t xml:space="preserve">אבו אלקיעאן </w:t>
      </w:r>
      <w:r>
        <w:rPr>
          <w:rtl/>
        </w:rPr>
        <w:t>(11.6.2023) הוקל עונשו של הנאשם והועמד על 42 חודשים, בגין סיוע לנשיאת נשק - רובה, 5 רימוני יד ואלפי כדורים שהיו מיועדים לגדה המערבית, בלא שידע את סוג וכמות הנשק וזהות הגורם המקבל שהיה ארגון טרור. ב</w:t>
      </w:r>
      <w:hyperlink r:id="rId31" w:history="1">
        <w:r w:rsidR="0018391A" w:rsidRPr="0018391A">
          <w:rPr>
            <w:color w:val="0000FF"/>
            <w:u w:val="single"/>
            <w:rtl/>
          </w:rPr>
          <w:t>ע"פ 8322/21</w:t>
        </w:r>
      </w:hyperlink>
      <w:r>
        <w:rPr>
          <w:rtl/>
        </w:rPr>
        <w:t xml:space="preserve"> </w:t>
      </w:r>
      <w:r>
        <w:rPr>
          <w:b/>
          <w:bCs/>
          <w:rtl/>
        </w:rPr>
        <w:t>דחלה נ' מדינת ישראל</w:t>
      </w:r>
      <w:r>
        <w:rPr>
          <w:rtl/>
        </w:rPr>
        <w:t xml:space="preserve"> (13.4.2022) דחה בית המשפט העליון את ערעור המערער, צעיר ללא עבר, אשר ירה באקדח בסמוך לבתי מגורים על רקע סכסוך. בית המשפט המחוזי קבע מתחם ענישה הנע בין 54-34 חודשים, נדון למאסר בן 36 חודשים; </w:t>
      </w:r>
    </w:p>
    <w:p w14:paraId="0845491F" w14:textId="77777777" w:rsidR="0031229B" w:rsidRDefault="0031229B" w:rsidP="0031229B">
      <w:pPr>
        <w:spacing w:after="160" w:line="360" w:lineRule="auto"/>
        <w:ind w:left="720"/>
        <w:contextualSpacing/>
        <w:jc w:val="both"/>
        <w:rPr>
          <w:rtl/>
        </w:rPr>
      </w:pPr>
    </w:p>
    <w:p w14:paraId="6512E408" w14:textId="77777777" w:rsidR="0031229B" w:rsidRDefault="0031229B" w:rsidP="0031229B">
      <w:pPr>
        <w:pStyle w:val="a9"/>
        <w:spacing w:after="160" w:line="360" w:lineRule="auto"/>
        <w:jc w:val="both"/>
        <w:rPr>
          <w:rtl/>
        </w:rPr>
      </w:pPr>
      <w:r>
        <w:rPr>
          <w:rFonts w:hint="cs"/>
          <w:u w:val="single"/>
          <w:rtl/>
        </w:rPr>
        <w:t>ההגנה</w:t>
      </w:r>
      <w:r>
        <w:rPr>
          <w:rFonts w:hint="cs"/>
          <w:rtl/>
        </w:rPr>
        <w:t xml:space="preserve"> הפנתה לאסופת פסיקה שכללה גם מקרים שבהם נדונו נאשמים, בעיקר בגין עבירה של נשיאת נשק, לעונשי מאסר עד 20 חודשים. (</w:t>
      </w:r>
      <w:hyperlink r:id="rId32" w:history="1">
        <w:r w:rsidR="0018391A" w:rsidRPr="0018391A">
          <w:rPr>
            <w:color w:val="0000FF"/>
            <w:u w:val="single"/>
            <w:rtl/>
          </w:rPr>
          <w:t>ע"פ 6806/23</w:t>
        </w:r>
      </w:hyperlink>
      <w:r>
        <w:rPr>
          <w:rFonts w:hint="cs"/>
          <w:rtl/>
        </w:rPr>
        <w:t xml:space="preserve"> </w:t>
      </w:r>
      <w:r w:rsidRPr="00791EC6">
        <w:rPr>
          <w:rFonts w:hint="cs"/>
          <w:b/>
          <w:bCs/>
          <w:rtl/>
        </w:rPr>
        <w:t>סעדיאיב נ' מדינת ישראל</w:t>
      </w:r>
      <w:r w:rsidRPr="00791EC6">
        <w:rPr>
          <w:rFonts w:hint="cs"/>
          <w:rtl/>
        </w:rPr>
        <w:t xml:space="preserve"> </w:t>
      </w:r>
      <w:r>
        <w:rPr>
          <w:rFonts w:hint="cs"/>
          <w:rtl/>
        </w:rPr>
        <w:t xml:space="preserve">(27.9.2023); </w:t>
      </w:r>
      <w:hyperlink r:id="rId33" w:history="1">
        <w:r w:rsidR="0018391A" w:rsidRPr="0018391A">
          <w:rPr>
            <w:color w:val="0000FF"/>
            <w:u w:val="single"/>
            <w:rtl/>
          </w:rPr>
          <w:t>ע"פ 2141/21</w:t>
        </w:r>
      </w:hyperlink>
      <w:r>
        <w:rPr>
          <w:rFonts w:ascii="Times New Roman" w:hAnsi="Times New Roman"/>
          <w:rtl/>
        </w:rPr>
        <w:t xml:space="preserve"> </w:t>
      </w:r>
      <w:r>
        <w:rPr>
          <w:rFonts w:ascii="Times New Roman" w:hAnsi="Times New Roman" w:hint="cs"/>
          <w:b/>
          <w:bCs/>
          <w:rtl/>
        </w:rPr>
        <w:t>חניני נ' מדינת ישראל</w:t>
      </w:r>
      <w:r>
        <w:rPr>
          <w:rFonts w:ascii="Times New Roman" w:hAnsi="Times New Roman" w:hint="cs"/>
          <w:rtl/>
        </w:rPr>
        <w:t xml:space="preserve"> (27.5.2021); </w:t>
      </w:r>
      <w:hyperlink r:id="rId34" w:history="1">
        <w:r w:rsidR="0018391A" w:rsidRPr="0018391A">
          <w:rPr>
            <w:color w:val="0000FF"/>
            <w:u w:val="single"/>
            <w:rtl/>
          </w:rPr>
          <w:t>ע"פ 2015/21</w:t>
        </w:r>
      </w:hyperlink>
      <w:r>
        <w:rPr>
          <w:rFonts w:hint="cs"/>
          <w:rtl/>
        </w:rPr>
        <w:t xml:space="preserve"> </w:t>
      </w:r>
      <w:r>
        <w:rPr>
          <w:rFonts w:hint="cs"/>
          <w:b/>
          <w:bCs/>
          <w:rtl/>
        </w:rPr>
        <w:t>אזברגה נ' מדינת ישראל</w:t>
      </w:r>
      <w:r>
        <w:rPr>
          <w:rFonts w:hint="cs"/>
          <w:rtl/>
        </w:rPr>
        <w:t xml:space="preserve"> (9.12.2021). ב</w:t>
      </w:r>
      <w:hyperlink r:id="rId35" w:history="1">
        <w:r w:rsidR="0018391A" w:rsidRPr="0018391A">
          <w:rPr>
            <w:color w:val="0000FF"/>
            <w:u w:val="single"/>
            <w:rtl/>
          </w:rPr>
          <w:t>ת"פ (מח' מרכז) 10205-08-21</w:t>
        </w:r>
      </w:hyperlink>
      <w:r>
        <w:rPr>
          <w:rFonts w:hint="cs"/>
          <w:rtl/>
        </w:rPr>
        <w:t xml:space="preserve"> </w:t>
      </w:r>
      <w:r>
        <w:rPr>
          <w:rFonts w:hint="cs"/>
          <w:b/>
          <w:bCs/>
          <w:rtl/>
        </w:rPr>
        <w:t xml:space="preserve">מדינת ישראל נ' צרצור </w:t>
      </w:r>
      <w:r>
        <w:rPr>
          <w:rFonts w:hint="cs"/>
          <w:rtl/>
        </w:rPr>
        <w:t xml:space="preserve">(6.5.2024), נדון לפניי מקרי ייחודי של נשיאה וירי מנשק חם במהלך חתונה שנערכה בשטחי הרשות, הנאשם נדון ל-18 חודשי מאסר (ערעור הגנה תלוי ועומד- </w:t>
      </w:r>
      <w:hyperlink r:id="rId36" w:history="1">
        <w:r w:rsidR="0018391A" w:rsidRPr="0018391A">
          <w:rPr>
            <w:color w:val="0000FF"/>
            <w:u w:val="single"/>
            <w:rtl/>
          </w:rPr>
          <w:t>ע"פ 5021/24</w:t>
        </w:r>
      </w:hyperlink>
      <w:r>
        <w:rPr>
          <w:rFonts w:hint="cs"/>
          <w:rtl/>
        </w:rPr>
        <w:t>). ב</w:t>
      </w:r>
      <w:hyperlink r:id="rId37" w:history="1">
        <w:r w:rsidR="0018391A" w:rsidRPr="0018391A">
          <w:rPr>
            <w:color w:val="0000FF"/>
            <w:u w:val="single"/>
            <w:rtl/>
          </w:rPr>
          <w:t>ת"פ (מח' מרכז) 64119-05-21</w:t>
        </w:r>
      </w:hyperlink>
      <w:r>
        <w:rPr>
          <w:rFonts w:hint="cs"/>
          <w:rtl/>
        </w:rPr>
        <w:t xml:space="preserve"> </w:t>
      </w:r>
      <w:r>
        <w:rPr>
          <w:rFonts w:hint="cs"/>
          <w:b/>
          <w:bCs/>
          <w:rtl/>
        </w:rPr>
        <w:t>מדינת ישראל נ' בשארה</w:t>
      </w:r>
      <w:r>
        <w:rPr>
          <w:rFonts w:hint="cs"/>
          <w:rtl/>
        </w:rPr>
        <w:t xml:space="preserve"> (22.1.2024) הנאשם שנשא את הנשק בביתו ככל הנראה לצורכי צילום, נדון ל-14 חודשי מאסר תוך חריגה מהמתחם כשברקע מצב רפואי ונפשי מורכב. בית המשפט העליון הקל בעונשו והשית עליו תשעה חודשי מאסר בעבודות שירות בגין נסיבות פרטניות ובהתאם לתסקיר עדכני (</w:t>
      </w:r>
      <w:hyperlink r:id="rId38" w:history="1">
        <w:r w:rsidR="0018391A" w:rsidRPr="0018391A">
          <w:rPr>
            <w:color w:val="0000FF"/>
            <w:u w:val="single"/>
            <w:rtl/>
          </w:rPr>
          <w:t>ע"פ 1936/24</w:t>
        </w:r>
      </w:hyperlink>
      <w:r>
        <w:rPr>
          <w:rFonts w:hint="cs"/>
          <w:rtl/>
        </w:rPr>
        <w:t xml:space="preserve">). </w:t>
      </w:r>
    </w:p>
    <w:p w14:paraId="20C2E279" w14:textId="77777777" w:rsidR="0031229B" w:rsidRDefault="0031229B" w:rsidP="0031229B">
      <w:pPr>
        <w:pStyle w:val="a9"/>
        <w:spacing w:after="160" w:line="360" w:lineRule="auto"/>
        <w:jc w:val="both"/>
        <w:rPr>
          <w:rtl/>
        </w:rPr>
      </w:pPr>
    </w:p>
    <w:p w14:paraId="6F76EE15" w14:textId="77777777" w:rsidR="0031229B" w:rsidRDefault="0031229B" w:rsidP="0031229B">
      <w:pPr>
        <w:pStyle w:val="a9"/>
        <w:numPr>
          <w:ilvl w:val="0"/>
          <w:numId w:val="1"/>
        </w:numPr>
        <w:spacing w:after="160" w:line="360" w:lineRule="auto"/>
        <w:jc w:val="both"/>
        <w:rPr>
          <w:rFonts w:ascii="Arial" w:eastAsia="Times New Roman" w:hAnsi="Arial"/>
          <w:b/>
          <w:bCs/>
          <w:rtl/>
        </w:rPr>
      </w:pPr>
      <w:r>
        <w:rPr>
          <w:rFonts w:hint="cs"/>
          <w:rtl/>
        </w:rPr>
        <w:t xml:space="preserve">אשר על כן, לאחר שבחנתי את נסיבות מעשי הנאשמים בתיק זה לרבות חלקו היחסי של כל אחד מהם </w:t>
      </w:r>
      <w:r>
        <w:rPr>
          <w:rFonts w:hint="cs"/>
          <w:b/>
          <w:bCs/>
          <w:rtl/>
        </w:rPr>
        <w:t xml:space="preserve">אני קובעת בעניינו של נאשם 1, מתחם עונשי הנע בין 50-30 חודשי מאסר; בעניינו של נאשם 2 יעמוד המתחם על 48-25 חודשי מאסר. </w:t>
      </w:r>
    </w:p>
    <w:p w14:paraId="40988953" w14:textId="77777777" w:rsidR="0031229B" w:rsidRDefault="0031229B" w:rsidP="0031229B">
      <w:pPr>
        <w:pStyle w:val="a9"/>
        <w:rPr>
          <w:b/>
          <w:bCs/>
          <w:rtl/>
        </w:rPr>
      </w:pPr>
    </w:p>
    <w:p w14:paraId="36D90BFF" w14:textId="77777777" w:rsidR="0031229B" w:rsidRDefault="0031229B" w:rsidP="0031229B">
      <w:pPr>
        <w:spacing w:after="160" w:line="360" w:lineRule="auto"/>
        <w:jc w:val="both"/>
        <w:rPr>
          <w:b/>
          <w:bCs/>
          <w:u w:val="single"/>
        </w:rPr>
      </w:pPr>
      <w:r>
        <w:rPr>
          <w:b/>
          <w:bCs/>
          <w:u w:val="single"/>
          <w:rtl/>
        </w:rPr>
        <w:t>גזירת העונש המתאים לנאשמים</w:t>
      </w:r>
    </w:p>
    <w:p w14:paraId="3FADFD1E" w14:textId="77777777" w:rsidR="0031229B" w:rsidRDefault="0031229B" w:rsidP="0031229B">
      <w:pPr>
        <w:pStyle w:val="a9"/>
        <w:numPr>
          <w:ilvl w:val="0"/>
          <w:numId w:val="1"/>
        </w:numPr>
        <w:spacing w:after="160" w:line="360" w:lineRule="auto"/>
        <w:jc w:val="both"/>
        <w:rPr>
          <w:rtl/>
        </w:rPr>
      </w:pPr>
      <w:r>
        <w:rPr>
          <w:rFonts w:hint="cs"/>
          <w:rtl/>
        </w:rPr>
        <w:t xml:space="preserve">הנאשמים צעירים בתחילת שנות העשרים לחייהם, נעדרי עבר פלילי, גדלו במשפחות נורמטיביות ותומכות שמילאו אחר צרכיהם הפיזיים והרגשיים. לאורך השנים שניהם גילו יציבות תפקודית- לימודית, משפחתית ותעסוקתית וגם כעת מביעים רצון לנהל אורח חיים נורמטיבי לאחר שירצו את עונשם וישתחררו ממאסר. עצורים מזה כשמונה חודשים, הודו ונטלו אחריות על מעשיהם. </w:t>
      </w:r>
    </w:p>
    <w:p w14:paraId="10D44CAE" w14:textId="77777777" w:rsidR="0031229B" w:rsidRDefault="0031229B" w:rsidP="0031229B">
      <w:pPr>
        <w:pStyle w:val="a9"/>
        <w:spacing w:after="160" w:line="360" w:lineRule="auto"/>
        <w:jc w:val="both"/>
      </w:pPr>
    </w:p>
    <w:p w14:paraId="3B8E6E73" w14:textId="77777777" w:rsidR="0031229B" w:rsidRDefault="0031229B" w:rsidP="0031229B">
      <w:pPr>
        <w:pStyle w:val="a9"/>
        <w:numPr>
          <w:ilvl w:val="0"/>
          <w:numId w:val="1"/>
        </w:numPr>
        <w:spacing w:line="360" w:lineRule="auto"/>
        <w:jc w:val="both"/>
        <w:rPr>
          <w:rtl/>
        </w:rPr>
      </w:pPr>
      <w:r>
        <w:rPr>
          <w:rFonts w:hint="cs"/>
          <w:rtl/>
        </w:rPr>
        <w:t>תסקירו של נאשם 1 אינו חיובי, הנאשם אמנם מביע חרטה על מעשיו אלא שבד בבד מחזיק בעמדה קורבנית ומתקשה לבחון את מניעיו. יש לקוות כי  בניהול ההליך המשפטי יהיה כדי להרתיע אותו מביצוע עבירות נוספות בעתיד, ולחדד עבורו את הצורך בניתוק קשריו השוליים. גורמי הסיכון הקשורים בקושי בהפעלת שיקול דעת ובהצבת גבולות, אשר עמדו ברקע לביצוע העבירות, עומדים בעינם.  מכתב שהוגש מטעם ראש עיריית טירה מתאר את הנאשם כצעיר ישר התורם לאיכות חיי התושבים ופעיל חברתית, וכן את משפחתו המכובדת של הנאשם, שהוא נכדו של איש חינוך ידוע, עוד הוגש מכתב ממנכ"ל עמותה למען נזקקים בטירה ממנו עולה כי הנאשם מתנדב מזה שנים בהכנת חבילות מזון.</w:t>
      </w:r>
    </w:p>
    <w:p w14:paraId="6230174E" w14:textId="77777777" w:rsidR="0031229B" w:rsidRDefault="0031229B" w:rsidP="0031229B">
      <w:pPr>
        <w:pStyle w:val="a9"/>
        <w:spacing w:after="160" w:line="360" w:lineRule="auto"/>
        <w:jc w:val="both"/>
      </w:pPr>
    </w:p>
    <w:p w14:paraId="69FAE9E5" w14:textId="77777777" w:rsidR="0031229B" w:rsidRDefault="0031229B" w:rsidP="0031229B">
      <w:pPr>
        <w:pStyle w:val="a9"/>
        <w:spacing w:after="160" w:line="360" w:lineRule="auto"/>
        <w:jc w:val="both"/>
        <w:rPr>
          <w:rtl/>
        </w:rPr>
      </w:pPr>
      <w:r>
        <w:rPr>
          <w:rFonts w:hint="cs"/>
          <w:rtl/>
        </w:rPr>
        <w:t xml:space="preserve">מתסקירו של נאשם 2, עולה כי מסלול חייו עובר לביצוע העבירות היה חיובי ביותר, והאירוע בגינו נותן את הדין הוא חריג בנוף חייו. הנאשם קיבל אחריות מלאה על מעשיו, הביע צער, בושה וחרטה ותובנה למניעים שעמדו מאחורי מעשיו. עם זאת בשלב זה הסיכון הנשקף ממנו להישנות עבירות שריר וקיים.  </w:t>
      </w:r>
    </w:p>
    <w:p w14:paraId="59EBD8DF" w14:textId="77777777" w:rsidR="0031229B" w:rsidRDefault="0031229B" w:rsidP="0031229B">
      <w:pPr>
        <w:pStyle w:val="a9"/>
        <w:spacing w:after="160" w:line="360" w:lineRule="auto"/>
        <w:jc w:val="both"/>
      </w:pPr>
    </w:p>
    <w:p w14:paraId="47EBC551" w14:textId="77777777" w:rsidR="0031229B" w:rsidRDefault="0031229B" w:rsidP="0031229B">
      <w:pPr>
        <w:pStyle w:val="a9"/>
        <w:numPr>
          <w:ilvl w:val="0"/>
          <w:numId w:val="1"/>
        </w:numPr>
        <w:spacing w:after="160" w:line="360" w:lineRule="auto"/>
        <w:jc w:val="both"/>
      </w:pPr>
      <w:r>
        <w:rPr>
          <w:rFonts w:hint="cs"/>
          <w:rtl/>
        </w:rPr>
        <w:t xml:space="preserve">לאחר ששקלתי את כלל השיקולים, מצאתי למקם את עונשו של נאשם 1 קרוב לתחתית המתחם ואת נאשם 2 בתחתיתו. עוד אשית עליהם מאסר מותנה וקנס כספי. </w:t>
      </w:r>
    </w:p>
    <w:p w14:paraId="3AFD9A41" w14:textId="77777777" w:rsidR="0031229B" w:rsidRDefault="0031229B" w:rsidP="0031229B">
      <w:pPr>
        <w:pStyle w:val="a9"/>
        <w:spacing w:after="120"/>
        <w:rPr>
          <w:b/>
          <w:bCs/>
          <w:highlight w:val="yellow"/>
          <w:u w:val="single"/>
          <w:rtl/>
        </w:rPr>
      </w:pPr>
    </w:p>
    <w:p w14:paraId="2E1383AF" w14:textId="77777777" w:rsidR="0031229B" w:rsidRDefault="0031229B" w:rsidP="0031229B">
      <w:pPr>
        <w:pStyle w:val="a9"/>
        <w:spacing w:after="120" w:line="360" w:lineRule="auto"/>
        <w:jc w:val="both"/>
        <w:rPr>
          <w:rtl/>
        </w:rPr>
      </w:pPr>
      <w:r>
        <w:rPr>
          <w:rFonts w:hint="cs"/>
          <w:b/>
          <w:bCs/>
          <w:u w:val="single"/>
          <w:rtl/>
        </w:rPr>
        <w:t>סוף דבר</w:t>
      </w:r>
    </w:p>
    <w:p w14:paraId="3DAFA2C5" w14:textId="77777777" w:rsidR="0031229B" w:rsidRDefault="0031229B" w:rsidP="0031229B">
      <w:pPr>
        <w:pStyle w:val="a9"/>
        <w:spacing w:after="120" w:line="360" w:lineRule="auto"/>
        <w:jc w:val="both"/>
        <w:rPr>
          <w:b/>
          <w:bCs/>
          <w:rtl/>
        </w:rPr>
      </w:pPr>
    </w:p>
    <w:p w14:paraId="16044360" w14:textId="77777777" w:rsidR="0031229B" w:rsidRDefault="0031229B" w:rsidP="0031229B">
      <w:pPr>
        <w:pStyle w:val="a9"/>
        <w:numPr>
          <w:ilvl w:val="0"/>
          <w:numId w:val="1"/>
        </w:numPr>
        <w:spacing w:after="120" w:line="360" w:lineRule="auto"/>
        <w:jc w:val="both"/>
        <w:rPr>
          <w:b/>
          <w:bCs/>
        </w:rPr>
      </w:pPr>
      <w:r>
        <w:rPr>
          <w:rFonts w:hint="cs"/>
          <w:b/>
          <w:bCs/>
          <w:rtl/>
        </w:rPr>
        <w:t>אני גוזרת על הנאשמים את העונשים הבאים:</w:t>
      </w:r>
    </w:p>
    <w:p w14:paraId="3C996B41" w14:textId="77777777" w:rsidR="0031229B" w:rsidRDefault="0031229B" w:rsidP="0031229B">
      <w:pPr>
        <w:pStyle w:val="a9"/>
        <w:numPr>
          <w:ilvl w:val="0"/>
          <w:numId w:val="2"/>
        </w:numPr>
        <w:spacing w:after="160" w:line="360" w:lineRule="auto"/>
        <w:jc w:val="both"/>
        <w:rPr>
          <w:rtl/>
        </w:rPr>
      </w:pPr>
      <w:r>
        <w:rPr>
          <w:rFonts w:hint="cs"/>
          <w:rtl/>
        </w:rPr>
        <w:t xml:space="preserve">על נאשם 1- </w:t>
      </w:r>
      <w:r>
        <w:rPr>
          <w:rFonts w:hint="cs"/>
          <w:b/>
          <w:bCs/>
          <w:rtl/>
        </w:rPr>
        <w:t>32 חודשי מאסר</w:t>
      </w:r>
      <w:r>
        <w:rPr>
          <w:rFonts w:hint="cs"/>
          <w:rtl/>
        </w:rPr>
        <w:t xml:space="preserve"> החל מיום 15.7.24; על נאשם 2- </w:t>
      </w:r>
      <w:r>
        <w:rPr>
          <w:rFonts w:hint="cs"/>
          <w:b/>
          <w:bCs/>
          <w:rtl/>
        </w:rPr>
        <w:t xml:space="preserve"> 25 חודשי מאסר</w:t>
      </w:r>
      <w:r>
        <w:rPr>
          <w:rFonts w:hint="cs"/>
          <w:rtl/>
        </w:rPr>
        <w:t xml:space="preserve"> החל מיום 15.7.24.</w:t>
      </w:r>
    </w:p>
    <w:p w14:paraId="64B46AFD" w14:textId="77777777" w:rsidR="0031229B" w:rsidRDefault="0031229B" w:rsidP="0031229B">
      <w:pPr>
        <w:pStyle w:val="a9"/>
        <w:numPr>
          <w:ilvl w:val="0"/>
          <w:numId w:val="2"/>
        </w:numPr>
        <w:spacing w:after="160" w:line="360" w:lineRule="auto"/>
        <w:jc w:val="both"/>
        <w:rPr>
          <w:rtl/>
        </w:rPr>
      </w:pPr>
      <w:r>
        <w:rPr>
          <w:rFonts w:hint="cs"/>
          <w:rtl/>
        </w:rPr>
        <w:t xml:space="preserve">לכל אחד מהנאשמים- מאסר על תנאי בן 12 חודשים לבל יעבור עבירת נשק מסוג פשע תוך 3 שנים מיום שחרורם. </w:t>
      </w:r>
    </w:p>
    <w:p w14:paraId="78794599" w14:textId="77777777" w:rsidR="0031229B" w:rsidRDefault="0031229B" w:rsidP="0031229B">
      <w:pPr>
        <w:pStyle w:val="a9"/>
        <w:numPr>
          <w:ilvl w:val="0"/>
          <w:numId w:val="2"/>
        </w:numPr>
        <w:spacing w:after="160" w:line="360" w:lineRule="auto"/>
        <w:jc w:val="both"/>
      </w:pPr>
      <w:r>
        <w:rPr>
          <w:rFonts w:hint="cs"/>
          <w:rtl/>
        </w:rPr>
        <w:t xml:space="preserve">לכל אחד מהנאשמים- קנס בסך 4,000 ₪ או 21 ימי מאסר תמורתו שישולם ב-5 תשלומים שווים ורצופים החל מיום 20.4.25. </w:t>
      </w:r>
    </w:p>
    <w:p w14:paraId="5F6FE8AE" w14:textId="77777777" w:rsidR="0031229B" w:rsidRDefault="0031229B" w:rsidP="0031229B">
      <w:pPr>
        <w:spacing w:after="160" w:line="480" w:lineRule="auto"/>
        <w:jc w:val="both"/>
      </w:pPr>
      <w:r>
        <w:rPr>
          <w:rtl/>
        </w:rPr>
        <w:t>צו כללי למוצגים. הנשק והתחמושת יושמדו.</w:t>
      </w:r>
    </w:p>
    <w:p w14:paraId="633E3CD7" w14:textId="77777777" w:rsidR="0031229B" w:rsidRPr="000F2247" w:rsidRDefault="0018391A" w:rsidP="0031229B">
      <w:pPr>
        <w:rPr>
          <w:rFonts w:ascii="Arial" w:hAnsi="Arial"/>
          <w:b/>
          <w:bCs/>
          <w:sz w:val="26"/>
          <w:szCs w:val="26"/>
          <w:rtl/>
        </w:rPr>
      </w:pPr>
      <w:r w:rsidRPr="0018391A">
        <w:rPr>
          <w:b/>
          <w:bCs/>
          <w:color w:val="FFFFFF"/>
          <w:sz w:val="2"/>
          <w:szCs w:val="2"/>
          <w:rtl/>
        </w:rPr>
        <w:t>5129371</w:t>
      </w:r>
      <w:r w:rsidR="0031229B">
        <w:rPr>
          <w:b/>
          <w:bCs/>
          <w:rtl/>
        </w:rPr>
        <w:t>זכות ערעור לבית המשפט העליון תוך 45 יום.</w:t>
      </w:r>
    </w:p>
    <w:p w14:paraId="65B0F7F1" w14:textId="77777777" w:rsidR="0031229B" w:rsidRPr="0018391A" w:rsidRDefault="0018391A" w:rsidP="0031229B">
      <w:pPr>
        <w:rPr>
          <w:rFonts w:ascii="Arial" w:hAnsi="Arial"/>
          <w:b/>
          <w:bCs/>
          <w:color w:val="FFFFFF"/>
          <w:sz w:val="2"/>
          <w:szCs w:val="2"/>
          <w:rtl/>
        </w:rPr>
      </w:pPr>
      <w:r w:rsidRPr="0018391A">
        <w:rPr>
          <w:rFonts w:ascii="Arial" w:hAnsi="Arial"/>
          <w:b/>
          <w:bCs/>
          <w:color w:val="FFFFFF"/>
          <w:sz w:val="2"/>
          <w:szCs w:val="2"/>
          <w:rtl/>
        </w:rPr>
        <w:t>54678313</w:t>
      </w:r>
    </w:p>
    <w:p w14:paraId="5124D1B6" w14:textId="77777777" w:rsidR="0031229B" w:rsidRPr="000F2247" w:rsidRDefault="0031229B" w:rsidP="0031229B">
      <w:pPr>
        <w:rPr>
          <w:rFonts w:ascii="Arial" w:hAnsi="Arial"/>
          <w:b/>
          <w:bCs/>
          <w:sz w:val="26"/>
          <w:szCs w:val="26"/>
          <w:rtl/>
        </w:rPr>
      </w:pPr>
    </w:p>
    <w:p w14:paraId="0C8E01F2" w14:textId="77777777" w:rsidR="0031229B" w:rsidRPr="000F2247" w:rsidRDefault="0018391A" w:rsidP="0031229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תשפ"ה, 10 מרץ 2025, במעמד הצדדים. </w:t>
      </w:r>
      <w:bookmarkEnd w:id="8"/>
      <w:r w:rsidR="0031229B">
        <w:rPr>
          <w:rFonts w:ascii="Arial" w:hAnsi="Arial"/>
          <w:b/>
          <w:bCs/>
          <w:sz w:val="26"/>
          <w:szCs w:val="26"/>
          <w:rtl/>
        </w:rPr>
        <w:tab/>
      </w:r>
      <w:r w:rsidR="0031229B">
        <w:rPr>
          <w:rFonts w:ascii="Arial" w:hAnsi="Arial"/>
          <w:b/>
          <w:bCs/>
          <w:sz w:val="26"/>
          <w:szCs w:val="26"/>
          <w:rtl/>
        </w:rPr>
        <w:tab/>
      </w:r>
      <w:r w:rsidR="0031229B">
        <w:rPr>
          <w:rFonts w:ascii="Arial" w:hAnsi="Arial"/>
          <w:b/>
          <w:bCs/>
          <w:sz w:val="26"/>
          <w:szCs w:val="26"/>
          <w:rtl/>
        </w:rPr>
        <w:tab/>
      </w:r>
      <w:r w:rsidR="0031229B">
        <w:rPr>
          <w:rFonts w:ascii="Arial" w:hAnsi="Arial"/>
          <w:b/>
          <w:bCs/>
          <w:sz w:val="26"/>
          <w:szCs w:val="26"/>
          <w:rtl/>
        </w:rPr>
        <w:tab/>
      </w:r>
      <w:r w:rsidR="0031229B">
        <w:rPr>
          <w:rFonts w:ascii="Arial" w:hAnsi="Arial"/>
          <w:b/>
          <w:bCs/>
          <w:sz w:val="26"/>
          <w:szCs w:val="26"/>
          <w:rtl/>
        </w:rPr>
        <w:tab/>
      </w:r>
      <w:r w:rsidR="0031229B">
        <w:rPr>
          <w:rFonts w:ascii="Arial" w:hAnsi="Arial"/>
          <w:b/>
          <w:bCs/>
          <w:sz w:val="26"/>
          <w:szCs w:val="26"/>
          <w:rtl/>
        </w:rPr>
        <w:tab/>
      </w:r>
      <w:r w:rsidR="0031229B">
        <w:rPr>
          <w:rFonts w:ascii="Arial" w:hAnsi="Arial"/>
          <w:b/>
          <w:bCs/>
          <w:sz w:val="26"/>
          <w:szCs w:val="26"/>
          <w:rtl/>
        </w:rPr>
        <w:tab/>
      </w:r>
      <w:r w:rsidR="0031229B">
        <w:rPr>
          <w:rFonts w:ascii="Arial" w:hAnsi="Arial" w:hint="cs"/>
          <w:b/>
          <w:bCs/>
          <w:sz w:val="26"/>
          <w:szCs w:val="26"/>
          <w:rtl/>
        </w:rPr>
        <w:t xml:space="preserve">         </w:t>
      </w:r>
    </w:p>
    <w:p w14:paraId="3EED57B0" w14:textId="77777777" w:rsidR="0031229B" w:rsidRPr="000F2247" w:rsidRDefault="0031229B" w:rsidP="0018391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249CC50" w14:textId="77777777" w:rsidR="0031229B" w:rsidRPr="0021127B" w:rsidRDefault="0021127B" w:rsidP="0031229B">
      <w:pPr>
        <w:jc w:val="center"/>
        <w:rPr>
          <w:rFonts w:ascii="Arial" w:hAnsi="Arial"/>
          <w:b/>
          <w:bCs/>
          <w:color w:val="FFFFFF"/>
          <w:sz w:val="2"/>
          <w:szCs w:val="2"/>
          <w:rtl/>
        </w:rPr>
      </w:pPr>
      <w:r w:rsidRPr="0021127B">
        <w:rPr>
          <w:rFonts w:ascii="Arial" w:hAnsi="Arial"/>
          <w:b/>
          <w:bCs/>
          <w:color w:val="FFFFFF"/>
          <w:sz w:val="2"/>
          <w:szCs w:val="2"/>
          <w:rtl/>
        </w:rPr>
        <w:t>5129371</w:t>
      </w:r>
    </w:p>
    <w:p w14:paraId="542FD694" w14:textId="77777777" w:rsidR="00233024" w:rsidRPr="0021127B" w:rsidRDefault="0021127B" w:rsidP="0018391A">
      <w:pPr>
        <w:keepNext/>
        <w:rPr>
          <w:rFonts w:ascii="David" w:hAnsi="David"/>
          <w:color w:val="FFFFFF"/>
          <w:sz w:val="2"/>
          <w:szCs w:val="2"/>
          <w:rtl/>
        </w:rPr>
      </w:pPr>
      <w:r w:rsidRPr="0021127B">
        <w:rPr>
          <w:rFonts w:ascii="David" w:hAnsi="David"/>
          <w:color w:val="FFFFFF"/>
          <w:sz w:val="2"/>
          <w:szCs w:val="2"/>
          <w:rtl/>
        </w:rPr>
        <w:t>512937154678313</w:t>
      </w:r>
    </w:p>
    <w:p w14:paraId="4A47CA7A" w14:textId="77777777" w:rsidR="0018391A" w:rsidRPr="0021127B" w:rsidRDefault="0021127B" w:rsidP="0018391A">
      <w:pPr>
        <w:rPr>
          <w:color w:val="FFFFFF"/>
          <w:sz w:val="2"/>
          <w:szCs w:val="2"/>
          <w:rtl/>
        </w:rPr>
      </w:pPr>
      <w:r w:rsidRPr="0021127B">
        <w:rPr>
          <w:color w:val="FFFFFF"/>
          <w:sz w:val="2"/>
          <w:szCs w:val="2"/>
          <w:rtl/>
        </w:rPr>
        <w:t>54678313</w:t>
      </w:r>
    </w:p>
    <w:p w14:paraId="3F2F7493" w14:textId="77777777" w:rsidR="0018391A" w:rsidRDefault="0018391A" w:rsidP="0018391A">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A980578" w14:textId="77777777" w:rsidR="0021127B" w:rsidRPr="0021127B" w:rsidRDefault="0021127B" w:rsidP="0021127B">
      <w:pPr>
        <w:keepNext/>
        <w:rPr>
          <w:rFonts w:ascii="David" w:hAnsi="David"/>
          <w:color w:val="000000"/>
          <w:sz w:val="22"/>
          <w:szCs w:val="22"/>
          <w:rtl/>
        </w:rPr>
      </w:pPr>
    </w:p>
    <w:p w14:paraId="55168CCE" w14:textId="77777777" w:rsidR="0021127B" w:rsidRPr="0021127B" w:rsidRDefault="0021127B" w:rsidP="0021127B">
      <w:pPr>
        <w:keepNext/>
        <w:rPr>
          <w:rFonts w:ascii="David" w:hAnsi="David"/>
          <w:color w:val="000000"/>
          <w:sz w:val="22"/>
          <w:szCs w:val="22"/>
          <w:rtl/>
        </w:rPr>
      </w:pPr>
      <w:r w:rsidRPr="0021127B">
        <w:rPr>
          <w:rFonts w:ascii="David" w:hAnsi="David"/>
          <w:color w:val="000000"/>
          <w:sz w:val="22"/>
          <w:szCs w:val="22"/>
          <w:rtl/>
        </w:rPr>
        <w:t>מרב גרינברג 54678313-/</w:t>
      </w:r>
    </w:p>
    <w:p w14:paraId="5D24AE39" w14:textId="77777777" w:rsidR="0021127B" w:rsidRPr="0021127B" w:rsidRDefault="0021127B" w:rsidP="0021127B">
      <w:pPr>
        <w:keepNext/>
        <w:rPr>
          <w:rFonts w:ascii="David" w:hAnsi="David"/>
          <w:color w:val="000000"/>
          <w:sz w:val="22"/>
          <w:szCs w:val="22"/>
          <w:rtl/>
        </w:rPr>
      </w:pPr>
      <w:r w:rsidRPr="0021127B">
        <w:rPr>
          <w:color w:val="000000"/>
          <w:u w:val="single"/>
          <w:rtl/>
        </w:rPr>
        <w:t>נוסח מסמך זה כפוף לשינויי ניסוח ועריכה</w:t>
      </w:r>
    </w:p>
    <w:p w14:paraId="633CB66B" w14:textId="77777777" w:rsidR="0018391A" w:rsidRPr="0018391A" w:rsidRDefault="0018391A" w:rsidP="0021127B">
      <w:pPr>
        <w:rPr>
          <w:color w:val="0000FF"/>
          <w:u w:val="single"/>
        </w:rPr>
      </w:pPr>
    </w:p>
    <w:sectPr w:rsidR="0018391A" w:rsidRPr="0018391A" w:rsidSect="0021127B">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31960" w14:textId="77777777" w:rsidR="00711F90" w:rsidRDefault="00711F90" w:rsidP="005A1656">
      <w:r>
        <w:separator/>
      </w:r>
    </w:p>
  </w:endnote>
  <w:endnote w:type="continuationSeparator" w:id="0">
    <w:p w14:paraId="0F380344" w14:textId="77777777" w:rsidR="00711F90" w:rsidRDefault="00711F90" w:rsidP="005A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E7209" w14:textId="77777777" w:rsidR="0021127B" w:rsidRDefault="0021127B" w:rsidP="002112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49C112" w14:textId="77777777" w:rsidR="00356BED" w:rsidRPr="0021127B" w:rsidRDefault="0021127B" w:rsidP="0021127B">
    <w:pPr>
      <w:pStyle w:val="a5"/>
      <w:pBdr>
        <w:top w:val="single" w:sz="4" w:space="1" w:color="auto"/>
        <w:between w:val="single" w:sz="4" w:space="0" w:color="auto"/>
      </w:pBdr>
      <w:spacing w:after="60"/>
      <w:jc w:val="center"/>
      <w:rPr>
        <w:rFonts w:ascii="FrankRuehl" w:hAnsi="FrankRuehl" w:cs="FrankRuehl"/>
        <w:color w:val="000000"/>
      </w:rPr>
    </w:pPr>
    <w:r w:rsidRPr="002112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BFF40" w14:textId="77777777" w:rsidR="0021127B" w:rsidRDefault="0021127B" w:rsidP="002112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5307">
      <w:rPr>
        <w:rFonts w:ascii="FrankRuehl" w:hAnsi="FrankRuehl" w:cs="FrankRuehl"/>
        <w:noProof/>
        <w:rtl/>
      </w:rPr>
      <w:t>1</w:t>
    </w:r>
    <w:r>
      <w:rPr>
        <w:rFonts w:ascii="FrankRuehl" w:hAnsi="FrankRuehl" w:cs="FrankRuehl"/>
        <w:rtl/>
      </w:rPr>
      <w:fldChar w:fldCharType="end"/>
    </w:r>
  </w:p>
  <w:p w14:paraId="43CBF85E" w14:textId="77777777" w:rsidR="00356BED" w:rsidRPr="0021127B" w:rsidRDefault="0021127B" w:rsidP="0021127B">
    <w:pPr>
      <w:pStyle w:val="a5"/>
      <w:pBdr>
        <w:top w:val="single" w:sz="4" w:space="1" w:color="auto"/>
        <w:between w:val="single" w:sz="4" w:space="0" w:color="auto"/>
      </w:pBdr>
      <w:spacing w:after="60"/>
      <w:jc w:val="center"/>
      <w:rPr>
        <w:rFonts w:ascii="FrankRuehl" w:hAnsi="FrankRuehl" w:cs="FrankRuehl"/>
        <w:color w:val="000000"/>
      </w:rPr>
    </w:pPr>
    <w:r w:rsidRPr="0021127B">
      <w:rPr>
        <w:rFonts w:ascii="FrankRuehl" w:hAnsi="FrankRuehl" w:cs="FrankRuehl"/>
        <w:color w:val="000000"/>
      </w:rPr>
      <w:pict w14:anchorId="7784A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9201F" w14:textId="77777777" w:rsidR="00711F90" w:rsidRDefault="00711F90" w:rsidP="005A1656">
      <w:r>
        <w:separator/>
      </w:r>
    </w:p>
  </w:footnote>
  <w:footnote w:type="continuationSeparator" w:id="0">
    <w:p w14:paraId="6035C442" w14:textId="77777777" w:rsidR="00711F90" w:rsidRDefault="00711F90" w:rsidP="005A1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1C869" w14:textId="77777777" w:rsidR="0018391A" w:rsidRPr="0021127B" w:rsidRDefault="0021127B" w:rsidP="002112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63489-07-24</w:t>
    </w:r>
    <w:r>
      <w:rPr>
        <w:rFonts w:ascii="David" w:hAnsi="David"/>
        <w:color w:val="000000"/>
        <w:sz w:val="22"/>
        <w:szCs w:val="22"/>
        <w:rtl/>
      </w:rPr>
      <w:tab/>
      <w:t xml:space="preserve"> מדינת ישראל נ' סאהר מנסור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900A9" w14:textId="77777777" w:rsidR="0018391A" w:rsidRPr="0021127B" w:rsidRDefault="0021127B" w:rsidP="002112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63489-07-24</w:t>
    </w:r>
    <w:r>
      <w:rPr>
        <w:rFonts w:ascii="David" w:hAnsi="David"/>
        <w:color w:val="000000"/>
        <w:sz w:val="22"/>
        <w:szCs w:val="22"/>
        <w:rtl/>
      </w:rPr>
      <w:tab/>
      <w:t xml:space="preserve"> מדינת ישראל נ' סאהר מנסור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1AEE6EFC"/>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44994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7671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229B"/>
    <w:rsid w:val="0018391A"/>
    <w:rsid w:val="001B5A3B"/>
    <w:rsid w:val="0021127B"/>
    <w:rsid w:val="00233024"/>
    <w:rsid w:val="0031229B"/>
    <w:rsid w:val="00356BED"/>
    <w:rsid w:val="004F5307"/>
    <w:rsid w:val="005A1656"/>
    <w:rsid w:val="00711F90"/>
    <w:rsid w:val="00B007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533736"/>
  <w15:chartTrackingRefBased/>
  <w15:docId w15:val="{1A22D4E3-84E1-423F-B5CD-847AD032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22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229B"/>
    <w:pPr>
      <w:tabs>
        <w:tab w:val="center" w:pos="4153"/>
        <w:tab w:val="right" w:pos="8306"/>
      </w:tabs>
    </w:pPr>
  </w:style>
  <w:style w:type="character" w:customStyle="1" w:styleId="a4">
    <w:name w:val="כותרת עליונה תו"/>
    <w:link w:val="a3"/>
    <w:rsid w:val="0031229B"/>
    <w:rPr>
      <w:rFonts w:ascii="Times New Roman" w:eastAsia="Times New Roman" w:hAnsi="Times New Roman" w:cs="David"/>
      <w:sz w:val="24"/>
      <w:szCs w:val="24"/>
    </w:rPr>
  </w:style>
  <w:style w:type="paragraph" w:styleId="a5">
    <w:name w:val="footer"/>
    <w:basedOn w:val="a"/>
    <w:link w:val="a6"/>
    <w:rsid w:val="0031229B"/>
    <w:pPr>
      <w:tabs>
        <w:tab w:val="center" w:pos="4153"/>
        <w:tab w:val="right" w:pos="8306"/>
      </w:tabs>
    </w:pPr>
  </w:style>
  <w:style w:type="character" w:customStyle="1" w:styleId="a6">
    <w:name w:val="כותרת תחתונה תו"/>
    <w:link w:val="a5"/>
    <w:rsid w:val="0031229B"/>
    <w:rPr>
      <w:rFonts w:ascii="Times New Roman" w:eastAsia="Times New Roman" w:hAnsi="Times New Roman" w:cs="David"/>
      <w:sz w:val="24"/>
      <w:szCs w:val="24"/>
    </w:rPr>
  </w:style>
  <w:style w:type="table" w:styleId="a7">
    <w:name w:val="Table Grid"/>
    <w:basedOn w:val="a1"/>
    <w:rsid w:val="003122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1229B"/>
  </w:style>
  <w:style w:type="paragraph" w:styleId="a9">
    <w:name w:val="List Paragraph"/>
    <w:basedOn w:val="a"/>
    <w:qFormat/>
    <w:rsid w:val="0031229B"/>
    <w:pPr>
      <w:ind w:left="720"/>
      <w:contextualSpacing/>
    </w:pPr>
    <w:rPr>
      <w:rFonts w:ascii="David" w:eastAsia="David" w:hAnsi="David"/>
    </w:rPr>
  </w:style>
  <w:style w:type="paragraph" w:customStyle="1" w:styleId="ruller40">
    <w:name w:val="ruller40"/>
    <w:basedOn w:val="a"/>
    <w:rsid w:val="0031229B"/>
    <w:pPr>
      <w:bidi w:val="0"/>
      <w:spacing w:before="100" w:beforeAutospacing="1" w:after="100" w:afterAutospacing="1"/>
    </w:pPr>
    <w:rPr>
      <w:rFonts w:cs="Times New Roman"/>
    </w:rPr>
  </w:style>
  <w:style w:type="character" w:styleId="Hyperlink">
    <w:name w:val="Hyperlink"/>
    <w:rsid w:val="001839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28601157"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8152132" TargetMode="External"/><Relationship Id="rId34" Type="http://schemas.openxmlformats.org/officeDocument/2006/relationships/hyperlink" Target="http://www.nevo.co.il/case/27491153"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2" TargetMode="External"/><Relationship Id="rId29" Type="http://schemas.openxmlformats.org/officeDocument/2006/relationships/hyperlink" Target="http://www.nevo.co.il/case/274781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2" TargetMode="External"/><Relationship Id="rId24" Type="http://schemas.openxmlformats.org/officeDocument/2006/relationships/hyperlink" Target="http://www.nevo.co.il/case/28096675" TargetMode="External"/><Relationship Id="rId32" Type="http://schemas.openxmlformats.org/officeDocument/2006/relationships/hyperlink" Target="http://www.nevo.co.il/case/30024241" TargetMode="External"/><Relationship Id="rId37" Type="http://schemas.openxmlformats.org/officeDocument/2006/relationships/hyperlink" Target="http://www.nevo.co.il/case/2766312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0a.a" TargetMode="External"/><Relationship Id="rId23" Type="http://schemas.openxmlformats.org/officeDocument/2006/relationships/hyperlink" Target="http://www.nevo.co.il/case/28660017" TargetMode="External"/><Relationship Id="rId28" Type="http://schemas.openxmlformats.org/officeDocument/2006/relationships/hyperlink" Target="http://www.nevo.co.il/case/26905927" TargetMode="External"/><Relationship Id="rId36" Type="http://schemas.openxmlformats.org/officeDocument/2006/relationships/hyperlink" Target="http://www.nevo.co.il/case/30774851" TargetMode="External"/><Relationship Id="rId10" Type="http://schemas.openxmlformats.org/officeDocument/2006/relationships/hyperlink" Target="http://www.nevo.co.il/law/70301/340a.a" TargetMode="External"/><Relationship Id="rId19" Type="http://schemas.openxmlformats.org/officeDocument/2006/relationships/hyperlink" Target="http://www.nevo.co.il/case/27894608" TargetMode="External"/><Relationship Id="rId31" Type="http://schemas.openxmlformats.org/officeDocument/2006/relationships/hyperlink" Target="http://www.nevo.co.il/case/2815212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452933" TargetMode="External"/><Relationship Id="rId27" Type="http://schemas.openxmlformats.org/officeDocument/2006/relationships/hyperlink" Target="http://www.nevo.co.il/case/28660017" TargetMode="External"/><Relationship Id="rId30" Type="http://schemas.openxmlformats.org/officeDocument/2006/relationships/hyperlink" Target="http://www.nevo.co.il/case/29668302" TargetMode="External"/><Relationship Id="rId35" Type="http://schemas.openxmlformats.org/officeDocument/2006/relationships/hyperlink" Target="http://www.nevo.co.il/case/27836179" TargetMode="External"/><Relationship Id="rId43"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8268880" TargetMode="External"/><Relationship Id="rId25" Type="http://schemas.openxmlformats.org/officeDocument/2006/relationships/hyperlink" Target="http://www.nevo.co.il/case/29867910" TargetMode="External"/><Relationship Id="rId33" Type="http://schemas.openxmlformats.org/officeDocument/2006/relationships/hyperlink" Target="http://www.nevo.co.il/case/27502726" TargetMode="External"/><Relationship Id="rId38" Type="http://schemas.openxmlformats.org/officeDocument/2006/relationships/hyperlink" Target="http://www.nevo.co.il/case/30500343" TargetMode="External"/><Relationship Id="rId20" Type="http://schemas.openxmlformats.org/officeDocument/2006/relationships/hyperlink" Target="http://www.nevo.co.il/case/27911638"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2414</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14460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3276919</vt:i4>
      </vt:variant>
      <vt:variant>
        <vt:i4>93</vt:i4>
      </vt:variant>
      <vt:variant>
        <vt:i4>0</vt:i4>
      </vt:variant>
      <vt:variant>
        <vt:i4>5</vt:i4>
      </vt:variant>
      <vt:variant>
        <vt:lpwstr>http://www.nevo.co.il/case/30500343</vt:lpwstr>
      </vt:variant>
      <vt:variant>
        <vt:lpwstr/>
      </vt:variant>
      <vt:variant>
        <vt:i4>3473524</vt:i4>
      </vt:variant>
      <vt:variant>
        <vt:i4>90</vt:i4>
      </vt:variant>
      <vt:variant>
        <vt:i4>0</vt:i4>
      </vt:variant>
      <vt:variant>
        <vt:i4>5</vt:i4>
      </vt:variant>
      <vt:variant>
        <vt:lpwstr>http://www.nevo.co.il/case/27663124</vt:lpwstr>
      </vt:variant>
      <vt:variant>
        <vt:lpwstr/>
      </vt:variant>
      <vt:variant>
        <vt:i4>3473531</vt:i4>
      </vt:variant>
      <vt:variant>
        <vt:i4>87</vt:i4>
      </vt:variant>
      <vt:variant>
        <vt:i4>0</vt:i4>
      </vt:variant>
      <vt:variant>
        <vt:i4>5</vt:i4>
      </vt:variant>
      <vt:variant>
        <vt:lpwstr>http://www.nevo.co.il/case/30774851</vt:lpwstr>
      </vt:variant>
      <vt:variant>
        <vt:lpwstr/>
      </vt:variant>
      <vt:variant>
        <vt:i4>3866737</vt:i4>
      </vt:variant>
      <vt:variant>
        <vt:i4>84</vt:i4>
      </vt:variant>
      <vt:variant>
        <vt:i4>0</vt:i4>
      </vt:variant>
      <vt:variant>
        <vt:i4>5</vt:i4>
      </vt:variant>
      <vt:variant>
        <vt:lpwstr>http://www.nevo.co.il/case/27836179</vt:lpwstr>
      </vt:variant>
      <vt:variant>
        <vt:lpwstr/>
      </vt:variant>
      <vt:variant>
        <vt:i4>3276923</vt:i4>
      </vt:variant>
      <vt:variant>
        <vt:i4>81</vt:i4>
      </vt:variant>
      <vt:variant>
        <vt:i4>0</vt:i4>
      </vt:variant>
      <vt:variant>
        <vt:i4>5</vt:i4>
      </vt:variant>
      <vt:variant>
        <vt:lpwstr>http://www.nevo.co.il/case/27491153</vt:lpwstr>
      </vt:variant>
      <vt:variant>
        <vt:lpwstr/>
      </vt:variant>
      <vt:variant>
        <vt:i4>3604596</vt:i4>
      </vt:variant>
      <vt:variant>
        <vt:i4>78</vt:i4>
      </vt:variant>
      <vt:variant>
        <vt:i4>0</vt:i4>
      </vt:variant>
      <vt:variant>
        <vt:i4>5</vt:i4>
      </vt:variant>
      <vt:variant>
        <vt:lpwstr>http://www.nevo.co.il/case/27502726</vt:lpwstr>
      </vt:variant>
      <vt:variant>
        <vt:lpwstr/>
      </vt:variant>
      <vt:variant>
        <vt:i4>3342452</vt:i4>
      </vt:variant>
      <vt:variant>
        <vt:i4>75</vt:i4>
      </vt:variant>
      <vt:variant>
        <vt:i4>0</vt:i4>
      </vt:variant>
      <vt:variant>
        <vt:i4>5</vt:i4>
      </vt:variant>
      <vt:variant>
        <vt:lpwstr>http://www.nevo.co.il/case/30024241</vt:lpwstr>
      </vt:variant>
      <vt:variant>
        <vt:lpwstr/>
      </vt:variant>
      <vt:variant>
        <vt:i4>3342456</vt:i4>
      </vt:variant>
      <vt:variant>
        <vt:i4>72</vt:i4>
      </vt:variant>
      <vt:variant>
        <vt:i4>0</vt:i4>
      </vt:variant>
      <vt:variant>
        <vt:i4>5</vt:i4>
      </vt:variant>
      <vt:variant>
        <vt:lpwstr>http://www.nevo.co.il/case/28152125</vt:lpwstr>
      </vt:variant>
      <vt:variant>
        <vt:lpwstr/>
      </vt:variant>
      <vt:variant>
        <vt:i4>3932280</vt:i4>
      </vt:variant>
      <vt:variant>
        <vt:i4>69</vt:i4>
      </vt:variant>
      <vt:variant>
        <vt:i4>0</vt:i4>
      </vt:variant>
      <vt:variant>
        <vt:i4>5</vt:i4>
      </vt:variant>
      <vt:variant>
        <vt:lpwstr>http://www.nevo.co.il/case/29668302</vt:lpwstr>
      </vt:variant>
      <vt:variant>
        <vt:lpwstr/>
      </vt:variant>
      <vt:variant>
        <vt:i4>3997813</vt:i4>
      </vt:variant>
      <vt:variant>
        <vt:i4>66</vt:i4>
      </vt:variant>
      <vt:variant>
        <vt:i4>0</vt:i4>
      </vt:variant>
      <vt:variant>
        <vt:i4>5</vt:i4>
      </vt:variant>
      <vt:variant>
        <vt:lpwstr>http://www.nevo.co.il/case/27478138</vt:lpwstr>
      </vt:variant>
      <vt:variant>
        <vt:lpwstr/>
      </vt:variant>
      <vt:variant>
        <vt:i4>3932283</vt:i4>
      </vt:variant>
      <vt:variant>
        <vt:i4>63</vt:i4>
      </vt:variant>
      <vt:variant>
        <vt:i4>0</vt:i4>
      </vt:variant>
      <vt:variant>
        <vt:i4>5</vt:i4>
      </vt:variant>
      <vt:variant>
        <vt:lpwstr>http://www.nevo.co.il/case/26905927</vt:lpwstr>
      </vt:variant>
      <vt:variant>
        <vt:lpwstr/>
      </vt:variant>
      <vt:variant>
        <vt:i4>3473530</vt:i4>
      </vt:variant>
      <vt:variant>
        <vt:i4>60</vt:i4>
      </vt:variant>
      <vt:variant>
        <vt:i4>0</vt:i4>
      </vt:variant>
      <vt:variant>
        <vt:i4>5</vt:i4>
      </vt:variant>
      <vt:variant>
        <vt:lpwstr>http://www.nevo.co.il/case/28660017</vt:lpwstr>
      </vt:variant>
      <vt:variant>
        <vt:lpwstr/>
      </vt:variant>
      <vt:variant>
        <vt:i4>3145853</vt:i4>
      </vt:variant>
      <vt:variant>
        <vt:i4>57</vt:i4>
      </vt:variant>
      <vt:variant>
        <vt:i4>0</vt:i4>
      </vt:variant>
      <vt:variant>
        <vt:i4>5</vt:i4>
      </vt:variant>
      <vt:variant>
        <vt:lpwstr>http://www.nevo.co.il/case/28601157</vt:lpwstr>
      </vt:variant>
      <vt:variant>
        <vt:lpwstr/>
      </vt:variant>
      <vt:variant>
        <vt:i4>3932274</vt:i4>
      </vt:variant>
      <vt:variant>
        <vt:i4>54</vt:i4>
      </vt:variant>
      <vt:variant>
        <vt:i4>0</vt:i4>
      </vt:variant>
      <vt:variant>
        <vt:i4>5</vt:i4>
      </vt:variant>
      <vt:variant>
        <vt:lpwstr>http://www.nevo.co.il/case/29867910</vt:lpwstr>
      </vt:variant>
      <vt:variant>
        <vt:lpwstr/>
      </vt:variant>
      <vt:variant>
        <vt:i4>3342451</vt:i4>
      </vt:variant>
      <vt:variant>
        <vt:i4>51</vt:i4>
      </vt:variant>
      <vt:variant>
        <vt:i4>0</vt:i4>
      </vt:variant>
      <vt:variant>
        <vt:i4>5</vt:i4>
      </vt:variant>
      <vt:variant>
        <vt:lpwstr>http://www.nevo.co.il/case/28096675</vt:lpwstr>
      </vt:variant>
      <vt:variant>
        <vt:lpwstr/>
      </vt:variant>
      <vt:variant>
        <vt:i4>3473530</vt:i4>
      </vt:variant>
      <vt:variant>
        <vt:i4>48</vt:i4>
      </vt:variant>
      <vt:variant>
        <vt:i4>0</vt:i4>
      </vt:variant>
      <vt:variant>
        <vt:i4>5</vt:i4>
      </vt:variant>
      <vt:variant>
        <vt:lpwstr>http://www.nevo.co.il/case/28660017</vt:lpwstr>
      </vt:variant>
      <vt:variant>
        <vt:lpwstr/>
      </vt:variant>
      <vt:variant>
        <vt:i4>3604592</vt:i4>
      </vt:variant>
      <vt:variant>
        <vt:i4>45</vt:i4>
      </vt:variant>
      <vt:variant>
        <vt:i4>0</vt:i4>
      </vt:variant>
      <vt:variant>
        <vt:i4>5</vt:i4>
      </vt:variant>
      <vt:variant>
        <vt:lpwstr>http://www.nevo.co.il/case/28452933</vt:lpwstr>
      </vt:variant>
      <vt:variant>
        <vt:lpwstr/>
      </vt:variant>
      <vt:variant>
        <vt:i4>3276920</vt:i4>
      </vt:variant>
      <vt:variant>
        <vt:i4>42</vt:i4>
      </vt:variant>
      <vt:variant>
        <vt:i4>0</vt:i4>
      </vt:variant>
      <vt:variant>
        <vt:i4>5</vt:i4>
      </vt:variant>
      <vt:variant>
        <vt:lpwstr>http://www.nevo.co.il/case/28152132</vt:lpwstr>
      </vt:variant>
      <vt:variant>
        <vt:lpwstr/>
      </vt:variant>
      <vt:variant>
        <vt:i4>3735668</vt:i4>
      </vt:variant>
      <vt:variant>
        <vt:i4>39</vt:i4>
      </vt:variant>
      <vt:variant>
        <vt:i4>0</vt:i4>
      </vt:variant>
      <vt:variant>
        <vt:i4>5</vt:i4>
      </vt:variant>
      <vt:variant>
        <vt:lpwstr>http://www.nevo.co.il/case/27911638</vt:lpwstr>
      </vt:variant>
      <vt:variant>
        <vt:lpwstr/>
      </vt:variant>
      <vt:variant>
        <vt:i4>4063356</vt:i4>
      </vt:variant>
      <vt:variant>
        <vt:i4>36</vt:i4>
      </vt:variant>
      <vt:variant>
        <vt:i4>0</vt:i4>
      </vt:variant>
      <vt:variant>
        <vt:i4>5</vt:i4>
      </vt:variant>
      <vt:variant>
        <vt:lpwstr>http://www.nevo.co.il/case/27894608</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3145842</vt:i4>
      </vt:variant>
      <vt:variant>
        <vt:i4>30</vt:i4>
      </vt:variant>
      <vt:variant>
        <vt:i4>0</vt:i4>
      </vt:variant>
      <vt:variant>
        <vt:i4>5</vt:i4>
      </vt:variant>
      <vt:variant>
        <vt:lpwstr>http://www.nevo.co.il/case/28268880</vt:lpwstr>
      </vt:variant>
      <vt:variant>
        <vt:lpwstr/>
      </vt:variant>
      <vt:variant>
        <vt:i4>7077945</vt:i4>
      </vt:variant>
      <vt:variant>
        <vt:i4>27</vt:i4>
      </vt:variant>
      <vt:variant>
        <vt:i4>0</vt:i4>
      </vt:variant>
      <vt:variant>
        <vt:i4>5</vt:i4>
      </vt:variant>
      <vt:variant>
        <vt:lpwstr>http://www.nevo.co.il/law/70301/499.a.2</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7077945</vt:i4>
      </vt:variant>
      <vt:variant>
        <vt:i4>12</vt:i4>
      </vt:variant>
      <vt:variant>
        <vt:i4>0</vt:i4>
      </vt:variant>
      <vt:variant>
        <vt:i4>5</vt:i4>
      </vt:variant>
      <vt:variant>
        <vt:lpwstr>http://www.nevo.co.il/law/70301/499.a.2</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63489</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סאהר מנסור;עבדאללה סולטאני</vt:lpwstr>
  </property>
  <property fmtid="{D5CDD505-2E9C-101B-9397-08002B2CF9AE}" pid="10" name="LAWYER">
    <vt:lpwstr>גבי פאר;איהב ג'לג'ולי;פאדי חמדאן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20250310</vt:lpwstr>
  </property>
  <property fmtid="{D5CDD505-2E9C-101B-9397-08002B2CF9AE}" pid="14" name="TYPE_N_DATE">
    <vt:lpwstr>39020250310</vt:lpwstr>
  </property>
  <property fmtid="{D5CDD505-2E9C-101B-9397-08002B2CF9AE}" pid="15" name="CASESLISTTMP1">
    <vt:lpwstr>28268880;28513828;27894608;27911638;28152132;28452933;28660017:2;28096675;29867910;28601157;26905927;27478138;29668302;28152125;30024241;27502726;27491153;27836179;30774851;27663124;30500343</vt:lpwstr>
  </property>
  <property fmtid="{D5CDD505-2E9C-101B-9397-08002B2CF9AE}" pid="16" name="CASENOTES1">
    <vt:lpwstr>ProcID=133;209&amp;PartA=78&amp;PartC=21</vt:lpwstr>
  </property>
  <property fmtid="{D5CDD505-2E9C-101B-9397-08002B2CF9AE}" pid="17" name="CASENOTES2">
    <vt:lpwstr>ProcID=235&amp;PartA=60&amp;PartC=40</vt:lpwstr>
  </property>
  <property fmtid="{D5CDD505-2E9C-101B-9397-08002B2CF9AE}" pid="18" name="CASENOTES3">
    <vt:lpwstr>ProcID=235&amp;PartA=48&amp;PartC=25</vt:lpwstr>
  </property>
  <property fmtid="{D5CDD505-2E9C-101B-9397-08002B2CF9AE}" pid="19" name="WORDNUMPAGES">
    <vt:lpwstr>7</vt:lpwstr>
  </property>
  <property fmtid="{D5CDD505-2E9C-101B-9397-08002B2CF9AE}" pid="20" name="TYPE_ABS_DATE">
    <vt:lpwstr>390020250310</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70301/144.b;029;340a.a;499.a.2</vt:lpwstr>
  </property>
  <property fmtid="{D5CDD505-2E9C-101B-9397-08002B2CF9AE}" pid="39" name="ISABSTRACT">
    <vt:lpwstr>Y</vt:lpwstr>
  </property>
</Properties>
</file>