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5F239B" w:rsidRPr="00E126C7" w14:paraId="0C409857" w14:textId="77777777" w:rsidTr="00233271">
        <w:trPr>
          <w:trHeight w:hRule="exact" w:val="418"/>
          <w:jc w:val="center"/>
        </w:trPr>
        <w:tc>
          <w:tcPr>
            <w:tcW w:w="8721" w:type="dxa"/>
            <w:gridSpan w:val="2"/>
          </w:tcPr>
          <w:p w14:paraId="5D0B0EB8" w14:textId="77777777" w:rsidR="005F239B" w:rsidRPr="00E126C7" w:rsidRDefault="005F239B" w:rsidP="00377BEE">
            <w:pPr>
              <w:pStyle w:val="a3"/>
              <w:jc w:val="center"/>
              <w:rPr>
                <w:rFonts w:ascii="Tahoma" w:hAnsi="Tahoma" w:cs="Tahoma"/>
                <w:color w:val="000080"/>
                <w:rtl/>
              </w:rPr>
            </w:pPr>
            <w:r w:rsidRPr="00E126C7">
              <w:rPr>
                <w:rFonts w:ascii="Tahoma" w:hAnsi="Tahoma" w:cs="Tahoma"/>
                <w:b/>
                <w:bCs/>
                <w:color w:val="000080"/>
                <w:rtl/>
              </w:rPr>
              <w:t>בית המשפט המחוזי בחיפה</w:t>
            </w:r>
          </w:p>
        </w:tc>
      </w:tr>
      <w:tr w:rsidR="005F239B" w:rsidRPr="00E126C7" w14:paraId="26868A49" w14:textId="77777777" w:rsidTr="00233271">
        <w:trPr>
          <w:trHeight w:val="337"/>
          <w:jc w:val="center"/>
        </w:trPr>
        <w:tc>
          <w:tcPr>
            <w:tcW w:w="5059" w:type="dxa"/>
          </w:tcPr>
          <w:p w14:paraId="2520FFDF" w14:textId="77777777" w:rsidR="005F239B" w:rsidRPr="00E126C7" w:rsidRDefault="005F239B" w:rsidP="00377BEE">
            <w:pPr>
              <w:rPr>
                <w:rFonts w:cs="FrankRuehl"/>
                <w:sz w:val="28"/>
                <w:szCs w:val="28"/>
                <w:rtl/>
              </w:rPr>
            </w:pPr>
            <w:r w:rsidRPr="00E126C7">
              <w:rPr>
                <w:b/>
                <w:bCs/>
                <w:sz w:val="26"/>
                <w:szCs w:val="26"/>
                <w:rtl/>
              </w:rPr>
              <w:t>ת"פ</w:t>
            </w:r>
            <w:r w:rsidRPr="00E126C7">
              <w:rPr>
                <w:rFonts w:cs="FrankRuehl" w:hint="cs"/>
                <w:sz w:val="28"/>
                <w:szCs w:val="28"/>
                <w:rtl/>
              </w:rPr>
              <w:t xml:space="preserve"> </w:t>
            </w:r>
            <w:r w:rsidRPr="00E126C7">
              <w:rPr>
                <w:b/>
                <w:bCs/>
                <w:sz w:val="26"/>
                <w:szCs w:val="26"/>
                <w:rtl/>
              </w:rPr>
              <w:t>19269-08-24</w:t>
            </w:r>
            <w:r w:rsidRPr="00E126C7">
              <w:rPr>
                <w:rFonts w:cs="FrankRuehl" w:hint="cs"/>
                <w:sz w:val="28"/>
                <w:szCs w:val="28"/>
                <w:rtl/>
              </w:rPr>
              <w:t xml:space="preserve"> </w:t>
            </w:r>
            <w:r w:rsidRPr="00E126C7">
              <w:rPr>
                <w:b/>
                <w:bCs/>
                <w:sz w:val="26"/>
                <w:szCs w:val="26"/>
                <w:rtl/>
              </w:rPr>
              <w:t>מדינת ישראל נ' סלאח(עציר)</w:t>
            </w:r>
          </w:p>
          <w:p w14:paraId="7E04E5AD" w14:textId="77777777" w:rsidR="005F239B" w:rsidRPr="00E126C7" w:rsidRDefault="005F239B" w:rsidP="00377BEE">
            <w:pPr>
              <w:pStyle w:val="a3"/>
              <w:rPr>
                <w:rFonts w:cs="FrankRuehl"/>
                <w:sz w:val="28"/>
                <w:szCs w:val="28"/>
                <w:rtl/>
              </w:rPr>
            </w:pPr>
          </w:p>
        </w:tc>
        <w:tc>
          <w:tcPr>
            <w:tcW w:w="3662" w:type="dxa"/>
          </w:tcPr>
          <w:p w14:paraId="1CEC0B9F" w14:textId="77777777" w:rsidR="005F239B" w:rsidRPr="00E126C7" w:rsidRDefault="005F239B" w:rsidP="00377BEE">
            <w:pPr>
              <w:pStyle w:val="a3"/>
              <w:jc w:val="right"/>
              <w:rPr>
                <w:rFonts w:cs="FrankRuehl"/>
                <w:sz w:val="28"/>
                <w:szCs w:val="28"/>
                <w:rtl/>
              </w:rPr>
            </w:pPr>
          </w:p>
        </w:tc>
      </w:tr>
    </w:tbl>
    <w:p w14:paraId="1273DCDA" w14:textId="77777777" w:rsidR="005F239B" w:rsidRPr="00E126C7" w:rsidRDefault="005F239B" w:rsidP="00233271">
      <w:pPr>
        <w:pStyle w:val="a3"/>
      </w:pPr>
      <w:r w:rsidRPr="00E126C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F239B" w:rsidRPr="00E126C7" w14:paraId="3837DF6D" w14:textId="77777777" w:rsidTr="005F239B">
        <w:trPr>
          <w:trHeight w:val="295"/>
          <w:jc w:val="center"/>
        </w:trPr>
        <w:tc>
          <w:tcPr>
            <w:tcW w:w="923" w:type="dxa"/>
            <w:tcBorders>
              <w:top w:val="nil"/>
              <w:left w:val="nil"/>
              <w:bottom w:val="nil"/>
              <w:right w:val="nil"/>
            </w:tcBorders>
            <w:shd w:val="clear" w:color="auto" w:fill="auto"/>
          </w:tcPr>
          <w:p w14:paraId="01EC51DE" w14:textId="77777777" w:rsidR="005F239B" w:rsidRPr="00E126C7" w:rsidRDefault="005F239B" w:rsidP="005F239B">
            <w:pPr>
              <w:jc w:val="both"/>
              <w:rPr>
                <w:rFonts w:ascii="David" w:hAnsi="David"/>
                <w:b/>
                <w:bCs/>
                <w:sz w:val="26"/>
                <w:szCs w:val="26"/>
              </w:rPr>
            </w:pPr>
            <w:r w:rsidRPr="00E126C7">
              <w:rPr>
                <w:rFonts w:ascii="David" w:hAnsi="David"/>
                <w:b/>
                <w:bCs/>
                <w:sz w:val="26"/>
                <w:szCs w:val="26"/>
                <w:rtl/>
              </w:rPr>
              <w:t>לפני</w:t>
            </w:r>
          </w:p>
        </w:tc>
        <w:tc>
          <w:tcPr>
            <w:tcW w:w="7897" w:type="dxa"/>
            <w:gridSpan w:val="2"/>
            <w:tcBorders>
              <w:top w:val="nil"/>
              <w:left w:val="nil"/>
              <w:bottom w:val="nil"/>
              <w:right w:val="nil"/>
            </w:tcBorders>
            <w:shd w:val="clear" w:color="auto" w:fill="auto"/>
          </w:tcPr>
          <w:p w14:paraId="620D6DBD" w14:textId="77777777" w:rsidR="005F239B" w:rsidRPr="00E126C7" w:rsidRDefault="005F239B" w:rsidP="005F239B">
            <w:pPr>
              <w:jc w:val="both"/>
              <w:rPr>
                <w:rFonts w:ascii="David" w:hAnsi="David"/>
                <w:b/>
                <w:bCs/>
                <w:sz w:val="26"/>
                <w:szCs w:val="26"/>
              </w:rPr>
            </w:pPr>
            <w:r w:rsidRPr="00E126C7">
              <w:rPr>
                <w:rFonts w:ascii="David" w:hAnsi="David"/>
                <w:b/>
                <w:bCs/>
                <w:sz w:val="26"/>
                <w:szCs w:val="26"/>
                <w:rtl/>
              </w:rPr>
              <w:t>כב' הנשיא, השופט אבי לוי</w:t>
            </w:r>
          </w:p>
        </w:tc>
      </w:tr>
      <w:tr w:rsidR="005F239B" w:rsidRPr="00E126C7" w14:paraId="503A501E" w14:textId="77777777" w:rsidTr="005F239B">
        <w:trPr>
          <w:trHeight w:val="355"/>
          <w:jc w:val="center"/>
        </w:trPr>
        <w:tc>
          <w:tcPr>
            <w:tcW w:w="923" w:type="dxa"/>
            <w:tcBorders>
              <w:top w:val="nil"/>
              <w:left w:val="nil"/>
              <w:bottom w:val="nil"/>
              <w:right w:val="nil"/>
            </w:tcBorders>
            <w:shd w:val="clear" w:color="auto" w:fill="auto"/>
          </w:tcPr>
          <w:p w14:paraId="52833B6D" w14:textId="77777777" w:rsidR="005F239B" w:rsidRPr="00E126C7" w:rsidRDefault="005F239B" w:rsidP="005F239B">
            <w:pPr>
              <w:jc w:val="both"/>
              <w:rPr>
                <w:rFonts w:ascii="David" w:hAnsi="David"/>
                <w:b/>
                <w:bCs/>
                <w:sz w:val="26"/>
                <w:szCs w:val="26"/>
              </w:rPr>
            </w:pPr>
            <w:bookmarkStart w:id="0" w:name="FirstAppellant"/>
            <w:bookmarkStart w:id="1" w:name="LastJudge"/>
            <w:bookmarkEnd w:id="1"/>
            <w:r w:rsidRPr="00E126C7">
              <w:rPr>
                <w:rFonts w:ascii="David" w:hAnsi="David" w:hint="cs"/>
                <w:b/>
                <w:bCs/>
                <w:sz w:val="26"/>
                <w:szCs w:val="26"/>
                <w:rtl/>
              </w:rPr>
              <w:t>בעניין:</w:t>
            </w:r>
          </w:p>
        </w:tc>
        <w:tc>
          <w:tcPr>
            <w:tcW w:w="4126" w:type="dxa"/>
            <w:tcBorders>
              <w:top w:val="nil"/>
              <w:left w:val="nil"/>
              <w:bottom w:val="nil"/>
              <w:right w:val="nil"/>
            </w:tcBorders>
            <w:shd w:val="clear" w:color="auto" w:fill="auto"/>
          </w:tcPr>
          <w:p w14:paraId="0F8BB4D8" w14:textId="77777777" w:rsidR="005F239B" w:rsidRPr="00E126C7" w:rsidRDefault="005F239B" w:rsidP="00377BEE">
            <w:pPr>
              <w:rPr>
                <w:rFonts w:ascii="David" w:hAnsi="David"/>
                <w:b/>
                <w:bCs/>
                <w:sz w:val="26"/>
                <w:szCs w:val="26"/>
              </w:rPr>
            </w:pPr>
            <w:r w:rsidRPr="00E126C7">
              <w:rPr>
                <w:rFonts w:ascii="David" w:hAnsi="David" w:hint="cs"/>
                <w:b/>
                <w:bCs/>
                <w:sz w:val="26"/>
                <w:szCs w:val="26"/>
                <w:rtl/>
              </w:rPr>
              <w:t>המאשימה</w:t>
            </w:r>
          </w:p>
        </w:tc>
        <w:tc>
          <w:tcPr>
            <w:tcW w:w="3771" w:type="dxa"/>
            <w:tcBorders>
              <w:top w:val="nil"/>
              <w:left w:val="nil"/>
              <w:bottom w:val="nil"/>
              <w:right w:val="nil"/>
            </w:tcBorders>
            <w:shd w:val="clear" w:color="auto" w:fill="auto"/>
          </w:tcPr>
          <w:p w14:paraId="7DA579B0" w14:textId="77777777" w:rsidR="005F239B" w:rsidRPr="00E126C7" w:rsidRDefault="005F239B" w:rsidP="005F239B">
            <w:pPr>
              <w:jc w:val="both"/>
              <w:rPr>
                <w:rFonts w:ascii="David" w:hAnsi="David"/>
                <w:b/>
                <w:bCs/>
                <w:sz w:val="26"/>
                <w:szCs w:val="26"/>
              </w:rPr>
            </w:pPr>
            <w:r w:rsidRPr="00E126C7">
              <w:rPr>
                <w:rFonts w:ascii="David" w:hAnsi="David"/>
                <w:b/>
                <w:bCs/>
                <w:sz w:val="26"/>
                <w:szCs w:val="26"/>
                <w:rtl/>
              </w:rPr>
              <w:t>מדינת ישראל</w:t>
            </w:r>
          </w:p>
        </w:tc>
      </w:tr>
      <w:bookmarkEnd w:id="0"/>
      <w:tr w:rsidR="005F239B" w:rsidRPr="00E126C7" w14:paraId="0997B49B" w14:textId="77777777" w:rsidTr="005F239B">
        <w:trPr>
          <w:trHeight w:val="355"/>
          <w:jc w:val="center"/>
        </w:trPr>
        <w:tc>
          <w:tcPr>
            <w:tcW w:w="923" w:type="dxa"/>
            <w:tcBorders>
              <w:top w:val="nil"/>
              <w:left w:val="nil"/>
              <w:bottom w:val="nil"/>
              <w:right w:val="nil"/>
            </w:tcBorders>
            <w:shd w:val="clear" w:color="auto" w:fill="auto"/>
          </w:tcPr>
          <w:p w14:paraId="6820806A" w14:textId="77777777" w:rsidR="005F239B" w:rsidRPr="00E126C7" w:rsidRDefault="005F239B" w:rsidP="005F239B">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41EB4377" w14:textId="77777777" w:rsidR="005F239B" w:rsidRPr="00E126C7" w:rsidRDefault="005F239B" w:rsidP="005F239B">
            <w:pPr>
              <w:jc w:val="center"/>
              <w:rPr>
                <w:rFonts w:ascii="David" w:hAnsi="David"/>
                <w:b/>
                <w:bCs/>
                <w:sz w:val="26"/>
                <w:szCs w:val="26"/>
                <w:rtl/>
              </w:rPr>
            </w:pPr>
          </w:p>
          <w:p w14:paraId="798807B7" w14:textId="77777777" w:rsidR="005F239B" w:rsidRPr="00E126C7" w:rsidRDefault="005F239B" w:rsidP="005F239B">
            <w:pPr>
              <w:jc w:val="center"/>
              <w:rPr>
                <w:rFonts w:ascii="David" w:hAnsi="David"/>
                <w:b/>
                <w:bCs/>
                <w:sz w:val="26"/>
                <w:szCs w:val="26"/>
                <w:rtl/>
              </w:rPr>
            </w:pPr>
            <w:r w:rsidRPr="00E126C7">
              <w:rPr>
                <w:rFonts w:ascii="David" w:hAnsi="David"/>
                <w:b/>
                <w:bCs/>
                <w:sz w:val="26"/>
                <w:szCs w:val="26"/>
                <w:rtl/>
              </w:rPr>
              <w:t>נגד</w:t>
            </w:r>
          </w:p>
          <w:p w14:paraId="729CEF5D" w14:textId="77777777" w:rsidR="005F239B" w:rsidRPr="00E126C7" w:rsidRDefault="005F239B" w:rsidP="005F239B">
            <w:pPr>
              <w:jc w:val="both"/>
              <w:rPr>
                <w:rFonts w:ascii="David" w:hAnsi="David"/>
                <w:b/>
                <w:bCs/>
                <w:sz w:val="26"/>
                <w:szCs w:val="26"/>
              </w:rPr>
            </w:pPr>
          </w:p>
        </w:tc>
      </w:tr>
      <w:tr w:rsidR="005F239B" w:rsidRPr="00E126C7" w14:paraId="2579139B" w14:textId="77777777" w:rsidTr="005F239B">
        <w:trPr>
          <w:trHeight w:val="355"/>
          <w:jc w:val="center"/>
        </w:trPr>
        <w:tc>
          <w:tcPr>
            <w:tcW w:w="923" w:type="dxa"/>
            <w:tcBorders>
              <w:top w:val="nil"/>
              <w:left w:val="nil"/>
              <w:bottom w:val="nil"/>
              <w:right w:val="nil"/>
            </w:tcBorders>
            <w:shd w:val="clear" w:color="auto" w:fill="auto"/>
          </w:tcPr>
          <w:p w14:paraId="1BF84E7D" w14:textId="77777777" w:rsidR="005F239B" w:rsidRPr="00E126C7" w:rsidRDefault="005F239B" w:rsidP="005F239B">
            <w:pPr>
              <w:jc w:val="both"/>
              <w:rPr>
                <w:rFonts w:ascii="David" w:hAnsi="David"/>
                <w:b/>
                <w:bCs/>
                <w:sz w:val="26"/>
                <w:szCs w:val="26"/>
                <w:rtl/>
              </w:rPr>
            </w:pPr>
          </w:p>
        </w:tc>
        <w:tc>
          <w:tcPr>
            <w:tcW w:w="4126" w:type="dxa"/>
            <w:tcBorders>
              <w:top w:val="nil"/>
              <w:left w:val="nil"/>
              <w:bottom w:val="nil"/>
              <w:right w:val="nil"/>
            </w:tcBorders>
            <w:shd w:val="clear" w:color="auto" w:fill="auto"/>
          </w:tcPr>
          <w:p w14:paraId="1FE7E362" w14:textId="77777777" w:rsidR="005F239B" w:rsidRPr="00E126C7" w:rsidRDefault="005F239B" w:rsidP="005F239B">
            <w:pPr>
              <w:jc w:val="both"/>
              <w:rPr>
                <w:rFonts w:ascii="David" w:hAnsi="David"/>
                <w:b/>
                <w:bCs/>
                <w:sz w:val="26"/>
                <w:szCs w:val="26"/>
                <w:rtl/>
              </w:rPr>
            </w:pPr>
            <w:r w:rsidRPr="00E126C7">
              <w:rPr>
                <w:rFonts w:ascii="David" w:hAnsi="David" w:hint="cs"/>
                <w:b/>
                <w:bCs/>
                <w:sz w:val="26"/>
                <w:szCs w:val="26"/>
                <w:rtl/>
              </w:rPr>
              <w:t xml:space="preserve">הנאשם </w:t>
            </w:r>
          </w:p>
        </w:tc>
        <w:tc>
          <w:tcPr>
            <w:tcW w:w="3771" w:type="dxa"/>
            <w:tcBorders>
              <w:top w:val="nil"/>
              <w:left w:val="nil"/>
              <w:bottom w:val="nil"/>
              <w:right w:val="nil"/>
            </w:tcBorders>
            <w:shd w:val="clear" w:color="auto" w:fill="auto"/>
          </w:tcPr>
          <w:p w14:paraId="1E0AF581" w14:textId="77777777" w:rsidR="005F239B" w:rsidRPr="00E126C7" w:rsidRDefault="005F239B" w:rsidP="005F239B">
            <w:pPr>
              <w:jc w:val="both"/>
              <w:rPr>
                <w:rFonts w:ascii="David" w:hAnsi="David"/>
                <w:b/>
                <w:bCs/>
                <w:sz w:val="26"/>
                <w:szCs w:val="26"/>
              </w:rPr>
            </w:pPr>
            <w:r w:rsidRPr="00E126C7">
              <w:rPr>
                <w:rFonts w:ascii="David" w:hAnsi="David"/>
                <w:b/>
                <w:bCs/>
                <w:sz w:val="26"/>
                <w:szCs w:val="26"/>
                <w:rtl/>
              </w:rPr>
              <w:t>אמיר סלאח (עציר)</w:t>
            </w:r>
          </w:p>
        </w:tc>
      </w:tr>
    </w:tbl>
    <w:p w14:paraId="30F1EE90" w14:textId="77777777" w:rsidR="00E126C7" w:rsidRPr="00E126C7" w:rsidRDefault="00E126C7" w:rsidP="00E126C7">
      <w:pPr>
        <w:spacing w:before="120" w:after="120" w:line="240" w:lineRule="exact"/>
        <w:ind w:left="283" w:hanging="283"/>
        <w:jc w:val="both"/>
        <w:rPr>
          <w:rFonts w:ascii="FrankRuehl" w:hAnsi="FrankRuehl" w:cs="FrankRuehl"/>
          <w:rtl/>
        </w:rPr>
      </w:pPr>
    </w:p>
    <w:p w14:paraId="4C59C834" w14:textId="77777777" w:rsidR="00E126C7" w:rsidRPr="00E126C7" w:rsidRDefault="00E126C7" w:rsidP="00E126C7">
      <w:pPr>
        <w:rPr>
          <w:rtl/>
        </w:rPr>
      </w:pPr>
    </w:p>
    <w:p w14:paraId="2B624E14" w14:textId="77777777" w:rsidR="00233271" w:rsidRPr="00233271" w:rsidRDefault="00233271" w:rsidP="00233271">
      <w:pPr>
        <w:spacing w:before="120" w:after="120" w:line="240" w:lineRule="exact"/>
        <w:ind w:left="283" w:hanging="283"/>
        <w:jc w:val="both"/>
        <w:rPr>
          <w:rFonts w:ascii="FrankRuehl" w:hAnsi="FrankRuehl" w:cs="FrankRuehl"/>
          <w:rtl/>
        </w:rPr>
      </w:pPr>
      <w:bookmarkStart w:id="2" w:name="LawTable"/>
      <w:bookmarkEnd w:id="2"/>
    </w:p>
    <w:p w14:paraId="755A3146" w14:textId="77777777" w:rsidR="00233271" w:rsidRPr="00233271" w:rsidRDefault="00233271" w:rsidP="00233271">
      <w:pPr>
        <w:spacing w:before="120" w:after="120" w:line="240" w:lineRule="exact"/>
        <w:ind w:left="283" w:hanging="283"/>
        <w:jc w:val="both"/>
        <w:rPr>
          <w:rFonts w:ascii="FrankRuehl" w:hAnsi="FrankRuehl" w:cs="FrankRuehl"/>
          <w:rtl/>
        </w:rPr>
      </w:pPr>
      <w:r w:rsidRPr="00233271">
        <w:rPr>
          <w:rFonts w:ascii="FrankRuehl" w:hAnsi="FrankRuehl" w:cs="FrankRuehl"/>
          <w:rtl/>
        </w:rPr>
        <w:t xml:space="preserve">חקיקה שאוזכרה: </w:t>
      </w:r>
    </w:p>
    <w:p w14:paraId="20214CBB" w14:textId="77777777" w:rsidR="00233271" w:rsidRPr="00233271" w:rsidRDefault="00233271" w:rsidP="00233271">
      <w:pPr>
        <w:spacing w:before="120" w:after="120" w:line="240" w:lineRule="exact"/>
        <w:ind w:left="283" w:hanging="283"/>
        <w:jc w:val="both"/>
        <w:rPr>
          <w:rFonts w:ascii="FrankRuehl" w:hAnsi="FrankRuehl" w:cs="FrankRuehl"/>
          <w:color w:val="0000FF"/>
          <w:rtl/>
        </w:rPr>
      </w:pPr>
      <w:hyperlink r:id="rId7" w:history="1">
        <w:r w:rsidRPr="00233271">
          <w:rPr>
            <w:rStyle w:val="Hyperlink"/>
            <w:rFonts w:ascii="FrankRuehl" w:hAnsi="FrankRuehl" w:cs="FrankRuehl"/>
            <w:u w:val="none"/>
            <w:rtl/>
          </w:rPr>
          <w:t>חוק העונשין, תשל"ז-1977</w:t>
        </w:r>
      </w:hyperlink>
      <w:r w:rsidRPr="00233271">
        <w:rPr>
          <w:rFonts w:ascii="FrankRuehl" w:hAnsi="FrankRuehl" w:cs="FrankRuehl"/>
          <w:color w:val="0000FF"/>
          <w:rtl/>
        </w:rPr>
        <w:t xml:space="preserve">: סע'  </w:t>
      </w:r>
      <w:hyperlink r:id="rId8" w:history="1">
        <w:r w:rsidRPr="00233271">
          <w:rPr>
            <w:rStyle w:val="Hyperlink"/>
            <w:rFonts w:ascii="FrankRuehl" w:hAnsi="FrankRuehl" w:cs="FrankRuehl"/>
            <w:u w:val="none"/>
          </w:rPr>
          <w:t>31</w:t>
        </w:r>
      </w:hyperlink>
      <w:r w:rsidRPr="00233271">
        <w:rPr>
          <w:rFonts w:ascii="FrankRuehl" w:hAnsi="FrankRuehl" w:cs="FrankRuehl"/>
          <w:color w:val="0000FF"/>
          <w:rtl/>
        </w:rPr>
        <w:t xml:space="preserve">, </w:t>
      </w:r>
      <w:hyperlink r:id="rId9" w:history="1">
        <w:r w:rsidRPr="00233271">
          <w:rPr>
            <w:rStyle w:val="Hyperlink"/>
            <w:rFonts w:ascii="FrankRuehl" w:hAnsi="FrankRuehl" w:cs="FrankRuehl"/>
            <w:u w:val="none"/>
          </w:rPr>
          <w:t>40</w:t>
        </w:r>
        <w:r w:rsidRPr="00233271">
          <w:rPr>
            <w:rStyle w:val="Hyperlink"/>
            <w:rFonts w:ascii="FrankRuehl" w:hAnsi="FrankRuehl" w:cs="FrankRuehl"/>
            <w:u w:val="none"/>
            <w:rtl/>
          </w:rPr>
          <w:t>ז</w:t>
        </w:r>
      </w:hyperlink>
      <w:r w:rsidRPr="00233271">
        <w:rPr>
          <w:rFonts w:ascii="FrankRuehl" w:hAnsi="FrankRuehl" w:cs="FrankRuehl"/>
          <w:color w:val="0000FF"/>
          <w:rtl/>
        </w:rPr>
        <w:t xml:space="preserve">, </w:t>
      </w:r>
      <w:hyperlink r:id="rId10" w:history="1">
        <w:r w:rsidRPr="00233271">
          <w:rPr>
            <w:rStyle w:val="Hyperlink"/>
            <w:rFonts w:ascii="FrankRuehl" w:hAnsi="FrankRuehl" w:cs="FrankRuehl"/>
            <w:u w:val="none"/>
          </w:rPr>
          <w:t>40</w:t>
        </w:r>
        <w:r w:rsidRPr="00233271">
          <w:rPr>
            <w:rStyle w:val="Hyperlink"/>
            <w:rFonts w:ascii="FrankRuehl" w:hAnsi="FrankRuehl" w:cs="FrankRuehl"/>
            <w:u w:val="none"/>
            <w:rtl/>
          </w:rPr>
          <w:t>ט</w:t>
        </w:r>
      </w:hyperlink>
      <w:r w:rsidRPr="00233271">
        <w:rPr>
          <w:rFonts w:ascii="FrankRuehl" w:hAnsi="FrankRuehl" w:cs="FrankRuehl"/>
          <w:color w:val="0000FF"/>
          <w:rtl/>
        </w:rPr>
        <w:t xml:space="preserve">, </w:t>
      </w:r>
      <w:hyperlink r:id="rId11" w:history="1">
        <w:r w:rsidRPr="00233271">
          <w:rPr>
            <w:rStyle w:val="Hyperlink"/>
            <w:rFonts w:ascii="FrankRuehl" w:hAnsi="FrankRuehl" w:cs="FrankRuehl"/>
            <w:u w:val="none"/>
          </w:rPr>
          <w:t>144</w:t>
        </w:r>
      </w:hyperlink>
      <w:r w:rsidRPr="00233271">
        <w:rPr>
          <w:rFonts w:ascii="FrankRuehl" w:hAnsi="FrankRuehl" w:cs="FrankRuehl"/>
          <w:color w:val="0000FF"/>
          <w:rtl/>
        </w:rPr>
        <w:t xml:space="preserve">, </w:t>
      </w:r>
      <w:hyperlink r:id="rId12" w:history="1">
        <w:r w:rsidRPr="00233271">
          <w:rPr>
            <w:rStyle w:val="Hyperlink"/>
            <w:rFonts w:ascii="FrankRuehl" w:hAnsi="FrankRuehl" w:cs="FrankRuehl"/>
            <w:u w:val="none"/>
          </w:rPr>
          <w:t>144</w:t>
        </w:r>
      </w:hyperlink>
      <w:r w:rsidRPr="00233271">
        <w:rPr>
          <w:rFonts w:ascii="FrankRuehl" w:hAnsi="FrankRuehl" w:cs="FrankRuehl"/>
          <w:color w:val="0000FF"/>
          <w:rtl/>
        </w:rPr>
        <w:t xml:space="preserve">(ב), </w:t>
      </w:r>
      <w:hyperlink r:id="rId13" w:history="1">
        <w:r w:rsidRPr="00233271">
          <w:rPr>
            <w:rStyle w:val="Hyperlink"/>
            <w:rFonts w:ascii="FrankRuehl" w:hAnsi="FrankRuehl" w:cs="FrankRuehl"/>
            <w:u w:val="none"/>
          </w:rPr>
          <w:t>144</w:t>
        </w:r>
      </w:hyperlink>
      <w:r w:rsidRPr="00233271">
        <w:rPr>
          <w:rFonts w:ascii="FrankRuehl" w:hAnsi="FrankRuehl" w:cs="FrankRuehl"/>
          <w:color w:val="0000FF"/>
          <w:rtl/>
        </w:rPr>
        <w:t xml:space="preserve">(ז), </w:t>
      </w:r>
      <w:hyperlink r:id="rId14" w:history="1">
        <w:r w:rsidRPr="00233271">
          <w:rPr>
            <w:rStyle w:val="Hyperlink"/>
            <w:rFonts w:ascii="FrankRuehl" w:hAnsi="FrankRuehl" w:cs="FrankRuehl"/>
            <w:u w:val="none"/>
          </w:rPr>
          <w:t>340</w:t>
        </w:r>
        <w:r w:rsidRPr="00233271">
          <w:rPr>
            <w:rStyle w:val="Hyperlink"/>
            <w:rFonts w:ascii="FrankRuehl" w:hAnsi="FrankRuehl" w:cs="FrankRuehl"/>
            <w:u w:val="none"/>
            <w:rtl/>
          </w:rPr>
          <w:t>א</w:t>
        </w:r>
      </w:hyperlink>
      <w:r w:rsidRPr="00233271">
        <w:rPr>
          <w:rFonts w:ascii="FrankRuehl" w:hAnsi="FrankRuehl" w:cs="FrankRuehl"/>
          <w:color w:val="0000FF"/>
          <w:rtl/>
        </w:rPr>
        <w:t xml:space="preserve">(א), </w:t>
      </w:r>
      <w:hyperlink r:id="rId15" w:history="1">
        <w:r w:rsidRPr="00233271">
          <w:rPr>
            <w:rStyle w:val="Hyperlink"/>
            <w:rFonts w:ascii="FrankRuehl" w:hAnsi="FrankRuehl" w:cs="FrankRuehl"/>
            <w:u w:val="none"/>
          </w:rPr>
          <w:t>40</w:t>
        </w:r>
        <w:r w:rsidRPr="00233271">
          <w:rPr>
            <w:rStyle w:val="Hyperlink"/>
            <w:rFonts w:ascii="FrankRuehl" w:hAnsi="FrankRuehl" w:cs="FrankRuehl"/>
            <w:u w:val="none"/>
            <w:rtl/>
          </w:rPr>
          <w:t>יא</w:t>
        </w:r>
      </w:hyperlink>
      <w:r w:rsidRPr="00233271">
        <w:rPr>
          <w:rFonts w:ascii="FrankRuehl" w:hAnsi="FrankRuehl" w:cs="FrankRuehl"/>
          <w:color w:val="0000FF"/>
          <w:rtl/>
        </w:rPr>
        <w:t xml:space="preserve">, </w:t>
      </w:r>
      <w:hyperlink r:id="rId16" w:history="1">
        <w:r w:rsidRPr="00233271">
          <w:rPr>
            <w:rStyle w:val="Hyperlink"/>
            <w:rFonts w:ascii="FrankRuehl" w:hAnsi="FrankRuehl" w:cs="FrankRuehl"/>
            <w:u w:val="none"/>
          </w:rPr>
          <w:t>40</w:t>
        </w:r>
        <w:r w:rsidRPr="00233271">
          <w:rPr>
            <w:rStyle w:val="Hyperlink"/>
            <w:rFonts w:ascii="FrankRuehl" w:hAnsi="FrankRuehl" w:cs="FrankRuehl"/>
            <w:u w:val="none"/>
            <w:rtl/>
          </w:rPr>
          <w:t>יג</w:t>
        </w:r>
      </w:hyperlink>
      <w:r w:rsidRPr="00233271">
        <w:rPr>
          <w:rFonts w:ascii="FrankRuehl" w:hAnsi="FrankRuehl" w:cs="FrankRuehl"/>
          <w:color w:val="0000FF"/>
          <w:rtl/>
        </w:rPr>
        <w:t xml:space="preserve">(א), </w:t>
      </w:r>
      <w:hyperlink r:id="rId17" w:history="1">
        <w:r w:rsidRPr="00233271">
          <w:rPr>
            <w:rStyle w:val="Hyperlink"/>
            <w:rFonts w:ascii="FrankRuehl" w:hAnsi="FrankRuehl" w:cs="FrankRuehl"/>
            <w:u w:val="none"/>
          </w:rPr>
          <w:t>40</w:t>
        </w:r>
        <w:r w:rsidRPr="00233271">
          <w:rPr>
            <w:rStyle w:val="Hyperlink"/>
            <w:rFonts w:ascii="FrankRuehl" w:hAnsi="FrankRuehl" w:cs="FrankRuehl"/>
            <w:u w:val="none"/>
            <w:rtl/>
          </w:rPr>
          <w:t>יג</w:t>
        </w:r>
      </w:hyperlink>
      <w:r w:rsidRPr="00233271">
        <w:rPr>
          <w:rFonts w:ascii="FrankRuehl" w:hAnsi="FrankRuehl" w:cs="FrankRuehl"/>
          <w:color w:val="0000FF"/>
          <w:rtl/>
        </w:rPr>
        <w:t>(ג)</w:t>
      </w:r>
    </w:p>
    <w:p w14:paraId="388976FA" w14:textId="77777777" w:rsidR="005F239B" w:rsidRDefault="005F239B" w:rsidP="00233271">
      <w:pPr>
        <w:rPr>
          <w:rFonts w:hint="cs"/>
          <w:rtl/>
        </w:rPr>
      </w:pPr>
      <w:bookmarkStart w:id="3" w:name="LawTable_End"/>
      <w:bookmarkEnd w:id="3"/>
    </w:p>
    <w:p w14:paraId="0CA634E2" w14:textId="77777777" w:rsidR="00233271" w:rsidRDefault="00233271" w:rsidP="00233271">
      <w:pPr>
        <w:rPr>
          <w:rFonts w:hint="cs"/>
          <w:rtl/>
        </w:rPr>
      </w:pPr>
    </w:p>
    <w:p w14:paraId="5F477055" w14:textId="77777777" w:rsidR="00233271" w:rsidRPr="00233271" w:rsidRDefault="00233271" w:rsidP="00233271">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F239B" w14:paraId="788C394B" w14:textId="77777777" w:rsidTr="005F239B">
        <w:trPr>
          <w:trHeight w:val="355"/>
          <w:jc w:val="center"/>
        </w:trPr>
        <w:tc>
          <w:tcPr>
            <w:tcW w:w="8820" w:type="dxa"/>
            <w:tcBorders>
              <w:top w:val="nil"/>
              <w:left w:val="nil"/>
              <w:bottom w:val="nil"/>
              <w:right w:val="nil"/>
            </w:tcBorders>
            <w:shd w:val="clear" w:color="auto" w:fill="auto"/>
          </w:tcPr>
          <w:p w14:paraId="52AD497D" w14:textId="77777777" w:rsidR="00E126C7" w:rsidRPr="00E126C7" w:rsidRDefault="00E126C7" w:rsidP="00E126C7">
            <w:pPr>
              <w:jc w:val="center"/>
              <w:rPr>
                <w:rFonts w:ascii="Arial" w:hAnsi="Arial"/>
                <w:b/>
                <w:bCs/>
                <w:sz w:val="28"/>
                <w:szCs w:val="28"/>
                <w:u w:val="single"/>
                <w:rtl/>
              </w:rPr>
            </w:pPr>
            <w:bookmarkStart w:id="4" w:name="PsakDin" w:colFirst="0" w:colLast="0"/>
            <w:r w:rsidRPr="00E126C7">
              <w:rPr>
                <w:rFonts w:ascii="Arial" w:hAnsi="Arial"/>
                <w:b/>
                <w:bCs/>
                <w:sz w:val="28"/>
                <w:szCs w:val="28"/>
                <w:u w:val="single"/>
                <w:rtl/>
              </w:rPr>
              <w:t>גזר דין</w:t>
            </w:r>
          </w:p>
          <w:p w14:paraId="5CE92DBB" w14:textId="77777777" w:rsidR="005F239B" w:rsidRPr="00E126C7" w:rsidRDefault="005F239B" w:rsidP="00E126C7">
            <w:pPr>
              <w:jc w:val="center"/>
              <w:rPr>
                <w:rFonts w:ascii="Arial" w:hAnsi="Arial"/>
                <w:bCs/>
                <w:sz w:val="28"/>
                <w:szCs w:val="28"/>
                <w:u w:val="single"/>
                <w:rtl/>
              </w:rPr>
            </w:pPr>
          </w:p>
        </w:tc>
      </w:tr>
      <w:bookmarkEnd w:id="4"/>
    </w:tbl>
    <w:p w14:paraId="367EF4B2" w14:textId="77777777" w:rsidR="005F239B" w:rsidRPr="00B05847" w:rsidRDefault="005F239B" w:rsidP="005F239B">
      <w:pPr>
        <w:spacing w:line="360" w:lineRule="auto"/>
        <w:jc w:val="both"/>
        <w:rPr>
          <w:rFonts w:ascii="Arial" w:hAnsi="Arial"/>
          <w:rtl/>
        </w:rPr>
      </w:pPr>
    </w:p>
    <w:p w14:paraId="3F7E33A5" w14:textId="77777777" w:rsidR="005F239B" w:rsidRPr="00EA5201" w:rsidRDefault="005F239B" w:rsidP="005F239B">
      <w:pPr>
        <w:spacing w:line="360" w:lineRule="auto"/>
        <w:jc w:val="both"/>
        <w:rPr>
          <w:rFonts w:ascii="David" w:eastAsia="Calibri" w:hAnsi="David"/>
          <w:u w:val="single"/>
        </w:rPr>
      </w:pPr>
    </w:p>
    <w:p w14:paraId="679018C1" w14:textId="77777777" w:rsidR="005F239B" w:rsidRPr="00EA5201" w:rsidRDefault="005F239B" w:rsidP="005F239B">
      <w:pPr>
        <w:spacing w:line="360" w:lineRule="auto"/>
        <w:jc w:val="both"/>
        <w:rPr>
          <w:rFonts w:ascii="David" w:eastAsia="Calibri" w:hAnsi="David"/>
          <w:rtl/>
        </w:rPr>
      </w:pPr>
      <w:bookmarkStart w:id="5" w:name="ABSTRACT_START"/>
      <w:bookmarkEnd w:id="5"/>
      <w:r w:rsidRPr="00EA5201">
        <w:rPr>
          <w:rFonts w:ascii="David" w:eastAsia="Calibri" w:hAnsi="David"/>
          <w:rtl/>
        </w:rPr>
        <w:t xml:space="preserve">הנאשם, </w:t>
      </w:r>
      <w:r w:rsidRPr="00EA5201">
        <w:rPr>
          <w:rFonts w:ascii="David" w:eastAsia="Calibri" w:hAnsi="David"/>
          <w:b/>
          <w:bCs/>
          <w:rtl/>
        </w:rPr>
        <w:t>אמיר סלאח</w:t>
      </w:r>
      <w:r w:rsidRPr="00EA5201">
        <w:rPr>
          <w:rFonts w:ascii="David" w:eastAsia="Calibri" w:hAnsi="David"/>
          <w:rtl/>
        </w:rPr>
        <w:t xml:space="preserve">, הורשע ביום 5.12.24 - בהתאם להודאתו במסגרת הסדר טיעון - בעבירות שנכללו בכתב אישום מתוקן אשר הוגש נגדו, ואשר עניינן </w:t>
      </w:r>
      <w:r w:rsidRPr="00EA5201">
        <w:rPr>
          <w:rFonts w:ascii="David" w:eastAsia="Calibri" w:hAnsi="David"/>
          <w:b/>
          <w:bCs/>
          <w:rtl/>
        </w:rPr>
        <w:t>נשיאת נשק והובלתו</w:t>
      </w:r>
      <w:r w:rsidRPr="00EA5201">
        <w:rPr>
          <w:rFonts w:ascii="David" w:eastAsia="Calibri" w:hAnsi="David"/>
          <w:rtl/>
        </w:rPr>
        <w:t xml:space="preserve"> לפי </w:t>
      </w:r>
      <w:hyperlink r:id="rId18" w:history="1">
        <w:r w:rsidR="00233271" w:rsidRPr="00233271">
          <w:rPr>
            <w:rStyle w:val="Hyperlink"/>
            <w:rFonts w:ascii="David" w:eastAsia="Calibri" w:hAnsi="David"/>
            <w:color w:val="0000FF"/>
            <w:rtl/>
          </w:rPr>
          <w:t>סעיפים 144(ב)</w:t>
        </w:r>
      </w:hyperlink>
      <w:r w:rsidRPr="00EA5201">
        <w:rPr>
          <w:rFonts w:ascii="David" w:eastAsia="Calibri" w:hAnsi="David"/>
          <w:rtl/>
        </w:rPr>
        <w:t xml:space="preserve"> רישה וסיפה ל</w:t>
      </w:r>
      <w:hyperlink r:id="rId19" w:history="1">
        <w:r w:rsidR="00E126C7" w:rsidRPr="00E126C7">
          <w:rPr>
            <w:rFonts w:ascii="David" w:eastAsia="Calibri" w:hAnsi="David"/>
            <w:color w:val="0000FF"/>
            <w:u w:val="single"/>
            <w:rtl/>
          </w:rPr>
          <w:t>חוק העונשין</w:t>
        </w:r>
      </w:hyperlink>
      <w:r w:rsidRPr="00EA5201">
        <w:rPr>
          <w:rFonts w:ascii="David" w:eastAsia="Calibri" w:hAnsi="David"/>
          <w:rtl/>
        </w:rPr>
        <w:t>, התשל"ז - 1977 (להלן: "</w:t>
      </w:r>
      <w:r w:rsidRPr="00EA5201">
        <w:rPr>
          <w:rFonts w:ascii="David" w:eastAsia="Calibri" w:hAnsi="David"/>
          <w:b/>
          <w:bCs/>
          <w:rtl/>
        </w:rPr>
        <w:t>חוק העונשין</w:t>
      </w:r>
      <w:r w:rsidRPr="00EA5201">
        <w:rPr>
          <w:rFonts w:ascii="David" w:eastAsia="Calibri" w:hAnsi="David"/>
          <w:rtl/>
        </w:rPr>
        <w:t>" או "</w:t>
      </w:r>
      <w:r w:rsidRPr="00EA5201">
        <w:rPr>
          <w:rFonts w:ascii="David" w:eastAsia="Calibri" w:hAnsi="David"/>
          <w:b/>
          <w:bCs/>
          <w:rtl/>
        </w:rPr>
        <w:t>החוק"</w:t>
      </w:r>
      <w:r w:rsidRPr="00EA5201">
        <w:rPr>
          <w:rFonts w:ascii="David" w:eastAsia="Calibri" w:hAnsi="David"/>
          <w:rtl/>
        </w:rPr>
        <w:t xml:space="preserve">), וכן </w:t>
      </w:r>
      <w:r w:rsidRPr="00EA5201">
        <w:rPr>
          <w:rFonts w:ascii="David" w:eastAsia="Calibri" w:hAnsi="David"/>
          <w:b/>
          <w:bCs/>
          <w:rtl/>
        </w:rPr>
        <w:t>סיוע לירי מנשק חם</w:t>
      </w:r>
      <w:r w:rsidRPr="00EA5201">
        <w:rPr>
          <w:rFonts w:ascii="David" w:eastAsia="Calibri" w:hAnsi="David"/>
          <w:rtl/>
        </w:rPr>
        <w:t xml:space="preserve"> לפי </w:t>
      </w:r>
      <w:hyperlink r:id="rId20" w:history="1">
        <w:r w:rsidR="00233271" w:rsidRPr="00233271">
          <w:rPr>
            <w:rStyle w:val="Hyperlink"/>
            <w:rFonts w:ascii="David" w:eastAsia="Calibri" w:hAnsi="David"/>
            <w:color w:val="0000FF"/>
            <w:rtl/>
          </w:rPr>
          <w:t>סעיפים 340א(א)</w:t>
        </w:r>
      </w:hyperlink>
      <w:r w:rsidRPr="00EA5201">
        <w:rPr>
          <w:rFonts w:ascii="David" w:eastAsia="Calibri" w:hAnsi="David"/>
          <w:rtl/>
        </w:rPr>
        <w:t xml:space="preserve"> בצירוף </w:t>
      </w:r>
      <w:hyperlink r:id="rId21" w:history="1">
        <w:r w:rsidR="00233271" w:rsidRPr="00233271">
          <w:rPr>
            <w:rStyle w:val="Hyperlink"/>
            <w:rFonts w:ascii="David" w:eastAsia="Calibri" w:hAnsi="David"/>
            <w:color w:val="0000FF"/>
            <w:rtl/>
          </w:rPr>
          <w:t>לסעיף 31</w:t>
        </w:r>
      </w:hyperlink>
      <w:r w:rsidRPr="00EA5201">
        <w:rPr>
          <w:rFonts w:ascii="David" w:eastAsia="Calibri" w:hAnsi="David"/>
          <w:rtl/>
        </w:rPr>
        <w:t xml:space="preserve"> לחוק. </w:t>
      </w:r>
    </w:p>
    <w:p w14:paraId="1E129FD3" w14:textId="77777777" w:rsidR="005F239B" w:rsidRPr="00EA5201" w:rsidRDefault="005F239B" w:rsidP="005F239B">
      <w:pPr>
        <w:spacing w:line="360" w:lineRule="auto"/>
        <w:jc w:val="both"/>
        <w:rPr>
          <w:rFonts w:ascii="David" w:eastAsia="Calibri" w:hAnsi="David"/>
          <w:rtl/>
        </w:rPr>
      </w:pPr>
      <w:bookmarkStart w:id="6" w:name="ABSTRACT_END"/>
      <w:bookmarkEnd w:id="6"/>
    </w:p>
    <w:p w14:paraId="4B8A10DB" w14:textId="77777777" w:rsidR="005F239B" w:rsidRPr="00EA5201" w:rsidRDefault="005F239B" w:rsidP="005F239B">
      <w:pPr>
        <w:spacing w:line="360" w:lineRule="auto"/>
        <w:jc w:val="both"/>
        <w:rPr>
          <w:rFonts w:ascii="David" w:eastAsia="Calibri" w:hAnsi="David"/>
          <w:rtl/>
        </w:rPr>
      </w:pPr>
      <w:r w:rsidRPr="00EA5201">
        <w:rPr>
          <w:rFonts w:ascii="David" w:eastAsia="Calibri" w:hAnsi="David"/>
          <w:rtl/>
        </w:rPr>
        <w:t xml:space="preserve">במסגרת ההסדר הנ"ל הוסכם כי הצדדים יטענו לעניין העונש באופן חופשי.   </w:t>
      </w:r>
    </w:p>
    <w:p w14:paraId="0AB58C09" w14:textId="77777777" w:rsidR="005F239B" w:rsidRPr="00EA5201" w:rsidRDefault="005F239B" w:rsidP="005F239B">
      <w:pPr>
        <w:spacing w:line="360" w:lineRule="auto"/>
        <w:jc w:val="both"/>
        <w:rPr>
          <w:rFonts w:ascii="David" w:eastAsia="Calibri" w:hAnsi="David"/>
          <w:rtl/>
        </w:rPr>
      </w:pPr>
    </w:p>
    <w:p w14:paraId="71C9ED03" w14:textId="77777777" w:rsidR="005F239B" w:rsidRPr="00EA5201" w:rsidRDefault="005F239B" w:rsidP="005F239B">
      <w:pPr>
        <w:spacing w:line="360" w:lineRule="auto"/>
        <w:jc w:val="both"/>
        <w:rPr>
          <w:rFonts w:ascii="David" w:eastAsia="Calibri" w:hAnsi="David"/>
          <w:u w:val="single"/>
          <w:rtl/>
        </w:rPr>
      </w:pPr>
      <w:r w:rsidRPr="00EA5201">
        <w:rPr>
          <w:rFonts w:ascii="David" w:eastAsia="Calibri" w:hAnsi="David"/>
          <w:u w:val="single"/>
          <w:rtl/>
        </w:rPr>
        <w:t>עובדות כתב האישום המתוקן</w:t>
      </w:r>
    </w:p>
    <w:p w14:paraId="6A9691AF" w14:textId="77777777" w:rsidR="005F239B" w:rsidRPr="00EA5201" w:rsidRDefault="005F239B" w:rsidP="005F239B">
      <w:pPr>
        <w:spacing w:line="360" w:lineRule="auto"/>
        <w:jc w:val="both"/>
        <w:rPr>
          <w:rFonts w:ascii="David" w:eastAsia="Calibri" w:hAnsi="David"/>
          <w:u w:val="single"/>
          <w:rtl/>
        </w:rPr>
      </w:pPr>
    </w:p>
    <w:p w14:paraId="2D5FE1AF" w14:textId="77777777" w:rsidR="005F239B" w:rsidRPr="00EA5201" w:rsidRDefault="005F239B" w:rsidP="005F239B">
      <w:pPr>
        <w:spacing w:line="360" w:lineRule="auto"/>
        <w:jc w:val="both"/>
        <w:rPr>
          <w:rFonts w:ascii="David" w:eastAsia="Calibri" w:hAnsi="David"/>
          <w:rtl/>
        </w:rPr>
      </w:pPr>
      <w:r w:rsidRPr="00EA5201">
        <w:rPr>
          <w:rFonts w:ascii="David" w:eastAsia="Calibri" w:hAnsi="David"/>
          <w:rtl/>
        </w:rPr>
        <w:t xml:space="preserve">ביום 26.7.24 בשעה 00:30 לערך, הלך הנאשם ברחוב אל עין בכפר פוריידיס, סמוך לחנות המזון "קינג סטור" כאשר הוא נושא ומוביל על גופו אקדח מסוג גלוק, טעון במחסנית ובה לפחות חמישה כדורי אקדח בקוטר 9 מ"מ, ונכנס לסמטה הסמוכה לחנות והנמצאת באזור מגורים. כשהוא בסמטה סייע הנאשם לאדם אחר, שזהותו אינה ידועה במדויק למאשימה, לירות באמצעות האקדח,  לפחות חמישה כדורים באוויר. באותה עת, שהו בקרבת הסמטה שוטר ומתנדב משטרה. מששמעו השוטר והמתנדב את קול הירי, נכנסו לניידת ונסעו אל רחוב אל עין. לאחר ביצוע הירי, יצא הנאשם בריצה מן הסמטה אל רחוב על עין, כשהוא נושא ומוביל את האקדח, המחסנית והכדורים ומשראה את ניידת המשטרה, השליך את האקדח מידיו, אולם האקדח נתפס על ידי השוטר והמתנדב והנאשם נעצר והובל לתחנת המשטרה.  </w:t>
      </w:r>
    </w:p>
    <w:p w14:paraId="5261BAC2" w14:textId="77777777" w:rsidR="005F239B" w:rsidRPr="00EA5201" w:rsidRDefault="005F239B" w:rsidP="005F239B">
      <w:pPr>
        <w:spacing w:line="360" w:lineRule="auto"/>
        <w:jc w:val="both"/>
        <w:rPr>
          <w:rFonts w:ascii="David" w:eastAsia="Calibri" w:hAnsi="David"/>
          <w:u w:val="single"/>
          <w:rtl/>
        </w:rPr>
      </w:pPr>
    </w:p>
    <w:p w14:paraId="0A46898F" w14:textId="77777777" w:rsidR="005F239B" w:rsidRPr="00EA5201" w:rsidRDefault="005F239B" w:rsidP="005F239B">
      <w:pPr>
        <w:spacing w:line="360" w:lineRule="auto"/>
        <w:jc w:val="both"/>
        <w:rPr>
          <w:rFonts w:ascii="David" w:eastAsia="Calibri" w:hAnsi="David"/>
          <w:u w:val="single"/>
          <w:rtl/>
        </w:rPr>
      </w:pPr>
      <w:r w:rsidRPr="00EA5201">
        <w:rPr>
          <w:rFonts w:ascii="David" w:eastAsia="Calibri" w:hAnsi="David"/>
          <w:u w:val="single"/>
          <w:rtl/>
        </w:rPr>
        <w:lastRenderedPageBreak/>
        <w:t xml:space="preserve">תסקיר לעניין העונש </w:t>
      </w:r>
    </w:p>
    <w:p w14:paraId="4F17E7B3" w14:textId="77777777" w:rsidR="005F239B" w:rsidRPr="00EA5201" w:rsidRDefault="005F239B" w:rsidP="005F239B">
      <w:pPr>
        <w:spacing w:line="360" w:lineRule="auto"/>
        <w:jc w:val="both"/>
        <w:rPr>
          <w:rFonts w:ascii="David" w:eastAsia="Calibri" w:hAnsi="David"/>
          <w:u w:val="single"/>
          <w:rtl/>
        </w:rPr>
      </w:pPr>
    </w:p>
    <w:p w14:paraId="63209312" w14:textId="77777777" w:rsidR="005F239B" w:rsidRPr="00EA5201" w:rsidRDefault="005F239B" w:rsidP="005F239B">
      <w:pPr>
        <w:spacing w:line="360" w:lineRule="auto"/>
        <w:jc w:val="both"/>
        <w:rPr>
          <w:rFonts w:ascii="David" w:eastAsia="Calibri" w:hAnsi="David"/>
          <w:rtl/>
        </w:rPr>
      </w:pPr>
      <w:r w:rsidRPr="00EA5201">
        <w:rPr>
          <w:rFonts w:ascii="David" w:eastAsia="Calibri" w:hAnsi="David"/>
          <w:rtl/>
        </w:rPr>
        <w:t>ביום 9.1.25 הגיש שירות המבחן לתיק בית המשפט תסקיר לעניין עונשו של הנאשם. פורט, כי הנאשם הוא בן 20, רווק וטרם מעצרו התגורר בפוריידיס ועבד בתחנת דלק.</w:t>
      </w:r>
    </w:p>
    <w:p w14:paraId="73B6F998" w14:textId="77777777" w:rsidR="005F239B" w:rsidRPr="00EA5201" w:rsidRDefault="005F239B" w:rsidP="005F239B">
      <w:pPr>
        <w:spacing w:line="360" w:lineRule="auto"/>
        <w:jc w:val="both"/>
        <w:rPr>
          <w:rFonts w:ascii="David" w:eastAsia="Calibri" w:hAnsi="David"/>
          <w:rtl/>
        </w:rPr>
      </w:pPr>
    </w:p>
    <w:p w14:paraId="4D92372D" w14:textId="77777777" w:rsidR="005F239B" w:rsidRPr="00EA5201" w:rsidRDefault="005F239B" w:rsidP="005F239B">
      <w:pPr>
        <w:spacing w:line="360" w:lineRule="auto"/>
        <w:jc w:val="both"/>
        <w:rPr>
          <w:rFonts w:ascii="David" w:eastAsia="Calibri" w:hAnsi="David"/>
          <w:rtl/>
        </w:rPr>
      </w:pPr>
      <w:r w:rsidRPr="00EA5201">
        <w:rPr>
          <w:rFonts w:ascii="David" w:eastAsia="Calibri" w:hAnsi="David"/>
          <w:rtl/>
        </w:rPr>
        <w:t xml:space="preserve">שירות המבחן התרשם מן הנאשם ככזה המתקשה לשקול כדבעי את השלכות מעשיו, וכן כמי שמתקשה להציב לעצמו גבולות פנימיים, בעיקר במצבי דחק. קצינת המבחן פירטה, כי הנאשם נוקט בגישה מצמצמת בכל הנוגע למעורבותו עם גורמים שוליים בסביבת מקום מגוריו. חרטתו בגין מעשיו צוינה ככזאת המהווה חרטה פורמלית בלבד. </w:t>
      </w:r>
    </w:p>
    <w:p w14:paraId="7D5B9608" w14:textId="77777777" w:rsidR="005F239B" w:rsidRPr="00EA5201" w:rsidRDefault="005F239B" w:rsidP="005F239B">
      <w:pPr>
        <w:spacing w:line="360" w:lineRule="auto"/>
        <w:jc w:val="both"/>
        <w:rPr>
          <w:rFonts w:ascii="David" w:eastAsia="Calibri" w:hAnsi="David"/>
          <w:rtl/>
        </w:rPr>
      </w:pPr>
    </w:p>
    <w:p w14:paraId="3D97A532" w14:textId="77777777" w:rsidR="005F239B" w:rsidRPr="00EA5201" w:rsidRDefault="005F239B" w:rsidP="005F239B">
      <w:pPr>
        <w:spacing w:line="360" w:lineRule="auto"/>
        <w:jc w:val="both"/>
        <w:rPr>
          <w:rFonts w:ascii="David" w:eastAsia="Calibri" w:hAnsi="David"/>
          <w:rtl/>
        </w:rPr>
      </w:pPr>
      <w:r w:rsidRPr="00EA5201">
        <w:rPr>
          <w:rFonts w:ascii="David" w:eastAsia="Calibri" w:hAnsi="David"/>
          <w:rtl/>
        </w:rPr>
        <w:t xml:space="preserve">שירות המבחן הצביע על מספר גורמים מרכזיים מקדמי סיכון לעבריינות אצל הנאשם (אופי העבירות, העדר אמפטיה מצדו וכן אותן הבחנות שפורטו לעיל). לצד אלו צוינו מספר גורמים המהווים סיכוי לשיקום (העדר הרשעות קודמות ותפקוד מסתגל). </w:t>
      </w:r>
    </w:p>
    <w:p w14:paraId="7DA94567" w14:textId="77777777" w:rsidR="005F239B" w:rsidRPr="00EA5201" w:rsidRDefault="005F239B" w:rsidP="005F239B">
      <w:pPr>
        <w:spacing w:line="360" w:lineRule="auto"/>
        <w:jc w:val="both"/>
        <w:rPr>
          <w:rFonts w:ascii="David" w:eastAsia="Calibri" w:hAnsi="David"/>
          <w:rtl/>
        </w:rPr>
      </w:pPr>
    </w:p>
    <w:p w14:paraId="61D8833E" w14:textId="77777777" w:rsidR="005F239B" w:rsidRPr="00EA5201" w:rsidRDefault="005F239B" w:rsidP="005F239B">
      <w:pPr>
        <w:spacing w:line="360" w:lineRule="auto"/>
        <w:jc w:val="both"/>
        <w:rPr>
          <w:rFonts w:ascii="David" w:eastAsia="Calibri" w:hAnsi="David"/>
          <w:b/>
          <w:bCs/>
          <w:rtl/>
        </w:rPr>
      </w:pPr>
      <w:r w:rsidRPr="00EA5201">
        <w:rPr>
          <w:rFonts w:ascii="David" w:eastAsia="Calibri" w:hAnsi="David"/>
          <w:rtl/>
        </w:rPr>
        <w:t xml:space="preserve">לאור המקובץ, צוין כי רמת הסיכון להישנות עבירות אלימות הינה בינונית. הודגש, כי בעניינו של הנאשם גורמי הסיכון גוברים על גורמי הסיכוי לשיקום. משאלה הם פני הדברים, לא היה באפשרות שירות המבחן לבוא בהמלצה על אודות חלופת ענישה או שיקום במסגרת הקהילה, העשוי להפחית את הסיכון להישנות עבירות נוספות. </w:t>
      </w:r>
      <w:r w:rsidRPr="00EA5201">
        <w:rPr>
          <w:rFonts w:ascii="David" w:eastAsia="Calibri" w:hAnsi="David"/>
          <w:b/>
          <w:bCs/>
          <w:rtl/>
        </w:rPr>
        <w:t xml:space="preserve">הומלץ להשית על הנאשם ענישה הרתעתית מאחורי סורג ובריח.  </w:t>
      </w:r>
    </w:p>
    <w:p w14:paraId="4A2FC10F" w14:textId="77777777" w:rsidR="005F239B" w:rsidRPr="00EA5201" w:rsidRDefault="005F239B" w:rsidP="005F239B">
      <w:pPr>
        <w:spacing w:line="360" w:lineRule="auto"/>
        <w:jc w:val="both"/>
        <w:rPr>
          <w:rFonts w:ascii="David" w:eastAsia="Calibri" w:hAnsi="David"/>
          <w:rtl/>
        </w:rPr>
      </w:pPr>
    </w:p>
    <w:p w14:paraId="250E26A1" w14:textId="77777777" w:rsidR="005F239B" w:rsidRPr="00EA5201" w:rsidRDefault="005F239B" w:rsidP="005F239B">
      <w:pPr>
        <w:spacing w:line="360" w:lineRule="auto"/>
        <w:jc w:val="both"/>
        <w:rPr>
          <w:rFonts w:ascii="David" w:eastAsia="Calibri" w:hAnsi="David"/>
          <w:u w:val="single"/>
          <w:rtl/>
        </w:rPr>
      </w:pPr>
      <w:r w:rsidRPr="00EA5201">
        <w:rPr>
          <w:rFonts w:ascii="David" w:eastAsia="Calibri" w:hAnsi="David"/>
          <w:u w:val="single"/>
          <w:rtl/>
        </w:rPr>
        <w:t>ראיות לעניין העונש</w:t>
      </w:r>
    </w:p>
    <w:p w14:paraId="2AECC196" w14:textId="77777777" w:rsidR="005F239B" w:rsidRPr="00EA5201" w:rsidRDefault="005F239B" w:rsidP="005F239B">
      <w:pPr>
        <w:spacing w:line="360" w:lineRule="auto"/>
        <w:jc w:val="both"/>
        <w:rPr>
          <w:rFonts w:ascii="David" w:eastAsia="Calibri" w:hAnsi="David"/>
          <w:u w:val="single"/>
          <w:rtl/>
        </w:rPr>
      </w:pPr>
    </w:p>
    <w:p w14:paraId="57CB5BD3" w14:textId="77777777" w:rsidR="005F239B" w:rsidRPr="00EA5201" w:rsidRDefault="005F239B" w:rsidP="005F239B">
      <w:pPr>
        <w:spacing w:line="360" w:lineRule="auto"/>
        <w:jc w:val="both"/>
        <w:rPr>
          <w:rFonts w:ascii="David" w:eastAsia="Calibri" w:hAnsi="David"/>
          <w:rtl/>
        </w:rPr>
      </w:pPr>
      <w:r w:rsidRPr="00EA5201">
        <w:rPr>
          <w:rFonts w:ascii="David" w:eastAsia="Calibri" w:hAnsi="David"/>
          <w:rtl/>
        </w:rPr>
        <w:t xml:space="preserve">המאשימה לא הציגה ראיות לעניין העונש בעניינו של הנאשם, וציינה כי הוא </w:t>
      </w:r>
      <w:r w:rsidRPr="00EA5201">
        <w:rPr>
          <w:rFonts w:ascii="David" w:eastAsia="Calibri" w:hAnsi="David"/>
          <w:b/>
          <w:bCs/>
          <w:rtl/>
        </w:rPr>
        <w:t>נעדר עבר פלילי</w:t>
      </w:r>
      <w:r w:rsidRPr="00EA5201">
        <w:rPr>
          <w:rFonts w:ascii="David" w:eastAsia="Calibri" w:hAnsi="David"/>
          <w:rtl/>
        </w:rPr>
        <w:t xml:space="preserve">. </w:t>
      </w:r>
    </w:p>
    <w:p w14:paraId="2F8EA0AB" w14:textId="77777777" w:rsidR="005F239B" w:rsidRPr="00EA5201" w:rsidRDefault="005F239B" w:rsidP="005F239B">
      <w:pPr>
        <w:spacing w:line="360" w:lineRule="auto"/>
        <w:jc w:val="both"/>
        <w:rPr>
          <w:rFonts w:ascii="David" w:eastAsia="Calibri" w:hAnsi="David"/>
          <w:u w:val="single"/>
          <w:rtl/>
        </w:rPr>
      </w:pPr>
    </w:p>
    <w:p w14:paraId="0DB692FF" w14:textId="77777777" w:rsidR="005F239B" w:rsidRPr="00EA5201" w:rsidRDefault="005F239B" w:rsidP="005F239B">
      <w:pPr>
        <w:spacing w:line="360" w:lineRule="auto"/>
        <w:jc w:val="both"/>
        <w:rPr>
          <w:rFonts w:ascii="David" w:eastAsia="Calibri" w:hAnsi="David"/>
          <w:rtl/>
        </w:rPr>
      </w:pPr>
      <w:r w:rsidRPr="00EA5201">
        <w:rPr>
          <w:rFonts w:ascii="David" w:eastAsia="Calibri" w:hAnsi="David"/>
          <w:u w:val="single"/>
          <w:rtl/>
        </w:rPr>
        <w:t xml:space="preserve">טיעוני הצדדים לעניין העונש </w:t>
      </w:r>
    </w:p>
    <w:p w14:paraId="3031F011" w14:textId="77777777" w:rsidR="005F239B" w:rsidRPr="00EA5201" w:rsidRDefault="005F239B" w:rsidP="005F239B">
      <w:pPr>
        <w:spacing w:line="360" w:lineRule="auto"/>
        <w:jc w:val="both"/>
        <w:rPr>
          <w:rFonts w:ascii="David" w:eastAsia="Calibri" w:hAnsi="David"/>
          <w:u w:val="single"/>
          <w:rtl/>
        </w:rPr>
      </w:pPr>
    </w:p>
    <w:p w14:paraId="06D39532" w14:textId="77777777" w:rsidR="005F239B" w:rsidRPr="00EA5201" w:rsidRDefault="005F239B" w:rsidP="005F239B">
      <w:pPr>
        <w:spacing w:line="360" w:lineRule="auto"/>
        <w:jc w:val="both"/>
        <w:rPr>
          <w:rFonts w:ascii="David" w:eastAsia="Calibri" w:hAnsi="David"/>
          <w:i/>
          <w:iCs/>
          <w:rtl/>
        </w:rPr>
      </w:pPr>
      <w:r w:rsidRPr="00EA5201">
        <w:rPr>
          <w:rFonts w:ascii="David" w:eastAsia="Calibri" w:hAnsi="David"/>
          <w:i/>
          <w:iCs/>
          <w:rtl/>
        </w:rPr>
        <w:t>המאשימה</w:t>
      </w:r>
    </w:p>
    <w:p w14:paraId="7E0F4A8B" w14:textId="77777777" w:rsidR="005F239B" w:rsidRPr="00EA5201" w:rsidRDefault="005F239B" w:rsidP="005F239B">
      <w:pPr>
        <w:spacing w:line="360" w:lineRule="auto"/>
        <w:jc w:val="both"/>
        <w:rPr>
          <w:rFonts w:ascii="David" w:eastAsia="Calibri" w:hAnsi="David"/>
          <w:i/>
          <w:iCs/>
          <w:rtl/>
        </w:rPr>
      </w:pPr>
    </w:p>
    <w:p w14:paraId="2BABBD38" w14:textId="77777777" w:rsidR="005F239B" w:rsidRPr="00EA5201" w:rsidRDefault="005F239B" w:rsidP="005F239B">
      <w:pPr>
        <w:spacing w:line="360" w:lineRule="auto"/>
        <w:jc w:val="both"/>
        <w:rPr>
          <w:rFonts w:ascii="David" w:eastAsia="Calibri" w:hAnsi="David"/>
          <w:rtl/>
        </w:rPr>
      </w:pPr>
      <w:r w:rsidRPr="00EA5201">
        <w:rPr>
          <w:rFonts w:ascii="David" w:eastAsia="Calibri" w:hAnsi="David"/>
          <w:rtl/>
        </w:rPr>
        <w:t>ב"כ המאשימה המלומדת, עו"ד אביבית קבדה, הגישה מסמך טיעונים לעונש (</w:t>
      </w:r>
      <w:r w:rsidRPr="00EA5201">
        <w:rPr>
          <w:rFonts w:ascii="David" w:eastAsia="Calibri" w:hAnsi="David"/>
          <w:b/>
          <w:bCs/>
          <w:rtl/>
        </w:rPr>
        <w:t>טעת/1</w:t>
      </w:r>
      <w:r w:rsidRPr="00EA5201">
        <w:rPr>
          <w:rFonts w:ascii="David" w:eastAsia="Calibri" w:hAnsi="David"/>
          <w:rtl/>
        </w:rPr>
        <w:t xml:space="preserve">) בכתב והוסיפה על דברים אלו בע"פ. הפרקליטה המלומדת עמדה על המסוכנות הניבטת מן העבירות שביצע הנאשם, ועל הצורך העז למגרן ולהשית בגינן ענישה הרתעתית - מחמירה.  הודגש, כי עסקינן בנשיאה והובלה מתוכננת וכן סיוע לירי בשטח בנוי, על כל המשמעויות המסוכנות הנלוות למעשה שכזה. המאשימה הפנתה לפסיקה מתאימה, וציינה, כי לשיטתה יש לשרטט בעניינו של הנאשם מתחם ענישה הנע בין 36 לבין 54 חודשי מאסר לריצוי בפועל.  באשר לנסיבות שאינן קשורות בביצוען של העבירות הוזכר, כי תסקיר שירות המבחן לא בא בסופו של יום בהמלצה שיקומית בעניינו של הנאשם, כפי שפורט לעיל. הפרקליטה התייחסה להודאתו של הנאשם ולהיעדר עברו הפלילי, לצד הצורך בהרתעת הרבים נוכח מעשיו, וסברה כי יש למקם את עונשו של הנאשם בחלקו האמצעי של מתחם הענישה שהוצע, לצד ענישה נלווית וקנס כספי.   </w:t>
      </w:r>
    </w:p>
    <w:p w14:paraId="7686D798" w14:textId="77777777" w:rsidR="005F239B" w:rsidRPr="00EA5201" w:rsidRDefault="005F239B" w:rsidP="005F239B">
      <w:pPr>
        <w:spacing w:line="360" w:lineRule="auto"/>
        <w:jc w:val="both"/>
        <w:rPr>
          <w:rFonts w:ascii="David" w:eastAsia="Calibri" w:hAnsi="David"/>
          <w:rtl/>
        </w:rPr>
      </w:pPr>
      <w:r w:rsidRPr="00EA5201">
        <w:rPr>
          <w:rFonts w:ascii="David" w:eastAsia="Calibri" w:hAnsi="David"/>
          <w:rtl/>
        </w:rPr>
        <w:t xml:space="preserve">  </w:t>
      </w:r>
    </w:p>
    <w:p w14:paraId="2E09E2A6" w14:textId="77777777" w:rsidR="005F239B" w:rsidRPr="00EA5201" w:rsidRDefault="005F239B" w:rsidP="005F239B">
      <w:pPr>
        <w:spacing w:line="360" w:lineRule="auto"/>
        <w:jc w:val="both"/>
        <w:rPr>
          <w:rFonts w:ascii="David" w:eastAsia="Calibri" w:hAnsi="David"/>
          <w:i/>
          <w:iCs/>
          <w:rtl/>
        </w:rPr>
      </w:pPr>
      <w:r w:rsidRPr="00EA5201">
        <w:rPr>
          <w:rFonts w:ascii="David" w:eastAsia="Calibri" w:hAnsi="David"/>
          <w:i/>
          <w:iCs/>
          <w:rtl/>
        </w:rPr>
        <w:lastRenderedPageBreak/>
        <w:t>ההגנה</w:t>
      </w:r>
    </w:p>
    <w:p w14:paraId="4C48BAAB" w14:textId="77777777" w:rsidR="005F239B" w:rsidRPr="00EA5201" w:rsidRDefault="005F239B" w:rsidP="005F239B">
      <w:pPr>
        <w:spacing w:line="360" w:lineRule="auto"/>
        <w:jc w:val="both"/>
        <w:rPr>
          <w:rFonts w:ascii="David" w:eastAsia="Calibri" w:hAnsi="David"/>
          <w:rtl/>
        </w:rPr>
      </w:pPr>
      <w:r w:rsidRPr="00EA5201">
        <w:rPr>
          <w:rFonts w:ascii="David" w:eastAsia="Calibri" w:hAnsi="David"/>
          <w:rtl/>
        </w:rPr>
        <w:t xml:space="preserve">ב"כ הנאשם המלומדת, עו"ד מיכל קורן, עמדה על כך כי מבצע העבירה העיקרי בתיק זה לא נתפס, בניגוד לנאשם שהיה לדבריה "שליח" בלבד. הסנגורית הצביעה בהקשר זה על גילו הצעיר יחסית של הנאשם ועל העדר עברו הפלילי. עוד הצביעה הסנגורית על פסיקה נוהגת, אשר לדידה מכווינה את בית המשפט לשרטט מתחם ענישה נמוך בהרבה מזה שאליו עתרה המאשימה ומכל מקום, להציב את עונשו של הנאשם בתחתית מתחם ענישה זה. </w:t>
      </w:r>
    </w:p>
    <w:p w14:paraId="1D2E0D16" w14:textId="77777777" w:rsidR="005F239B" w:rsidRPr="00EA5201" w:rsidRDefault="005F239B" w:rsidP="005F239B">
      <w:pPr>
        <w:spacing w:line="360" w:lineRule="auto"/>
        <w:jc w:val="both"/>
        <w:rPr>
          <w:rFonts w:ascii="David" w:eastAsia="Calibri" w:hAnsi="David"/>
          <w:rtl/>
        </w:rPr>
      </w:pPr>
    </w:p>
    <w:p w14:paraId="0AB8CC1A" w14:textId="77777777" w:rsidR="005F239B" w:rsidRPr="00EA5201" w:rsidRDefault="005F239B" w:rsidP="005F239B">
      <w:pPr>
        <w:spacing w:line="360" w:lineRule="auto"/>
        <w:jc w:val="both"/>
        <w:rPr>
          <w:rFonts w:ascii="David" w:eastAsia="Calibri" w:hAnsi="David"/>
          <w:i/>
          <w:iCs/>
          <w:rtl/>
        </w:rPr>
      </w:pPr>
      <w:r w:rsidRPr="00EA5201">
        <w:rPr>
          <w:rFonts w:ascii="David" w:eastAsia="Calibri" w:hAnsi="David"/>
          <w:i/>
          <w:iCs/>
          <w:rtl/>
        </w:rPr>
        <w:t>דבריו של הנאשם</w:t>
      </w:r>
    </w:p>
    <w:p w14:paraId="6E7AC361" w14:textId="77777777" w:rsidR="005F239B" w:rsidRPr="00EA5201" w:rsidRDefault="005F239B" w:rsidP="005F239B">
      <w:pPr>
        <w:spacing w:line="360" w:lineRule="auto"/>
        <w:jc w:val="both"/>
        <w:rPr>
          <w:rFonts w:ascii="David" w:eastAsia="Calibri" w:hAnsi="David"/>
          <w:i/>
          <w:iCs/>
          <w:rtl/>
        </w:rPr>
      </w:pPr>
    </w:p>
    <w:p w14:paraId="76A65A71" w14:textId="77777777" w:rsidR="005F239B" w:rsidRPr="00EA5201" w:rsidRDefault="005F239B" w:rsidP="005F239B">
      <w:pPr>
        <w:spacing w:line="360" w:lineRule="auto"/>
        <w:jc w:val="both"/>
        <w:rPr>
          <w:rFonts w:ascii="David" w:eastAsia="Calibri" w:hAnsi="David"/>
          <w:b/>
          <w:bCs/>
          <w:u w:val="single"/>
          <w:rtl/>
        </w:rPr>
      </w:pPr>
      <w:r w:rsidRPr="00EA5201">
        <w:rPr>
          <w:rFonts w:ascii="David" w:eastAsia="Calibri" w:hAnsi="David"/>
          <w:rtl/>
        </w:rPr>
        <w:t xml:space="preserve">הנאשם ציין כי הוא מצטער על מעשיו וביקש סליחה. </w:t>
      </w:r>
    </w:p>
    <w:p w14:paraId="66E8AB24" w14:textId="77777777" w:rsidR="005F239B" w:rsidRPr="00EA5201" w:rsidRDefault="005F239B" w:rsidP="005F239B">
      <w:pPr>
        <w:spacing w:line="360" w:lineRule="auto"/>
        <w:jc w:val="both"/>
        <w:rPr>
          <w:rFonts w:ascii="David" w:eastAsia="Calibri" w:hAnsi="David"/>
          <w:b/>
          <w:bCs/>
          <w:u w:val="single"/>
          <w:rtl/>
        </w:rPr>
      </w:pPr>
    </w:p>
    <w:p w14:paraId="06FA7B4B" w14:textId="77777777" w:rsidR="005F239B" w:rsidRPr="00EA5201" w:rsidRDefault="005F239B" w:rsidP="005F239B">
      <w:pPr>
        <w:spacing w:line="360" w:lineRule="auto"/>
        <w:jc w:val="both"/>
        <w:rPr>
          <w:rFonts w:ascii="David" w:eastAsia="Calibri" w:hAnsi="David"/>
          <w:b/>
          <w:bCs/>
          <w:u w:val="single"/>
          <w:rtl/>
        </w:rPr>
      </w:pPr>
      <w:r w:rsidRPr="00EA5201">
        <w:rPr>
          <w:rFonts w:ascii="David" w:eastAsia="Calibri" w:hAnsi="David"/>
          <w:b/>
          <w:bCs/>
          <w:u w:val="single"/>
          <w:rtl/>
        </w:rPr>
        <w:t>דיון והכרעה</w:t>
      </w:r>
    </w:p>
    <w:p w14:paraId="52589F59" w14:textId="77777777" w:rsidR="005F239B" w:rsidRPr="00EA5201" w:rsidRDefault="005F239B" w:rsidP="005F239B">
      <w:pPr>
        <w:spacing w:line="360" w:lineRule="auto"/>
        <w:jc w:val="both"/>
        <w:rPr>
          <w:rFonts w:ascii="David" w:eastAsia="Calibri" w:hAnsi="David"/>
          <w:b/>
          <w:bCs/>
          <w:u w:val="single"/>
          <w:rtl/>
        </w:rPr>
      </w:pPr>
    </w:p>
    <w:p w14:paraId="2CE5EE87" w14:textId="77777777" w:rsidR="005F239B" w:rsidRPr="00EA5201" w:rsidRDefault="005F239B" w:rsidP="005F239B">
      <w:pPr>
        <w:spacing w:after="160" w:line="360" w:lineRule="auto"/>
        <w:jc w:val="both"/>
        <w:rPr>
          <w:rFonts w:ascii="David" w:eastAsia="Calibri" w:hAnsi="David"/>
          <w:rtl/>
        </w:rPr>
      </w:pPr>
      <w:r w:rsidRPr="00EA5201">
        <w:rPr>
          <w:rFonts w:ascii="David" w:eastAsia="Calibri" w:hAnsi="David"/>
          <w:rtl/>
        </w:rPr>
        <w:t xml:space="preserve">האירוע, המגולל בכתב - האישום, שבעובדותיו הודה הנאשם, </w:t>
      </w:r>
      <w:r w:rsidRPr="00EA5201">
        <w:rPr>
          <w:rFonts w:ascii="David" w:eastAsia="Calibri" w:hAnsi="David"/>
          <w:b/>
          <w:bCs/>
          <w:rtl/>
        </w:rPr>
        <w:t>נשיאתו, של נשק בלתי חוקי, הובלתו,</w:t>
      </w:r>
      <w:r w:rsidRPr="00EA5201">
        <w:rPr>
          <w:rFonts w:ascii="David" w:eastAsia="Calibri" w:hAnsi="David"/>
          <w:rtl/>
        </w:rPr>
        <w:t xml:space="preserve"> </w:t>
      </w:r>
      <w:r w:rsidRPr="00EA5201">
        <w:rPr>
          <w:rFonts w:ascii="David" w:eastAsia="Calibri" w:hAnsi="David"/>
          <w:b/>
          <w:bCs/>
          <w:rtl/>
        </w:rPr>
        <w:t xml:space="preserve">וסיוע לביצוע ירי </w:t>
      </w:r>
      <w:r w:rsidRPr="00EA5201">
        <w:rPr>
          <w:rFonts w:ascii="David" w:eastAsia="Calibri" w:hAnsi="David"/>
          <w:rtl/>
        </w:rPr>
        <w:t xml:space="preserve">מחייב תגובה עונשית הולמת. מדינה ריבונית ומתוקנת איננה יכולה לקבל תופעה שבמסגרתה נעשה שימוש כלשהו בנשק שנישא שלא כדין, בטבורו של שטח בנוי.  </w:t>
      </w:r>
    </w:p>
    <w:p w14:paraId="0BFC78AE" w14:textId="77777777" w:rsidR="005F239B" w:rsidRPr="00EA5201" w:rsidRDefault="005F239B" w:rsidP="005F239B">
      <w:pPr>
        <w:spacing w:line="360" w:lineRule="auto"/>
        <w:jc w:val="both"/>
        <w:rPr>
          <w:rFonts w:ascii="David" w:eastAsia="Calibri" w:hAnsi="David"/>
          <w:b/>
          <w:bCs/>
          <w:u w:val="single"/>
          <w:rtl/>
        </w:rPr>
      </w:pPr>
      <w:r w:rsidRPr="00EA5201">
        <w:rPr>
          <w:rFonts w:ascii="David" w:eastAsia="Calibri" w:hAnsi="David"/>
          <w:rtl/>
        </w:rPr>
        <w:t xml:space="preserve">ככלל, עת נפנים לבצע את מלאכת הענישה, העיקרון המנחה שנקבע במסגרת תורת הבניית שיקול-הדעת השיפוטי, הוא עקרון ההלימה: משמע, </w:t>
      </w:r>
      <w:r w:rsidRPr="00EA5201">
        <w:rPr>
          <w:rFonts w:ascii="David" w:eastAsia="Calibri" w:hAnsi="David"/>
          <w:u w:val="single"/>
          <w:rtl/>
        </w:rPr>
        <w:t>שימור יחס הולם בין חומרת מעשה העבירה בנסיבותיו ומידת אשמו של הנאשם ובין סוג העונש המוטל עליו ומידתו</w:t>
      </w:r>
      <w:r w:rsidRPr="00EA5201">
        <w:rPr>
          <w:rFonts w:ascii="David" w:eastAsia="Calibri" w:hAnsi="David"/>
          <w:rtl/>
        </w:rPr>
        <w:t xml:space="preserve">. על מנת לשמר יחס זה, עובר לקביעת העונש יש לשרטט מתחם עונש הולם, מתוך התחשבות בערך החברתי בו פגע המעשה, במידת הפגיעה בו, במדיניות הענישה הנוהגת ובנסיבות הקשורות בביצוע העבירה. מכאן, לאחר קביעת המתחם, וככל שבית-המשפט לא מצא לנכון לסטות הימנו מטעמים של שיקום או של הגנה על הציבור, ייקבע העונש המתאים לנאשם בשים לב לנסיבותיו האישיות ולנתונים נוספים, הללו שאינם קשורים בביצוע העבירה. </w:t>
      </w:r>
    </w:p>
    <w:p w14:paraId="6FAE5132" w14:textId="77777777" w:rsidR="005F239B" w:rsidRPr="00EA5201" w:rsidRDefault="005F239B" w:rsidP="005F239B">
      <w:pPr>
        <w:spacing w:line="360" w:lineRule="auto"/>
        <w:jc w:val="both"/>
        <w:rPr>
          <w:rFonts w:ascii="David" w:eastAsia="Calibri" w:hAnsi="David"/>
          <w:b/>
          <w:bCs/>
          <w:u w:val="single"/>
          <w:rtl/>
        </w:rPr>
      </w:pPr>
    </w:p>
    <w:p w14:paraId="0D6DEEE4" w14:textId="77777777" w:rsidR="005F239B" w:rsidRPr="00EA5201" w:rsidRDefault="005F239B" w:rsidP="005F239B">
      <w:pPr>
        <w:spacing w:after="160" w:line="360" w:lineRule="auto"/>
        <w:jc w:val="both"/>
        <w:rPr>
          <w:rFonts w:ascii="David" w:eastAsia="Calibri" w:hAnsi="David"/>
          <w:rtl/>
        </w:rPr>
      </w:pPr>
      <w:r w:rsidRPr="00EA5201">
        <w:rPr>
          <w:rFonts w:ascii="David" w:eastAsia="Calibri" w:hAnsi="David"/>
          <w:rtl/>
        </w:rPr>
        <w:t>העבירות החמורות שאותן ביצע הנאשם מהוות "</w:t>
      </w:r>
      <w:r w:rsidRPr="00EA5201">
        <w:rPr>
          <w:rFonts w:ascii="David" w:eastAsia="Calibri" w:hAnsi="David"/>
          <w:b/>
          <w:bCs/>
          <w:rtl/>
        </w:rPr>
        <w:t>אירוע אחד"</w:t>
      </w:r>
      <w:r w:rsidRPr="00EA5201">
        <w:rPr>
          <w:rFonts w:ascii="David" w:eastAsia="Calibri" w:hAnsi="David"/>
          <w:rtl/>
        </w:rPr>
        <w:t>,</w:t>
      </w:r>
      <w:r w:rsidRPr="00EA5201">
        <w:rPr>
          <w:rFonts w:ascii="David" w:eastAsia="Calibri" w:hAnsi="David"/>
          <w:b/>
          <w:bCs/>
          <w:rtl/>
        </w:rPr>
        <w:t xml:space="preserve"> </w:t>
      </w:r>
      <w:r w:rsidRPr="00EA5201">
        <w:rPr>
          <w:rFonts w:ascii="David" w:eastAsia="Calibri" w:hAnsi="David"/>
          <w:rtl/>
        </w:rPr>
        <w:t xml:space="preserve">שכן בהחלט קיים בינן קשר הדוק - העבירות התרחשו כחלק בלתי נפרד מן הסיוע לירי בסמטה ומריצת הנאשם לאחר מכן, כאשר הוא נושא את כלי הנשק (ראו לעניין זה: </w:t>
      </w:r>
      <w:hyperlink r:id="rId22" w:history="1">
        <w:r w:rsidR="00E126C7" w:rsidRPr="00E126C7">
          <w:rPr>
            <w:rFonts w:ascii="David" w:eastAsia="Calibri" w:hAnsi="David"/>
            <w:color w:val="0000FF"/>
            <w:u w:val="single"/>
            <w:rtl/>
          </w:rPr>
          <w:t>ע"פ 4910/13</w:t>
        </w:r>
      </w:hyperlink>
      <w:r w:rsidRPr="00EA5201">
        <w:rPr>
          <w:rFonts w:ascii="David" w:eastAsia="Calibri" w:hAnsi="David"/>
          <w:rtl/>
        </w:rPr>
        <w:t xml:space="preserve"> </w:t>
      </w:r>
      <w:r w:rsidRPr="00EA5201">
        <w:rPr>
          <w:rFonts w:ascii="David" w:eastAsia="Calibri" w:hAnsi="David"/>
          <w:b/>
          <w:bCs/>
          <w:rtl/>
        </w:rPr>
        <w:t>ג'אבר נ' מדינת ישראל</w:t>
      </w:r>
      <w:r w:rsidRPr="00EA5201">
        <w:rPr>
          <w:rFonts w:ascii="David" w:eastAsia="Calibri" w:hAnsi="David"/>
          <w:rtl/>
        </w:rPr>
        <w:t>,</w:t>
      </w:r>
      <w:r w:rsidRPr="00EA5201">
        <w:rPr>
          <w:rFonts w:ascii="David" w:eastAsia="Calibri" w:hAnsi="David"/>
          <w:b/>
          <w:bCs/>
          <w:rtl/>
        </w:rPr>
        <w:t xml:space="preserve"> </w:t>
      </w:r>
      <w:r w:rsidRPr="00EA5201">
        <w:rPr>
          <w:rFonts w:ascii="David" w:eastAsia="Calibri" w:hAnsi="David"/>
          <w:rtl/>
        </w:rPr>
        <w:t xml:space="preserve">מפי כב' השופטת ברק-ארז (ניתן ביום 29.10.14); </w:t>
      </w:r>
      <w:hyperlink r:id="rId23" w:history="1">
        <w:r w:rsidR="00E126C7" w:rsidRPr="00E126C7">
          <w:rPr>
            <w:rFonts w:ascii="David" w:eastAsia="Calibri" w:hAnsi="David"/>
            <w:color w:val="0000FF"/>
            <w:u w:val="single"/>
            <w:rtl/>
          </w:rPr>
          <w:t>ע"פ 9308/12</w:t>
        </w:r>
      </w:hyperlink>
      <w:r w:rsidRPr="00EA5201">
        <w:rPr>
          <w:rFonts w:ascii="David" w:eastAsia="Calibri" w:hAnsi="David"/>
          <w:rtl/>
        </w:rPr>
        <w:t xml:space="preserve"> </w:t>
      </w:r>
      <w:r w:rsidRPr="00EA5201">
        <w:rPr>
          <w:rFonts w:ascii="David" w:eastAsia="Calibri" w:hAnsi="David"/>
          <w:b/>
          <w:bCs/>
          <w:rtl/>
        </w:rPr>
        <w:t>עיסא נ' מדינת ישראל,</w:t>
      </w:r>
      <w:r w:rsidRPr="00EA5201">
        <w:rPr>
          <w:rFonts w:ascii="David" w:eastAsia="Calibri" w:hAnsi="David"/>
          <w:rtl/>
        </w:rPr>
        <w:t xml:space="preserve"> ניתן ביום 30.7.15). משכך, ייקבע מתחם עונש אחד הולם לכלל המעשים</w:t>
      </w:r>
      <w:r w:rsidRPr="00EA5201">
        <w:rPr>
          <w:rFonts w:ascii="Calibri" w:eastAsia="Calibri" w:hAnsi="Calibri"/>
          <w:rtl/>
        </w:rPr>
        <w:t xml:space="preserve"> (</w:t>
      </w:r>
      <w:hyperlink r:id="rId24" w:history="1">
        <w:r w:rsidR="00233271" w:rsidRPr="00233271">
          <w:rPr>
            <w:rStyle w:val="Hyperlink"/>
            <w:rFonts w:ascii="Calibri" w:eastAsia="Calibri" w:hAnsi="Calibri"/>
            <w:color w:val="0000FF"/>
            <w:rtl/>
          </w:rPr>
          <w:t>סעיף 40יג(א)</w:t>
        </w:r>
      </w:hyperlink>
      <w:r w:rsidRPr="00EA5201">
        <w:rPr>
          <w:rFonts w:ascii="Calibri" w:eastAsia="Calibri" w:hAnsi="Calibri"/>
          <w:rtl/>
        </w:rPr>
        <w:t xml:space="preserve"> לחוק).</w:t>
      </w:r>
      <w:r w:rsidRPr="00EA5201">
        <w:rPr>
          <w:rFonts w:ascii="David" w:eastAsia="Calibri" w:hAnsi="David"/>
          <w:rtl/>
        </w:rPr>
        <w:t xml:space="preserve"> ויודגש, על אף קביעה זאת, </w:t>
      </w:r>
      <w:r w:rsidRPr="00EA5201">
        <w:rPr>
          <w:rFonts w:ascii="Calibri" w:eastAsia="Calibri" w:hAnsi="Calibri"/>
          <w:rtl/>
        </w:rPr>
        <w:t xml:space="preserve">יישמר בגזירת העונש יחס הולם בין חומרת </w:t>
      </w:r>
      <w:r w:rsidRPr="00EA5201">
        <w:rPr>
          <w:rFonts w:ascii="Calibri" w:eastAsia="Calibri" w:hAnsi="Calibri"/>
          <w:u w:val="single"/>
          <w:rtl/>
        </w:rPr>
        <w:t>מכלול המעשים</w:t>
      </w:r>
      <w:r w:rsidRPr="00EA5201">
        <w:rPr>
          <w:rFonts w:ascii="Calibri" w:eastAsia="Calibri" w:hAnsi="Calibri"/>
          <w:rtl/>
        </w:rPr>
        <w:t xml:space="preserve"> ומידת אשמו של הנאשם לבין תקופת המאסר שיהא עליו לרצות (</w:t>
      </w:r>
      <w:hyperlink r:id="rId25" w:history="1">
        <w:r w:rsidR="00233271" w:rsidRPr="00233271">
          <w:rPr>
            <w:rStyle w:val="Hyperlink"/>
            <w:rFonts w:ascii="Calibri" w:eastAsia="Calibri" w:hAnsi="Calibri"/>
            <w:color w:val="0000FF"/>
            <w:rtl/>
          </w:rPr>
          <w:t>סעיף 40יג(ג)</w:t>
        </w:r>
      </w:hyperlink>
      <w:r w:rsidRPr="00EA5201">
        <w:rPr>
          <w:rFonts w:ascii="Calibri" w:eastAsia="Calibri" w:hAnsi="Calibri"/>
          <w:rtl/>
        </w:rPr>
        <w:t xml:space="preserve"> לחוק). </w:t>
      </w:r>
    </w:p>
    <w:p w14:paraId="4D7260E4" w14:textId="77777777" w:rsidR="005F239B" w:rsidRPr="00EA5201" w:rsidRDefault="005F239B" w:rsidP="005F239B">
      <w:pPr>
        <w:spacing w:after="160" w:line="360" w:lineRule="auto"/>
        <w:jc w:val="both"/>
        <w:rPr>
          <w:rFonts w:ascii="David" w:eastAsia="Calibri" w:hAnsi="David"/>
          <w:rtl/>
        </w:rPr>
      </w:pPr>
      <w:r w:rsidRPr="00EA5201">
        <w:rPr>
          <w:rFonts w:ascii="David" w:eastAsia="Calibri" w:hAnsi="David"/>
          <w:rtl/>
        </w:rPr>
        <w:t xml:space="preserve">בכל הנוגע לערכים החברתיים המוגנים שנפגעו כפועל יוצא ממעשיו של נאשם, הרי שהדברים מובנים מאליהם. המוביל נשק בלא רשות על פי דין והמסייע לעשות בו שימוש פוגע בראש ובראשונה </w:t>
      </w:r>
      <w:r w:rsidRPr="00EA5201">
        <w:rPr>
          <w:rFonts w:ascii="David" w:eastAsia="Calibri" w:hAnsi="David"/>
          <w:b/>
          <w:bCs/>
          <w:rtl/>
        </w:rPr>
        <w:t>בביטחון המדינה ובמנגנוני שלטונה</w:t>
      </w:r>
      <w:r w:rsidRPr="00EA5201">
        <w:rPr>
          <w:rFonts w:ascii="David" w:eastAsia="Calibri" w:hAnsi="David"/>
          <w:rtl/>
        </w:rPr>
        <w:t>;</w:t>
      </w:r>
      <w:r w:rsidRPr="00EA5201">
        <w:rPr>
          <w:rFonts w:ascii="David" w:eastAsia="Calibri" w:hAnsi="David"/>
        </w:rPr>
        <w:t xml:space="preserve"> </w:t>
      </w:r>
      <w:r w:rsidRPr="00EA5201">
        <w:rPr>
          <w:rFonts w:ascii="David" w:eastAsia="Calibri" w:hAnsi="David"/>
          <w:b/>
          <w:bCs/>
          <w:rtl/>
        </w:rPr>
        <w:t>בשלום הציבור ובסדר הציבורי</w:t>
      </w:r>
      <w:r w:rsidRPr="00EA5201">
        <w:rPr>
          <w:rFonts w:ascii="David" w:eastAsia="Calibri" w:hAnsi="David"/>
          <w:rtl/>
        </w:rPr>
        <w:t xml:space="preserve">. הוא פוגע בביטחון הציבור </w:t>
      </w:r>
      <w:r w:rsidRPr="00EA5201">
        <w:rPr>
          <w:rFonts w:ascii="David" w:eastAsia="Calibri" w:hAnsi="David"/>
          <w:b/>
          <w:bCs/>
          <w:rtl/>
        </w:rPr>
        <w:t>וחושף אותו לאירועי טרור עוין כמו גם פלילי המבוצעים באמצעות נשק</w:t>
      </w:r>
      <w:r w:rsidRPr="00EA5201">
        <w:rPr>
          <w:rFonts w:ascii="David" w:eastAsia="Calibri" w:hAnsi="David"/>
          <w:rtl/>
        </w:rPr>
        <w:t xml:space="preserve"> </w:t>
      </w:r>
      <w:r w:rsidRPr="00EA5201">
        <w:rPr>
          <w:rFonts w:ascii="David" w:eastAsia="Calibri" w:hAnsi="David"/>
          <w:b/>
          <w:bCs/>
          <w:rtl/>
        </w:rPr>
        <w:t>המושג שלא כחוק.</w:t>
      </w:r>
      <w:r w:rsidRPr="00EA5201">
        <w:rPr>
          <w:rFonts w:ascii="David" w:eastAsia="Calibri" w:hAnsi="David"/>
          <w:rtl/>
        </w:rPr>
        <w:t xml:space="preserve"> הפגיעה בערכים אלו במקרה זה </w:t>
      </w:r>
      <w:r w:rsidRPr="00EA5201">
        <w:rPr>
          <w:rFonts w:ascii="David" w:eastAsia="Calibri" w:hAnsi="David"/>
          <w:b/>
          <w:bCs/>
          <w:rtl/>
        </w:rPr>
        <w:t>היא ממשית.</w:t>
      </w:r>
    </w:p>
    <w:p w14:paraId="37FBF048" w14:textId="77777777" w:rsidR="005F239B" w:rsidRPr="00EA5201" w:rsidRDefault="005F239B" w:rsidP="005F239B">
      <w:pPr>
        <w:overflowPunct w:val="0"/>
        <w:autoSpaceDE w:val="0"/>
        <w:autoSpaceDN w:val="0"/>
        <w:spacing w:line="360" w:lineRule="auto"/>
        <w:jc w:val="both"/>
        <w:rPr>
          <w:rtl/>
        </w:rPr>
      </w:pPr>
      <w:r w:rsidRPr="00EA5201">
        <w:rPr>
          <w:rtl/>
        </w:rPr>
        <w:t xml:space="preserve">מתאימים לעניין זה הדברים שנכתבו במסגרתו של </w:t>
      </w:r>
      <w:hyperlink r:id="rId26" w:history="1">
        <w:r w:rsidR="00E126C7" w:rsidRPr="00E126C7">
          <w:rPr>
            <w:color w:val="0000FF"/>
            <w:u w:val="single"/>
            <w:rtl/>
          </w:rPr>
          <w:t>ע"פ 5522/20</w:t>
        </w:r>
      </w:hyperlink>
      <w:r w:rsidRPr="00EA5201">
        <w:rPr>
          <w:rtl/>
        </w:rPr>
        <w:t xml:space="preserve"> </w:t>
      </w:r>
      <w:r w:rsidRPr="00EA5201">
        <w:rPr>
          <w:b/>
          <w:bCs/>
          <w:rtl/>
        </w:rPr>
        <w:t>חלייחל נ' מדינת ישראל</w:t>
      </w:r>
      <w:r w:rsidRPr="00EA5201">
        <w:rPr>
          <w:rtl/>
        </w:rPr>
        <w:t xml:space="preserve"> (ניתן ביום 24.2.21)  והנוגעים לעבירות שעניינן נשיאה או הובלה של כלי נשק, ולפיהם - </w:t>
      </w:r>
    </w:p>
    <w:p w14:paraId="573DD1BF" w14:textId="77777777" w:rsidR="005F239B" w:rsidRPr="00EA5201" w:rsidRDefault="005F239B" w:rsidP="005F239B">
      <w:pPr>
        <w:overflowPunct w:val="0"/>
        <w:autoSpaceDE w:val="0"/>
        <w:autoSpaceDN w:val="0"/>
        <w:spacing w:line="360" w:lineRule="auto"/>
        <w:jc w:val="both"/>
        <w:rPr>
          <w:rtl/>
        </w:rPr>
      </w:pPr>
    </w:p>
    <w:p w14:paraId="79A4732F" w14:textId="77777777" w:rsidR="005F239B" w:rsidRPr="00EA5201" w:rsidRDefault="005F239B" w:rsidP="005F239B">
      <w:pPr>
        <w:spacing w:after="160" w:line="276" w:lineRule="auto"/>
        <w:ind w:left="935" w:right="851"/>
        <w:jc w:val="both"/>
        <w:rPr>
          <w:rFonts w:ascii="David" w:eastAsia="Calibri" w:hAnsi="David"/>
          <w:rtl/>
        </w:rPr>
      </w:pPr>
      <w:r w:rsidRPr="00EA5201">
        <w:rPr>
          <w:rFonts w:ascii="David" w:eastAsia="Calibri" w:hAnsi="David"/>
          <w:sz w:val="22"/>
          <w:rtl/>
        </w:rPr>
        <w:t xml:space="preserve"> "</w:t>
      </w:r>
      <w:r w:rsidRPr="00EA5201">
        <w:rPr>
          <w:rFonts w:ascii="Calibri Light" w:eastAsia="Calibri" w:hAnsi="Calibri Light" w:cs="Times New Roman"/>
          <w:sz w:val="22"/>
          <w:rtl/>
        </w:rPr>
        <w:t xml:space="preserve">סעיף </w:t>
      </w:r>
      <w:r w:rsidRPr="00EA5201">
        <w:rPr>
          <w:rFonts w:ascii="Calibri Light" w:eastAsia="Calibri" w:hAnsi="Calibri Light" w:cs="Calibri Light"/>
          <w:sz w:val="22"/>
          <w:rtl/>
        </w:rPr>
        <w:t>144(</w:t>
      </w:r>
      <w:r w:rsidRPr="00EA5201">
        <w:rPr>
          <w:rFonts w:ascii="Calibri Light" w:eastAsia="Calibri" w:hAnsi="Calibri Light" w:cs="Times New Roman"/>
          <w:sz w:val="22"/>
          <w:rtl/>
        </w:rPr>
        <w:t>ב</w:t>
      </w:r>
      <w:r w:rsidRPr="00EA5201">
        <w:rPr>
          <w:rFonts w:ascii="Calibri Light" w:eastAsia="Calibri" w:hAnsi="Calibri Light" w:cs="Calibri Light"/>
          <w:sz w:val="22"/>
          <w:rtl/>
        </w:rPr>
        <w:t xml:space="preserve">) </w:t>
      </w:r>
      <w:r w:rsidRPr="00EA5201">
        <w:rPr>
          <w:rFonts w:ascii="Calibri Light" w:eastAsia="Calibri" w:hAnsi="Calibri Light" w:cs="Times New Roman"/>
          <w:sz w:val="22"/>
          <w:rtl/>
        </w:rPr>
        <w:t>ל</w:t>
      </w:r>
      <w:hyperlink r:id="rId27" w:history="1">
        <w:r w:rsidR="00E126C7" w:rsidRPr="00E126C7">
          <w:rPr>
            <w:rFonts w:ascii="Calibri Light" w:eastAsia="Calibri" w:hAnsi="Calibri Light" w:cs="Times New Roman" w:hint="cs"/>
            <w:color w:val="0000FF"/>
            <w:sz w:val="22"/>
            <w:u w:val="single"/>
            <w:rtl/>
          </w:rPr>
          <w:t>חוק</w:t>
        </w:r>
        <w:r w:rsidR="00E126C7" w:rsidRPr="00E126C7">
          <w:rPr>
            <w:rFonts w:ascii="Calibri Light" w:eastAsia="Calibri" w:hAnsi="Calibri Light" w:cs="Times New Roman"/>
            <w:color w:val="0000FF"/>
            <w:sz w:val="22"/>
            <w:u w:val="single"/>
            <w:rtl/>
          </w:rPr>
          <w:t xml:space="preserve"> </w:t>
        </w:r>
        <w:r w:rsidR="00E126C7" w:rsidRPr="00E126C7">
          <w:rPr>
            <w:rFonts w:ascii="Calibri Light" w:eastAsia="Calibri" w:hAnsi="Calibri Light" w:cs="Times New Roman" w:hint="cs"/>
            <w:color w:val="0000FF"/>
            <w:sz w:val="22"/>
            <w:u w:val="single"/>
            <w:rtl/>
          </w:rPr>
          <w:t>העונשין</w:t>
        </w:r>
      </w:hyperlink>
      <w:r w:rsidRPr="00EA5201">
        <w:rPr>
          <w:rFonts w:ascii="Calibri Light" w:eastAsia="Calibri" w:hAnsi="Calibri Light" w:cs="Times New Roman"/>
          <w:sz w:val="22"/>
          <w:rtl/>
        </w:rPr>
        <w:t xml:space="preserve"> אוסר על נשיאה או הובלה של כלי</w:t>
      </w:r>
      <w:r w:rsidRPr="00EA5201">
        <w:rPr>
          <w:rFonts w:ascii="Calibri Light" w:eastAsia="Calibri" w:hAnsi="Calibri Light" w:cs="Calibri Light"/>
          <w:sz w:val="22"/>
          <w:rtl/>
        </w:rPr>
        <w:t>-</w:t>
      </w:r>
      <w:r w:rsidRPr="00EA5201">
        <w:rPr>
          <w:rFonts w:ascii="Calibri Light" w:eastAsia="Calibri" w:hAnsi="Calibri Light" w:cs="Times New Roman"/>
          <w:sz w:val="22"/>
          <w:rtl/>
        </w:rPr>
        <w:t>נשק</w:t>
      </w:r>
      <w:r w:rsidRPr="00EA5201">
        <w:rPr>
          <w:rFonts w:ascii="Calibri Light" w:eastAsia="Calibri" w:hAnsi="Calibri Light" w:cs="Calibri Light"/>
          <w:sz w:val="22"/>
          <w:rtl/>
        </w:rPr>
        <w:t xml:space="preserve">, </w:t>
      </w:r>
      <w:r w:rsidRPr="00EA5201">
        <w:rPr>
          <w:rFonts w:ascii="Calibri Light" w:eastAsia="Calibri" w:hAnsi="Calibri Light" w:cs="Calibri Light"/>
          <w:b/>
          <w:sz w:val="22"/>
          <w:rtl/>
        </w:rPr>
        <w:t>"</w:t>
      </w:r>
      <w:r w:rsidRPr="00EA5201">
        <w:rPr>
          <w:rFonts w:ascii="Calibri Light" w:eastAsia="Calibri" w:hAnsi="Calibri Light" w:cs="Times New Roman"/>
          <w:b/>
          <w:sz w:val="22"/>
          <w:rtl/>
        </w:rPr>
        <w:t>בלא רשות על פי דין</w:t>
      </w:r>
      <w:r w:rsidRPr="00EA5201">
        <w:rPr>
          <w:rFonts w:ascii="Calibri Light" w:eastAsia="Calibri" w:hAnsi="Calibri Light" w:cs="Calibri Light"/>
          <w:b/>
          <w:sz w:val="22"/>
          <w:rtl/>
        </w:rPr>
        <w:t>"</w:t>
      </w:r>
      <w:r w:rsidRPr="00EA5201">
        <w:rPr>
          <w:rFonts w:ascii="Calibri Light" w:eastAsia="Calibri" w:hAnsi="Calibri Light" w:cs="Calibri Light"/>
          <w:sz w:val="22"/>
          <w:rtl/>
        </w:rPr>
        <w:t xml:space="preserve">. </w:t>
      </w:r>
      <w:r w:rsidRPr="00EA5201">
        <w:rPr>
          <w:rFonts w:ascii="Calibri Light" w:eastAsia="Calibri" w:hAnsi="Calibri Light" w:cs="Times New Roman"/>
          <w:sz w:val="22"/>
          <w:rtl/>
        </w:rPr>
        <w:t>האיסור נועד להגן על ערך חיי האדם</w:t>
      </w:r>
      <w:r w:rsidRPr="00EA5201">
        <w:rPr>
          <w:rFonts w:ascii="Calibri Light" w:eastAsia="Calibri" w:hAnsi="Calibri Light" w:cs="Calibri Light"/>
          <w:sz w:val="22"/>
          <w:rtl/>
        </w:rPr>
        <w:t xml:space="preserve">, </w:t>
      </w:r>
      <w:r w:rsidRPr="00EA5201">
        <w:rPr>
          <w:rFonts w:ascii="Calibri Light" w:eastAsia="Calibri" w:hAnsi="Calibri Light" w:cs="Times New Roman"/>
          <w:sz w:val="22"/>
          <w:rtl/>
        </w:rPr>
        <w:t>שלמות גופו ונפשו</w:t>
      </w:r>
      <w:r w:rsidRPr="00EA5201">
        <w:rPr>
          <w:rFonts w:ascii="Calibri Light" w:eastAsia="Calibri" w:hAnsi="Calibri Light" w:cs="Calibri Light"/>
          <w:sz w:val="22"/>
          <w:rtl/>
        </w:rPr>
        <w:t xml:space="preserve">, </w:t>
      </w:r>
      <w:r w:rsidRPr="00EA5201">
        <w:rPr>
          <w:rFonts w:ascii="Calibri Light" w:eastAsia="Calibri" w:hAnsi="Calibri Light" w:cs="Times New Roman"/>
          <w:sz w:val="22"/>
          <w:rtl/>
        </w:rPr>
        <w:t>כמו גם לקדם את השמירה על הסדר הציבורי ואורח חיים תקין</w:t>
      </w:r>
      <w:r w:rsidRPr="00EA5201">
        <w:rPr>
          <w:rFonts w:ascii="Calibri Light" w:eastAsia="Calibri" w:hAnsi="Calibri Light" w:cs="Calibri Light"/>
          <w:sz w:val="22"/>
          <w:rtl/>
        </w:rPr>
        <w:t xml:space="preserve">, </w:t>
      </w:r>
      <w:r w:rsidRPr="00EA5201">
        <w:rPr>
          <w:rFonts w:ascii="Calibri Light" w:eastAsia="Calibri" w:hAnsi="Calibri Light" w:cs="Times New Roman"/>
          <w:sz w:val="22"/>
          <w:rtl/>
        </w:rPr>
        <w:t>שלו ובטוח</w:t>
      </w:r>
      <w:r w:rsidRPr="00EA5201">
        <w:rPr>
          <w:rFonts w:ascii="Calibri Light" w:eastAsia="Calibri" w:hAnsi="Calibri Light" w:cs="Calibri Light"/>
          <w:sz w:val="22"/>
          <w:rtl/>
        </w:rPr>
        <w:t xml:space="preserve">... </w:t>
      </w:r>
      <w:r w:rsidRPr="00EA5201">
        <w:rPr>
          <w:rFonts w:ascii="Calibri Light" w:eastAsia="Calibri" w:hAnsi="Calibri Light" w:cs="Times New Roman"/>
          <w:sz w:val="22"/>
          <w:rtl/>
        </w:rPr>
        <w:t>עבירה זו</w:t>
      </w:r>
      <w:r w:rsidRPr="00EA5201">
        <w:rPr>
          <w:rFonts w:ascii="Calibri Light" w:eastAsia="Calibri" w:hAnsi="Calibri Light" w:cs="Calibri Light"/>
          <w:sz w:val="22"/>
          <w:rtl/>
        </w:rPr>
        <w:t xml:space="preserve">, </w:t>
      </w:r>
      <w:r w:rsidRPr="00EA5201">
        <w:rPr>
          <w:rFonts w:ascii="Calibri Light" w:eastAsia="Calibri" w:hAnsi="Calibri Light" w:cs="Times New Roman"/>
          <w:sz w:val="22"/>
          <w:rtl/>
        </w:rPr>
        <w:t>כמו יתר עבירות הנשק</w:t>
      </w:r>
      <w:r w:rsidRPr="00EA5201">
        <w:rPr>
          <w:rFonts w:ascii="Calibri Light" w:eastAsia="Calibri" w:hAnsi="Calibri Light" w:cs="Calibri Light"/>
          <w:sz w:val="22"/>
          <w:rtl/>
        </w:rPr>
        <w:t xml:space="preserve">, </w:t>
      </w:r>
      <w:r w:rsidRPr="00EA5201">
        <w:rPr>
          <w:rFonts w:ascii="Calibri Light" w:eastAsia="Calibri" w:hAnsi="Calibri Light" w:cs="Times New Roman"/>
          <w:sz w:val="22"/>
          <w:rtl/>
        </w:rPr>
        <w:t>נועדה למנוע התנהגות מסוכנת</w:t>
      </w:r>
      <w:r w:rsidRPr="00EA5201">
        <w:rPr>
          <w:rFonts w:ascii="Calibri Light" w:eastAsia="Calibri" w:hAnsi="Calibri Light" w:cs="Calibri Light"/>
          <w:sz w:val="22"/>
          <w:rtl/>
        </w:rPr>
        <w:t xml:space="preserve">, </w:t>
      </w:r>
      <w:r w:rsidRPr="00EA5201">
        <w:rPr>
          <w:rFonts w:ascii="Calibri Light" w:eastAsia="Calibri" w:hAnsi="Calibri Light" w:cs="Times New Roman"/>
          <w:sz w:val="22"/>
          <w:rtl/>
        </w:rPr>
        <w:t>ולמזער את הפוטנציאל לגרימת נזקים חמורים</w:t>
      </w:r>
      <w:r w:rsidRPr="00EA5201">
        <w:rPr>
          <w:rFonts w:ascii="Calibri Light" w:eastAsia="Calibri" w:hAnsi="Calibri Light" w:cs="Calibri Light"/>
          <w:sz w:val="22"/>
          <w:rtl/>
        </w:rPr>
        <w:t xml:space="preserve">. </w:t>
      </w:r>
      <w:r w:rsidRPr="00EA5201">
        <w:rPr>
          <w:rFonts w:ascii="Calibri Light" w:eastAsia="Calibri" w:hAnsi="Calibri Light" w:cs="Times New Roman"/>
          <w:b/>
          <w:bCs/>
          <w:sz w:val="22"/>
          <w:rtl/>
        </w:rPr>
        <w:t>אכן</w:t>
      </w:r>
      <w:r w:rsidRPr="00EA5201">
        <w:rPr>
          <w:rFonts w:ascii="Calibri Light" w:eastAsia="Calibri" w:hAnsi="Calibri Light" w:cs="Calibri Light"/>
          <w:b/>
          <w:bCs/>
          <w:sz w:val="22"/>
          <w:rtl/>
        </w:rPr>
        <w:t xml:space="preserve">, </w:t>
      </w:r>
      <w:r w:rsidRPr="00EA5201">
        <w:rPr>
          <w:rFonts w:ascii="Calibri Light" w:eastAsia="Calibri" w:hAnsi="Calibri Light" w:cs="Times New Roman"/>
          <w:b/>
          <w:bCs/>
          <w:sz w:val="22"/>
          <w:rtl/>
        </w:rPr>
        <w:t>נשיאה והובלה של כלי</w:t>
      </w:r>
      <w:r w:rsidRPr="00EA5201">
        <w:rPr>
          <w:rFonts w:ascii="Calibri Light" w:eastAsia="Calibri" w:hAnsi="Calibri Light" w:cs="Calibri Light"/>
          <w:b/>
          <w:bCs/>
          <w:sz w:val="22"/>
          <w:rtl/>
        </w:rPr>
        <w:t>-</w:t>
      </w:r>
      <w:r w:rsidRPr="00EA5201">
        <w:rPr>
          <w:rFonts w:ascii="Calibri Light" w:eastAsia="Calibri" w:hAnsi="Calibri Light" w:cs="Times New Roman"/>
          <w:b/>
          <w:bCs/>
          <w:sz w:val="22"/>
          <w:rtl/>
        </w:rPr>
        <w:t>נשק</w:t>
      </w:r>
      <w:r w:rsidRPr="00EA5201">
        <w:rPr>
          <w:rFonts w:ascii="Calibri Light" w:eastAsia="Calibri" w:hAnsi="Calibri Light" w:cs="Calibri Light"/>
          <w:b/>
          <w:bCs/>
          <w:sz w:val="22"/>
          <w:rtl/>
        </w:rPr>
        <w:t xml:space="preserve">, </w:t>
      </w:r>
      <w:r w:rsidRPr="00EA5201">
        <w:rPr>
          <w:rFonts w:ascii="Calibri Light" w:eastAsia="Calibri" w:hAnsi="Calibri Light" w:cs="Times New Roman"/>
          <w:b/>
          <w:bCs/>
          <w:sz w:val="22"/>
          <w:rtl/>
        </w:rPr>
        <w:t>הרי</w:t>
      </w:r>
      <w:r>
        <w:rPr>
          <w:rFonts w:ascii="Calibri Light" w:eastAsia="Calibri" w:hAnsi="Calibri Light" w:cs="Calibri Light" w:hint="cs"/>
          <w:b/>
          <w:bCs/>
          <w:sz w:val="22"/>
          <w:rtl/>
        </w:rPr>
        <w:t xml:space="preserve"> </w:t>
      </w:r>
      <w:r w:rsidRPr="00EA5201">
        <w:rPr>
          <w:rFonts w:ascii="Calibri Light" w:eastAsia="Calibri" w:hAnsi="Calibri Light" w:cs="Times New Roman"/>
          <w:b/>
          <w:bCs/>
          <w:sz w:val="22"/>
          <w:rtl/>
        </w:rPr>
        <w:t>הי</w:t>
      </w:r>
      <w:r>
        <w:rPr>
          <w:rFonts w:ascii="Calibri Light" w:eastAsia="Calibri" w:hAnsi="Calibri Light" w:cs="Times New Roman" w:hint="cs"/>
          <w:b/>
          <w:bCs/>
          <w:sz w:val="22"/>
          <w:rtl/>
        </w:rPr>
        <w:t>א</w:t>
      </w:r>
      <w:r w:rsidRPr="00EA5201">
        <w:rPr>
          <w:rFonts w:ascii="Calibri Light" w:eastAsia="Calibri" w:hAnsi="Calibri Light" w:cs="Times New Roman"/>
          <w:b/>
          <w:bCs/>
          <w:sz w:val="22"/>
          <w:rtl/>
        </w:rPr>
        <w:t xml:space="preserve"> לעיתים רק הסנונית הראשונה</w:t>
      </w:r>
      <w:r w:rsidRPr="00EA5201">
        <w:rPr>
          <w:rFonts w:ascii="Calibri Light" w:eastAsia="Calibri" w:hAnsi="Calibri Light" w:cs="Calibri Light"/>
          <w:b/>
          <w:bCs/>
          <w:sz w:val="22"/>
          <w:rtl/>
        </w:rPr>
        <w:t xml:space="preserve">, </w:t>
      </w:r>
      <w:r w:rsidRPr="00EA5201">
        <w:rPr>
          <w:rFonts w:ascii="Calibri Light" w:eastAsia="Calibri" w:hAnsi="Calibri Light" w:cs="Times New Roman"/>
          <w:b/>
          <w:bCs/>
          <w:sz w:val="22"/>
          <w:rtl/>
        </w:rPr>
        <w:t>בואכה מעשים חמורים יותר</w:t>
      </w:r>
      <w:r w:rsidRPr="00EA5201">
        <w:rPr>
          <w:rFonts w:ascii="David" w:eastAsia="Calibri" w:hAnsi="David"/>
          <w:rtl/>
        </w:rPr>
        <w:t xml:space="preserve">..." (ההדגשה אינה במקור). </w:t>
      </w:r>
    </w:p>
    <w:p w14:paraId="34E3DA5F" w14:textId="77777777" w:rsidR="005F239B" w:rsidRPr="00EA5201" w:rsidRDefault="005F239B" w:rsidP="005F239B">
      <w:pPr>
        <w:spacing w:line="360" w:lineRule="auto"/>
        <w:ind w:right="-284"/>
        <w:jc w:val="both"/>
        <w:rPr>
          <w:rFonts w:ascii="David" w:eastAsia="Calibri" w:hAnsi="David"/>
          <w:rtl/>
        </w:rPr>
      </w:pPr>
      <w:r w:rsidRPr="00EA5201">
        <w:rPr>
          <w:rFonts w:ascii="Calibri" w:eastAsia="Calibri" w:hAnsi="Calibri"/>
          <w:rtl/>
        </w:rPr>
        <w:t>על מנת לשרטט כדבעי את מתחם העונש ההולם בעניינו של הנאשם עיינתי בפסיקה רחבה העוסקת בעבירות נשק (</w:t>
      </w:r>
      <w:r w:rsidRPr="00EA5201">
        <w:rPr>
          <w:rFonts w:ascii="Calibri" w:eastAsia="Calibri" w:hAnsi="Calibri"/>
          <w:b/>
          <w:bCs/>
          <w:rtl/>
        </w:rPr>
        <w:t>נשיאה והובלה</w:t>
      </w:r>
      <w:r w:rsidRPr="00EA5201">
        <w:rPr>
          <w:rFonts w:ascii="Calibri" w:eastAsia="Calibri" w:hAnsi="Calibri"/>
          <w:rtl/>
        </w:rPr>
        <w:t xml:space="preserve">) וכן </w:t>
      </w:r>
      <w:r w:rsidRPr="00EA5201">
        <w:rPr>
          <w:rFonts w:ascii="Calibri" w:eastAsia="Calibri" w:hAnsi="Calibri"/>
          <w:b/>
          <w:bCs/>
          <w:rtl/>
        </w:rPr>
        <w:t xml:space="preserve">בעבירות ירי מנשק חם (וסיוע להן) </w:t>
      </w:r>
      <w:r w:rsidRPr="00EA5201">
        <w:rPr>
          <w:rFonts w:ascii="David" w:eastAsia="Calibri" w:hAnsi="David"/>
          <w:rtl/>
        </w:rPr>
        <w:t xml:space="preserve">נמצאתי למד, כי בשנים האחרונות חלה מגמת החמרה בענישה, הבאה לידי ביטוי בפסיקת הערכאות השונות הנוגעת לעבירה אלו. </w:t>
      </w:r>
    </w:p>
    <w:p w14:paraId="243D3193" w14:textId="77777777" w:rsidR="005F239B" w:rsidRPr="00EA5201" w:rsidRDefault="005F239B" w:rsidP="005F239B">
      <w:pPr>
        <w:spacing w:line="360" w:lineRule="auto"/>
        <w:ind w:right="-284"/>
        <w:jc w:val="both"/>
        <w:rPr>
          <w:rFonts w:ascii="David" w:eastAsia="Calibri" w:hAnsi="David"/>
          <w:rtl/>
        </w:rPr>
      </w:pPr>
    </w:p>
    <w:p w14:paraId="5AA39DAE" w14:textId="77777777" w:rsidR="005F239B" w:rsidRPr="00EA5201" w:rsidRDefault="005F239B" w:rsidP="005F239B">
      <w:pPr>
        <w:spacing w:after="160" w:line="360" w:lineRule="auto"/>
        <w:ind w:right="-284"/>
        <w:jc w:val="both"/>
        <w:rPr>
          <w:rFonts w:ascii="David" w:eastAsia="Calibri" w:hAnsi="David"/>
          <w:rtl/>
        </w:rPr>
      </w:pPr>
      <w:r w:rsidRPr="00EA5201">
        <w:rPr>
          <w:rFonts w:ascii="David" w:eastAsia="Calibri" w:hAnsi="David"/>
          <w:rtl/>
        </w:rPr>
        <w:t xml:space="preserve">כאן המקום להביא  את עמדתו הנכוחה והבלתי מתפשרת של בית המשפט העליון, עליה חזר פעם אחר פעם בשנים האחרונות, בציינו כי נשק בלתי-חוקי, המוחזק בידיים בלתי-מוסמכות, עלול בסופו של יום להגיע לכלל שימוש מסוכן, כפי שאכן קרה בנידון דידן. </w:t>
      </w:r>
    </w:p>
    <w:p w14:paraId="51E50EC7" w14:textId="77777777" w:rsidR="005F239B" w:rsidRPr="00EA5201" w:rsidRDefault="005F239B" w:rsidP="005F239B">
      <w:pPr>
        <w:spacing w:after="160" w:line="360" w:lineRule="auto"/>
        <w:ind w:right="-284"/>
        <w:jc w:val="both"/>
        <w:rPr>
          <w:rFonts w:ascii="David" w:eastAsia="Calibri" w:hAnsi="David"/>
          <w:rtl/>
        </w:rPr>
      </w:pPr>
      <w:r w:rsidRPr="00EA5201">
        <w:rPr>
          <w:rFonts w:ascii="David" w:eastAsia="Calibri" w:hAnsi="David"/>
          <w:rtl/>
        </w:rPr>
        <w:t xml:space="preserve">ראו למשל הדברים שנכתבו במסגרתו של </w:t>
      </w:r>
      <w:hyperlink r:id="rId28" w:history="1">
        <w:r w:rsidR="00E126C7" w:rsidRPr="00E126C7">
          <w:rPr>
            <w:rFonts w:ascii="David" w:eastAsia="Calibri" w:hAnsi="David"/>
            <w:color w:val="0000FF"/>
            <w:u w:val="single"/>
            <w:rtl/>
          </w:rPr>
          <w:t>ע"פ 4406/19</w:t>
        </w:r>
      </w:hyperlink>
      <w:r w:rsidRPr="00EA5201">
        <w:rPr>
          <w:rFonts w:ascii="David" w:eastAsia="Calibri" w:hAnsi="David"/>
          <w:rtl/>
        </w:rPr>
        <w:t xml:space="preserve"> </w:t>
      </w:r>
      <w:r w:rsidRPr="00EA5201">
        <w:rPr>
          <w:rFonts w:ascii="David" w:eastAsia="Calibri" w:hAnsi="David"/>
          <w:b/>
          <w:bCs/>
          <w:rtl/>
        </w:rPr>
        <w:t>מדינת ישראל נ' סובח</w:t>
      </w:r>
      <w:r w:rsidRPr="00EA5201">
        <w:rPr>
          <w:rFonts w:ascii="David" w:eastAsia="Calibri" w:hAnsi="David"/>
          <w:rtl/>
        </w:rPr>
        <w:t xml:space="preserve">, פסקאות 17-16 (ניתן ביום 5.11.2019) ולפיהם - </w:t>
      </w:r>
    </w:p>
    <w:p w14:paraId="5B74B7B7" w14:textId="77777777" w:rsidR="005F239B" w:rsidRPr="00EA5201" w:rsidRDefault="005F239B" w:rsidP="005F239B">
      <w:pPr>
        <w:spacing w:after="160" w:line="256" w:lineRule="auto"/>
        <w:ind w:left="793" w:right="851"/>
        <w:jc w:val="both"/>
        <w:rPr>
          <w:rFonts w:ascii="Miriam" w:eastAsia="Calibri" w:hAnsi="Miriam" w:cs="Miriam"/>
          <w:rtl/>
        </w:rPr>
      </w:pPr>
      <w:r w:rsidRPr="00EA5201">
        <w:rPr>
          <w:rFonts w:ascii="Miriam" w:eastAsia="Calibri" w:hAnsi="Miriam" w:cs="Miriam"/>
          <w:rtl/>
        </w:rPr>
        <w:t>"</w:t>
      </w:r>
      <w:r w:rsidRPr="00EA5201">
        <w:rPr>
          <w:rFonts w:ascii="Calibri Light" w:eastAsia="Calibri" w:hAnsi="Calibri Light" w:cs="Times New Roman"/>
          <w:rtl/>
        </w:rPr>
        <w:t>השימוש בנשק חם ככלי ליישוב סכסוכים הפך לרעה חולה</w:t>
      </w:r>
      <w:r w:rsidRPr="00EA5201">
        <w:rPr>
          <w:rFonts w:ascii="Calibri Light" w:eastAsia="Calibri" w:hAnsi="Calibri Light" w:cs="Calibri Light"/>
          <w:rtl/>
        </w:rPr>
        <w:t xml:space="preserve">, </w:t>
      </w:r>
      <w:r w:rsidRPr="00EA5201">
        <w:rPr>
          <w:rFonts w:ascii="Calibri Light" w:eastAsia="Calibri" w:hAnsi="Calibri Light" w:cs="Times New Roman"/>
          <w:rtl/>
        </w:rPr>
        <w:t>וכמעשה של יום ביומו גובה חיי אדם ולעיתים אף את חייהם של חפים מפשע אשר כל חטאם היה כי התהלכו באותה עת ברחובה של עיר</w:t>
      </w:r>
      <w:r w:rsidRPr="00EA5201">
        <w:rPr>
          <w:rFonts w:ascii="Calibri Light" w:eastAsia="Calibri" w:hAnsi="Calibri Light" w:cs="Calibri Light"/>
          <w:rtl/>
        </w:rPr>
        <w:t xml:space="preserve">. </w:t>
      </w:r>
      <w:r w:rsidRPr="00EA5201">
        <w:rPr>
          <w:rFonts w:ascii="Calibri Light" w:eastAsia="Calibri" w:hAnsi="Calibri Light" w:cs="Times New Roman"/>
          <w:rtl/>
        </w:rPr>
        <w:t xml:space="preserve">בשנים האחרונות אף חלה עליה מתמדת במספר אירועי הירי המדווחים למשטרה </w:t>
      </w:r>
      <w:r w:rsidRPr="00EA5201">
        <w:rPr>
          <w:rFonts w:ascii="Calibri Light" w:eastAsia="Calibri" w:hAnsi="Calibri Light" w:cs="Calibri Light"/>
          <w:rtl/>
        </w:rPr>
        <w:t>(</w:t>
      </w:r>
      <w:r w:rsidRPr="00EA5201">
        <w:rPr>
          <w:rFonts w:ascii="Calibri Light" w:eastAsia="Calibri" w:hAnsi="Calibri Light" w:cs="Times New Roman"/>
          <w:rtl/>
        </w:rPr>
        <w:t>ראו למשל</w:t>
      </w:r>
      <w:r w:rsidRPr="00EA5201">
        <w:rPr>
          <w:rFonts w:ascii="Calibri Light" w:eastAsia="Calibri" w:hAnsi="Calibri Light" w:cs="Calibri Light"/>
          <w:rtl/>
        </w:rPr>
        <w:t xml:space="preserve">: </w:t>
      </w:r>
      <w:r w:rsidRPr="00EA5201">
        <w:rPr>
          <w:rFonts w:ascii="Calibri Light" w:eastAsia="Calibri" w:hAnsi="Calibri Light" w:cs="Times New Roman"/>
          <w:rtl/>
        </w:rPr>
        <w:t>דו</w:t>
      </w:r>
      <w:r w:rsidRPr="00EA5201">
        <w:rPr>
          <w:rFonts w:ascii="Calibri Light" w:eastAsia="Calibri" w:hAnsi="Calibri Light" w:cs="Calibri Light"/>
          <w:rtl/>
        </w:rPr>
        <w:t>"</w:t>
      </w:r>
      <w:r w:rsidRPr="00EA5201">
        <w:rPr>
          <w:rFonts w:ascii="Calibri Light" w:eastAsia="Calibri" w:hAnsi="Calibri Light" w:cs="Times New Roman"/>
          <w:rtl/>
        </w:rPr>
        <w:t xml:space="preserve">ח מבקר המדינה התמודדות משטרת ישראל עם החזקת אמצעי לחימה לא חוקיים ואירועי ירי ביישובי החברה הערבית וביישובים מעורבים </w:t>
      </w:r>
      <w:r w:rsidRPr="00EA5201">
        <w:rPr>
          <w:rFonts w:ascii="Calibri Light" w:eastAsia="Calibri" w:hAnsi="Calibri Light" w:cs="Calibri Light"/>
          <w:rtl/>
        </w:rPr>
        <w:t>28 (2018)).</w:t>
      </w:r>
      <w:r w:rsidRPr="00EA5201">
        <w:rPr>
          <w:rFonts w:ascii="Calibri Light" w:eastAsia="Calibri" w:hAnsi="Calibri Light" w:cs="Times New Roman"/>
          <w:rtl/>
        </w:rPr>
        <w:t>על רקע המציאות אותה אנו חווים למרבה הצער מדי יום</w:t>
      </w:r>
      <w:r w:rsidRPr="00EA5201">
        <w:rPr>
          <w:rFonts w:ascii="Calibri Light" w:eastAsia="Calibri" w:hAnsi="Calibri Light" w:cs="Calibri Light"/>
          <w:rtl/>
        </w:rPr>
        <w:t xml:space="preserve">, </w:t>
      </w:r>
      <w:r w:rsidRPr="00EA5201">
        <w:rPr>
          <w:rFonts w:ascii="Calibri Light" w:eastAsia="Calibri" w:hAnsi="Calibri Light" w:cs="Times New Roman"/>
          <w:rtl/>
        </w:rPr>
        <w:t xml:space="preserve">אנו עדים לקריאה ציבורית נרגשת להגברת האכיפה כלפי עבירות נשק </w:t>
      </w:r>
      <w:r w:rsidRPr="00EA5201">
        <w:rPr>
          <w:rFonts w:ascii="Calibri Light" w:eastAsia="Calibri" w:hAnsi="Calibri Light" w:cs="Calibri Light"/>
          <w:rtl/>
        </w:rPr>
        <w:t xml:space="preserve">– </w:t>
      </w:r>
      <w:r w:rsidRPr="00EA5201">
        <w:rPr>
          <w:rFonts w:ascii="Calibri Light" w:eastAsia="Calibri" w:hAnsi="Calibri Light" w:cs="Times New Roman"/>
          <w:rtl/>
        </w:rPr>
        <w:t>ולהחמרה במדיניות הענישה הנוהגת</w:t>
      </w:r>
      <w:r w:rsidRPr="00EA5201">
        <w:rPr>
          <w:rFonts w:ascii="Miriam" w:eastAsia="Calibri" w:hAnsi="Miriam" w:cs="Miriam"/>
          <w:rtl/>
        </w:rPr>
        <w:t>[...]".</w:t>
      </w:r>
    </w:p>
    <w:p w14:paraId="27B8D600" w14:textId="77777777" w:rsidR="005F239B" w:rsidRPr="00EA5201" w:rsidRDefault="005F239B" w:rsidP="005F239B">
      <w:pPr>
        <w:spacing w:after="160" w:line="256" w:lineRule="auto"/>
        <w:ind w:left="793" w:right="851"/>
        <w:jc w:val="both"/>
        <w:rPr>
          <w:rFonts w:ascii="Calibri Light" w:eastAsia="Calibri" w:hAnsi="Calibri Light" w:cs="Calibri Light"/>
          <w:rtl/>
        </w:rPr>
      </w:pPr>
    </w:p>
    <w:p w14:paraId="78F694C4" w14:textId="77777777" w:rsidR="005F239B" w:rsidRPr="00EA5201" w:rsidRDefault="005F239B" w:rsidP="005F239B">
      <w:pPr>
        <w:spacing w:after="160" w:line="360" w:lineRule="auto"/>
        <w:ind w:right="-426"/>
        <w:jc w:val="both"/>
        <w:rPr>
          <w:rFonts w:ascii="Calibri" w:eastAsia="Calibri" w:hAnsi="Calibri"/>
          <w:rtl/>
        </w:rPr>
      </w:pPr>
      <w:r w:rsidRPr="00EA5201">
        <w:rPr>
          <w:rFonts w:ascii="David" w:eastAsia="Calibri" w:hAnsi="David"/>
          <w:rtl/>
        </w:rPr>
        <w:t xml:space="preserve">ברי, כי </w:t>
      </w:r>
      <w:r w:rsidRPr="00EA5201">
        <w:rPr>
          <w:rFonts w:ascii="Calibri" w:eastAsia="Calibri" w:hAnsi="Calibri"/>
          <w:rtl/>
        </w:rPr>
        <w:t xml:space="preserve">משקל ניכר בקביעת העונש בעבירות של החזקת ונשיאת נשק יש לתלות </w:t>
      </w:r>
      <w:r w:rsidRPr="00EA5201">
        <w:rPr>
          <w:rFonts w:ascii="Calibri" w:eastAsia="Calibri" w:hAnsi="Calibri"/>
          <w:u w:val="single"/>
          <w:rtl/>
        </w:rPr>
        <w:t>באופי הנשק</w:t>
      </w:r>
      <w:r w:rsidRPr="00EA5201">
        <w:rPr>
          <w:rFonts w:ascii="Calibri" w:eastAsia="Calibri" w:hAnsi="Calibri"/>
          <w:rtl/>
        </w:rPr>
        <w:t xml:space="preserve">, </w:t>
      </w:r>
      <w:r w:rsidRPr="00EA5201">
        <w:rPr>
          <w:rFonts w:ascii="Calibri" w:eastAsia="Calibri" w:hAnsi="Calibri"/>
          <w:u w:val="single"/>
          <w:rtl/>
        </w:rPr>
        <w:t>במידת קטלניותו</w:t>
      </w:r>
      <w:r w:rsidRPr="00EA5201">
        <w:rPr>
          <w:rFonts w:ascii="Calibri" w:eastAsia="Calibri" w:hAnsi="Calibri"/>
          <w:rtl/>
        </w:rPr>
        <w:t xml:space="preserve">, בכמות הנשקים המוחזקים, </w:t>
      </w:r>
      <w:r w:rsidRPr="00EA5201">
        <w:rPr>
          <w:rFonts w:ascii="Calibri" w:eastAsia="Calibri" w:hAnsi="Calibri"/>
          <w:u w:val="single"/>
          <w:rtl/>
        </w:rPr>
        <w:t>בתחמושת שנתפסה לצדו</w:t>
      </w:r>
      <w:r w:rsidRPr="00EA5201">
        <w:rPr>
          <w:rFonts w:ascii="Calibri" w:eastAsia="Calibri" w:hAnsi="Calibri"/>
          <w:rtl/>
        </w:rPr>
        <w:t xml:space="preserve"> וכיוצ"ב. למעשה, "</w:t>
      </w:r>
      <w:r w:rsidRPr="00EA5201">
        <w:rPr>
          <w:rFonts w:ascii="Calibri Light" w:eastAsia="Calibri" w:hAnsi="Calibri Light" w:cs="Times New Roman"/>
          <w:rtl/>
        </w:rPr>
        <w:t>כבכל עבירה</w:t>
      </w:r>
      <w:r w:rsidRPr="00EA5201">
        <w:rPr>
          <w:rFonts w:ascii="Calibri Light" w:eastAsia="Calibri" w:hAnsi="Calibri Light" w:cs="Calibri Light"/>
          <w:rtl/>
        </w:rPr>
        <w:t xml:space="preserve">, </w:t>
      </w:r>
      <w:r w:rsidRPr="00EA5201">
        <w:rPr>
          <w:rFonts w:ascii="Calibri Light" w:eastAsia="Calibri" w:hAnsi="Calibri Light" w:cs="Times New Roman"/>
          <w:rtl/>
        </w:rPr>
        <w:t>גם בעבירות נשק קיים מדרג של חומרה</w:t>
      </w:r>
      <w:r w:rsidRPr="00EA5201">
        <w:rPr>
          <w:rFonts w:ascii="Calibri Light" w:eastAsia="Calibri" w:hAnsi="Calibri Light" w:cs="Calibri Light"/>
          <w:rtl/>
        </w:rPr>
        <w:t xml:space="preserve">, </w:t>
      </w:r>
      <w:r w:rsidRPr="00EA5201">
        <w:rPr>
          <w:rFonts w:ascii="Calibri Light" w:eastAsia="Calibri" w:hAnsi="Calibri Light" w:cs="Times New Roman"/>
          <w:rtl/>
        </w:rPr>
        <w:t>ושומה על בית המשפט להביאו בחשבון בבואו לקבוע את מתחם העונש ההולם</w:t>
      </w:r>
      <w:r w:rsidRPr="00EA5201">
        <w:rPr>
          <w:rFonts w:ascii="Calibri" w:eastAsia="Calibri" w:hAnsi="Calibri" w:cs="Miriam"/>
          <w:rtl/>
        </w:rPr>
        <w:t>"</w:t>
      </w:r>
      <w:r w:rsidRPr="00EA5201">
        <w:rPr>
          <w:rFonts w:ascii="David" w:eastAsia="Calibri" w:hAnsi="David"/>
          <w:rtl/>
        </w:rPr>
        <w:t>(</w:t>
      </w:r>
      <w:hyperlink r:id="rId29" w:history="1">
        <w:r w:rsidR="00E126C7" w:rsidRPr="00E126C7">
          <w:rPr>
            <w:rFonts w:ascii="Calibri" w:eastAsia="Calibri" w:hAnsi="Calibri" w:hint="cs"/>
            <w:color w:val="0000FF"/>
            <w:u w:val="single"/>
            <w:rtl/>
          </w:rPr>
          <w:t>ע</w:t>
        </w:r>
        <w:r w:rsidR="00E126C7" w:rsidRPr="00E126C7">
          <w:rPr>
            <w:rFonts w:ascii="Calibri" w:eastAsia="Calibri" w:hAnsi="Calibri"/>
            <w:color w:val="0000FF"/>
            <w:u w:val="single"/>
            <w:rtl/>
          </w:rPr>
          <w:t>"</w:t>
        </w:r>
        <w:r w:rsidR="00E126C7" w:rsidRPr="00E126C7">
          <w:rPr>
            <w:rFonts w:ascii="Calibri" w:eastAsia="Calibri" w:hAnsi="Calibri" w:hint="cs"/>
            <w:color w:val="0000FF"/>
            <w:u w:val="single"/>
            <w:rtl/>
          </w:rPr>
          <w:t>פ</w:t>
        </w:r>
        <w:r w:rsidR="00E126C7" w:rsidRPr="00E126C7">
          <w:rPr>
            <w:rFonts w:ascii="Calibri" w:eastAsia="Calibri" w:hAnsi="Calibri"/>
            <w:color w:val="0000FF"/>
            <w:u w:val="single"/>
            <w:rtl/>
          </w:rPr>
          <w:t xml:space="preserve"> 9702/16</w:t>
        </w:r>
      </w:hyperlink>
      <w:r w:rsidRPr="00EA5201">
        <w:rPr>
          <w:rFonts w:ascii="Calibri" w:eastAsia="Calibri" w:hAnsi="Calibri"/>
          <w:rtl/>
        </w:rPr>
        <w:t xml:space="preserve"> </w:t>
      </w:r>
      <w:r w:rsidRPr="00EA5201">
        <w:rPr>
          <w:rFonts w:ascii="Calibri" w:eastAsia="Calibri" w:hAnsi="Calibri"/>
          <w:b/>
          <w:bCs/>
          <w:rtl/>
        </w:rPr>
        <w:t>אלוליאיה נ' מדינת ישראל</w:t>
      </w:r>
      <w:r w:rsidRPr="00EA5201">
        <w:rPr>
          <w:rFonts w:ascii="Calibri" w:eastAsia="Calibri" w:hAnsi="Calibri"/>
          <w:rtl/>
        </w:rPr>
        <w:t xml:space="preserve">, פסקה 8, ניתן ביום 13.9.17) (ראו בנוסף לעניין זה: </w:t>
      </w:r>
      <w:hyperlink r:id="rId30" w:history="1">
        <w:r w:rsidR="00E126C7" w:rsidRPr="00E126C7">
          <w:rPr>
            <w:rFonts w:ascii="Calibri" w:eastAsia="Calibri" w:hAnsi="Calibri" w:hint="cs"/>
            <w:color w:val="0000FF"/>
            <w:u w:val="single"/>
            <w:rtl/>
          </w:rPr>
          <w:t>ע</w:t>
        </w:r>
        <w:r w:rsidR="00E126C7" w:rsidRPr="00E126C7">
          <w:rPr>
            <w:rFonts w:ascii="Calibri" w:eastAsia="Calibri" w:hAnsi="Calibri"/>
            <w:color w:val="0000FF"/>
            <w:u w:val="single"/>
            <w:rtl/>
          </w:rPr>
          <w:t>"</w:t>
        </w:r>
        <w:r w:rsidR="00E126C7" w:rsidRPr="00E126C7">
          <w:rPr>
            <w:rFonts w:ascii="Calibri" w:eastAsia="Calibri" w:hAnsi="Calibri" w:hint="cs"/>
            <w:color w:val="0000FF"/>
            <w:u w:val="single"/>
            <w:rtl/>
          </w:rPr>
          <w:t>פ</w:t>
        </w:r>
        <w:r w:rsidR="00E126C7" w:rsidRPr="00E126C7">
          <w:rPr>
            <w:rFonts w:ascii="Calibri" w:eastAsia="Calibri" w:hAnsi="Calibri"/>
            <w:color w:val="0000FF"/>
            <w:u w:val="single"/>
            <w:rtl/>
          </w:rPr>
          <w:t xml:space="preserve">  4059/17</w:t>
        </w:r>
      </w:hyperlink>
      <w:r w:rsidRPr="00EA5201">
        <w:rPr>
          <w:rFonts w:ascii="Calibri" w:eastAsia="Calibri" w:hAnsi="Calibri"/>
          <w:rtl/>
        </w:rPr>
        <w:t xml:space="preserve"> </w:t>
      </w:r>
      <w:r w:rsidRPr="00EA5201">
        <w:rPr>
          <w:rFonts w:ascii="Calibri" w:eastAsia="Calibri" w:hAnsi="Calibri"/>
          <w:b/>
          <w:bCs/>
          <w:rtl/>
        </w:rPr>
        <w:t>סלמה נ' מדינת ישראל</w:t>
      </w:r>
      <w:r w:rsidRPr="00EA5201">
        <w:rPr>
          <w:rFonts w:ascii="Calibri" w:eastAsia="Calibri" w:hAnsi="Calibri"/>
          <w:rtl/>
        </w:rPr>
        <w:t>, פסקה 5,  ניתן ביום 24.4.18)</w:t>
      </w:r>
      <w:r w:rsidRPr="00EA5201">
        <w:rPr>
          <w:rFonts w:ascii="Calibri" w:eastAsia="Calibri" w:hAnsi="Calibri" w:cs="Miriam"/>
          <w:rtl/>
        </w:rPr>
        <w:t xml:space="preserve">.  </w:t>
      </w:r>
      <w:r w:rsidRPr="00EA5201">
        <w:rPr>
          <w:rFonts w:ascii="Calibri" w:eastAsia="Calibri" w:hAnsi="Calibri"/>
          <w:rtl/>
        </w:rPr>
        <w:t xml:space="preserve">  </w:t>
      </w:r>
    </w:p>
    <w:p w14:paraId="26B60A15" w14:textId="77777777" w:rsidR="005F239B" w:rsidRPr="00EA5201" w:rsidRDefault="005F239B" w:rsidP="005F239B">
      <w:pPr>
        <w:spacing w:line="360" w:lineRule="auto"/>
        <w:ind w:right="-284"/>
        <w:jc w:val="both"/>
        <w:rPr>
          <w:rFonts w:ascii="David" w:eastAsia="Calibri" w:hAnsi="David"/>
          <w:b/>
          <w:bCs/>
          <w:u w:val="single"/>
          <w:rtl/>
        </w:rPr>
      </w:pPr>
    </w:p>
    <w:p w14:paraId="30AD8A3E" w14:textId="77777777" w:rsidR="005F239B" w:rsidRPr="00EA5201" w:rsidRDefault="005F239B" w:rsidP="005F239B">
      <w:pPr>
        <w:spacing w:after="160" w:line="360" w:lineRule="auto"/>
        <w:ind w:right="-284"/>
        <w:jc w:val="both"/>
        <w:rPr>
          <w:rFonts w:ascii="David" w:eastAsia="Calibri" w:hAnsi="David"/>
          <w:rtl/>
        </w:rPr>
      </w:pPr>
      <w:r w:rsidRPr="00EA5201">
        <w:rPr>
          <w:rFonts w:ascii="David" w:eastAsia="Calibri" w:hAnsi="David"/>
          <w:u w:val="single"/>
          <w:rtl/>
        </w:rPr>
        <w:t>ככלל, מדיניות הענישה הנוהגת הכללית לעבירות שעניינן נשיאה והובלה של נשק שלא כדין</w:t>
      </w:r>
      <w:r w:rsidRPr="00EA5201">
        <w:rPr>
          <w:rFonts w:ascii="David" w:eastAsia="Calibri" w:hAnsi="David"/>
          <w:rtl/>
        </w:rPr>
        <w:t xml:space="preserve"> באה לידי ביטוי במסגרתו של </w:t>
      </w:r>
      <w:hyperlink r:id="rId31" w:history="1">
        <w:r w:rsidR="00E126C7" w:rsidRPr="00E126C7">
          <w:rPr>
            <w:rFonts w:ascii="David" w:eastAsia="Calibri" w:hAnsi="David"/>
            <w:color w:val="0000FF"/>
            <w:u w:val="single"/>
            <w:rtl/>
          </w:rPr>
          <w:t>ע"פ 5602/22</w:t>
        </w:r>
      </w:hyperlink>
      <w:r w:rsidRPr="00EA5201">
        <w:rPr>
          <w:rFonts w:ascii="David" w:eastAsia="Calibri" w:hAnsi="David"/>
          <w:rtl/>
        </w:rPr>
        <w:t xml:space="preserve"> </w:t>
      </w:r>
      <w:r w:rsidRPr="00EA5201">
        <w:rPr>
          <w:rFonts w:ascii="David" w:eastAsia="Calibri" w:hAnsi="David"/>
          <w:b/>
          <w:bCs/>
          <w:rtl/>
        </w:rPr>
        <w:t>מדינת ישראל נ' פלוני</w:t>
      </w:r>
      <w:r w:rsidRPr="00EA5201">
        <w:rPr>
          <w:rFonts w:ascii="David" w:eastAsia="Calibri" w:hAnsi="David"/>
          <w:rtl/>
        </w:rPr>
        <w:t xml:space="preserve">, ניתן ביום  </w:t>
      </w:r>
      <w:r w:rsidRPr="00EA5201">
        <w:rPr>
          <w:rFonts w:ascii="Calibri" w:eastAsia="Calibri" w:hAnsi="Calibri"/>
          <w:rtl/>
        </w:rPr>
        <w:t xml:space="preserve">14.9.22, שם נקבע, כי </w:t>
      </w:r>
      <w:r w:rsidRPr="00EA5201">
        <w:rPr>
          <w:rFonts w:ascii="David" w:eastAsia="Calibri" w:hAnsi="David"/>
          <w:rtl/>
        </w:rPr>
        <w:t xml:space="preserve">מתחם הענישה הרגיל שראוי לקבוע לנאשם בגיר בגין נשיאה בלתי חוקית של נשק חם במרחב הציבורי </w:t>
      </w:r>
      <w:r w:rsidRPr="00EA5201">
        <w:rPr>
          <w:rFonts w:ascii="David" w:eastAsia="Calibri" w:hAnsi="David"/>
          <w:b/>
          <w:bCs/>
          <w:rtl/>
        </w:rPr>
        <w:t>נע בין 30 ל-42 חודשי מאסר בין סורג ובריח</w:t>
      </w:r>
      <w:r w:rsidRPr="00EA5201">
        <w:rPr>
          <w:rFonts w:ascii="David" w:eastAsia="Calibri" w:hAnsi="David"/>
          <w:rtl/>
        </w:rPr>
        <w:t>.</w:t>
      </w:r>
      <w:r w:rsidRPr="00EA5201">
        <w:rPr>
          <w:rFonts w:ascii="Calibri" w:eastAsia="Calibri" w:hAnsi="Calibri"/>
          <w:rtl/>
        </w:rPr>
        <w:t xml:space="preserve">{עוד ראו - </w:t>
      </w:r>
      <w:hyperlink r:id="rId32" w:history="1">
        <w:r w:rsidR="00E126C7" w:rsidRPr="00E126C7">
          <w:rPr>
            <w:rFonts w:ascii="Calibri" w:eastAsia="Calibri" w:hAnsi="Calibri" w:hint="cs"/>
            <w:color w:val="0000FF"/>
            <w:u w:val="single"/>
            <w:rtl/>
          </w:rPr>
          <w:t>ע</w:t>
        </w:r>
        <w:r w:rsidR="00E126C7" w:rsidRPr="00E126C7">
          <w:rPr>
            <w:rFonts w:ascii="Calibri" w:eastAsia="Calibri" w:hAnsi="Calibri"/>
            <w:color w:val="0000FF"/>
            <w:u w:val="single"/>
            <w:rtl/>
          </w:rPr>
          <w:t>"</w:t>
        </w:r>
        <w:r w:rsidR="00E126C7" w:rsidRPr="00E126C7">
          <w:rPr>
            <w:rFonts w:ascii="Calibri" w:eastAsia="Calibri" w:hAnsi="Calibri" w:hint="cs"/>
            <w:color w:val="0000FF"/>
            <w:u w:val="single"/>
            <w:rtl/>
          </w:rPr>
          <w:t>פ</w:t>
        </w:r>
        <w:r w:rsidR="00E126C7" w:rsidRPr="00E126C7">
          <w:rPr>
            <w:rFonts w:ascii="Calibri" w:eastAsia="Calibri" w:hAnsi="Calibri"/>
            <w:color w:val="0000FF"/>
            <w:u w:val="single"/>
            <w:rtl/>
          </w:rPr>
          <w:t xml:space="preserve"> 4077/22</w:t>
        </w:r>
      </w:hyperlink>
      <w:r w:rsidRPr="00EA5201">
        <w:rPr>
          <w:rFonts w:ascii="Calibri" w:eastAsia="Calibri" w:hAnsi="Calibri"/>
          <w:rtl/>
        </w:rPr>
        <w:t xml:space="preserve"> </w:t>
      </w:r>
      <w:r w:rsidRPr="00EA5201">
        <w:rPr>
          <w:rFonts w:ascii="Calibri" w:eastAsia="Calibri" w:hAnsi="Calibri"/>
          <w:b/>
          <w:bCs/>
          <w:rtl/>
        </w:rPr>
        <w:t>מדינת ישראל נ' פלוני</w:t>
      </w:r>
      <w:r w:rsidRPr="00EA5201">
        <w:rPr>
          <w:rFonts w:ascii="Calibri" w:eastAsia="Calibri" w:hAnsi="Calibri"/>
          <w:rtl/>
        </w:rPr>
        <w:t xml:space="preserve">, ניתן ביום 28.7.22; </w:t>
      </w:r>
      <w:hyperlink r:id="rId33" w:history="1">
        <w:r w:rsidR="00E126C7" w:rsidRPr="00E126C7">
          <w:rPr>
            <w:rFonts w:ascii="Calibri" w:eastAsia="Calibri" w:hAnsi="Calibri" w:hint="cs"/>
            <w:color w:val="0000FF"/>
            <w:u w:val="single"/>
            <w:rtl/>
          </w:rPr>
          <w:t>ע</w:t>
        </w:r>
        <w:r w:rsidR="00E126C7" w:rsidRPr="00E126C7">
          <w:rPr>
            <w:rFonts w:ascii="Calibri" w:eastAsia="Calibri" w:hAnsi="Calibri"/>
            <w:color w:val="0000FF"/>
            <w:u w:val="single"/>
            <w:rtl/>
          </w:rPr>
          <w:t>"</w:t>
        </w:r>
        <w:r w:rsidR="00E126C7" w:rsidRPr="00E126C7">
          <w:rPr>
            <w:rFonts w:ascii="Calibri" w:eastAsia="Calibri" w:hAnsi="Calibri" w:hint="cs"/>
            <w:color w:val="0000FF"/>
            <w:u w:val="single"/>
            <w:rtl/>
          </w:rPr>
          <w:t>פ</w:t>
        </w:r>
        <w:r w:rsidR="00E126C7" w:rsidRPr="00E126C7">
          <w:rPr>
            <w:rFonts w:ascii="Calibri" w:eastAsia="Calibri" w:hAnsi="Calibri"/>
            <w:color w:val="0000FF"/>
            <w:u w:val="single"/>
            <w:rtl/>
          </w:rPr>
          <w:t xml:space="preserve"> 9228/23</w:t>
        </w:r>
      </w:hyperlink>
      <w:r w:rsidRPr="00EA5201">
        <w:rPr>
          <w:rFonts w:ascii="Calibri" w:eastAsia="Calibri" w:hAnsi="Calibri"/>
          <w:rtl/>
        </w:rPr>
        <w:t xml:space="preserve"> </w:t>
      </w:r>
      <w:r w:rsidRPr="00EA5201">
        <w:rPr>
          <w:rFonts w:ascii="Calibri" w:eastAsia="Calibri" w:hAnsi="Calibri"/>
          <w:b/>
          <w:bCs/>
          <w:rtl/>
        </w:rPr>
        <w:t>אגבאריה נ' מדינת ישראל</w:t>
      </w:r>
      <w:r w:rsidRPr="00EA5201">
        <w:rPr>
          <w:rFonts w:ascii="Calibri" w:eastAsia="Calibri" w:hAnsi="Calibri"/>
          <w:rtl/>
        </w:rPr>
        <w:t xml:space="preserve">, ניתן ביום 26.5.24}.    </w:t>
      </w:r>
      <w:r w:rsidRPr="00EA5201">
        <w:rPr>
          <w:rFonts w:ascii="Calibri" w:eastAsia="Calibri" w:hAnsi="Calibri"/>
        </w:rPr>
        <w:t xml:space="preserve">  </w:t>
      </w:r>
    </w:p>
    <w:p w14:paraId="0C9D325C" w14:textId="77777777" w:rsidR="005F239B" w:rsidRPr="00EA5201" w:rsidRDefault="005F239B" w:rsidP="005F239B">
      <w:pPr>
        <w:spacing w:line="360" w:lineRule="auto"/>
        <w:ind w:right="-426"/>
        <w:jc w:val="both"/>
        <w:rPr>
          <w:rFonts w:ascii="David" w:eastAsia="Calibri" w:hAnsi="David"/>
          <w:rtl/>
        </w:rPr>
      </w:pPr>
      <w:r w:rsidRPr="00EA5201">
        <w:rPr>
          <w:rFonts w:ascii="David" w:eastAsia="Calibri" w:hAnsi="David"/>
          <w:rtl/>
        </w:rPr>
        <w:t>עוד יש לזכור, כי במסגרתו של תיקון מס' 140 ל</w:t>
      </w:r>
      <w:hyperlink r:id="rId34" w:history="1">
        <w:r w:rsidR="00E126C7" w:rsidRPr="00E126C7">
          <w:rPr>
            <w:rFonts w:ascii="David" w:eastAsia="Calibri" w:hAnsi="David"/>
            <w:color w:val="0000FF"/>
            <w:u w:val="single"/>
            <w:rtl/>
          </w:rPr>
          <w:t>חוק העונשין</w:t>
        </w:r>
      </w:hyperlink>
      <w:r w:rsidRPr="00EA5201">
        <w:rPr>
          <w:rFonts w:ascii="David" w:eastAsia="Calibri" w:hAnsi="David"/>
          <w:rtl/>
        </w:rPr>
        <w:t xml:space="preserve"> (תיקון מס' 140 - הוראת שעה), התשפ"ה-2025, הבא לידי ביטוי </w:t>
      </w:r>
      <w:hyperlink r:id="rId35" w:history="1">
        <w:r w:rsidR="00233271" w:rsidRPr="00233271">
          <w:rPr>
            <w:rStyle w:val="Hyperlink"/>
            <w:rFonts w:ascii="David" w:eastAsia="Calibri" w:hAnsi="David"/>
            <w:color w:val="0000FF"/>
            <w:rtl/>
          </w:rPr>
          <w:t>בסעיף 144(ז)</w:t>
        </w:r>
      </w:hyperlink>
      <w:r w:rsidRPr="00EA5201">
        <w:rPr>
          <w:rFonts w:ascii="David" w:eastAsia="Calibri" w:hAnsi="David"/>
          <w:rtl/>
        </w:rPr>
        <w:t xml:space="preserve"> לחוק, עוגנו </w:t>
      </w:r>
      <w:r w:rsidRPr="00EA5201">
        <w:rPr>
          <w:rFonts w:ascii="David" w:eastAsia="Calibri" w:hAnsi="David"/>
          <w:b/>
          <w:bCs/>
          <w:rtl/>
        </w:rPr>
        <w:t xml:space="preserve">עונשים מזעריים </w:t>
      </w:r>
      <w:r w:rsidRPr="00EA5201">
        <w:rPr>
          <w:rFonts w:ascii="David" w:eastAsia="Calibri" w:hAnsi="David"/>
          <w:rtl/>
        </w:rPr>
        <w:t>הנוגעים לעבירות שעניינן החזקה, הובלה או סחר בנשק שלא כדין. בתיקון נקבע, כי העונש שיוטל על העבריין במקרים אלו "</w:t>
      </w:r>
      <w:r w:rsidRPr="00EA5201">
        <w:rPr>
          <w:rFonts w:ascii="David" w:eastAsia="Calibri" w:hAnsi="David"/>
          <w:u w:val="single"/>
          <w:rtl/>
        </w:rPr>
        <w:t>לא יפחת ... מרבע העונש המרבי שנקבע לאותה עבירה, אלא אם כן החליט בית המשפט, מטעמים מיוחדים שיירשמו, להקל בעונשו;.</w:t>
      </w:r>
      <w:r w:rsidRPr="00EA5201">
        <w:rPr>
          <w:rFonts w:ascii="David" w:eastAsia="Calibri" w:hAnsi="David"/>
          <w:rtl/>
        </w:rPr>
        <w:t xml:space="preserve">.".  </w:t>
      </w:r>
    </w:p>
    <w:p w14:paraId="05A1B1FE" w14:textId="77777777" w:rsidR="005F239B" w:rsidRPr="00EA5201" w:rsidRDefault="005F239B" w:rsidP="005F239B">
      <w:pPr>
        <w:spacing w:line="360" w:lineRule="auto"/>
        <w:ind w:right="-426"/>
        <w:jc w:val="both"/>
        <w:rPr>
          <w:rFonts w:ascii="David" w:eastAsia="Calibri" w:hAnsi="David"/>
          <w:rtl/>
        </w:rPr>
      </w:pPr>
    </w:p>
    <w:p w14:paraId="27360417" w14:textId="77777777" w:rsidR="005F239B" w:rsidRPr="00EA5201" w:rsidRDefault="005F239B" w:rsidP="005F239B">
      <w:pPr>
        <w:spacing w:after="160" w:line="360" w:lineRule="auto"/>
        <w:ind w:right="-426"/>
        <w:jc w:val="both"/>
        <w:rPr>
          <w:rFonts w:ascii="David" w:eastAsia="Calibri" w:hAnsi="David"/>
          <w:rtl/>
        </w:rPr>
      </w:pPr>
      <w:r w:rsidRPr="00EA5201">
        <w:rPr>
          <w:rFonts w:ascii="David" w:eastAsia="Calibri" w:hAnsi="David"/>
          <w:rtl/>
        </w:rPr>
        <w:t xml:space="preserve">בל נשכח, כי במסגרתו של אירוע זה אין עבירת נשיאת הנשק עומדת לבדה, אלא היא מצטרפת  </w:t>
      </w:r>
      <w:r w:rsidRPr="00EA5201">
        <w:rPr>
          <w:rFonts w:ascii="David" w:eastAsia="Calibri" w:hAnsi="David"/>
          <w:u w:val="single"/>
          <w:rtl/>
        </w:rPr>
        <w:t>לעבירה העוסקת בסיוע לירי מנשק חם</w:t>
      </w:r>
      <w:r w:rsidRPr="00EA5201">
        <w:rPr>
          <w:rFonts w:ascii="David" w:eastAsia="Calibri" w:hAnsi="David"/>
          <w:rtl/>
        </w:rPr>
        <w:t xml:space="preserve">; ראו, והשוו, מספר מקרים העוסקים בעבירות ירי מנשק חם (ויודגש, כי מקרים אלו חמורים יותר מענייננו שכן עסקינן בעבירות מוגמרות, אשר חלקן אף ייצרו סכנה ממשית, ולא סיוע להן כבתיק דכאן) - </w:t>
      </w:r>
      <w:hyperlink r:id="rId36" w:history="1">
        <w:r w:rsidR="00E126C7" w:rsidRPr="00E126C7">
          <w:rPr>
            <w:rFonts w:ascii="David" w:eastAsia="Calibri" w:hAnsi="David"/>
            <w:color w:val="0000FF"/>
            <w:u w:val="single"/>
            <w:rtl/>
          </w:rPr>
          <w:t>ע"פ 9830/17</w:t>
        </w:r>
      </w:hyperlink>
      <w:r w:rsidRPr="00EA5201">
        <w:rPr>
          <w:rFonts w:ascii="David" w:eastAsia="Calibri" w:hAnsi="David"/>
          <w:rtl/>
        </w:rPr>
        <w:t xml:space="preserve"> </w:t>
      </w:r>
      <w:r w:rsidRPr="00EA5201">
        <w:rPr>
          <w:rFonts w:ascii="David" w:eastAsia="Calibri" w:hAnsi="David"/>
          <w:b/>
          <w:bCs/>
          <w:rtl/>
        </w:rPr>
        <w:t>חמודה נ' מדינת ישראל</w:t>
      </w:r>
      <w:r w:rsidRPr="00EA5201">
        <w:rPr>
          <w:rFonts w:ascii="David" w:eastAsia="Calibri" w:hAnsi="David"/>
          <w:rtl/>
        </w:rPr>
        <w:t xml:space="preserve"> (ניתן ביום 8.3.18) - במסגרתו הושתו 30 חודשים לריצוי בפועל;</w:t>
      </w:r>
      <w:r w:rsidRPr="00EA5201">
        <w:rPr>
          <w:rFonts w:ascii="David" w:eastAsia="Calibri" w:hAnsi="David"/>
        </w:rPr>
        <w:t xml:space="preserve"> </w:t>
      </w:r>
      <w:hyperlink r:id="rId37" w:history="1">
        <w:r w:rsidR="00E126C7" w:rsidRPr="00E126C7">
          <w:rPr>
            <w:rFonts w:ascii="David" w:eastAsia="Calibri" w:hAnsi="David"/>
            <w:color w:val="0000FF"/>
            <w:u w:val="single"/>
            <w:rtl/>
          </w:rPr>
          <w:t>ע"פ 1509/20</w:t>
        </w:r>
      </w:hyperlink>
      <w:r w:rsidRPr="00EA5201">
        <w:rPr>
          <w:rFonts w:ascii="David" w:eastAsia="Calibri" w:hAnsi="David"/>
          <w:rtl/>
        </w:rPr>
        <w:t xml:space="preserve"> </w:t>
      </w:r>
      <w:r w:rsidRPr="00EA5201">
        <w:rPr>
          <w:rFonts w:ascii="David" w:eastAsia="Calibri" w:hAnsi="David"/>
          <w:b/>
          <w:bCs/>
          <w:rtl/>
        </w:rPr>
        <w:t>מדינת ישראל נ' נבארי</w:t>
      </w:r>
      <w:r w:rsidRPr="00EA5201">
        <w:rPr>
          <w:rFonts w:ascii="David" w:eastAsia="Calibri" w:hAnsi="David"/>
          <w:rtl/>
        </w:rPr>
        <w:t xml:space="preserve"> (ניתן ביום 2.7.20) - הושתו 36 חודשי מאסר לריצוי בפועל; </w:t>
      </w:r>
      <w:hyperlink r:id="rId38" w:history="1">
        <w:r w:rsidR="00E126C7" w:rsidRPr="00E126C7">
          <w:rPr>
            <w:rFonts w:ascii="David" w:eastAsia="Calibri" w:hAnsi="David"/>
            <w:color w:val="0000FF"/>
            <w:u w:val="single"/>
            <w:rtl/>
          </w:rPr>
          <w:t>ע"פ 1244/15</w:t>
        </w:r>
      </w:hyperlink>
      <w:r w:rsidRPr="00EA5201">
        <w:rPr>
          <w:rFonts w:ascii="David" w:eastAsia="Calibri" w:hAnsi="David"/>
          <w:rtl/>
        </w:rPr>
        <w:t xml:space="preserve"> </w:t>
      </w:r>
      <w:r w:rsidRPr="00EA5201">
        <w:rPr>
          <w:rFonts w:ascii="David" w:eastAsia="Calibri" w:hAnsi="David"/>
          <w:b/>
          <w:bCs/>
          <w:rtl/>
        </w:rPr>
        <w:t>אבו עאמר נ' מדינת ישראל</w:t>
      </w:r>
      <w:r w:rsidRPr="00EA5201">
        <w:rPr>
          <w:rFonts w:ascii="David" w:eastAsia="Calibri" w:hAnsi="David"/>
          <w:rtl/>
        </w:rPr>
        <w:t xml:space="preserve"> (ניתן ביום 18.4.16) - הושתו 44 חודשי מאסר לריצוי בפועל;</w:t>
      </w:r>
      <w:r w:rsidRPr="00EA5201">
        <w:rPr>
          <w:rFonts w:ascii="David" w:eastAsia="Calibri" w:hAnsi="David"/>
        </w:rPr>
        <w:t xml:space="preserve"> </w:t>
      </w:r>
      <w:hyperlink r:id="rId39" w:history="1">
        <w:r w:rsidR="00E126C7" w:rsidRPr="00E126C7">
          <w:rPr>
            <w:rFonts w:ascii="David" w:eastAsia="Calibri" w:hAnsi="David"/>
            <w:color w:val="0000FF"/>
            <w:u w:val="single"/>
            <w:rtl/>
          </w:rPr>
          <w:t>ע"פ 8322/21</w:t>
        </w:r>
      </w:hyperlink>
      <w:r w:rsidRPr="00EA5201">
        <w:rPr>
          <w:rFonts w:ascii="David" w:eastAsia="Calibri" w:hAnsi="David"/>
          <w:rtl/>
        </w:rPr>
        <w:t xml:space="preserve"> </w:t>
      </w:r>
      <w:r w:rsidRPr="00EA5201">
        <w:rPr>
          <w:rFonts w:ascii="David" w:eastAsia="Calibri" w:hAnsi="David"/>
          <w:b/>
          <w:bCs/>
          <w:rtl/>
        </w:rPr>
        <w:t>דחלה נ' מדינת ישראל</w:t>
      </w:r>
      <w:r w:rsidRPr="00EA5201">
        <w:rPr>
          <w:rFonts w:ascii="David" w:eastAsia="Calibri" w:hAnsi="David"/>
          <w:rtl/>
        </w:rPr>
        <w:t xml:space="preserve"> (ניתן ביום 13.4.22)</w:t>
      </w:r>
      <w:r w:rsidRPr="00EA5201">
        <w:rPr>
          <w:rFonts w:ascii="David" w:eastAsia="Calibri" w:hAnsi="David"/>
        </w:rPr>
        <w:t xml:space="preserve"> </w:t>
      </w:r>
      <w:r w:rsidRPr="00EA5201">
        <w:rPr>
          <w:rFonts w:ascii="David" w:eastAsia="Calibri" w:hAnsi="David"/>
          <w:rtl/>
        </w:rPr>
        <w:t xml:space="preserve"> - הושתו 36 חודשים.    </w:t>
      </w:r>
      <w:r w:rsidRPr="00EA5201">
        <w:rPr>
          <w:rFonts w:ascii="David" w:eastAsia="Calibri" w:hAnsi="David"/>
        </w:rPr>
        <w:t xml:space="preserve"> </w:t>
      </w:r>
    </w:p>
    <w:p w14:paraId="5E479D47" w14:textId="77777777" w:rsidR="005F239B" w:rsidRPr="00EA5201" w:rsidRDefault="005F239B" w:rsidP="005F239B">
      <w:pPr>
        <w:spacing w:after="160" w:line="360" w:lineRule="auto"/>
        <w:ind w:right="-426"/>
        <w:jc w:val="both"/>
        <w:rPr>
          <w:rFonts w:ascii="David" w:eastAsia="Calibri" w:hAnsi="David"/>
          <w:rtl/>
        </w:rPr>
      </w:pPr>
      <w:r w:rsidRPr="00EA5201">
        <w:rPr>
          <w:rFonts w:ascii="David" w:eastAsia="Calibri" w:hAnsi="David"/>
          <w:rtl/>
        </w:rPr>
        <w:t xml:space="preserve">בשלב זה, יש להתייחס אל </w:t>
      </w:r>
      <w:r w:rsidRPr="00EA5201">
        <w:rPr>
          <w:rFonts w:ascii="David" w:eastAsia="Calibri" w:hAnsi="David"/>
          <w:b/>
          <w:bCs/>
          <w:rtl/>
        </w:rPr>
        <w:t xml:space="preserve">הנסיבות הקשורות לביצוע העבירה </w:t>
      </w:r>
      <w:r w:rsidRPr="00EA5201">
        <w:rPr>
          <w:rFonts w:ascii="David" w:eastAsia="Calibri" w:hAnsi="David"/>
          <w:rtl/>
        </w:rPr>
        <w:t xml:space="preserve">(אלו המצוינות </w:t>
      </w:r>
      <w:hyperlink r:id="rId40" w:history="1">
        <w:r w:rsidR="00233271" w:rsidRPr="00233271">
          <w:rPr>
            <w:rStyle w:val="Hyperlink"/>
            <w:rFonts w:ascii="David" w:eastAsia="Calibri" w:hAnsi="David"/>
            <w:color w:val="0000FF"/>
            <w:rtl/>
          </w:rPr>
          <w:t>בסעיף 40ט</w:t>
        </w:r>
      </w:hyperlink>
      <w:r w:rsidRPr="00EA5201">
        <w:rPr>
          <w:rFonts w:ascii="David" w:eastAsia="Calibri" w:hAnsi="David"/>
          <w:rtl/>
        </w:rPr>
        <w:t xml:space="preserve"> לחוק). </w:t>
      </w:r>
    </w:p>
    <w:p w14:paraId="7C698C19" w14:textId="77777777" w:rsidR="005F239B" w:rsidRPr="00EA5201" w:rsidRDefault="005F239B" w:rsidP="005F239B">
      <w:pPr>
        <w:spacing w:line="360" w:lineRule="auto"/>
        <w:ind w:right="-426"/>
        <w:jc w:val="both"/>
        <w:rPr>
          <w:rFonts w:ascii="David" w:eastAsia="Calibri" w:hAnsi="David"/>
          <w:rtl/>
        </w:rPr>
      </w:pPr>
      <w:r w:rsidRPr="00EA5201">
        <w:rPr>
          <w:rFonts w:ascii="David" w:eastAsia="Calibri" w:hAnsi="David"/>
          <w:rtl/>
        </w:rPr>
        <w:t xml:space="preserve">חלקו של הנאשם בביצועה של עבירת הירי אינו בלעדי, שכן הוא </w:t>
      </w:r>
      <w:r w:rsidRPr="00EA5201">
        <w:rPr>
          <w:rFonts w:ascii="David" w:eastAsia="Calibri" w:hAnsi="David"/>
          <w:u w:val="single"/>
          <w:rtl/>
        </w:rPr>
        <w:t xml:space="preserve">סייע </w:t>
      </w:r>
      <w:r w:rsidRPr="00EA5201">
        <w:rPr>
          <w:rFonts w:ascii="David" w:eastAsia="Calibri" w:hAnsi="David"/>
          <w:rtl/>
        </w:rPr>
        <w:t xml:space="preserve">לאחר לבצע ירי של חמישה כדורים באוויר מן הסמטה. עם זאת, לאחר מכן, ביצע עבירה מוגמרת של נשיאת נשק כשהוא רץ ונושא באמתחתו את האקדח (מסוג גלוק) כשהוא טעון במחסנית. ברי, כי נשיאת אקדח טעון במחסנית ובה, לכל הפחות, חמישה כדורים היא חמורה ומגלמת בה סיכון רב. למרבה המזל, אירוע זה הסתיים ללא פגיעות בגוף או ברכוש. הנאשם הבין היטב את מעשיו, ולראייה השליך את האקדח מידיו משהבחין בניידת.  הוא היה צריך להימנע מלבצעם. אין בנמצא סייג לאחריות פלילית כלשהו הנזקף לזכותו.   </w:t>
      </w:r>
    </w:p>
    <w:p w14:paraId="78309D14" w14:textId="77777777" w:rsidR="005F239B" w:rsidRPr="00EA5201" w:rsidRDefault="005F239B" w:rsidP="005F239B">
      <w:pPr>
        <w:spacing w:line="360" w:lineRule="auto"/>
        <w:ind w:right="-426"/>
        <w:jc w:val="both"/>
        <w:rPr>
          <w:rFonts w:ascii="David" w:eastAsia="Calibri" w:hAnsi="David"/>
          <w:rtl/>
        </w:rPr>
      </w:pPr>
    </w:p>
    <w:p w14:paraId="7C070E29" w14:textId="77777777" w:rsidR="005F239B" w:rsidRPr="00EA5201" w:rsidRDefault="005F239B" w:rsidP="005F239B">
      <w:pPr>
        <w:spacing w:after="160" w:line="360" w:lineRule="auto"/>
        <w:ind w:right="-567"/>
        <w:jc w:val="both"/>
        <w:rPr>
          <w:rFonts w:ascii="David" w:eastAsia="Calibri" w:hAnsi="David"/>
          <w:rtl/>
        </w:rPr>
      </w:pPr>
      <w:r w:rsidRPr="00EA5201">
        <w:rPr>
          <w:rFonts w:ascii="David" w:eastAsia="Calibri" w:hAnsi="David"/>
          <w:rtl/>
        </w:rPr>
        <w:t>לאור כל המקובץ, מצאתי לנכון לקבוע</w:t>
      </w:r>
      <w:r w:rsidRPr="00EA5201">
        <w:rPr>
          <w:rFonts w:ascii="David" w:eastAsia="Calibri" w:hAnsi="David"/>
          <w:b/>
          <w:bCs/>
          <w:rtl/>
        </w:rPr>
        <w:t xml:space="preserve"> מתחם ענישה בעניינו של הנאשם אשר נע בין 30 לבין 44 חודשי מאסר לריצוי בפועל, </w:t>
      </w:r>
      <w:r w:rsidRPr="00EA5201">
        <w:rPr>
          <w:rFonts w:ascii="David" w:eastAsia="Calibri" w:hAnsi="David"/>
          <w:rtl/>
        </w:rPr>
        <w:t xml:space="preserve">לצד עונשים נלווים.  </w:t>
      </w:r>
    </w:p>
    <w:p w14:paraId="35B72B83" w14:textId="77777777" w:rsidR="005F239B" w:rsidRPr="00EA5201" w:rsidRDefault="005F239B" w:rsidP="005F239B">
      <w:pPr>
        <w:overflowPunct w:val="0"/>
        <w:autoSpaceDE w:val="0"/>
        <w:autoSpaceDN w:val="0"/>
        <w:spacing w:line="360" w:lineRule="auto"/>
        <w:ind w:right="-567"/>
        <w:jc w:val="both"/>
        <w:rPr>
          <w:rFonts w:ascii="David" w:hAnsi="David"/>
          <w:rtl/>
        </w:rPr>
      </w:pPr>
      <w:r w:rsidRPr="00EA5201">
        <w:rPr>
          <w:rFonts w:ascii="David" w:hAnsi="David"/>
          <w:rtl/>
        </w:rPr>
        <w:t xml:space="preserve">מכאן, ראוי לבחון מהו העונש המתאים לנאשם בשים לב </w:t>
      </w:r>
      <w:r w:rsidRPr="00EA5201">
        <w:rPr>
          <w:rFonts w:ascii="David" w:hAnsi="David"/>
          <w:b/>
          <w:bCs/>
          <w:rtl/>
        </w:rPr>
        <w:t xml:space="preserve">לנסיבות שאינן קשורות בביצוע העבירה </w:t>
      </w:r>
      <w:r w:rsidRPr="00EA5201">
        <w:rPr>
          <w:rFonts w:ascii="David" w:hAnsi="David"/>
          <w:rtl/>
        </w:rPr>
        <w:t>(</w:t>
      </w:r>
      <w:hyperlink r:id="rId41" w:history="1">
        <w:r w:rsidR="00233271" w:rsidRPr="00233271">
          <w:rPr>
            <w:rStyle w:val="Hyperlink"/>
            <w:rFonts w:ascii="David" w:hAnsi="David"/>
            <w:color w:val="0000FF"/>
            <w:rtl/>
          </w:rPr>
          <w:t>סעיף 40יא</w:t>
        </w:r>
      </w:hyperlink>
      <w:r w:rsidRPr="00EA5201">
        <w:rPr>
          <w:rFonts w:ascii="David" w:hAnsi="David"/>
          <w:rtl/>
        </w:rPr>
        <w:t xml:space="preserve"> לחוק).</w:t>
      </w:r>
      <w:r w:rsidRPr="00EA5201">
        <w:rPr>
          <w:rFonts w:ascii="David" w:hAnsi="David"/>
          <w:b/>
          <w:bCs/>
          <w:rtl/>
        </w:rPr>
        <w:t xml:space="preserve"> </w:t>
      </w:r>
    </w:p>
    <w:p w14:paraId="4F0D1ABA" w14:textId="77777777" w:rsidR="005F239B" w:rsidRPr="00EA5201" w:rsidRDefault="005F239B" w:rsidP="005F239B">
      <w:pPr>
        <w:overflowPunct w:val="0"/>
        <w:autoSpaceDE w:val="0"/>
        <w:autoSpaceDN w:val="0"/>
        <w:spacing w:line="360" w:lineRule="auto"/>
        <w:ind w:right="-567"/>
        <w:jc w:val="both"/>
        <w:rPr>
          <w:rFonts w:ascii="David" w:hAnsi="David"/>
          <w:highlight w:val="yellow"/>
          <w:rtl/>
        </w:rPr>
      </w:pPr>
    </w:p>
    <w:p w14:paraId="44C73F1E" w14:textId="77777777" w:rsidR="005F239B" w:rsidRPr="00EA5201" w:rsidRDefault="005F239B" w:rsidP="005F239B">
      <w:pPr>
        <w:spacing w:line="360" w:lineRule="auto"/>
        <w:ind w:right="-567"/>
        <w:jc w:val="both"/>
        <w:rPr>
          <w:rFonts w:ascii="David" w:eastAsia="Calibri" w:hAnsi="David"/>
          <w:rtl/>
        </w:rPr>
      </w:pPr>
      <w:r w:rsidRPr="00EA5201">
        <w:rPr>
          <w:rFonts w:ascii="David" w:eastAsia="Calibri" w:hAnsi="David"/>
          <w:rtl/>
        </w:rPr>
        <w:t xml:space="preserve">אכן יש לזקוף לזכותו של הנאשם את </w:t>
      </w:r>
      <w:r w:rsidRPr="00EA5201">
        <w:rPr>
          <w:rFonts w:ascii="David" w:eastAsia="Calibri" w:hAnsi="David"/>
          <w:b/>
          <w:bCs/>
          <w:rtl/>
        </w:rPr>
        <w:t>החיסכון המשמעותי בזמן שיפוטי יקר, הנגזר מהודאתו ומנטילת האחריות שביצע</w:t>
      </w:r>
      <w:r w:rsidRPr="00EA5201">
        <w:rPr>
          <w:rFonts w:ascii="David" w:eastAsia="Calibri" w:hAnsi="David"/>
          <w:rtl/>
        </w:rPr>
        <w:t>.</w:t>
      </w:r>
      <w:r w:rsidRPr="00EA5201">
        <w:rPr>
          <w:rFonts w:ascii="David" w:eastAsia="Calibri" w:hAnsi="David"/>
          <w:b/>
          <w:bCs/>
          <w:rtl/>
        </w:rPr>
        <w:t xml:space="preserve"> עברו הפלילי נקי. </w:t>
      </w:r>
      <w:r w:rsidRPr="00EA5201">
        <w:rPr>
          <w:rFonts w:ascii="David" w:eastAsia="Calibri" w:hAnsi="David"/>
          <w:rtl/>
        </w:rPr>
        <w:t xml:space="preserve">ברי, כי </w:t>
      </w:r>
      <w:r w:rsidRPr="00EA5201">
        <w:rPr>
          <w:rFonts w:ascii="David" w:eastAsia="Calibri" w:hAnsi="David"/>
          <w:b/>
          <w:bCs/>
          <w:rtl/>
        </w:rPr>
        <w:t xml:space="preserve">עונש מאסר ממושך יפגע בנאשם שגילו צעיר. </w:t>
      </w:r>
      <w:r w:rsidRPr="00EA5201">
        <w:rPr>
          <w:rFonts w:ascii="David" w:eastAsia="Calibri" w:hAnsi="David"/>
          <w:rtl/>
        </w:rPr>
        <w:t xml:space="preserve">אזכיר, כי התסקיר לעניין העונש בעניינו של הנאשם נמנע מלבוא בהמלצה טיפולית מן הנימוקים שפורטו לעיל. </w:t>
      </w:r>
    </w:p>
    <w:p w14:paraId="2ACD2ACE" w14:textId="77777777" w:rsidR="005F239B" w:rsidRPr="00EA5201" w:rsidRDefault="005F239B" w:rsidP="005F239B">
      <w:pPr>
        <w:spacing w:line="360" w:lineRule="auto"/>
        <w:ind w:right="-567"/>
        <w:jc w:val="both"/>
        <w:rPr>
          <w:rFonts w:ascii="David" w:eastAsia="Calibri" w:hAnsi="David"/>
          <w:b/>
          <w:bCs/>
          <w:rtl/>
        </w:rPr>
      </w:pPr>
    </w:p>
    <w:p w14:paraId="1BEFF090" w14:textId="77777777" w:rsidR="005F239B" w:rsidRPr="00EA5201" w:rsidRDefault="005F239B" w:rsidP="005F239B">
      <w:pPr>
        <w:overflowPunct w:val="0"/>
        <w:autoSpaceDE w:val="0"/>
        <w:autoSpaceDN w:val="0"/>
        <w:spacing w:line="360" w:lineRule="auto"/>
        <w:ind w:right="-567"/>
        <w:jc w:val="both"/>
        <w:rPr>
          <w:rFonts w:ascii="David" w:eastAsia="Calibri" w:hAnsi="David"/>
          <w:rtl/>
        </w:rPr>
      </w:pPr>
      <w:r w:rsidRPr="00EA5201">
        <w:rPr>
          <w:rFonts w:ascii="David" w:eastAsia="Calibri" w:hAnsi="David"/>
          <w:rtl/>
        </w:rPr>
        <w:t xml:space="preserve">עוד סברתי כי בכגון דא בהחלט יש מקום להכליל בתוככי מתחם הענישה את השיקול שעניינו </w:t>
      </w:r>
      <w:r w:rsidRPr="00EA5201">
        <w:rPr>
          <w:rFonts w:ascii="David" w:eastAsia="Calibri" w:hAnsi="David"/>
          <w:b/>
          <w:bCs/>
          <w:rtl/>
        </w:rPr>
        <w:t>בהרתעת הרבים</w:t>
      </w:r>
      <w:r w:rsidRPr="00EA5201">
        <w:rPr>
          <w:rFonts w:ascii="David" w:eastAsia="Calibri" w:hAnsi="David"/>
          <w:rtl/>
        </w:rPr>
        <w:t xml:space="preserve"> (בהתאם </w:t>
      </w:r>
      <w:hyperlink r:id="rId42" w:history="1">
        <w:r w:rsidR="00233271" w:rsidRPr="00233271">
          <w:rPr>
            <w:rStyle w:val="Hyperlink"/>
            <w:rFonts w:ascii="David" w:eastAsia="Calibri" w:hAnsi="David"/>
            <w:color w:val="0000FF"/>
            <w:rtl/>
          </w:rPr>
          <w:t>לסעיף 40ז</w:t>
        </w:r>
      </w:hyperlink>
      <w:r w:rsidRPr="00EA5201">
        <w:rPr>
          <w:rFonts w:ascii="David" w:eastAsia="Calibri" w:hAnsi="David"/>
          <w:rtl/>
        </w:rPr>
        <w:t xml:space="preserve"> לחוק);</w:t>
      </w:r>
      <w:r w:rsidRPr="00EA5201">
        <w:rPr>
          <w:rFonts w:ascii="David" w:eastAsia="Calibri" w:hAnsi="David"/>
        </w:rPr>
        <w:t xml:space="preserve"> </w:t>
      </w:r>
      <w:r w:rsidRPr="00EA5201">
        <w:rPr>
          <w:rFonts w:ascii="David" w:eastAsia="Calibri" w:hAnsi="David"/>
          <w:rtl/>
        </w:rPr>
        <w:t xml:space="preserve">תוך העברת מסר לציבור הרחב שהתנהגות דומה אינה מקובלת במחוזותינו.  </w:t>
      </w:r>
    </w:p>
    <w:p w14:paraId="5EEC81FA" w14:textId="77777777" w:rsidR="005F239B" w:rsidRPr="00EA5201" w:rsidRDefault="005F239B" w:rsidP="005F239B">
      <w:pPr>
        <w:overflowPunct w:val="0"/>
        <w:autoSpaceDE w:val="0"/>
        <w:autoSpaceDN w:val="0"/>
        <w:spacing w:line="360" w:lineRule="auto"/>
        <w:ind w:right="-567"/>
        <w:jc w:val="both"/>
        <w:rPr>
          <w:rFonts w:ascii="David" w:hAnsi="David"/>
          <w:rtl/>
        </w:rPr>
      </w:pPr>
    </w:p>
    <w:p w14:paraId="32434078" w14:textId="77777777" w:rsidR="005F239B" w:rsidRPr="00EA5201" w:rsidRDefault="005F239B" w:rsidP="005F239B">
      <w:pPr>
        <w:spacing w:line="360" w:lineRule="auto"/>
        <w:ind w:right="-567"/>
        <w:jc w:val="both"/>
        <w:rPr>
          <w:rFonts w:ascii="David" w:eastAsia="Calibri" w:hAnsi="David"/>
          <w:rtl/>
        </w:rPr>
      </w:pPr>
      <w:r w:rsidRPr="00EA5201">
        <w:rPr>
          <w:rFonts w:ascii="David" w:eastAsia="Calibri" w:hAnsi="David"/>
          <w:rtl/>
        </w:rPr>
        <w:t>לאחר ששקלתי את כל השיקולים הדרושים לכך, מצאתי לנכון להטיל על הנאשם את העונשים הבאים:</w:t>
      </w:r>
    </w:p>
    <w:p w14:paraId="590CFD9B" w14:textId="77777777" w:rsidR="005F239B" w:rsidRPr="00EA5201" w:rsidRDefault="005F239B" w:rsidP="005F239B">
      <w:pPr>
        <w:spacing w:line="360" w:lineRule="auto"/>
        <w:ind w:right="-567"/>
        <w:jc w:val="both"/>
        <w:rPr>
          <w:rFonts w:ascii="David" w:eastAsia="Calibri" w:hAnsi="David"/>
          <w:rtl/>
        </w:rPr>
      </w:pPr>
    </w:p>
    <w:p w14:paraId="6269FE1F" w14:textId="77777777" w:rsidR="005F239B" w:rsidRPr="00EA5201" w:rsidRDefault="005F239B" w:rsidP="005F239B">
      <w:pPr>
        <w:numPr>
          <w:ilvl w:val="0"/>
          <w:numId w:val="1"/>
        </w:numPr>
        <w:overflowPunct w:val="0"/>
        <w:autoSpaceDE w:val="0"/>
        <w:autoSpaceDN w:val="0"/>
        <w:spacing w:after="160" w:line="360" w:lineRule="auto"/>
        <w:jc w:val="both"/>
        <w:rPr>
          <w:rFonts w:ascii="David" w:hAnsi="David"/>
          <w:b/>
          <w:bCs/>
          <w:rtl/>
        </w:rPr>
      </w:pPr>
      <w:r w:rsidRPr="00EA5201">
        <w:rPr>
          <w:rFonts w:ascii="David" w:hAnsi="David"/>
          <w:b/>
          <w:bCs/>
          <w:rtl/>
        </w:rPr>
        <w:t>31 חודשי מאסר לריצוי בפועל מיום מעצרו.</w:t>
      </w:r>
    </w:p>
    <w:p w14:paraId="1746CACC" w14:textId="77777777" w:rsidR="005F239B" w:rsidRPr="00EA5201" w:rsidRDefault="005F239B" w:rsidP="005F239B">
      <w:pPr>
        <w:numPr>
          <w:ilvl w:val="0"/>
          <w:numId w:val="1"/>
        </w:numPr>
        <w:overflowPunct w:val="0"/>
        <w:autoSpaceDE w:val="0"/>
        <w:autoSpaceDN w:val="0"/>
        <w:spacing w:after="160" w:line="360" w:lineRule="auto"/>
        <w:jc w:val="both"/>
        <w:rPr>
          <w:rFonts w:ascii="David" w:hAnsi="David"/>
        </w:rPr>
      </w:pPr>
      <w:r w:rsidRPr="00EA5201">
        <w:rPr>
          <w:rFonts w:ascii="David" w:hAnsi="David"/>
          <w:rtl/>
        </w:rPr>
        <w:t>10 חודשי מאסר על תנאי שלא יעבור במשך 3 שנים עבירות בנשק</w:t>
      </w:r>
      <w:r w:rsidRPr="00EA5201">
        <w:rPr>
          <w:rtl/>
        </w:rPr>
        <w:t xml:space="preserve"> לפי </w:t>
      </w:r>
      <w:hyperlink r:id="rId43" w:history="1">
        <w:r w:rsidR="00233271" w:rsidRPr="00233271">
          <w:rPr>
            <w:rStyle w:val="Hyperlink"/>
            <w:color w:val="0000FF"/>
            <w:rtl/>
          </w:rPr>
          <w:t>סעיף 144</w:t>
        </w:r>
      </w:hyperlink>
      <w:r w:rsidRPr="00EA5201">
        <w:rPr>
          <w:rtl/>
        </w:rPr>
        <w:t xml:space="preserve"> ל</w:t>
      </w:r>
      <w:hyperlink r:id="rId44" w:history="1">
        <w:r w:rsidR="00E126C7" w:rsidRPr="00E126C7">
          <w:rPr>
            <w:color w:val="0000FF"/>
            <w:u w:val="single"/>
            <w:rtl/>
          </w:rPr>
          <w:t>חוק העונשין</w:t>
        </w:r>
      </w:hyperlink>
      <w:r w:rsidRPr="00EA5201">
        <w:rPr>
          <w:rtl/>
        </w:rPr>
        <w:t>.</w:t>
      </w:r>
    </w:p>
    <w:p w14:paraId="11DEBE4B" w14:textId="77777777" w:rsidR="005F239B" w:rsidRPr="00EA5201" w:rsidRDefault="005F239B" w:rsidP="005F239B">
      <w:pPr>
        <w:overflowPunct w:val="0"/>
        <w:autoSpaceDE w:val="0"/>
        <w:autoSpaceDN w:val="0"/>
        <w:spacing w:line="360" w:lineRule="auto"/>
        <w:ind w:left="1183"/>
        <w:jc w:val="both"/>
        <w:rPr>
          <w:rFonts w:ascii="David" w:hAnsi="David"/>
        </w:rPr>
      </w:pPr>
      <w:r w:rsidRPr="00EA5201">
        <w:rPr>
          <w:rFonts w:ascii="David" w:hAnsi="David"/>
          <w:b/>
          <w:bCs/>
          <w:rtl/>
        </w:rPr>
        <w:t>זכות ערעור כחוק</w:t>
      </w:r>
    </w:p>
    <w:p w14:paraId="2936EFFB" w14:textId="77777777" w:rsidR="005F239B" w:rsidRPr="00E126C7" w:rsidRDefault="00E126C7" w:rsidP="005F239B">
      <w:pPr>
        <w:overflowPunct w:val="0"/>
        <w:autoSpaceDE w:val="0"/>
        <w:autoSpaceDN w:val="0"/>
        <w:spacing w:line="360" w:lineRule="auto"/>
        <w:ind w:left="1543"/>
        <w:jc w:val="both"/>
        <w:rPr>
          <w:rFonts w:ascii="David" w:hAnsi="David"/>
          <w:color w:val="FFFFFF"/>
          <w:sz w:val="2"/>
          <w:szCs w:val="2"/>
        </w:rPr>
      </w:pPr>
      <w:r w:rsidRPr="00E126C7">
        <w:rPr>
          <w:rFonts w:ascii="David" w:hAnsi="David"/>
          <w:color w:val="FFFFFF"/>
          <w:sz w:val="2"/>
          <w:szCs w:val="2"/>
          <w:rtl/>
        </w:rPr>
        <w:t>5129371</w:t>
      </w:r>
    </w:p>
    <w:p w14:paraId="3BA13485" w14:textId="77777777" w:rsidR="005F239B" w:rsidRDefault="00E126C7" w:rsidP="005F239B">
      <w:pPr>
        <w:rPr>
          <w:rFonts w:cs="FrankRuehl"/>
          <w:sz w:val="28"/>
          <w:szCs w:val="28"/>
          <w:rtl/>
        </w:rPr>
      </w:pPr>
      <w:bookmarkStart w:id="7" w:name="Nitan"/>
      <w:r w:rsidRPr="00E126C7">
        <w:rPr>
          <w:rFonts w:ascii="Arial" w:hAnsi="Arial"/>
          <w:color w:val="FFFFFF"/>
          <w:sz w:val="2"/>
          <w:szCs w:val="2"/>
          <w:rtl/>
        </w:rPr>
        <w:t>54678313</w:t>
      </w:r>
      <w:r>
        <w:rPr>
          <w:rFonts w:ascii="Arial" w:hAnsi="Arial"/>
          <w:rtl/>
        </w:rPr>
        <w:t xml:space="preserve">ניתן היום,  כ"ג ניסן תשפ"ה, 21 אפריל 2025, במעמד הצדדים. </w:t>
      </w:r>
      <w:bookmarkEnd w:id="7"/>
    </w:p>
    <w:p w14:paraId="32689EF8" w14:textId="77777777" w:rsidR="005F239B" w:rsidRDefault="005F239B" w:rsidP="00E126C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2A762F6" w14:textId="77777777" w:rsidR="005F239B" w:rsidRDefault="005F239B" w:rsidP="005F239B">
      <w:pPr>
        <w:jc w:val="center"/>
        <w:rPr>
          <w:rFonts w:ascii="Arial" w:hAnsi="Arial" w:cs="FrankRuehl"/>
          <w:sz w:val="28"/>
          <w:szCs w:val="28"/>
          <w:rtl/>
        </w:rPr>
      </w:pPr>
    </w:p>
    <w:p w14:paraId="1A8C7387" w14:textId="77777777" w:rsidR="00E126C7" w:rsidRDefault="00E126C7" w:rsidP="00E126C7">
      <w:pPr>
        <w:rPr>
          <w:rtl/>
        </w:rPr>
      </w:pPr>
    </w:p>
    <w:p w14:paraId="1938B4C6" w14:textId="77777777" w:rsidR="00E126C7" w:rsidRDefault="00E126C7" w:rsidP="00E126C7">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2F7BC248" w14:textId="77777777" w:rsidR="00233271" w:rsidRPr="00233271" w:rsidRDefault="00233271" w:rsidP="00233271">
      <w:pPr>
        <w:keepNext/>
        <w:rPr>
          <w:rFonts w:ascii="David" w:hAnsi="David"/>
          <w:color w:val="000000"/>
          <w:sz w:val="22"/>
          <w:szCs w:val="22"/>
          <w:rtl/>
        </w:rPr>
      </w:pPr>
    </w:p>
    <w:p w14:paraId="39D92065" w14:textId="77777777" w:rsidR="00233271" w:rsidRPr="00233271" w:rsidRDefault="00233271" w:rsidP="00233271">
      <w:pPr>
        <w:keepNext/>
        <w:rPr>
          <w:rFonts w:ascii="David" w:hAnsi="David"/>
          <w:color w:val="000000"/>
          <w:sz w:val="22"/>
          <w:szCs w:val="22"/>
          <w:rtl/>
        </w:rPr>
      </w:pPr>
      <w:r w:rsidRPr="00233271">
        <w:rPr>
          <w:rFonts w:ascii="David" w:hAnsi="David"/>
          <w:color w:val="000000"/>
          <w:sz w:val="22"/>
          <w:szCs w:val="22"/>
          <w:rtl/>
        </w:rPr>
        <w:t>אבי לוי 54678313-/</w:t>
      </w:r>
    </w:p>
    <w:p w14:paraId="59BC8D2B" w14:textId="77777777" w:rsidR="00E126C7" w:rsidRPr="00E126C7" w:rsidRDefault="00233271" w:rsidP="00233271">
      <w:pPr>
        <w:rPr>
          <w:color w:val="0000FF"/>
          <w:u w:val="single"/>
        </w:rPr>
      </w:pPr>
      <w:r w:rsidRPr="00233271">
        <w:rPr>
          <w:color w:val="000000"/>
          <w:u w:val="single"/>
          <w:rtl/>
        </w:rPr>
        <w:t>נוסח מסמך זה כפוף לשינויי ניסוח ועריכה</w:t>
      </w:r>
    </w:p>
    <w:sectPr w:rsidR="00E126C7" w:rsidRPr="00E126C7" w:rsidSect="00233271">
      <w:headerReference w:type="even" r:id="rId46"/>
      <w:headerReference w:type="default" r:id="rId47"/>
      <w:footerReference w:type="even" r:id="rId48"/>
      <w:footerReference w:type="default" r:id="rId49"/>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6F1DD" w14:textId="77777777" w:rsidR="00FE2A43" w:rsidRDefault="00FE2A43" w:rsidP="001B4409">
      <w:r>
        <w:separator/>
      </w:r>
    </w:p>
  </w:endnote>
  <w:endnote w:type="continuationSeparator" w:id="0">
    <w:p w14:paraId="629FF166" w14:textId="77777777" w:rsidR="00FE2A43" w:rsidRDefault="00FE2A43" w:rsidP="001B4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B2CC5" w14:textId="77777777" w:rsidR="00233271" w:rsidRDefault="00233271" w:rsidP="0023327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2E3142AE" w14:textId="77777777" w:rsidR="00377BEE" w:rsidRPr="00233271" w:rsidRDefault="00233271" w:rsidP="00233271">
    <w:pPr>
      <w:pStyle w:val="a5"/>
      <w:pBdr>
        <w:top w:val="single" w:sz="4" w:space="1" w:color="auto"/>
        <w:between w:val="single" w:sz="4" w:space="0" w:color="auto"/>
      </w:pBdr>
      <w:spacing w:after="60"/>
      <w:jc w:val="center"/>
      <w:rPr>
        <w:rFonts w:ascii="FrankRuehl" w:hAnsi="FrankRuehl" w:cs="FrankRuehl"/>
        <w:color w:val="000000"/>
      </w:rPr>
    </w:pPr>
    <w:r w:rsidRPr="0023327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4999D" w14:textId="77777777" w:rsidR="00233271" w:rsidRDefault="00233271" w:rsidP="0023327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D62E6">
      <w:rPr>
        <w:rFonts w:ascii="FrankRuehl" w:hAnsi="FrankRuehl" w:cs="FrankRuehl"/>
        <w:noProof/>
        <w:rtl/>
      </w:rPr>
      <w:t>1</w:t>
    </w:r>
    <w:r>
      <w:rPr>
        <w:rFonts w:ascii="FrankRuehl" w:hAnsi="FrankRuehl" w:cs="FrankRuehl"/>
        <w:rtl/>
      </w:rPr>
      <w:fldChar w:fldCharType="end"/>
    </w:r>
  </w:p>
  <w:p w14:paraId="42E5E1B8" w14:textId="77777777" w:rsidR="00377BEE" w:rsidRPr="00233271" w:rsidRDefault="00233271" w:rsidP="00233271">
    <w:pPr>
      <w:pStyle w:val="a5"/>
      <w:pBdr>
        <w:top w:val="single" w:sz="4" w:space="1" w:color="auto"/>
        <w:between w:val="single" w:sz="4" w:space="0" w:color="auto"/>
      </w:pBdr>
      <w:spacing w:after="60"/>
      <w:jc w:val="center"/>
      <w:rPr>
        <w:rFonts w:ascii="FrankRuehl" w:hAnsi="FrankRuehl" w:cs="FrankRuehl"/>
        <w:color w:val="000000"/>
      </w:rPr>
    </w:pPr>
    <w:r w:rsidRPr="00233271">
      <w:rPr>
        <w:rFonts w:ascii="FrankRuehl" w:hAnsi="FrankRuehl" w:cs="FrankRuehl"/>
        <w:color w:val="000000"/>
      </w:rPr>
      <w:pict w14:anchorId="7D31C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11012" w14:textId="77777777" w:rsidR="00FE2A43" w:rsidRDefault="00FE2A43" w:rsidP="001B4409">
      <w:r>
        <w:separator/>
      </w:r>
    </w:p>
  </w:footnote>
  <w:footnote w:type="continuationSeparator" w:id="0">
    <w:p w14:paraId="0C7E5B17" w14:textId="77777777" w:rsidR="00FE2A43" w:rsidRDefault="00FE2A43" w:rsidP="001B4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6505B" w14:textId="77777777" w:rsidR="00E126C7" w:rsidRPr="00233271" w:rsidRDefault="00233271" w:rsidP="0023327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19269-08-24</w:t>
    </w:r>
    <w:r>
      <w:rPr>
        <w:rFonts w:ascii="David" w:hAnsi="David"/>
        <w:color w:val="000000"/>
        <w:sz w:val="22"/>
        <w:szCs w:val="22"/>
        <w:rtl/>
      </w:rPr>
      <w:tab/>
      <w:t xml:space="preserve"> מדינת ישראל נ' אמיר סלאח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96DF4" w14:textId="77777777" w:rsidR="00E126C7" w:rsidRPr="00233271" w:rsidRDefault="00233271" w:rsidP="0023327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19269-08-24</w:t>
    </w:r>
    <w:r>
      <w:rPr>
        <w:rFonts w:ascii="David" w:hAnsi="David"/>
        <w:color w:val="000000"/>
        <w:sz w:val="22"/>
        <w:szCs w:val="22"/>
        <w:rtl/>
      </w:rPr>
      <w:tab/>
      <w:t xml:space="preserve"> מדינת ישראל נ' אמיר סלאח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675F0"/>
    <w:multiLevelType w:val="hybridMultilevel"/>
    <w:tmpl w:val="F3D4C91A"/>
    <w:lvl w:ilvl="0" w:tplc="04090013">
      <w:start w:val="1"/>
      <w:numFmt w:val="hebrew1"/>
      <w:lvlText w:val="%1."/>
      <w:lvlJc w:val="center"/>
      <w:pPr>
        <w:ind w:left="1543" w:hanging="360"/>
      </w:pPr>
    </w:lvl>
    <w:lvl w:ilvl="1" w:tplc="04090019">
      <w:start w:val="1"/>
      <w:numFmt w:val="lowerLetter"/>
      <w:lvlText w:val="%2."/>
      <w:lvlJc w:val="left"/>
      <w:pPr>
        <w:ind w:left="2263" w:hanging="360"/>
      </w:pPr>
    </w:lvl>
    <w:lvl w:ilvl="2" w:tplc="0409001B">
      <w:start w:val="1"/>
      <w:numFmt w:val="lowerRoman"/>
      <w:lvlText w:val="%3."/>
      <w:lvlJc w:val="right"/>
      <w:pPr>
        <w:ind w:left="2983" w:hanging="180"/>
      </w:pPr>
    </w:lvl>
    <w:lvl w:ilvl="3" w:tplc="0409000F">
      <w:start w:val="1"/>
      <w:numFmt w:val="decimal"/>
      <w:lvlText w:val="%4."/>
      <w:lvlJc w:val="left"/>
      <w:pPr>
        <w:ind w:left="3703" w:hanging="360"/>
      </w:pPr>
    </w:lvl>
    <w:lvl w:ilvl="4" w:tplc="04090019">
      <w:start w:val="1"/>
      <w:numFmt w:val="lowerLetter"/>
      <w:lvlText w:val="%5."/>
      <w:lvlJc w:val="left"/>
      <w:pPr>
        <w:ind w:left="4423" w:hanging="360"/>
      </w:pPr>
    </w:lvl>
    <w:lvl w:ilvl="5" w:tplc="0409001B">
      <w:start w:val="1"/>
      <w:numFmt w:val="lowerRoman"/>
      <w:lvlText w:val="%6."/>
      <w:lvlJc w:val="right"/>
      <w:pPr>
        <w:ind w:left="5143" w:hanging="180"/>
      </w:pPr>
    </w:lvl>
    <w:lvl w:ilvl="6" w:tplc="0409000F">
      <w:start w:val="1"/>
      <w:numFmt w:val="decimal"/>
      <w:lvlText w:val="%7."/>
      <w:lvlJc w:val="left"/>
      <w:pPr>
        <w:ind w:left="5863" w:hanging="360"/>
      </w:pPr>
    </w:lvl>
    <w:lvl w:ilvl="7" w:tplc="04090019">
      <w:start w:val="1"/>
      <w:numFmt w:val="lowerLetter"/>
      <w:lvlText w:val="%8."/>
      <w:lvlJc w:val="left"/>
      <w:pPr>
        <w:ind w:left="6583" w:hanging="360"/>
      </w:pPr>
    </w:lvl>
    <w:lvl w:ilvl="8" w:tplc="0409001B">
      <w:start w:val="1"/>
      <w:numFmt w:val="lowerRoman"/>
      <w:lvlText w:val="%9."/>
      <w:lvlJc w:val="right"/>
      <w:pPr>
        <w:ind w:left="7303" w:hanging="180"/>
      </w:pPr>
    </w:lvl>
  </w:abstractNum>
  <w:num w:numId="1" w16cid:durableId="8511891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F239B"/>
    <w:rsid w:val="00093A7C"/>
    <w:rsid w:val="001B4409"/>
    <w:rsid w:val="00233271"/>
    <w:rsid w:val="00377BEE"/>
    <w:rsid w:val="005F239B"/>
    <w:rsid w:val="00647B79"/>
    <w:rsid w:val="006E673E"/>
    <w:rsid w:val="00BD62E6"/>
    <w:rsid w:val="00E126C7"/>
    <w:rsid w:val="00FE2A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9CC7B3"/>
  <w15:chartTrackingRefBased/>
  <w15:docId w15:val="{8FD6C90D-C60B-4EC3-83C3-73FFEFA6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239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F239B"/>
    <w:pPr>
      <w:tabs>
        <w:tab w:val="center" w:pos="4153"/>
        <w:tab w:val="right" w:pos="8306"/>
      </w:tabs>
    </w:pPr>
  </w:style>
  <w:style w:type="character" w:customStyle="1" w:styleId="a4">
    <w:name w:val="כותרת עליונה תו"/>
    <w:link w:val="a3"/>
    <w:rsid w:val="005F239B"/>
    <w:rPr>
      <w:rFonts w:ascii="Times New Roman" w:eastAsia="Times New Roman" w:hAnsi="Times New Roman" w:cs="David"/>
      <w:sz w:val="24"/>
      <w:szCs w:val="24"/>
    </w:rPr>
  </w:style>
  <w:style w:type="paragraph" w:styleId="a5">
    <w:name w:val="footer"/>
    <w:basedOn w:val="a"/>
    <w:link w:val="a6"/>
    <w:rsid w:val="005F239B"/>
    <w:pPr>
      <w:tabs>
        <w:tab w:val="center" w:pos="4153"/>
        <w:tab w:val="right" w:pos="8306"/>
      </w:tabs>
    </w:pPr>
  </w:style>
  <w:style w:type="character" w:customStyle="1" w:styleId="a6">
    <w:name w:val="כותרת תחתונה תו"/>
    <w:link w:val="a5"/>
    <w:rsid w:val="005F239B"/>
    <w:rPr>
      <w:rFonts w:ascii="Times New Roman" w:eastAsia="Times New Roman" w:hAnsi="Times New Roman" w:cs="David"/>
      <w:sz w:val="24"/>
      <w:szCs w:val="24"/>
    </w:rPr>
  </w:style>
  <w:style w:type="table" w:styleId="a7">
    <w:name w:val="Table Grid"/>
    <w:basedOn w:val="a1"/>
    <w:rsid w:val="005F239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F239B"/>
  </w:style>
  <w:style w:type="character" w:styleId="Hyperlink">
    <w:name w:val="Hyperlink"/>
    <w:rsid w:val="00E126C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g"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26905927" TargetMode="External"/><Relationship Id="rId39" Type="http://schemas.openxmlformats.org/officeDocument/2006/relationships/hyperlink" Target="http://www.nevo.co.il/case/28152125" TargetMode="External"/><Relationship Id="rId21" Type="http://schemas.openxmlformats.org/officeDocument/2006/relationships/hyperlink" Target="http://www.nevo.co.il/law/70301/31"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40g"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c.a" TargetMode="External"/><Relationship Id="rId29" Type="http://schemas.openxmlformats.org/officeDocument/2006/relationships/hyperlink" Target="http://www.nevo.co.il/case/21771409"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0301/40jc.a" TargetMode="External"/><Relationship Id="rId32" Type="http://schemas.openxmlformats.org/officeDocument/2006/relationships/hyperlink" Target="http://www.nevo.co.il/case/28697227" TargetMode="External"/><Relationship Id="rId37" Type="http://schemas.openxmlformats.org/officeDocument/2006/relationships/hyperlink" Target="http://www.nevo.co.il/case/26492590" TargetMode="External"/><Relationship Id="rId40" Type="http://schemas.openxmlformats.org/officeDocument/2006/relationships/hyperlink" Target="http://www.nevo.co.il/law/70301/40i"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5576587" TargetMode="External"/><Relationship Id="rId28" Type="http://schemas.openxmlformats.org/officeDocument/2006/relationships/hyperlink" Target="http://www.nevo.co.il/case/25824863" TargetMode="External"/><Relationship Id="rId36" Type="http://schemas.openxmlformats.org/officeDocument/2006/relationships/hyperlink" Target="http://www.nevo.co.il/case/23509035" TargetMode="External"/><Relationship Id="rId49" Type="http://schemas.openxmlformats.org/officeDocument/2006/relationships/footer" Target="footer2.xml"/><Relationship Id="rId10"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8883087" TargetMode="External"/><Relationship Id="rId44"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g" TargetMode="External"/><Relationship Id="rId14" Type="http://schemas.openxmlformats.org/officeDocument/2006/relationships/hyperlink" Target="http://www.nevo.co.il/law/70301/340a.a"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2690203" TargetMode="External"/><Relationship Id="rId35" Type="http://schemas.openxmlformats.org/officeDocument/2006/relationships/hyperlink" Target="http://www.nevo.co.il/law/70301/144.g" TargetMode="External"/><Relationship Id="rId43" Type="http://schemas.openxmlformats.org/officeDocument/2006/relationships/hyperlink" Target="http://www.nevo.co.il/law/70301/144" TargetMode="External"/><Relationship Id="rId48" Type="http://schemas.openxmlformats.org/officeDocument/2006/relationships/footer" Target="footer1.xml"/><Relationship Id="rId8" Type="http://schemas.openxmlformats.org/officeDocument/2006/relationships/hyperlink" Target="http://www.nevo.co.il/law/70301/31"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jc.c" TargetMode="External"/><Relationship Id="rId25" Type="http://schemas.openxmlformats.org/officeDocument/2006/relationships/hyperlink" Target="http://www.nevo.co.il/law/70301/40jc.c" TargetMode="External"/><Relationship Id="rId33" Type="http://schemas.openxmlformats.org/officeDocument/2006/relationships/hyperlink" Target="http://www.nevo.co.il/case/30315066" TargetMode="External"/><Relationship Id="rId38" Type="http://schemas.openxmlformats.org/officeDocument/2006/relationships/hyperlink" Target="http://www.nevo.co.il/case/20033653" TargetMode="External"/><Relationship Id="rId46" Type="http://schemas.openxmlformats.org/officeDocument/2006/relationships/header" Target="header1.xml"/><Relationship Id="rId20" Type="http://schemas.openxmlformats.org/officeDocument/2006/relationships/hyperlink" Target="http://www.nevo.co.il/law/70301/340a.a" TargetMode="External"/><Relationship Id="rId41"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2160</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12935</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6357092</vt:i4>
      </vt:variant>
      <vt:variant>
        <vt:i4>108</vt:i4>
      </vt:variant>
      <vt:variant>
        <vt:i4>0</vt:i4>
      </vt:variant>
      <vt:variant>
        <vt:i4>5</vt:i4>
      </vt:variant>
      <vt:variant>
        <vt:lpwstr>http://www.nevo.co.il/law/70301/144</vt:lpwstr>
      </vt:variant>
      <vt:variant>
        <vt:lpwstr/>
      </vt:variant>
      <vt:variant>
        <vt:i4>6619233</vt:i4>
      </vt:variant>
      <vt:variant>
        <vt:i4>105</vt:i4>
      </vt:variant>
      <vt:variant>
        <vt:i4>0</vt:i4>
      </vt:variant>
      <vt:variant>
        <vt:i4>5</vt:i4>
      </vt:variant>
      <vt:variant>
        <vt:lpwstr>http://www.nevo.co.il/law/70301/40g</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6619233</vt:i4>
      </vt:variant>
      <vt:variant>
        <vt:i4>99</vt:i4>
      </vt:variant>
      <vt:variant>
        <vt:i4>0</vt:i4>
      </vt:variant>
      <vt:variant>
        <vt:i4>5</vt:i4>
      </vt:variant>
      <vt:variant>
        <vt:lpwstr>http://www.nevo.co.il/law/70301/40i</vt:lpwstr>
      </vt:variant>
      <vt:variant>
        <vt:lpwstr/>
      </vt:variant>
      <vt:variant>
        <vt:i4>3342456</vt:i4>
      </vt:variant>
      <vt:variant>
        <vt:i4>96</vt:i4>
      </vt:variant>
      <vt:variant>
        <vt:i4>0</vt:i4>
      </vt:variant>
      <vt:variant>
        <vt:i4>5</vt:i4>
      </vt:variant>
      <vt:variant>
        <vt:lpwstr>http://www.nevo.co.il/case/28152125</vt:lpwstr>
      </vt:variant>
      <vt:variant>
        <vt:lpwstr/>
      </vt:variant>
      <vt:variant>
        <vt:i4>3407985</vt:i4>
      </vt:variant>
      <vt:variant>
        <vt:i4>93</vt:i4>
      </vt:variant>
      <vt:variant>
        <vt:i4>0</vt:i4>
      </vt:variant>
      <vt:variant>
        <vt:i4>5</vt:i4>
      </vt:variant>
      <vt:variant>
        <vt:lpwstr>http://www.nevo.co.il/case/20033653</vt:lpwstr>
      </vt:variant>
      <vt:variant>
        <vt:lpwstr/>
      </vt:variant>
      <vt:variant>
        <vt:i4>3997822</vt:i4>
      </vt:variant>
      <vt:variant>
        <vt:i4>90</vt:i4>
      </vt:variant>
      <vt:variant>
        <vt:i4>0</vt:i4>
      </vt:variant>
      <vt:variant>
        <vt:i4>5</vt:i4>
      </vt:variant>
      <vt:variant>
        <vt:lpwstr>http://www.nevo.co.il/case/26492590</vt:lpwstr>
      </vt:variant>
      <vt:variant>
        <vt:lpwstr/>
      </vt:variant>
      <vt:variant>
        <vt:i4>3997815</vt:i4>
      </vt:variant>
      <vt:variant>
        <vt:i4>87</vt:i4>
      </vt:variant>
      <vt:variant>
        <vt:i4>0</vt:i4>
      </vt:variant>
      <vt:variant>
        <vt:i4>5</vt:i4>
      </vt:variant>
      <vt:variant>
        <vt:lpwstr>http://www.nevo.co.il/case/23509035</vt:lpwstr>
      </vt:variant>
      <vt:variant>
        <vt:lpwstr/>
      </vt:variant>
      <vt:variant>
        <vt:i4>5177424</vt:i4>
      </vt:variant>
      <vt:variant>
        <vt:i4>84</vt:i4>
      </vt:variant>
      <vt:variant>
        <vt:i4>0</vt:i4>
      </vt:variant>
      <vt:variant>
        <vt:i4>5</vt:i4>
      </vt:variant>
      <vt:variant>
        <vt:lpwstr>http://www.nevo.co.il/law/70301/144.g</vt:lpwstr>
      </vt:variant>
      <vt:variant>
        <vt:lpwstr/>
      </vt:variant>
      <vt:variant>
        <vt:i4>7995492</vt:i4>
      </vt:variant>
      <vt:variant>
        <vt:i4>81</vt:i4>
      </vt:variant>
      <vt:variant>
        <vt:i4>0</vt:i4>
      </vt:variant>
      <vt:variant>
        <vt:i4>5</vt:i4>
      </vt:variant>
      <vt:variant>
        <vt:lpwstr>http://www.nevo.co.il/law/70301</vt:lpwstr>
      </vt:variant>
      <vt:variant>
        <vt:lpwstr/>
      </vt:variant>
      <vt:variant>
        <vt:i4>3342453</vt:i4>
      </vt:variant>
      <vt:variant>
        <vt:i4>78</vt:i4>
      </vt:variant>
      <vt:variant>
        <vt:i4>0</vt:i4>
      </vt:variant>
      <vt:variant>
        <vt:i4>5</vt:i4>
      </vt:variant>
      <vt:variant>
        <vt:lpwstr>http://www.nevo.co.il/case/30315066</vt:lpwstr>
      </vt:variant>
      <vt:variant>
        <vt:lpwstr/>
      </vt:variant>
      <vt:variant>
        <vt:i4>3211383</vt:i4>
      </vt:variant>
      <vt:variant>
        <vt:i4>75</vt:i4>
      </vt:variant>
      <vt:variant>
        <vt:i4>0</vt:i4>
      </vt:variant>
      <vt:variant>
        <vt:i4>5</vt:i4>
      </vt:variant>
      <vt:variant>
        <vt:lpwstr>http://www.nevo.co.il/case/28697227</vt:lpwstr>
      </vt:variant>
      <vt:variant>
        <vt:lpwstr/>
      </vt:variant>
      <vt:variant>
        <vt:i4>3211380</vt:i4>
      </vt:variant>
      <vt:variant>
        <vt:i4>72</vt:i4>
      </vt:variant>
      <vt:variant>
        <vt:i4>0</vt:i4>
      </vt:variant>
      <vt:variant>
        <vt:i4>5</vt:i4>
      </vt:variant>
      <vt:variant>
        <vt:lpwstr>http://www.nevo.co.il/case/28883087</vt:lpwstr>
      </vt:variant>
      <vt:variant>
        <vt:lpwstr/>
      </vt:variant>
      <vt:variant>
        <vt:i4>3407997</vt:i4>
      </vt:variant>
      <vt:variant>
        <vt:i4>69</vt:i4>
      </vt:variant>
      <vt:variant>
        <vt:i4>0</vt:i4>
      </vt:variant>
      <vt:variant>
        <vt:i4>5</vt:i4>
      </vt:variant>
      <vt:variant>
        <vt:lpwstr>http://www.nevo.co.il/case/22690203</vt:lpwstr>
      </vt:variant>
      <vt:variant>
        <vt:lpwstr/>
      </vt:variant>
      <vt:variant>
        <vt:i4>3407990</vt:i4>
      </vt:variant>
      <vt:variant>
        <vt:i4>66</vt:i4>
      </vt:variant>
      <vt:variant>
        <vt:i4>0</vt:i4>
      </vt:variant>
      <vt:variant>
        <vt:i4>5</vt:i4>
      </vt:variant>
      <vt:variant>
        <vt:lpwstr>http://www.nevo.co.il/case/21771409</vt:lpwstr>
      </vt:variant>
      <vt:variant>
        <vt:lpwstr/>
      </vt:variant>
      <vt:variant>
        <vt:i4>3670139</vt:i4>
      </vt:variant>
      <vt:variant>
        <vt:i4>63</vt:i4>
      </vt:variant>
      <vt:variant>
        <vt:i4>0</vt:i4>
      </vt:variant>
      <vt:variant>
        <vt:i4>5</vt:i4>
      </vt:variant>
      <vt:variant>
        <vt:lpwstr>http://www.nevo.co.il/case/25824863</vt:lpwstr>
      </vt:variant>
      <vt:variant>
        <vt:lpwstr/>
      </vt:variant>
      <vt:variant>
        <vt:i4>7995492</vt:i4>
      </vt:variant>
      <vt:variant>
        <vt:i4>60</vt:i4>
      </vt:variant>
      <vt:variant>
        <vt:i4>0</vt:i4>
      </vt:variant>
      <vt:variant>
        <vt:i4>5</vt:i4>
      </vt:variant>
      <vt:variant>
        <vt:lpwstr>http://www.nevo.co.il/law/70301</vt:lpwstr>
      </vt:variant>
      <vt:variant>
        <vt:lpwstr/>
      </vt:variant>
      <vt:variant>
        <vt:i4>3932283</vt:i4>
      </vt:variant>
      <vt:variant>
        <vt:i4>57</vt:i4>
      </vt:variant>
      <vt:variant>
        <vt:i4>0</vt:i4>
      </vt:variant>
      <vt:variant>
        <vt:i4>5</vt:i4>
      </vt:variant>
      <vt:variant>
        <vt:lpwstr>http://www.nevo.co.il/case/26905927</vt:lpwstr>
      </vt:variant>
      <vt:variant>
        <vt:lpwstr/>
      </vt:variant>
      <vt:variant>
        <vt:i4>6619173</vt:i4>
      </vt:variant>
      <vt:variant>
        <vt:i4>54</vt:i4>
      </vt:variant>
      <vt:variant>
        <vt:i4>0</vt:i4>
      </vt:variant>
      <vt:variant>
        <vt:i4>5</vt:i4>
      </vt:variant>
      <vt:variant>
        <vt:lpwstr>http://www.nevo.co.il/law/70301/40jc.c</vt:lpwstr>
      </vt:variant>
      <vt:variant>
        <vt:lpwstr/>
      </vt:variant>
      <vt:variant>
        <vt:i4>6750245</vt:i4>
      </vt:variant>
      <vt:variant>
        <vt:i4>51</vt:i4>
      </vt:variant>
      <vt:variant>
        <vt:i4>0</vt:i4>
      </vt:variant>
      <vt:variant>
        <vt:i4>5</vt:i4>
      </vt:variant>
      <vt:variant>
        <vt:lpwstr>http://www.nevo.co.il/law/70301/40jc.a</vt:lpwstr>
      </vt:variant>
      <vt:variant>
        <vt:lpwstr/>
      </vt:variant>
      <vt:variant>
        <vt:i4>3145855</vt:i4>
      </vt:variant>
      <vt:variant>
        <vt:i4>48</vt:i4>
      </vt:variant>
      <vt:variant>
        <vt:i4>0</vt:i4>
      </vt:variant>
      <vt:variant>
        <vt:i4>5</vt:i4>
      </vt:variant>
      <vt:variant>
        <vt:lpwstr>http://www.nevo.co.il/case/5576587</vt:lpwstr>
      </vt:variant>
      <vt:variant>
        <vt:lpwstr/>
      </vt:variant>
      <vt:variant>
        <vt:i4>3145849</vt:i4>
      </vt:variant>
      <vt:variant>
        <vt:i4>45</vt:i4>
      </vt:variant>
      <vt:variant>
        <vt:i4>0</vt:i4>
      </vt:variant>
      <vt:variant>
        <vt:i4>5</vt:i4>
      </vt:variant>
      <vt:variant>
        <vt:lpwstr>http://www.nevo.co.il/case/13093721</vt:lpwstr>
      </vt:variant>
      <vt:variant>
        <vt:lpwstr/>
      </vt:variant>
      <vt:variant>
        <vt:i4>6553702</vt:i4>
      </vt:variant>
      <vt:variant>
        <vt:i4>42</vt:i4>
      </vt:variant>
      <vt:variant>
        <vt:i4>0</vt:i4>
      </vt:variant>
      <vt:variant>
        <vt:i4>5</vt:i4>
      </vt:variant>
      <vt:variant>
        <vt:lpwstr>http://www.nevo.co.il/law/70301/31</vt:lpwstr>
      </vt:variant>
      <vt:variant>
        <vt:lpwstr/>
      </vt:variant>
      <vt:variant>
        <vt:i4>6357112</vt:i4>
      </vt:variant>
      <vt:variant>
        <vt:i4>39</vt:i4>
      </vt:variant>
      <vt:variant>
        <vt:i4>0</vt:i4>
      </vt:variant>
      <vt:variant>
        <vt:i4>5</vt:i4>
      </vt:variant>
      <vt:variant>
        <vt:lpwstr>http://www.nevo.co.il/law/70301/340a.a</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6619173</vt:i4>
      </vt:variant>
      <vt:variant>
        <vt:i4>30</vt:i4>
      </vt:variant>
      <vt:variant>
        <vt:i4>0</vt:i4>
      </vt:variant>
      <vt:variant>
        <vt:i4>5</vt:i4>
      </vt:variant>
      <vt:variant>
        <vt:lpwstr>http://www.nevo.co.il/law/70301/40jc.c</vt:lpwstr>
      </vt:variant>
      <vt:variant>
        <vt:lpwstr/>
      </vt:variant>
      <vt:variant>
        <vt:i4>6750245</vt:i4>
      </vt:variant>
      <vt:variant>
        <vt:i4>27</vt:i4>
      </vt:variant>
      <vt:variant>
        <vt:i4>0</vt:i4>
      </vt:variant>
      <vt:variant>
        <vt:i4>5</vt:i4>
      </vt:variant>
      <vt:variant>
        <vt:lpwstr>http://www.nevo.co.il/law/70301/40jc.a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6357112</vt:i4>
      </vt:variant>
      <vt:variant>
        <vt:i4>21</vt:i4>
      </vt:variant>
      <vt:variant>
        <vt:i4>0</vt:i4>
      </vt:variant>
      <vt:variant>
        <vt:i4>5</vt:i4>
      </vt:variant>
      <vt:variant>
        <vt:lpwstr>http://www.nevo.co.il/law/70301/340a.a</vt:lpwstr>
      </vt:variant>
      <vt:variant>
        <vt:lpwstr/>
      </vt:variant>
      <vt:variant>
        <vt:i4>5177424</vt:i4>
      </vt:variant>
      <vt:variant>
        <vt:i4>18</vt:i4>
      </vt:variant>
      <vt:variant>
        <vt:i4>0</vt:i4>
      </vt:variant>
      <vt:variant>
        <vt:i4>5</vt:i4>
      </vt:variant>
      <vt:variant>
        <vt:lpwstr>http://www.nevo.co.il/law/70301/144.g</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http://www.nevo.co.il/law/70301/40g</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2025-04-25T11:03:00Z</dcterms:created>
  <dcterms:modified xsi:type="dcterms:W3CDTF">2025-04-25T11:03:00Z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19269</vt:lpwstr>
  </property>
  <property fmtid="{D5CDD505-2E9C-101B-9397-08002B2CF9AE}" pid="6" name="NEWPARTB">
    <vt:lpwstr>08</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אמיר סלאח</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20250421</vt:lpwstr>
  </property>
  <property fmtid="{D5CDD505-2E9C-101B-9397-08002B2CF9AE}" pid="13" name="TYPE_N_DATE">
    <vt:lpwstr>39020250421</vt:lpwstr>
  </property>
  <property fmtid="{D5CDD505-2E9C-101B-9397-08002B2CF9AE}" pid="14" name="CASESLISTTMP1">
    <vt:lpwstr>13093721;5576587;26905927;25824863;21771409;22690203;28883087;28697227;30315066;23509035;26492590;20033653;28152125</vt:lpwstr>
  </property>
  <property fmtid="{D5CDD505-2E9C-101B-9397-08002B2CF9AE}" pid="15" name="WORDNUMPAGES">
    <vt:lpwstr>6</vt:lpwstr>
  </property>
  <property fmtid="{D5CDD505-2E9C-101B-9397-08002B2CF9AE}" pid="16" name="TYPE_ABS_DATE">
    <vt:lpwstr>390020250421</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70301/144.b;340a.a;031;40jc.a;40jc.c;144.g;040i;40ja;040g;144</vt:lpwstr>
  </property>
  <property fmtid="{D5CDD505-2E9C-101B-9397-08002B2CF9AE}" pid="36" name="ISABSTRACT">
    <vt:lpwstr>Y</vt:lpwstr>
  </property>
</Properties>
</file>